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5020B" w14:textId="044F3529" w:rsidR="00AC4DFA" w:rsidRDefault="00AC4DFA" w:rsidP="00AC4DFA">
      <w:pPr>
        <w:spacing w:before="0" w:after="200" w:line="276" w:lineRule="auto"/>
        <w:rPr>
          <w:rFonts w:cs="Segoe UI"/>
          <w:b/>
          <w:color w:val="222222"/>
          <w:sz w:val="40"/>
          <w:szCs w:val="40"/>
          <w:shd w:val="clear" w:color="auto" w:fill="FFFFFF"/>
        </w:rPr>
      </w:pPr>
      <w:bookmarkStart w:id="0" w:name="_GoBack"/>
      <w:bookmarkEnd w:id="0"/>
    </w:p>
    <w:p w14:paraId="13118B69" w14:textId="4FC80AE1" w:rsidR="00AC4DFA" w:rsidRDefault="00AC4DFA">
      <w:pPr>
        <w:spacing w:before="0" w:after="200" w:line="276" w:lineRule="auto"/>
        <w:rPr>
          <w:rFonts w:cs="Segoe UI"/>
          <w:b/>
          <w:color w:val="222222"/>
          <w:sz w:val="40"/>
          <w:szCs w:val="40"/>
          <w:shd w:val="clear" w:color="auto" w:fill="FFFFFF"/>
        </w:rPr>
      </w:pPr>
    </w:p>
    <w:p w14:paraId="34570FFD" w14:textId="0942CCC5" w:rsidR="00AC4DFA" w:rsidRDefault="00AC4DFA" w:rsidP="00AC4DFA">
      <w:pPr>
        <w:spacing w:before="0" w:after="200" w:line="276" w:lineRule="auto"/>
        <w:rPr>
          <w:rFonts w:cs="Segoe UI"/>
          <w:b/>
          <w:color w:val="222222"/>
          <w:sz w:val="40"/>
          <w:szCs w:val="40"/>
          <w:shd w:val="clear" w:color="auto" w:fill="FFFFFF"/>
        </w:rPr>
      </w:pPr>
    </w:p>
    <w:p w14:paraId="77B8D7FC" w14:textId="52EBBD20" w:rsidR="00AC4DFA" w:rsidRDefault="00AC4DFA" w:rsidP="00AC4DFA">
      <w:pPr>
        <w:spacing w:before="0" w:after="200" w:line="276" w:lineRule="auto"/>
        <w:rPr>
          <w:rFonts w:cs="Segoe UI"/>
          <w:b/>
          <w:color w:val="222222"/>
          <w:sz w:val="40"/>
          <w:szCs w:val="40"/>
          <w:shd w:val="clear" w:color="auto" w:fill="FFFFFF"/>
        </w:rPr>
      </w:pPr>
    </w:p>
    <w:p w14:paraId="38C34E51" w14:textId="77777777" w:rsidR="00021733" w:rsidRDefault="00021733" w:rsidP="00AC4DFA">
      <w:pPr>
        <w:spacing w:before="0" w:after="200" w:line="276" w:lineRule="auto"/>
        <w:rPr>
          <w:rFonts w:cs="Segoe UI"/>
          <w:b/>
          <w:color w:val="222222"/>
          <w:sz w:val="40"/>
          <w:szCs w:val="40"/>
          <w:shd w:val="clear" w:color="auto" w:fill="FFFFFF"/>
        </w:rPr>
      </w:pPr>
    </w:p>
    <w:p w14:paraId="37A0542A" w14:textId="77777777" w:rsidR="00021733" w:rsidRDefault="00021733" w:rsidP="00AC4DFA">
      <w:pPr>
        <w:spacing w:before="0" w:after="200" w:line="276" w:lineRule="auto"/>
        <w:rPr>
          <w:rFonts w:cs="Segoe UI"/>
          <w:b/>
          <w:color w:val="222222"/>
          <w:sz w:val="40"/>
          <w:szCs w:val="40"/>
          <w:shd w:val="clear" w:color="auto" w:fill="FFFFFF"/>
        </w:rPr>
      </w:pPr>
    </w:p>
    <w:p w14:paraId="1CC9A7D3" w14:textId="77777777" w:rsidR="00021733" w:rsidRDefault="00021733" w:rsidP="00AC4DFA">
      <w:pPr>
        <w:spacing w:before="0" w:after="200" w:line="276" w:lineRule="auto"/>
        <w:rPr>
          <w:rFonts w:cs="Segoe UI"/>
          <w:b/>
          <w:color w:val="222222"/>
          <w:sz w:val="40"/>
          <w:szCs w:val="40"/>
          <w:shd w:val="clear" w:color="auto" w:fill="FFFFFF"/>
        </w:rPr>
      </w:pPr>
    </w:p>
    <w:p w14:paraId="7F3817F3" w14:textId="77777777" w:rsidR="00021733" w:rsidRDefault="00021733" w:rsidP="00AC4DFA">
      <w:pPr>
        <w:spacing w:before="0" w:after="200" w:line="276" w:lineRule="auto"/>
        <w:rPr>
          <w:rFonts w:cs="Segoe UI"/>
          <w:b/>
          <w:color w:val="222222"/>
          <w:sz w:val="40"/>
          <w:szCs w:val="40"/>
          <w:shd w:val="clear" w:color="auto" w:fill="FFFFFF"/>
        </w:rPr>
      </w:pPr>
    </w:p>
    <w:p w14:paraId="25FBBE5D" w14:textId="77777777" w:rsidR="00021733" w:rsidRDefault="00021733" w:rsidP="00AC4DFA">
      <w:pPr>
        <w:spacing w:before="0" w:after="200" w:line="276" w:lineRule="auto"/>
        <w:rPr>
          <w:rFonts w:cs="Segoe UI"/>
          <w:b/>
          <w:color w:val="222222"/>
          <w:sz w:val="40"/>
          <w:szCs w:val="40"/>
          <w:shd w:val="clear" w:color="auto" w:fill="FFFFFF"/>
        </w:rPr>
      </w:pPr>
    </w:p>
    <w:p w14:paraId="45C2BDA4" w14:textId="77777777" w:rsidR="00021733" w:rsidRDefault="00021733" w:rsidP="00AC4DFA">
      <w:pPr>
        <w:spacing w:before="0" w:after="200" w:line="276" w:lineRule="auto"/>
        <w:rPr>
          <w:rFonts w:cs="Segoe UI"/>
          <w:b/>
          <w:color w:val="222222"/>
          <w:sz w:val="40"/>
          <w:szCs w:val="40"/>
          <w:shd w:val="clear" w:color="auto" w:fill="FFFFFF"/>
        </w:rPr>
      </w:pPr>
    </w:p>
    <w:p w14:paraId="5AF21DD5" w14:textId="77777777" w:rsidR="00021733" w:rsidRDefault="00021733" w:rsidP="00AC4DFA">
      <w:pPr>
        <w:spacing w:before="0" w:after="200" w:line="276" w:lineRule="auto"/>
        <w:rPr>
          <w:rFonts w:cs="Segoe UI"/>
          <w:b/>
          <w:color w:val="222222"/>
          <w:sz w:val="40"/>
          <w:szCs w:val="40"/>
          <w:shd w:val="clear" w:color="auto" w:fill="FFFFFF"/>
        </w:rPr>
      </w:pPr>
    </w:p>
    <w:p w14:paraId="156F6BBE" w14:textId="77777777" w:rsidR="00021733" w:rsidRDefault="00021733" w:rsidP="00AC4DFA">
      <w:pPr>
        <w:spacing w:before="0" w:after="200" w:line="276" w:lineRule="auto"/>
        <w:rPr>
          <w:rFonts w:cs="Segoe UI"/>
          <w:b/>
          <w:color w:val="222222"/>
          <w:sz w:val="40"/>
          <w:szCs w:val="40"/>
          <w:shd w:val="clear" w:color="auto" w:fill="FFFFFF"/>
        </w:rPr>
      </w:pPr>
    </w:p>
    <w:p w14:paraId="1386E71C" w14:textId="77777777" w:rsidR="0052597C" w:rsidRDefault="0052597C" w:rsidP="00AC4DFA">
      <w:pPr>
        <w:spacing w:before="0" w:after="200" w:line="276" w:lineRule="auto"/>
        <w:rPr>
          <w:rFonts w:cs="Segoe UI"/>
          <w:b/>
          <w:color w:val="222222"/>
          <w:sz w:val="40"/>
          <w:szCs w:val="40"/>
          <w:shd w:val="clear" w:color="auto" w:fill="FFFFFF"/>
        </w:rPr>
      </w:pPr>
    </w:p>
    <w:p w14:paraId="395CCBEE" w14:textId="77777777" w:rsidR="0052597C" w:rsidRDefault="0052597C" w:rsidP="00AC4DFA">
      <w:pPr>
        <w:spacing w:before="0" w:after="200" w:line="276" w:lineRule="auto"/>
        <w:rPr>
          <w:rFonts w:cs="Segoe UI"/>
          <w:b/>
          <w:color w:val="222222"/>
          <w:sz w:val="40"/>
          <w:szCs w:val="40"/>
          <w:shd w:val="clear" w:color="auto" w:fill="FFFFFF"/>
        </w:rPr>
      </w:pPr>
    </w:p>
    <w:p w14:paraId="38082A20" w14:textId="77777777" w:rsidR="0052597C" w:rsidRDefault="0052597C" w:rsidP="00AC4DFA">
      <w:pPr>
        <w:spacing w:before="0" w:after="200" w:line="276" w:lineRule="auto"/>
        <w:rPr>
          <w:rFonts w:cs="Segoe UI"/>
          <w:b/>
          <w:color w:val="222222"/>
          <w:sz w:val="40"/>
          <w:szCs w:val="40"/>
          <w:shd w:val="clear" w:color="auto" w:fill="FFFFFF"/>
        </w:rPr>
      </w:pPr>
    </w:p>
    <w:p w14:paraId="2C44DE19" w14:textId="77777777" w:rsidR="0052597C" w:rsidRDefault="0052597C" w:rsidP="00AC4DFA">
      <w:pPr>
        <w:spacing w:before="0" w:after="200" w:line="276" w:lineRule="auto"/>
        <w:rPr>
          <w:rFonts w:cs="Segoe UI"/>
          <w:b/>
          <w:color w:val="222222"/>
          <w:sz w:val="40"/>
          <w:szCs w:val="40"/>
          <w:shd w:val="clear" w:color="auto" w:fill="FFFFFF"/>
        </w:rPr>
      </w:pPr>
    </w:p>
    <w:p w14:paraId="69094211" w14:textId="77777777" w:rsidR="0052597C" w:rsidRDefault="0052597C" w:rsidP="00AC4DFA">
      <w:pPr>
        <w:spacing w:before="0" w:after="200" w:line="276" w:lineRule="auto"/>
        <w:rPr>
          <w:rFonts w:cs="Segoe UI"/>
          <w:b/>
          <w:color w:val="222222"/>
          <w:sz w:val="40"/>
          <w:szCs w:val="40"/>
          <w:shd w:val="clear" w:color="auto" w:fill="FFFFFF"/>
        </w:rPr>
      </w:pPr>
    </w:p>
    <w:p w14:paraId="23386FFA" w14:textId="77777777" w:rsidR="0052597C" w:rsidRDefault="0052597C" w:rsidP="00AC4DFA">
      <w:pPr>
        <w:spacing w:before="0" w:after="200" w:line="276" w:lineRule="auto"/>
        <w:rPr>
          <w:rFonts w:cs="Segoe UI"/>
          <w:b/>
          <w:color w:val="222222"/>
          <w:sz w:val="40"/>
          <w:szCs w:val="40"/>
          <w:shd w:val="clear" w:color="auto" w:fill="FFFFFF"/>
        </w:rPr>
      </w:pPr>
    </w:p>
    <w:p w14:paraId="472C8F94" w14:textId="77777777" w:rsidR="0052597C" w:rsidRDefault="0052597C" w:rsidP="00AC4DFA">
      <w:pPr>
        <w:spacing w:before="0" w:after="200" w:line="276" w:lineRule="auto"/>
        <w:rPr>
          <w:rFonts w:cs="Segoe UI"/>
          <w:b/>
          <w:color w:val="222222"/>
          <w:sz w:val="40"/>
          <w:szCs w:val="40"/>
          <w:shd w:val="clear" w:color="auto" w:fill="FFFFFF"/>
        </w:rPr>
      </w:pPr>
    </w:p>
    <w:p w14:paraId="138CFEBB" w14:textId="77777777" w:rsidR="0052597C" w:rsidRDefault="0052597C" w:rsidP="00AC4DFA">
      <w:pPr>
        <w:spacing w:before="0" w:after="200" w:line="276" w:lineRule="auto"/>
        <w:rPr>
          <w:rFonts w:cs="Segoe UI"/>
          <w:b/>
          <w:color w:val="222222"/>
          <w:sz w:val="40"/>
          <w:szCs w:val="40"/>
          <w:shd w:val="clear" w:color="auto" w:fill="FFFFFF"/>
        </w:rPr>
      </w:pPr>
    </w:p>
    <w:p w14:paraId="2314F6DF" w14:textId="77777777" w:rsidR="0052597C" w:rsidRDefault="0052597C" w:rsidP="00AC4DFA">
      <w:pPr>
        <w:spacing w:before="0" w:after="200" w:line="276" w:lineRule="auto"/>
        <w:rPr>
          <w:rFonts w:cs="Segoe UI"/>
          <w:b/>
          <w:color w:val="222222"/>
          <w:sz w:val="40"/>
          <w:szCs w:val="40"/>
          <w:shd w:val="clear" w:color="auto" w:fill="FFFFFF"/>
        </w:rPr>
      </w:pPr>
    </w:p>
    <w:p w14:paraId="764F7F8E" w14:textId="77777777" w:rsidR="0052597C" w:rsidRDefault="0052597C" w:rsidP="00AC4DFA">
      <w:pPr>
        <w:spacing w:before="0" w:after="200" w:line="276" w:lineRule="auto"/>
        <w:rPr>
          <w:rFonts w:cs="Segoe UI"/>
          <w:b/>
          <w:color w:val="222222"/>
          <w:sz w:val="40"/>
          <w:szCs w:val="40"/>
          <w:shd w:val="clear" w:color="auto" w:fill="FFFFFF"/>
        </w:rPr>
      </w:pPr>
    </w:p>
    <w:p w14:paraId="62DD73C7" w14:textId="77777777" w:rsidR="0052597C" w:rsidRDefault="0052597C" w:rsidP="00AC4DFA">
      <w:pPr>
        <w:spacing w:before="0" w:after="200" w:line="276" w:lineRule="auto"/>
        <w:rPr>
          <w:rFonts w:cs="Segoe UI"/>
          <w:b/>
          <w:color w:val="222222"/>
          <w:sz w:val="40"/>
          <w:szCs w:val="40"/>
          <w:shd w:val="clear" w:color="auto" w:fill="FFFFFF"/>
        </w:rPr>
      </w:pPr>
    </w:p>
    <w:p w14:paraId="64AF899C" w14:textId="77777777" w:rsidR="0052597C" w:rsidRDefault="0052597C" w:rsidP="00AC4DFA">
      <w:pPr>
        <w:spacing w:before="0" w:after="200" w:line="276" w:lineRule="auto"/>
        <w:rPr>
          <w:rFonts w:cs="Segoe UI"/>
          <w:b/>
          <w:color w:val="222222"/>
          <w:sz w:val="40"/>
          <w:szCs w:val="40"/>
          <w:shd w:val="clear" w:color="auto" w:fill="FFFFFF"/>
        </w:rPr>
      </w:pPr>
    </w:p>
    <w:p w14:paraId="3D3F0A3A" w14:textId="77777777" w:rsidR="0052597C" w:rsidRDefault="0052597C" w:rsidP="00AC4DFA">
      <w:pPr>
        <w:spacing w:before="0" w:after="200" w:line="276" w:lineRule="auto"/>
        <w:rPr>
          <w:rFonts w:cs="Segoe UI"/>
          <w:b/>
          <w:color w:val="222222"/>
          <w:sz w:val="40"/>
          <w:szCs w:val="40"/>
          <w:shd w:val="clear" w:color="auto" w:fill="FFFFFF"/>
        </w:rPr>
      </w:pPr>
    </w:p>
    <w:p w14:paraId="367823C5" w14:textId="77777777" w:rsidR="0052597C" w:rsidRDefault="0052597C" w:rsidP="00AC4DFA">
      <w:pPr>
        <w:spacing w:before="0" w:after="200" w:line="276" w:lineRule="auto"/>
        <w:rPr>
          <w:rFonts w:cs="Segoe UI"/>
          <w:b/>
          <w:color w:val="222222"/>
          <w:sz w:val="40"/>
          <w:szCs w:val="40"/>
          <w:shd w:val="clear" w:color="auto" w:fill="FFFFFF"/>
        </w:rPr>
      </w:pPr>
    </w:p>
    <w:p w14:paraId="3A010818" w14:textId="77777777" w:rsidR="0052597C" w:rsidRDefault="0052597C" w:rsidP="00AC4DFA">
      <w:pPr>
        <w:spacing w:before="0" w:after="200" w:line="276" w:lineRule="auto"/>
        <w:rPr>
          <w:rFonts w:cs="Segoe UI"/>
          <w:b/>
          <w:color w:val="222222"/>
          <w:sz w:val="40"/>
          <w:szCs w:val="40"/>
          <w:shd w:val="clear" w:color="auto" w:fill="FFFFFF"/>
        </w:rPr>
      </w:pPr>
    </w:p>
    <w:p w14:paraId="54A05E27" w14:textId="77777777" w:rsidR="0052597C" w:rsidRDefault="0052597C" w:rsidP="00AC4DFA">
      <w:pPr>
        <w:spacing w:before="0" w:after="200" w:line="276" w:lineRule="auto"/>
        <w:rPr>
          <w:rFonts w:cs="Segoe UI"/>
          <w:b/>
          <w:color w:val="222222"/>
          <w:sz w:val="40"/>
          <w:szCs w:val="40"/>
          <w:shd w:val="clear" w:color="auto" w:fill="FFFFFF"/>
        </w:rPr>
      </w:pPr>
    </w:p>
    <w:p w14:paraId="2748EB6A" w14:textId="77777777" w:rsidR="0052597C" w:rsidRDefault="0052597C" w:rsidP="00AC4DFA">
      <w:pPr>
        <w:spacing w:before="0" w:after="200" w:line="276" w:lineRule="auto"/>
        <w:rPr>
          <w:rFonts w:cs="Segoe UI"/>
          <w:b/>
          <w:color w:val="222222"/>
          <w:sz w:val="40"/>
          <w:szCs w:val="40"/>
          <w:shd w:val="clear" w:color="auto" w:fill="FFFFFF"/>
        </w:rPr>
      </w:pPr>
    </w:p>
    <w:p w14:paraId="6E85190F" w14:textId="77777777" w:rsidR="00021733" w:rsidRDefault="00021733" w:rsidP="00AC4DFA">
      <w:pPr>
        <w:spacing w:before="0" w:after="200" w:line="276" w:lineRule="auto"/>
        <w:rPr>
          <w:rFonts w:cs="Segoe UI"/>
          <w:b/>
          <w:color w:val="222222"/>
          <w:sz w:val="40"/>
          <w:szCs w:val="40"/>
          <w:shd w:val="clear" w:color="auto" w:fill="FFFFFF"/>
        </w:rPr>
      </w:pPr>
    </w:p>
    <w:p w14:paraId="031F47C5" w14:textId="77777777" w:rsidR="00021733" w:rsidRDefault="00021733" w:rsidP="00AC4DFA">
      <w:pPr>
        <w:spacing w:before="0" w:after="200" w:line="276" w:lineRule="auto"/>
        <w:rPr>
          <w:rFonts w:cs="Segoe UI"/>
          <w:b/>
          <w:color w:val="222222"/>
          <w:sz w:val="40"/>
          <w:szCs w:val="40"/>
          <w:shd w:val="clear" w:color="auto" w:fill="FFFFFF"/>
        </w:rPr>
      </w:pPr>
    </w:p>
    <w:p w14:paraId="6210F2A8" w14:textId="77777777" w:rsidR="00021733" w:rsidRDefault="00021733" w:rsidP="00AC4DFA">
      <w:pPr>
        <w:spacing w:before="0" w:after="200" w:line="276" w:lineRule="auto"/>
        <w:rPr>
          <w:rFonts w:cs="Segoe UI"/>
          <w:b/>
          <w:color w:val="222222"/>
          <w:sz w:val="40"/>
          <w:szCs w:val="40"/>
          <w:shd w:val="clear" w:color="auto" w:fill="FFFFFF"/>
        </w:rPr>
      </w:pPr>
    </w:p>
    <w:p w14:paraId="591B4A94" w14:textId="7B8C55C3" w:rsidR="00AC4DFA" w:rsidRDefault="00AC4DFA">
      <w:pPr>
        <w:spacing w:before="0" w:after="200" w:line="276" w:lineRule="auto"/>
        <w:rPr>
          <w:rFonts w:cs="Segoe UI"/>
          <w:b/>
          <w:color w:val="222222"/>
          <w:sz w:val="40"/>
          <w:szCs w:val="40"/>
          <w:shd w:val="clear" w:color="auto" w:fill="FFFFFF"/>
        </w:rPr>
      </w:pPr>
    </w:p>
    <w:p w14:paraId="317CCE94" w14:textId="77777777" w:rsidR="00D44C1B" w:rsidRDefault="00D44C1B" w:rsidP="00AC4DFA">
      <w:pPr>
        <w:spacing w:before="0" w:after="200" w:line="276" w:lineRule="auto"/>
        <w:rPr>
          <w:rFonts w:cs="Segoe UI"/>
          <w:b/>
          <w:color w:val="222222"/>
          <w:sz w:val="40"/>
          <w:szCs w:val="40"/>
          <w:shd w:val="clear" w:color="auto" w:fill="FFFFFF"/>
        </w:rPr>
      </w:pPr>
    </w:p>
    <w:p w14:paraId="1018D05F" w14:textId="77777777" w:rsidR="00993CE0" w:rsidRPr="00D44C1B" w:rsidRDefault="00993CE0" w:rsidP="00993CE0">
      <w:pPr>
        <w:spacing w:before="0" w:line="240" w:lineRule="auto"/>
        <w:jc w:val="center"/>
        <w:rPr>
          <w:rFonts w:cs="Segoe UI"/>
          <w:b/>
          <w:color w:val="222222"/>
          <w:sz w:val="40"/>
          <w:szCs w:val="40"/>
          <w:shd w:val="clear" w:color="auto" w:fill="FFFFFF"/>
        </w:rPr>
      </w:pPr>
      <w:r w:rsidRPr="00D44C1B">
        <w:rPr>
          <w:rFonts w:cs="Segoe UI"/>
          <w:b/>
          <w:color w:val="222222"/>
          <w:sz w:val="40"/>
          <w:szCs w:val="40"/>
          <w:shd w:val="clear" w:color="auto" w:fill="FFFFFF"/>
        </w:rPr>
        <w:lastRenderedPageBreak/>
        <w:t xml:space="preserve">Popular conceptions of democracy </w:t>
      </w:r>
      <w:r>
        <w:rPr>
          <w:rFonts w:cs="Segoe UI"/>
          <w:b/>
          <w:color w:val="222222"/>
          <w:sz w:val="40"/>
          <w:szCs w:val="40"/>
          <w:shd w:val="clear" w:color="auto" w:fill="FFFFFF"/>
        </w:rPr>
        <w:t>in international perspective – w</w:t>
      </w:r>
      <w:r w:rsidRPr="00D44C1B">
        <w:rPr>
          <w:rFonts w:cs="Segoe UI"/>
          <w:b/>
          <w:color w:val="222222"/>
          <w:sz w:val="40"/>
          <w:szCs w:val="40"/>
          <w:shd w:val="clear" w:color="auto" w:fill="FFFFFF"/>
        </w:rPr>
        <w:t>hat people think it is, and how it affects their political behaviour</w:t>
      </w:r>
    </w:p>
    <w:p w14:paraId="40D3C550" w14:textId="77777777" w:rsidR="00D44C1B" w:rsidRDefault="00D44C1B" w:rsidP="00D44C1B">
      <w:pPr>
        <w:spacing w:before="0" w:line="240" w:lineRule="auto"/>
        <w:jc w:val="center"/>
        <w:rPr>
          <w:rFonts w:cs="Segoe UI"/>
          <w:b/>
          <w:color w:val="222222"/>
          <w:sz w:val="40"/>
          <w:szCs w:val="40"/>
          <w:shd w:val="clear" w:color="auto" w:fill="FFFFFF"/>
        </w:rPr>
      </w:pPr>
    </w:p>
    <w:p w14:paraId="10619506" w14:textId="77777777" w:rsidR="00D44C1B" w:rsidRDefault="00D44C1B" w:rsidP="00D44C1B">
      <w:pPr>
        <w:spacing w:before="0" w:line="240" w:lineRule="auto"/>
        <w:jc w:val="center"/>
        <w:rPr>
          <w:rFonts w:cs="Segoe UI"/>
          <w:b/>
          <w:color w:val="222222"/>
          <w:sz w:val="40"/>
          <w:szCs w:val="40"/>
          <w:shd w:val="clear" w:color="auto" w:fill="FFFFFF"/>
        </w:rPr>
      </w:pPr>
    </w:p>
    <w:p w14:paraId="17455450" w14:textId="3C75F1C6" w:rsidR="00D44C1B" w:rsidRPr="00D44C1B" w:rsidRDefault="00D44C1B" w:rsidP="00D44C1B">
      <w:pPr>
        <w:spacing w:before="0" w:line="240" w:lineRule="auto"/>
        <w:jc w:val="center"/>
        <w:rPr>
          <w:rFonts w:cs="Segoe UI"/>
          <w:b/>
          <w:i/>
          <w:color w:val="222222"/>
          <w:sz w:val="40"/>
          <w:szCs w:val="40"/>
          <w:shd w:val="clear" w:color="auto" w:fill="FFFFFF"/>
        </w:rPr>
      </w:pPr>
      <w:r w:rsidRPr="00D44C1B">
        <w:rPr>
          <w:rFonts w:cs="Segoe UI"/>
          <w:b/>
          <w:i/>
          <w:color w:val="222222"/>
          <w:sz w:val="40"/>
          <w:szCs w:val="40"/>
          <w:shd w:val="clear" w:color="auto" w:fill="FFFFFF"/>
        </w:rPr>
        <w:t>Luke Temple</w:t>
      </w:r>
    </w:p>
    <w:p w14:paraId="0A9EC5C0" w14:textId="77777777" w:rsidR="00D44C1B" w:rsidRDefault="00D44C1B" w:rsidP="00D44C1B">
      <w:pPr>
        <w:spacing w:before="0" w:line="240" w:lineRule="auto"/>
        <w:jc w:val="center"/>
        <w:rPr>
          <w:rFonts w:cs="Segoe UI"/>
          <w:b/>
          <w:color w:val="222222"/>
          <w:sz w:val="40"/>
          <w:szCs w:val="40"/>
          <w:shd w:val="clear" w:color="auto" w:fill="FFFFFF"/>
        </w:rPr>
      </w:pPr>
    </w:p>
    <w:p w14:paraId="0814FD91" w14:textId="28505A9A" w:rsidR="00D44C1B" w:rsidRDefault="00D44C1B" w:rsidP="00D44C1B">
      <w:pPr>
        <w:spacing w:before="0" w:line="240" w:lineRule="auto"/>
        <w:jc w:val="center"/>
        <w:rPr>
          <w:rFonts w:cs="Segoe UI"/>
          <w:b/>
          <w:color w:val="222222"/>
          <w:sz w:val="40"/>
          <w:szCs w:val="40"/>
          <w:shd w:val="clear" w:color="auto" w:fill="FFFFFF"/>
        </w:rPr>
      </w:pPr>
      <w:r>
        <w:rPr>
          <w:rFonts w:cs="Segoe UI"/>
          <w:b/>
          <w:color w:val="222222"/>
          <w:sz w:val="40"/>
          <w:szCs w:val="40"/>
          <w:shd w:val="clear" w:color="auto" w:fill="FFFFFF"/>
        </w:rPr>
        <w:t>___________________________________________________</w:t>
      </w:r>
    </w:p>
    <w:p w14:paraId="26C5F959" w14:textId="77777777" w:rsidR="00D44C1B" w:rsidRDefault="00D44C1B" w:rsidP="00D44C1B">
      <w:pPr>
        <w:spacing w:before="0" w:line="240" w:lineRule="auto"/>
        <w:jc w:val="center"/>
        <w:rPr>
          <w:rFonts w:cs="Segoe UI"/>
          <w:b/>
          <w:color w:val="222222"/>
          <w:sz w:val="40"/>
          <w:szCs w:val="40"/>
          <w:shd w:val="clear" w:color="auto" w:fill="FFFFFF"/>
        </w:rPr>
      </w:pPr>
    </w:p>
    <w:p w14:paraId="35682789" w14:textId="77777777" w:rsidR="00D44C1B" w:rsidRDefault="00D44C1B" w:rsidP="00D44C1B">
      <w:pPr>
        <w:spacing w:before="0" w:line="240" w:lineRule="auto"/>
        <w:jc w:val="center"/>
        <w:rPr>
          <w:rFonts w:cs="Segoe UI"/>
          <w:b/>
          <w:color w:val="222222"/>
          <w:sz w:val="40"/>
          <w:szCs w:val="40"/>
          <w:shd w:val="clear" w:color="auto" w:fill="FFFFFF"/>
        </w:rPr>
      </w:pPr>
    </w:p>
    <w:p w14:paraId="77C18603" w14:textId="77777777" w:rsidR="00D44C1B" w:rsidRDefault="00D44C1B" w:rsidP="00D44C1B">
      <w:pPr>
        <w:spacing w:before="0" w:line="240" w:lineRule="auto"/>
        <w:jc w:val="center"/>
        <w:rPr>
          <w:rFonts w:cs="Segoe UI"/>
          <w:b/>
          <w:color w:val="222222"/>
          <w:sz w:val="40"/>
          <w:szCs w:val="40"/>
          <w:shd w:val="clear" w:color="auto" w:fill="FFFFFF"/>
        </w:rPr>
      </w:pPr>
    </w:p>
    <w:p w14:paraId="563F19B9" w14:textId="77777777" w:rsidR="00D44C1B" w:rsidRDefault="00D44C1B" w:rsidP="00D44C1B">
      <w:pPr>
        <w:spacing w:before="0" w:line="240" w:lineRule="auto"/>
        <w:jc w:val="center"/>
        <w:rPr>
          <w:rFonts w:cs="Segoe UI"/>
          <w:b/>
          <w:color w:val="222222"/>
          <w:sz w:val="40"/>
          <w:szCs w:val="40"/>
          <w:shd w:val="clear" w:color="auto" w:fill="FFFFFF"/>
        </w:rPr>
      </w:pPr>
    </w:p>
    <w:p w14:paraId="4DCAB8FB" w14:textId="77777777" w:rsidR="00D44C1B" w:rsidRDefault="00D44C1B" w:rsidP="00D44C1B">
      <w:pPr>
        <w:spacing w:before="0" w:line="240" w:lineRule="auto"/>
        <w:jc w:val="center"/>
        <w:rPr>
          <w:rFonts w:cs="Segoe UI"/>
          <w:b/>
          <w:color w:val="222222"/>
          <w:sz w:val="40"/>
          <w:szCs w:val="40"/>
          <w:shd w:val="clear" w:color="auto" w:fill="FFFFFF"/>
        </w:rPr>
      </w:pPr>
    </w:p>
    <w:p w14:paraId="752748CD" w14:textId="77777777" w:rsidR="00D44C1B" w:rsidRDefault="00D44C1B" w:rsidP="00D44C1B">
      <w:pPr>
        <w:spacing w:before="0" w:line="240" w:lineRule="auto"/>
        <w:jc w:val="center"/>
        <w:rPr>
          <w:rFonts w:cs="Segoe UI"/>
          <w:b/>
          <w:color w:val="222222"/>
          <w:sz w:val="40"/>
          <w:szCs w:val="40"/>
          <w:shd w:val="clear" w:color="auto" w:fill="FFFFFF"/>
        </w:rPr>
      </w:pPr>
    </w:p>
    <w:p w14:paraId="7F20D595" w14:textId="77777777" w:rsidR="00D44C1B" w:rsidRDefault="00D44C1B" w:rsidP="00D44C1B">
      <w:pPr>
        <w:spacing w:before="0" w:line="240" w:lineRule="auto"/>
        <w:jc w:val="center"/>
        <w:rPr>
          <w:rFonts w:cs="Segoe UI"/>
          <w:b/>
          <w:color w:val="222222"/>
          <w:sz w:val="40"/>
          <w:szCs w:val="40"/>
          <w:shd w:val="clear" w:color="auto" w:fill="FFFFFF"/>
        </w:rPr>
      </w:pPr>
    </w:p>
    <w:p w14:paraId="29AEB1BD" w14:textId="77777777" w:rsidR="00D44C1B" w:rsidRDefault="00D44C1B" w:rsidP="00D44C1B">
      <w:pPr>
        <w:spacing w:before="0" w:line="240" w:lineRule="auto"/>
        <w:jc w:val="center"/>
        <w:rPr>
          <w:rFonts w:cs="Segoe UI"/>
          <w:b/>
          <w:color w:val="222222"/>
          <w:sz w:val="40"/>
          <w:szCs w:val="40"/>
          <w:shd w:val="clear" w:color="auto" w:fill="FFFFFF"/>
        </w:rPr>
      </w:pPr>
    </w:p>
    <w:p w14:paraId="1D1C1D83" w14:textId="77777777" w:rsidR="00D44C1B" w:rsidRDefault="00D44C1B" w:rsidP="00D44C1B">
      <w:pPr>
        <w:spacing w:before="0" w:line="240" w:lineRule="auto"/>
        <w:rPr>
          <w:rFonts w:cs="Segoe UI"/>
          <w:b/>
          <w:color w:val="222222"/>
          <w:sz w:val="40"/>
          <w:szCs w:val="40"/>
          <w:shd w:val="clear" w:color="auto" w:fill="FFFFFF"/>
        </w:rPr>
      </w:pPr>
    </w:p>
    <w:p w14:paraId="5AA4E628" w14:textId="77777777" w:rsidR="00D44C1B" w:rsidRDefault="00D44C1B" w:rsidP="00D44C1B">
      <w:pPr>
        <w:spacing w:before="0" w:line="240" w:lineRule="auto"/>
        <w:jc w:val="center"/>
        <w:rPr>
          <w:rFonts w:cs="Segoe UI"/>
          <w:b/>
          <w:color w:val="222222"/>
          <w:sz w:val="40"/>
          <w:szCs w:val="40"/>
          <w:shd w:val="clear" w:color="auto" w:fill="FFFFFF"/>
        </w:rPr>
      </w:pPr>
    </w:p>
    <w:p w14:paraId="13FBA433" w14:textId="4D9B57D7" w:rsidR="00D44C1B" w:rsidRDefault="00D44C1B" w:rsidP="00D44C1B">
      <w:pPr>
        <w:spacing w:before="0" w:line="240" w:lineRule="auto"/>
        <w:rPr>
          <w:rFonts w:cs="Segoe UI"/>
          <w:b/>
          <w:color w:val="222222"/>
          <w:sz w:val="40"/>
          <w:szCs w:val="40"/>
          <w:shd w:val="clear" w:color="auto" w:fill="FFFFFF"/>
        </w:rPr>
      </w:pPr>
      <w:r>
        <w:rPr>
          <w:rFonts w:cs="Segoe UI"/>
          <w:b/>
          <w:color w:val="222222"/>
          <w:sz w:val="40"/>
          <w:szCs w:val="40"/>
          <w:shd w:val="clear" w:color="auto" w:fill="FFFFFF"/>
        </w:rPr>
        <w:t>PhD Thesis</w:t>
      </w:r>
    </w:p>
    <w:p w14:paraId="031E75E2" w14:textId="77777777" w:rsidR="00D44C1B" w:rsidRDefault="00D44C1B" w:rsidP="00D44C1B">
      <w:pPr>
        <w:spacing w:before="0" w:line="240" w:lineRule="auto"/>
        <w:rPr>
          <w:rFonts w:cs="Segoe UI"/>
          <w:b/>
          <w:color w:val="222222"/>
          <w:sz w:val="40"/>
          <w:szCs w:val="40"/>
          <w:shd w:val="clear" w:color="auto" w:fill="FFFFFF"/>
        </w:rPr>
      </w:pPr>
    </w:p>
    <w:p w14:paraId="37D6FC57" w14:textId="358FEBD3" w:rsidR="00D44C1B" w:rsidRDefault="00D44C1B" w:rsidP="00D44C1B">
      <w:pPr>
        <w:spacing w:before="0" w:line="240" w:lineRule="auto"/>
        <w:rPr>
          <w:rFonts w:cs="Segoe UI"/>
          <w:b/>
          <w:color w:val="222222"/>
          <w:sz w:val="40"/>
          <w:szCs w:val="40"/>
          <w:shd w:val="clear" w:color="auto" w:fill="FFFFFF"/>
        </w:rPr>
      </w:pPr>
      <w:r>
        <w:rPr>
          <w:rFonts w:cs="Segoe UI"/>
          <w:b/>
          <w:color w:val="222222"/>
          <w:sz w:val="40"/>
          <w:szCs w:val="40"/>
          <w:shd w:val="clear" w:color="auto" w:fill="FFFFFF"/>
        </w:rPr>
        <w:t>Department of Geography</w:t>
      </w:r>
    </w:p>
    <w:p w14:paraId="429D216A" w14:textId="77777777" w:rsidR="00D44C1B" w:rsidRDefault="00D44C1B" w:rsidP="00D44C1B">
      <w:pPr>
        <w:spacing w:before="0" w:line="240" w:lineRule="auto"/>
        <w:rPr>
          <w:rFonts w:cs="Segoe UI"/>
          <w:b/>
          <w:color w:val="222222"/>
          <w:sz w:val="40"/>
          <w:szCs w:val="40"/>
          <w:shd w:val="clear" w:color="auto" w:fill="FFFFFF"/>
        </w:rPr>
      </w:pPr>
    </w:p>
    <w:p w14:paraId="5B85C2D2" w14:textId="3291C6BD" w:rsidR="00AC4DFA" w:rsidRDefault="00D44C1B" w:rsidP="00D44C1B">
      <w:pPr>
        <w:spacing w:before="0" w:line="240" w:lineRule="auto"/>
        <w:rPr>
          <w:rFonts w:cs="Segoe UI"/>
          <w:b/>
          <w:color w:val="222222"/>
          <w:sz w:val="40"/>
          <w:szCs w:val="40"/>
          <w:shd w:val="clear" w:color="auto" w:fill="FFFFFF"/>
        </w:rPr>
      </w:pPr>
      <w:r>
        <w:rPr>
          <w:rFonts w:cs="Segoe UI"/>
          <w:b/>
          <w:color w:val="222222"/>
          <w:sz w:val="40"/>
          <w:szCs w:val="40"/>
          <w:shd w:val="clear" w:color="auto" w:fill="FFFFFF"/>
        </w:rPr>
        <w:t>2016</w:t>
      </w:r>
    </w:p>
    <w:p w14:paraId="1D82163B" w14:textId="3F3A09AD" w:rsidR="00AC4DFA" w:rsidRDefault="00AC4DFA">
      <w:pPr>
        <w:spacing w:before="0" w:after="200" w:line="276" w:lineRule="auto"/>
        <w:rPr>
          <w:rFonts w:cs="Segoe UI"/>
          <w:b/>
          <w:color w:val="222222"/>
          <w:sz w:val="40"/>
          <w:szCs w:val="40"/>
          <w:shd w:val="clear" w:color="auto" w:fill="FFFFFF"/>
        </w:rPr>
      </w:pPr>
    </w:p>
    <w:p w14:paraId="3091F8E2" w14:textId="77777777" w:rsidR="00021733" w:rsidRDefault="00021733" w:rsidP="00EE64B7">
      <w:pPr>
        <w:spacing w:before="0" w:line="240" w:lineRule="auto"/>
        <w:rPr>
          <w:rFonts w:cs="Segoe UI"/>
          <w:b/>
          <w:color w:val="222222"/>
          <w:sz w:val="40"/>
          <w:szCs w:val="40"/>
          <w:shd w:val="clear" w:color="auto" w:fill="FFFFFF"/>
        </w:rPr>
      </w:pPr>
    </w:p>
    <w:p w14:paraId="6B05B111" w14:textId="77777777" w:rsidR="00021733" w:rsidRDefault="00021733" w:rsidP="00EE64B7">
      <w:pPr>
        <w:spacing w:before="0" w:line="240" w:lineRule="auto"/>
        <w:rPr>
          <w:rFonts w:cs="Segoe UI"/>
          <w:b/>
          <w:color w:val="222222"/>
          <w:sz w:val="40"/>
          <w:szCs w:val="40"/>
          <w:shd w:val="clear" w:color="auto" w:fill="FFFFFF"/>
        </w:rPr>
      </w:pPr>
    </w:p>
    <w:p w14:paraId="5466D781" w14:textId="77777777" w:rsidR="00021733" w:rsidRDefault="00021733" w:rsidP="00EE64B7">
      <w:pPr>
        <w:spacing w:before="0" w:line="240" w:lineRule="auto"/>
        <w:rPr>
          <w:rFonts w:cs="Segoe UI"/>
          <w:b/>
          <w:color w:val="222222"/>
          <w:sz w:val="40"/>
          <w:szCs w:val="40"/>
          <w:shd w:val="clear" w:color="auto" w:fill="FFFFFF"/>
        </w:rPr>
      </w:pPr>
    </w:p>
    <w:p w14:paraId="08665326" w14:textId="77777777" w:rsidR="00021733" w:rsidRDefault="00021733" w:rsidP="00EE64B7">
      <w:pPr>
        <w:spacing w:before="0" w:line="240" w:lineRule="auto"/>
        <w:rPr>
          <w:rFonts w:cs="Segoe UI"/>
          <w:b/>
          <w:color w:val="222222"/>
          <w:sz w:val="40"/>
          <w:szCs w:val="40"/>
          <w:shd w:val="clear" w:color="auto" w:fill="FFFFFF"/>
        </w:rPr>
      </w:pPr>
    </w:p>
    <w:p w14:paraId="58907FC4" w14:textId="77777777" w:rsidR="00021733" w:rsidRDefault="00021733" w:rsidP="00EE64B7">
      <w:pPr>
        <w:spacing w:before="0" w:line="240" w:lineRule="auto"/>
        <w:rPr>
          <w:rFonts w:cs="Segoe UI"/>
          <w:b/>
          <w:color w:val="222222"/>
          <w:sz w:val="40"/>
          <w:szCs w:val="40"/>
          <w:shd w:val="clear" w:color="auto" w:fill="FFFFFF"/>
        </w:rPr>
      </w:pPr>
    </w:p>
    <w:p w14:paraId="3A826D6D" w14:textId="77777777" w:rsidR="00021733" w:rsidRDefault="00021733" w:rsidP="00EE64B7">
      <w:pPr>
        <w:spacing w:before="0" w:line="240" w:lineRule="auto"/>
        <w:rPr>
          <w:rFonts w:cs="Segoe UI"/>
          <w:b/>
          <w:color w:val="222222"/>
          <w:sz w:val="40"/>
          <w:szCs w:val="40"/>
          <w:shd w:val="clear" w:color="auto" w:fill="FFFFFF"/>
        </w:rPr>
      </w:pPr>
    </w:p>
    <w:p w14:paraId="38ACC5AA" w14:textId="77777777" w:rsidR="00021733" w:rsidRDefault="00021733" w:rsidP="00EE64B7">
      <w:pPr>
        <w:spacing w:before="0" w:line="240" w:lineRule="auto"/>
        <w:rPr>
          <w:rFonts w:cs="Segoe UI"/>
          <w:b/>
          <w:color w:val="222222"/>
          <w:sz w:val="40"/>
          <w:szCs w:val="40"/>
          <w:shd w:val="clear" w:color="auto" w:fill="FFFFFF"/>
        </w:rPr>
      </w:pPr>
    </w:p>
    <w:p w14:paraId="5727E725" w14:textId="77777777" w:rsidR="00021733" w:rsidRDefault="00021733" w:rsidP="00EE64B7">
      <w:pPr>
        <w:spacing w:before="0" w:line="240" w:lineRule="auto"/>
        <w:rPr>
          <w:rFonts w:cs="Segoe UI"/>
          <w:b/>
          <w:color w:val="222222"/>
          <w:sz w:val="40"/>
          <w:szCs w:val="40"/>
          <w:shd w:val="clear" w:color="auto" w:fill="FFFFFF"/>
        </w:rPr>
      </w:pPr>
    </w:p>
    <w:p w14:paraId="30DB4EDC" w14:textId="77777777" w:rsidR="00021733" w:rsidRDefault="00021733" w:rsidP="00EE64B7">
      <w:pPr>
        <w:spacing w:before="0" w:line="240" w:lineRule="auto"/>
        <w:rPr>
          <w:rFonts w:cs="Segoe UI"/>
          <w:b/>
          <w:color w:val="222222"/>
          <w:sz w:val="40"/>
          <w:szCs w:val="40"/>
          <w:shd w:val="clear" w:color="auto" w:fill="FFFFFF"/>
        </w:rPr>
      </w:pPr>
    </w:p>
    <w:p w14:paraId="686D0E48" w14:textId="77777777" w:rsidR="00021733" w:rsidRDefault="00021733" w:rsidP="00EE64B7">
      <w:pPr>
        <w:spacing w:before="0" w:line="240" w:lineRule="auto"/>
        <w:rPr>
          <w:rFonts w:cs="Segoe UI"/>
          <w:b/>
          <w:color w:val="222222"/>
          <w:sz w:val="40"/>
          <w:szCs w:val="40"/>
          <w:shd w:val="clear" w:color="auto" w:fill="FFFFFF"/>
        </w:rPr>
      </w:pPr>
    </w:p>
    <w:p w14:paraId="3AC9E17C" w14:textId="77777777" w:rsidR="00021733" w:rsidRDefault="00021733" w:rsidP="00EE64B7">
      <w:pPr>
        <w:spacing w:before="0" w:line="240" w:lineRule="auto"/>
        <w:rPr>
          <w:rFonts w:cs="Segoe UI"/>
          <w:b/>
          <w:color w:val="222222"/>
          <w:sz w:val="40"/>
          <w:szCs w:val="40"/>
          <w:shd w:val="clear" w:color="auto" w:fill="FFFFFF"/>
        </w:rPr>
      </w:pPr>
    </w:p>
    <w:p w14:paraId="6DDC1927" w14:textId="77777777" w:rsidR="00021733" w:rsidRDefault="00021733" w:rsidP="00EE64B7">
      <w:pPr>
        <w:spacing w:before="0" w:line="240" w:lineRule="auto"/>
        <w:rPr>
          <w:rFonts w:cs="Segoe UI"/>
          <w:b/>
          <w:color w:val="222222"/>
          <w:sz w:val="40"/>
          <w:szCs w:val="40"/>
          <w:shd w:val="clear" w:color="auto" w:fill="FFFFFF"/>
        </w:rPr>
      </w:pPr>
    </w:p>
    <w:p w14:paraId="2FBDD578" w14:textId="77777777" w:rsidR="00021733" w:rsidRDefault="00021733" w:rsidP="00EE64B7">
      <w:pPr>
        <w:spacing w:before="0" w:line="240" w:lineRule="auto"/>
        <w:rPr>
          <w:rFonts w:cs="Segoe UI"/>
          <w:b/>
          <w:color w:val="222222"/>
          <w:sz w:val="40"/>
          <w:szCs w:val="40"/>
          <w:shd w:val="clear" w:color="auto" w:fill="FFFFFF"/>
        </w:rPr>
      </w:pPr>
    </w:p>
    <w:p w14:paraId="20B33071" w14:textId="77777777" w:rsidR="00021733" w:rsidRDefault="00021733" w:rsidP="00EE64B7">
      <w:pPr>
        <w:spacing w:before="0" w:line="240" w:lineRule="auto"/>
        <w:rPr>
          <w:rFonts w:cs="Segoe UI"/>
          <w:b/>
          <w:color w:val="222222"/>
          <w:sz w:val="40"/>
          <w:szCs w:val="40"/>
          <w:shd w:val="clear" w:color="auto" w:fill="FFFFFF"/>
        </w:rPr>
      </w:pPr>
    </w:p>
    <w:p w14:paraId="15561C58" w14:textId="77777777" w:rsidR="00021733" w:rsidRDefault="00021733" w:rsidP="00EE64B7">
      <w:pPr>
        <w:spacing w:before="0" w:line="240" w:lineRule="auto"/>
        <w:rPr>
          <w:rFonts w:cs="Segoe UI"/>
          <w:b/>
          <w:color w:val="222222"/>
          <w:sz w:val="40"/>
          <w:szCs w:val="40"/>
          <w:shd w:val="clear" w:color="auto" w:fill="FFFFFF"/>
        </w:rPr>
      </w:pPr>
    </w:p>
    <w:p w14:paraId="238A25C6" w14:textId="77777777" w:rsidR="00021733" w:rsidRDefault="00021733" w:rsidP="00EE64B7">
      <w:pPr>
        <w:spacing w:before="0" w:line="240" w:lineRule="auto"/>
        <w:rPr>
          <w:rFonts w:cs="Segoe UI"/>
          <w:b/>
          <w:color w:val="222222"/>
          <w:sz w:val="40"/>
          <w:szCs w:val="40"/>
          <w:shd w:val="clear" w:color="auto" w:fill="FFFFFF"/>
        </w:rPr>
      </w:pPr>
    </w:p>
    <w:p w14:paraId="05D7F38D" w14:textId="77777777" w:rsidR="00021733" w:rsidRDefault="00021733" w:rsidP="00EE64B7">
      <w:pPr>
        <w:spacing w:before="0" w:line="240" w:lineRule="auto"/>
        <w:rPr>
          <w:rFonts w:cs="Segoe UI"/>
          <w:b/>
          <w:color w:val="222222"/>
          <w:sz w:val="40"/>
          <w:szCs w:val="40"/>
          <w:shd w:val="clear" w:color="auto" w:fill="FFFFFF"/>
        </w:rPr>
      </w:pPr>
    </w:p>
    <w:p w14:paraId="48A71ACD" w14:textId="77777777" w:rsidR="00021733" w:rsidRDefault="00021733" w:rsidP="00EE64B7">
      <w:pPr>
        <w:spacing w:before="0" w:line="240" w:lineRule="auto"/>
        <w:rPr>
          <w:rFonts w:cs="Segoe UI"/>
          <w:b/>
          <w:color w:val="222222"/>
          <w:sz w:val="40"/>
          <w:szCs w:val="40"/>
          <w:shd w:val="clear" w:color="auto" w:fill="FFFFFF"/>
        </w:rPr>
      </w:pPr>
    </w:p>
    <w:p w14:paraId="4DBBF540" w14:textId="77777777" w:rsidR="00021733" w:rsidRDefault="00021733" w:rsidP="00EE64B7">
      <w:pPr>
        <w:spacing w:before="0" w:line="240" w:lineRule="auto"/>
        <w:rPr>
          <w:rFonts w:cs="Segoe UI"/>
          <w:b/>
          <w:color w:val="222222"/>
          <w:sz w:val="40"/>
          <w:szCs w:val="40"/>
          <w:shd w:val="clear" w:color="auto" w:fill="FFFFFF"/>
        </w:rPr>
      </w:pPr>
    </w:p>
    <w:p w14:paraId="3EBC7CBB" w14:textId="77777777" w:rsidR="00021733" w:rsidRDefault="00021733" w:rsidP="00EE64B7">
      <w:pPr>
        <w:spacing w:before="0" w:line="240" w:lineRule="auto"/>
        <w:rPr>
          <w:rFonts w:cs="Segoe UI"/>
          <w:b/>
          <w:color w:val="222222"/>
          <w:sz w:val="40"/>
          <w:szCs w:val="40"/>
          <w:shd w:val="clear" w:color="auto" w:fill="FFFFFF"/>
        </w:rPr>
      </w:pPr>
    </w:p>
    <w:p w14:paraId="61D82A62" w14:textId="77777777" w:rsidR="00021733" w:rsidRDefault="00021733" w:rsidP="00EE64B7">
      <w:pPr>
        <w:spacing w:before="0" w:line="240" w:lineRule="auto"/>
        <w:rPr>
          <w:rFonts w:cs="Segoe UI"/>
          <w:b/>
          <w:color w:val="222222"/>
          <w:sz w:val="40"/>
          <w:szCs w:val="40"/>
          <w:shd w:val="clear" w:color="auto" w:fill="FFFFFF"/>
        </w:rPr>
      </w:pPr>
    </w:p>
    <w:p w14:paraId="3CDEEF42" w14:textId="77777777" w:rsidR="00021733" w:rsidRDefault="00021733" w:rsidP="00EE64B7">
      <w:pPr>
        <w:spacing w:before="0" w:line="240" w:lineRule="auto"/>
        <w:rPr>
          <w:rFonts w:cs="Segoe UI"/>
          <w:b/>
          <w:color w:val="222222"/>
          <w:sz w:val="40"/>
          <w:szCs w:val="40"/>
          <w:shd w:val="clear" w:color="auto" w:fill="FFFFFF"/>
        </w:rPr>
      </w:pPr>
    </w:p>
    <w:p w14:paraId="6009DBA9" w14:textId="77777777" w:rsidR="00021733" w:rsidRDefault="00021733" w:rsidP="00EE64B7">
      <w:pPr>
        <w:spacing w:before="0" w:line="240" w:lineRule="auto"/>
        <w:rPr>
          <w:rFonts w:cs="Segoe UI"/>
          <w:b/>
          <w:color w:val="222222"/>
          <w:sz w:val="40"/>
          <w:szCs w:val="40"/>
          <w:shd w:val="clear" w:color="auto" w:fill="FFFFFF"/>
        </w:rPr>
      </w:pPr>
    </w:p>
    <w:p w14:paraId="753CD867" w14:textId="77777777" w:rsidR="00021733" w:rsidRDefault="00021733" w:rsidP="00EE64B7">
      <w:pPr>
        <w:spacing w:before="0" w:line="240" w:lineRule="auto"/>
        <w:rPr>
          <w:rFonts w:cs="Segoe UI"/>
          <w:b/>
          <w:color w:val="222222"/>
          <w:sz w:val="40"/>
          <w:szCs w:val="40"/>
          <w:shd w:val="clear" w:color="auto" w:fill="FFFFFF"/>
        </w:rPr>
      </w:pPr>
    </w:p>
    <w:p w14:paraId="3A46EAD8" w14:textId="77777777" w:rsidR="00021733" w:rsidRDefault="00021733" w:rsidP="00EE64B7">
      <w:pPr>
        <w:spacing w:before="0" w:line="240" w:lineRule="auto"/>
        <w:rPr>
          <w:rFonts w:cs="Segoe UI"/>
          <w:b/>
          <w:color w:val="222222"/>
          <w:sz w:val="40"/>
          <w:szCs w:val="40"/>
          <w:shd w:val="clear" w:color="auto" w:fill="FFFFFF"/>
        </w:rPr>
      </w:pPr>
    </w:p>
    <w:p w14:paraId="4DAC2ADF" w14:textId="77777777" w:rsidR="00021733" w:rsidRDefault="00021733" w:rsidP="00EE64B7">
      <w:pPr>
        <w:spacing w:before="0" w:line="240" w:lineRule="auto"/>
        <w:rPr>
          <w:rFonts w:cs="Segoe UI"/>
          <w:b/>
          <w:color w:val="222222"/>
          <w:sz w:val="40"/>
          <w:szCs w:val="40"/>
          <w:shd w:val="clear" w:color="auto" w:fill="FFFFFF"/>
        </w:rPr>
      </w:pPr>
    </w:p>
    <w:p w14:paraId="6E21BC9C" w14:textId="77777777" w:rsidR="00993CE0" w:rsidRDefault="00993CE0" w:rsidP="00993CE0">
      <w:pPr>
        <w:spacing w:before="0" w:line="240" w:lineRule="auto"/>
        <w:rPr>
          <w:b/>
          <w:sz w:val="40"/>
        </w:rPr>
      </w:pPr>
      <w:r w:rsidRPr="00D44C1B">
        <w:rPr>
          <w:b/>
          <w:sz w:val="40"/>
        </w:rPr>
        <w:lastRenderedPageBreak/>
        <w:t>Acknowledgments</w:t>
      </w:r>
    </w:p>
    <w:p w14:paraId="1F4D9F04" w14:textId="77777777" w:rsidR="00993CE0" w:rsidRDefault="00993CE0" w:rsidP="00993CE0">
      <w:pPr>
        <w:spacing w:before="0" w:line="240" w:lineRule="auto"/>
        <w:rPr>
          <w:b/>
          <w:sz w:val="40"/>
        </w:rPr>
      </w:pPr>
    </w:p>
    <w:p w14:paraId="7FDA16F8" w14:textId="1DD8C847" w:rsidR="00993CE0" w:rsidRDefault="00993CE0" w:rsidP="00993CE0">
      <w:r>
        <w:t xml:space="preserve">My first and biggest thanks must go to Charles Pattie. I could not have wished for a better supervisor.  I am truly grateful for the </w:t>
      </w:r>
      <w:r w:rsidR="00E81C6D">
        <w:t xml:space="preserve">boundless </w:t>
      </w:r>
      <w:r>
        <w:t xml:space="preserve">generosity </w:t>
      </w:r>
      <w:r w:rsidR="00E81C6D">
        <w:t xml:space="preserve">and enthusiasm </w:t>
      </w:r>
      <w:r>
        <w:t>with which he has provided</w:t>
      </w:r>
      <w:r w:rsidR="00E81C6D">
        <w:t xml:space="preserve"> me with</w:t>
      </w:r>
      <w:r>
        <w:t xml:space="preserve"> his time, feedback, and encyclopaedic knowledge</w:t>
      </w:r>
      <w:r w:rsidR="00E81C6D">
        <w:t xml:space="preserve">. There’s no one else I </w:t>
      </w:r>
      <w:r w:rsidR="00304229">
        <w:t>would rather</w:t>
      </w:r>
      <w:r w:rsidR="00E81C6D">
        <w:t xml:space="preserve"> discuss </w:t>
      </w:r>
      <w:r w:rsidR="00304229">
        <w:t>complex</w:t>
      </w:r>
      <w:r w:rsidR="00E81C6D">
        <w:t xml:space="preserve"> statistical analysis with over a pub lunch.</w:t>
      </w:r>
    </w:p>
    <w:p w14:paraId="6CB022F9" w14:textId="617FB09B" w:rsidR="00993CE0" w:rsidRDefault="00993CE0" w:rsidP="00993CE0">
      <w:r>
        <w:t>Dan V</w:t>
      </w:r>
      <w:r w:rsidR="00E81C6D">
        <w:t>ickers, my secondary supervisor:</w:t>
      </w:r>
      <w:r>
        <w:t xml:space="preserve"> without his passion and advice, I would never have taken the leap from undergraduate to postgraduate studies</w:t>
      </w:r>
      <w:r w:rsidR="00E81C6D">
        <w:t xml:space="preserve"> in the first place</w:t>
      </w:r>
      <w:r>
        <w:t>. I</w:t>
      </w:r>
      <w:r w:rsidR="00E81C6D">
        <w:t xml:space="preserve"> owe him big. </w:t>
      </w:r>
      <w:r>
        <w:t xml:space="preserve"> </w:t>
      </w:r>
    </w:p>
    <w:p w14:paraId="23867770" w14:textId="013E57AE" w:rsidR="00993CE0" w:rsidRDefault="00E81C6D" w:rsidP="00993CE0">
      <w:r>
        <w:t>And thanks to all my friends and colleagues across the Geography and Politics Departments at Sheffield; in particular to Adam Whitworth, a true gent.</w:t>
      </w:r>
    </w:p>
    <w:p w14:paraId="78A0D548" w14:textId="2BC92822" w:rsidR="00993CE0" w:rsidRDefault="00993CE0" w:rsidP="00993CE0">
      <w:r>
        <w:t xml:space="preserve">On a personal note, I want to thank my family, </w:t>
      </w:r>
      <w:r w:rsidR="00E81C6D">
        <w:t xml:space="preserve">especially my parents, </w:t>
      </w:r>
      <w:r>
        <w:t>who have always been extremely supportive of me putting off real</w:t>
      </w:r>
      <w:r w:rsidR="00E81C6D">
        <w:t xml:space="preserve"> life and staying in education</w:t>
      </w:r>
      <w:r>
        <w:t xml:space="preserve">. </w:t>
      </w:r>
    </w:p>
    <w:p w14:paraId="3EBED3EC" w14:textId="68FBC960" w:rsidR="00E81C6D" w:rsidRDefault="00E81C6D" w:rsidP="00993CE0">
      <w:r>
        <w:t xml:space="preserve">Finally, to Imogen Makin. </w:t>
      </w:r>
      <w:r w:rsidR="00304229">
        <w:t>Without her love,</w:t>
      </w:r>
      <w:r>
        <w:t xml:space="preserve"> support</w:t>
      </w:r>
      <w:r w:rsidR="00304229">
        <w:t>, and distractions I wouldn’t have survived the write-up with my sanity intact.</w:t>
      </w:r>
    </w:p>
    <w:p w14:paraId="5BEAB1A9" w14:textId="29EDE48B" w:rsidR="00AC4DFA" w:rsidRDefault="00AC4DFA" w:rsidP="00EE64B7">
      <w:pPr>
        <w:spacing w:before="0" w:line="240" w:lineRule="auto"/>
        <w:rPr>
          <w:rFonts w:ascii="Arial" w:hAnsi="Arial" w:cs="Arial"/>
          <w:color w:val="222222"/>
          <w:sz w:val="19"/>
          <w:szCs w:val="19"/>
          <w:shd w:val="clear" w:color="auto" w:fill="FFFFFF"/>
        </w:rPr>
      </w:pPr>
    </w:p>
    <w:p w14:paraId="0D0A4474" w14:textId="03CC8D61" w:rsidR="00AC4DFA" w:rsidRDefault="00AC4DFA" w:rsidP="00304229">
      <w:pPr>
        <w:rPr>
          <w:shd w:val="clear" w:color="auto" w:fill="FFFFFF"/>
        </w:rPr>
      </w:pPr>
    </w:p>
    <w:p w14:paraId="5958642E" w14:textId="77777777" w:rsidR="00021733" w:rsidRDefault="00021733" w:rsidP="00304229">
      <w:pPr>
        <w:rPr>
          <w:shd w:val="clear" w:color="auto" w:fill="FFFFFF"/>
        </w:rPr>
      </w:pPr>
    </w:p>
    <w:p w14:paraId="2F081D6A" w14:textId="77777777" w:rsidR="00021733" w:rsidRDefault="00021733" w:rsidP="00304229">
      <w:pPr>
        <w:rPr>
          <w:shd w:val="clear" w:color="auto" w:fill="FFFFFF"/>
        </w:rPr>
      </w:pPr>
    </w:p>
    <w:p w14:paraId="655D4A24" w14:textId="77777777" w:rsidR="00021733" w:rsidRDefault="00021733" w:rsidP="00304229">
      <w:pPr>
        <w:rPr>
          <w:shd w:val="clear" w:color="auto" w:fill="FFFFFF"/>
        </w:rPr>
      </w:pPr>
    </w:p>
    <w:p w14:paraId="46F230BA" w14:textId="77777777" w:rsidR="00021733" w:rsidRDefault="00021733" w:rsidP="00304229">
      <w:pPr>
        <w:rPr>
          <w:shd w:val="clear" w:color="auto" w:fill="FFFFFF"/>
        </w:rPr>
      </w:pPr>
    </w:p>
    <w:p w14:paraId="54442DC1" w14:textId="77777777" w:rsidR="00021733" w:rsidRDefault="00021733" w:rsidP="00304229">
      <w:pPr>
        <w:rPr>
          <w:shd w:val="clear" w:color="auto" w:fill="FFFFFF"/>
        </w:rPr>
      </w:pPr>
    </w:p>
    <w:p w14:paraId="569C2B50" w14:textId="77777777" w:rsidR="00021733" w:rsidRDefault="00021733" w:rsidP="00304229">
      <w:pPr>
        <w:rPr>
          <w:shd w:val="clear" w:color="auto" w:fill="FFFFFF"/>
        </w:rPr>
      </w:pPr>
    </w:p>
    <w:p w14:paraId="403692F9" w14:textId="77777777" w:rsidR="00021733" w:rsidRDefault="00021733" w:rsidP="00304229">
      <w:pPr>
        <w:rPr>
          <w:shd w:val="clear" w:color="auto" w:fill="FFFFFF"/>
        </w:rPr>
      </w:pPr>
    </w:p>
    <w:p w14:paraId="08B13E6A" w14:textId="77777777" w:rsidR="00021733" w:rsidRDefault="00021733" w:rsidP="00304229">
      <w:pPr>
        <w:rPr>
          <w:shd w:val="clear" w:color="auto" w:fill="FFFFFF"/>
        </w:rPr>
      </w:pPr>
    </w:p>
    <w:p w14:paraId="12B427D3" w14:textId="77777777" w:rsidR="00021733" w:rsidRDefault="00021733" w:rsidP="00304229">
      <w:pPr>
        <w:rPr>
          <w:shd w:val="clear" w:color="auto" w:fill="FFFFFF"/>
        </w:rPr>
      </w:pPr>
    </w:p>
    <w:p w14:paraId="24688FCA" w14:textId="77777777" w:rsidR="00021733" w:rsidRDefault="00021733" w:rsidP="00304229">
      <w:pPr>
        <w:rPr>
          <w:shd w:val="clear" w:color="auto" w:fill="FFFFFF"/>
        </w:rPr>
      </w:pPr>
    </w:p>
    <w:p w14:paraId="5A60EC75" w14:textId="77777777" w:rsidR="00021733" w:rsidRDefault="00021733" w:rsidP="00304229">
      <w:pPr>
        <w:rPr>
          <w:shd w:val="clear" w:color="auto" w:fill="FFFFFF"/>
        </w:rPr>
      </w:pPr>
    </w:p>
    <w:p w14:paraId="535C278F" w14:textId="77777777" w:rsidR="00021733" w:rsidRDefault="00021733">
      <w:pPr>
        <w:spacing w:before="0" w:after="200" w:line="276" w:lineRule="auto"/>
        <w:rPr>
          <w:rFonts w:ascii="Arial" w:hAnsi="Arial" w:cs="Arial"/>
          <w:color w:val="222222"/>
          <w:sz w:val="19"/>
          <w:szCs w:val="19"/>
          <w:shd w:val="clear" w:color="auto" w:fill="FFFFFF"/>
        </w:rPr>
      </w:pPr>
    </w:p>
    <w:p w14:paraId="116677BD" w14:textId="77777777" w:rsidR="00021733" w:rsidRDefault="00021733">
      <w:pPr>
        <w:spacing w:before="0" w:after="200" w:line="276" w:lineRule="auto"/>
        <w:rPr>
          <w:rFonts w:ascii="Arial" w:hAnsi="Arial" w:cs="Arial"/>
          <w:color w:val="222222"/>
          <w:sz w:val="19"/>
          <w:szCs w:val="19"/>
          <w:shd w:val="clear" w:color="auto" w:fill="FFFFFF"/>
        </w:rPr>
      </w:pPr>
    </w:p>
    <w:p w14:paraId="230C3885" w14:textId="77777777" w:rsidR="00021733" w:rsidRDefault="00021733">
      <w:pPr>
        <w:spacing w:before="0" w:after="200" w:line="276" w:lineRule="auto"/>
        <w:rPr>
          <w:rFonts w:ascii="Arial" w:hAnsi="Arial" w:cs="Arial"/>
          <w:color w:val="222222"/>
          <w:sz w:val="19"/>
          <w:szCs w:val="19"/>
          <w:shd w:val="clear" w:color="auto" w:fill="FFFFFF"/>
        </w:rPr>
      </w:pPr>
    </w:p>
    <w:p w14:paraId="26E11C43" w14:textId="77777777" w:rsidR="00021733" w:rsidRDefault="00021733">
      <w:pPr>
        <w:spacing w:before="0" w:after="200" w:line="276" w:lineRule="auto"/>
        <w:rPr>
          <w:rFonts w:ascii="Arial" w:hAnsi="Arial" w:cs="Arial"/>
          <w:color w:val="222222"/>
          <w:sz w:val="19"/>
          <w:szCs w:val="19"/>
          <w:shd w:val="clear" w:color="auto" w:fill="FFFFFF"/>
        </w:rPr>
      </w:pPr>
    </w:p>
    <w:p w14:paraId="2505F6EE" w14:textId="77777777" w:rsidR="00021733" w:rsidRDefault="00021733">
      <w:pPr>
        <w:spacing w:before="0" w:after="200" w:line="276" w:lineRule="auto"/>
        <w:rPr>
          <w:rFonts w:ascii="Arial" w:hAnsi="Arial" w:cs="Arial"/>
          <w:color w:val="222222"/>
          <w:sz w:val="19"/>
          <w:szCs w:val="19"/>
          <w:shd w:val="clear" w:color="auto" w:fill="FFFFFF"/>
        </w:rPr>
      </w:pPr>
    </w:p>
    <w:p w14:paraId="70DED1F7" w14:textId="77777777" w:rsidR="00021733" w:rsidRDefault="00021733">
      <w:pPr>
        <w:spacing w:before="0" w:after="200" w:line="276" w:lineRule="auto"/>
        <w:rPr>
          <w:rFonts w:ascii="Arial" w:hAnsi="Arial" w:cs="Arial"/>
          <w:color w:val="222222"/>
          <w:sz w:val="19"/>
          <w:szCs w:val="19"/>
          <w:shd w:val="clear" w:color="auto" w:fill="FFFFFF"/>
        </w:rPr>
      </w:pPr>
    </w:p>
    <w:p w14:paraId="2F29D1D7" w14:textId="77777777" w:rsidR="00021733" w:rsidRDefault="00021733">
      <w:pPr>
        <w:spacing w:before="0" w:after="200" w:line="276" w:lineRule="auto"/>
        <w:rPr>
          <w:rFonts w:ascii="Arial" w:hAnsi="Arial" w:cs="Arial"/>
          <w:color w:val="222222"/>
          <w:sz w:val="19"/>
          <w:szCs w:val="19"/>
          <w:shd w:val="clear" w:color="auto" w:fill="FFFFFF"/>
        </w:rPr>
      </w:pPr>
    </w:p>
    <w:p w14:paraId="7263E82A" w14:textId="77777777" w:rsidR="00021733" w:rsidRDefault="00021733">
      <w:pPr>
        <w:spacing w:before="0" w:after="200" w:line="276" w:lineRule="auto"/>
        <w:rPr>
          <w:rFonts w:ascii="Arial" w:hAnsi="Arial" w:cs="Arial"/>
          <w:color w:val="222222"/>
          <w:sz w:val="19"/>
          <w:szCs w:val="19"/>
          <w:shd w:val="clear" w:color="auto" w:fill="FFFFFF"/>
        </w:rPr>
      </w:pPr>
    </w:p>
    <w:p w14:paraId="7DCE82E6" w14:textId="77777777" w:rsidR="00021733" w:rsidRDefault="00021733">
      <w:pPr>
        <w:spacing w:before="0" w:after="200" w:line="276" w:lineRule="auto"/>
        <w:rPr>
          <w:rFonts w:ascii="Arial" w:hAnsi="Arial" w:cs="Arial"/>
          <w:color w:val="222222"/>
          <w:sz w:val="19"/>
          <w:szCs w:val="19"/>
          <w:shd w:val="clear" w:color="auto" w:fill="FFFFFF"/>
        </w:rPr>
      </w:pPr>
    </w:p>
    <w:p w14:paraId="7680A41E" w14:textId="77777777" w:rsidR="00021733" w:rsidRDefault="00021733">
      <w:pPr>
        <w:spacing w:before="0" w:after="200" w:line="276" w:lineRule="auto"/>
        <w:rPr>
          <w:rFonts w:ascii="Arial" w:hAnsi="Arial" w:cs="Arial"/>
          <w:color w:val="222222"/>
          <w:sz w:val="19"/>
          <w:szCs w:val="19"/>
          <w:shd w:val="clear" w:color="auto" w:fill="FFFFFF"/>
        </w:rPr>
      </w:pPr>
    </w:p>
    <w:p w14:paraId="402508C3" w14:textId="77777777" w:rsidR="00021733" w:rsidRDefault="00021733">
      <w:pPr>
        <w:spacing w:before="0" w:after="200" w:line="276" w:lineRule="auto"/>
        <w:rPr>
          <w:rFonts w:ascii="Arial" w:hAnsi="Arial" w:cs="Arial"/>
          <w:color w:val="222222"/>
          <w:sz w:val="19"/>
          <w:szCs w:val="19"/>
          <w:shd w:val="clear" w:color="auto" w:fill="FFFFFF"/>
        </w:rPr>
      </w:pPr>
    </w:p>
    <w:p w14:paraId="67CDF009" w14:textId="77777777" w:rsidR="00021733" w:rsidRDefault="00021733">
      <w:pPr>
        <w:spacing w:before="0" w:after="200" w:line="276" w:lineRule="auto"/>
        <w:rPr>
          <w:rFonts w:ascii="Arial" w:hAnsi="Arial" w:cs="Arial"/>
          <w:color w:val="222222"/>
          <w:sz w:val="19"/>
          <w:szCs w:val="19"/>
          <w:shd w:val="clear" w:color="auto" w:fill="FFFFFF"/>
        </w:rPr>
      </w:pPr>
    </w:p>
    <w:p w14:paraId="627E893F" w14:textId="77777777" w:rsidR="00021733" w:rsidRDefault="00021733">
      <w:pPr>
        <w:spacing w:before="0" w:after="200" w:line="276" w:lineRule="auto"/>
        <w:rPr>
          <w:rFonts w:ascii="Arial" w:hAnsi="Arial" w:cs="Arial"/>
          <w:color w:val="222222"/>
          <w:sz w:val="19"/>
          <w:szCs w:val="19"/>
          <w:shd w:val="clear" w:color="auto" w:fill="FFFFFF"/>
        </w:rPr>
      </w:pPr>
    </w:p>
    <w:p w14:paraId="2B641905" w14:textId="77777777" w:rsidR="00021733" w:rsidRDefault="00021733">
      <w:pPr>
        <w:spacing w:before="0" w:after="200" w:line="276" w:lineRule="auto"/>
        <w:rPr>
          <w:rFonts w:ascii="Arial" w:hAnsi="Arial" w:cs="Arial"/>
          <w:color w:val="222222"/>
          <w:sz w:val="19"/>
          <w:szCs w:val="19"/>
          <w:shd w:val="clear" w:color="auto" w:fill="FFFFFF"/>
        </w:rPr>
      </w:pPr>
    </w:p>
    <w:p w14:paraId="3A209435" w14:textId="77777777" w:rsidR="00021733" w:rsidRDefault="00021733">
      <w:pPr>
        <w:spacing w:before="0" w:after="200" w:line="276" w:lineRule="auto"/>
        <w:rPr>
          <w:rFonts w:ascii="Arial" w:hAnsi="Arial" w:cs="Arial"/>
          <w:color w:val="222222"/>
          <w:sz w:val="19"/>
          <w:szCs w:val="19"/>
          <w:shd w:val="clear" w:color="auto" w:fill="FFFFFF"/>
        </w:rPr>
      </w:pPr>
    </w:p>
    <w:p w14:paraId="0EE2825C" w14:textId="77777777" w:rsidR="00021733" w:rsidRDefault="00021733">
      <w:pPr>
        <w:spacing w:before="0" w:after="200" w:line="276" w:lineRule="auto"/>
        <w:rPr>
          <w:rFonts w:ascii="Arial" w:hAnsi="Arial" w:cs="Arial"/>
          <w:color w:val="222222"/>
          <w:sz w:val="19"/>
          <w:szCs w:val="19"/>
          <w:shd w:val="clear" w:color="auto" w:fill="FFFFFF"/>
        </w:rPr>
      </w:pPr>
    </w:p>
    <w:p w14:paraId="22AFB361" w14:textId="77777777" w:rsidR="00021733" w:rsidRDefault="00021733">
      <w:pPr>
        <w:spacing w:before="0" w:after="200" w:line="276" w:lineRule="auto"/>
        <w:rPr>
          <w:rFonts w:ascii="Arial" w:hAnsi="Arial" w:cs="Arial"/>
          <w:color w:val="222222"/>
          <w:sz w:val="19"/>
          <w:szCs w:val="19"/>
          <w:shd w:val="clear" w:color="auto" w:fill="FFFFFF"/>
        </w:rPr>
      </w:pPr>
    </w:p>
    <w:p w14:paraId="49814D4E" w14:textId="77777777" w:rsidR="00021733" w:rsidRDefault="00021733">
      <w:pPr>
        <w:spacing w:before="0" w:after="200" w:line="276" w:lineRule="auto"/>
        <w:rPr>
          <w:rFonts w:ascii="Arial" w:hAnsi="Arial" w:cs="Arial"/>
          <w:color w:val="222222"/>
          <w:sz w:val="19"/>
          <w:szCs w:val="19"/>
          <w:shd w:val="clear" w:color="auto" w:fill="FFFFFF"/>
        </w:rPr>
      </w:pPr>
    </w:p>
    <w:p w14:paraId="007F849A" w14:textId="77777777" w:rsidR="00021733" w:rsidRDefault="00021733">
      <w:pPr>
        <w:spacing w:before="0" w:after="200" w:line="276" w:lineRule="auto"/>
        <w:rPr>
          <w:rFonts w:ascii="Arial" w:hAnsi="Arial" w:cs="Arial"/>
          <w:color w:val="222222"/>
          <w:sz w:val="19"/>
          <w:szCs w:val="19"/>
          <w:shd w:val="clear" w:color="auto" w:fill="FFFFFF"/>
        </w:rPr>
      </w:pPr>
    </w:p>
    <w:p w14:paraId="370EC490" w14:textId="77777777" w:rsidR="00021733" w:rsidRDefault="00021733">
      <w:pPr>
        <w:spacing w:before="0" w:after="200" w:line="276" w:lineRule="auto"/>
        <w:rPr>
          <w:rFonts w:ascii="Arial" w:hAnsi="Arial" w:cs="Arial"/>
          <w:color w:val="222222"/>
          <w:sz w:val="19"/>
          <w:szCs w:val="19"/>
          <w:shd w:val="clear" w:color="auto" w:fill="FFFFFF"/>
        </w:rPr>
      </w:pPr>
    </w:p>
    <w:p w14:paraId="4C97A021" w14:textId="77777777" w:rsidR="00021733" w:rsidRDefault="00021733">
      <w:pPr>
        <w:spacing w:before="0" w:after="200" w:line="276" w:lineRule="auto"/>
        <w:rPr>
          <w:rFonts w:ascii="Arial" w:hAnsi="Arial" w:cs="Arial"/>
          <w:color w:val="222222"/>
          <w:sz w:val="19"/>
          <w:szCs w:val="19"/>
          <w:shd w:val="clear" w:color="auto" w:fill="FFFFFF"/>
        </w:rPr>
      </w:pPr>
    </w:p>
    <w:p w14:paraId="6FE6F2CB" w14:textId="77777777" w:rsidR="00021733" w:rsidRDefault="00021733">
      <w:pPr>
        <w:spacing w:before="0" w:after="200" w:line="276" w:lineRule="auto"/>
        <w:rPr>
          <w:rFonts w:ascii="Arial" w:hAnsi="Arial" w:cs="Arial"/>
          <w:color w:val="222222"/>
          <w:sz w:val="19"/>
          <w:szCs w:val="19"/>
          <w:shd w:val="clear" w:color="auto" w:fill="FFFFFF"/>
        </w:rPr>
      </w:pPr>
    </w:p>
    <w:p w14:paraId="09FD49AA" w14:textId="77777777" w:rsidR="00021733" w:rsidRDefault="00021733">
      <w:pPr>
        <w:spacing w:before="0" w:after="200" w:line="276" w:lineRule="auto"/>
        <w:rPr>
          <w:rFonts w:ascii="Arial" w:hAnsi="Arial" w:cs="Arial"/>
          <w:color w:val="222222"/>
          <w:sz w:val="19"/>
          <w:szCs w:val="19"/>
          <w:shd w:val="clear" w:color="auto" w:fill="FFFFFF"/>
        </w:rPr>
      </w:pPr>
    </w:p>
    <w:p w14:paraId="69C96F46" w14:textId="77777777" w:rsidR="00993CE0" w:rsidRDefault="00993CE0" w:rsidP="00993CE0">
      <w:pPr>
        <w:spacing w:before="0" w:line="240" w:lineRule="auto"/>
        <w:rPr>
          <w:rFonts w:cs="Segoe UI"/>
          <w:b/>
          <w:color w:val="222222"/>
          <w:sz w:val="40"/>
          <w:szCs w:val="40"/>
          <w:shd w:val="clear" w:color="auto" w:fill="FFFFFF"/>
        </w:rPr>
      </w:pPr>
    </w:p>
    <w:p w14:paraId="6FBEC970" w14:textId="77777777" w:rsidR="00993CE0" w:rsidRDefault="00993CE0" w:rsidP="00993CE0">
      <w:pPr>
        <w:spacing w:before="0" w:line="240" w:lineRule="auto"/>
        <w:rPr>
          <w:rFonts w:cs="Segoe UI"/>
          <w:b/>
          <w:color w:val="222222"/>
          <w:sz w:val="40"/>
          <w:szCs w:val="40"/>
          <w:shd w:val="clear" w:color="auto" w:fill="FFFFFF"/>
        </w:rPr>
      </w:pPr>
    </w:p>
    <w:p w14:paraId="0542B4F1" w14:textId="77777777" w:rsidR="00993CE0" w:rsidRDefault="00993CE0" w:rsidP="00993CE0">
      <w:pPr>
        <w:spacing w:before="0" w:line="240" w:lineRule="auto"/>
        <w:rPr>
          <w:rFonts w:cs="Segoe UI"/>
          <w:b/>
          <w:color w:val="222222"/>
          <w:sz w:val="40"/>
          <w:szCs w:val="40"/>
          <w:shd w:val="clear" w:color="auto" w:fill="FFFFFF"/>
        </w:rPr>
      </w:pPr>
    </w:p>
    <w:p w14:paraId="6B244090" w14:textId="77777777" w:rsidR="00993CE0" w:rsidRDefault="00993CE0" w:rsidP="00993CE0">
      <w:pPr>
        <w:spacing w:before="0" w:line="240" w:lineRule="auto"/>
        <w:rPr>
          <w:rFonts w:cs="Segoe UI"/>
          <w:b/>
          <w:color w:val="222222"/>
          <w:sz w:val="40"/>
          <w:szCs w:val="40"/>
          <w:shd w:val="clear" w:color="auto" w:fill="FFFFFF"/>
        </w:rPr>
      </w:pPr>
    </w:p>
    <w:p w14:paraId="1E695041" w14:textId="77777777" w:rsidR="00304229" w:rsidRDefault="00304229" w:rsidP="00993CE0">
      <w:pPr>
        <w:spacing w:before="0" w:line="240" w:lineRule="auto"/>
        <w:rPr>
          <w:rFonts w:cs="Segoe UI"/>
          <w:b/>
          <w:color w:val="222222"/>
          <w:sz w:val="40"/>
          <w:szCs w:val="40"/>
          <w:shd w:val="clear" w:color="auto" w:fill="FFFFFF"/>
        </w:rPr>
      </w:pPr>
    </w:p>
    <w:p w14:paraId="65D823A9" w14:textId="77777777" w:rsidR="00993CE0" w:rsidRDefault="00993CE0" w:rsidP="00993CE0">
      <w:pPr>
        <w:spacing w:before="0" w:line="240" w:lineRule="auto"/>
        <w:rPr>
          <w:rFonts w:cs="Segoe UI"/>
          <w:b/>
          <w:color w:val="222222"/>
          <w:sz w:val="40"/>
          <w:szCs w:val="40"/>
          <w:shd w:val="clear" w:color="auto" w:fill="FFFFFF"/>
        </w:rPr>
      </w:pPr>
      <w:r>
        <w:rPr>
          <w:rFonts w:cs="Segoe UI"/>
          <w:b/>
          <w:color w:val="222222"/>
          <w:sz w:val="40"/>
          <w:szCs w:val="40"/>
          <w:shd w:val="clear" w:color="auto" w:fill="FFFFFF"/>
        </w:rPr>
        <w:lastRenderedPageBreak/>
        <w:t>Abstract:</w:t>
      </w:r>
    </w:p>
    <w:p w14:paraId="2FDCEE5A" w14:textId="77777777" w:rsidR="00993CE0" w:rsidRDefault="00993CE0" w:rsidP="00993CE0">
      <w:pPr>
        <w:rPr>
          <w:shd w:val="clear" w:color="auto" w:fill="FFFFFF"/>
        </w:rPr>
      </w:pPr>
    </w:p>
    <w:p w14:paraId="49B0B202" w14:textId="44455FB4" w:rsidR="00993CE0" w:rsidRDefault="00993CE0" w:rsidP="00993CE0">
      <w:pPr>
        <w:rPr>
          <w:shd w:val="clear" w:color="auto" w:fill="FFFFFF"/>
        </w:rPr>
      </w:pPr>
      <w:r>
        <w:rPr>
          <w:shd w:val="clear" w:color="auto" w:fill="FFFFFF"/>
        </w:rPr>
        <w:t xml:space="preserve">This thesis explores how citizens around the world understand the term ‘democracy’, and it tests what effect their conceptualisation of the idea has on their own political behaviour. Through an in-depth quantitative analysis, conducted on an existing dataset collected across </w:t>
      </w:r>
      <w:r w:rsidR="002C5648">
        <w:rPr>
          <w:shd w:val="clear" w:color="auto" w:fill="FFFFFF"/>
        </w:rPr>
        <w:t>more than 40</w:t>
      </w:r>
      <w:r>
        <w:rPr>
          <w:shd w:val="clear" w:color="auto" w:fill="FFFFFF"/>
        </w:rPr>
        <w:t xml:space="preserve"> countries, it examines the individual and contextual factors which shape how people mentally map out this most crucial and contested of political concepts.</w:t>
      </w:r>
    </w:p>
    <w:p w14:paraId="1AA9E33A" w14:textId="0003E30D" w:rsidR="00993CE0" w:rsidRDefault="00993CE0" w:rsidP="00993CE0">
      <w:pPr>
        <w:rPr>
          <w:shd w:val="clear" w:color="auto" w:fill="FFFFFF"/>
        </w:rPr>
      </w:pPr>
      <w:r>
        <w:rPr>
          <w:shd w:val="clear" w:color="auto" w:fill="FFFFFF"/>
        </w:rPr>
        <w:t xml:space="preserve">The analysis builds upon a handful of recent studies which have sought to push the field of democracy studies forward by focusing less on whether citizens support democracy, and much more on how they understand its substantive meaning. Rather than designing a ‘test’ for citizens to see how close they align with the notion of liberal democracy, as many of these studies do, this thesis takes an exploratory approach to better allow </w:t>
      </w:r>
      <w:r w:rsidR="0002208D">
        <w:rPr>
          <w:shd w:val="clear" w:color="auto" w:fill="FFFFFF"/>
        </w:rPr>
        <w:t xml:space="preserve">for an exploration of how </w:t>
      </w:r>
      <w:r>
        <w:rPr>
          <w:shd w:val="clear" w:color="auto" w:fill="FFFFFF"/>
        </w:rPr>
        <w:t>citizens</w:t>
      </w:r>
      <w:r w:rsidR="0002208D">
        <w:rPr>
          <w:shd w:val="clear" w:color="auto" w:fill="FFFFFF"/>
        </w:rPr>
        <w:t xml:space="preserve"> conceptually map their understandings of democracy</w:t>
      </w:r>
      <w:r>
        <w:rPr>
          <w:shd w:val="clear" w:color="auto" w:fill="FFFFFF"/>
        </w:rPr>
        <w:t>. The findings suggest that citizens do not adhere to any clearly delineat</w:t>
      </w:r>
      <w:r w:rsidR="002C5648">
        <w:rPr>
          <w:shd w:val="clear" w:color="auto" w:fill="FFFFFF"/>
        </w:rPr>
        <w:t>ed understandings of democracy</w:t>
      </w:r>
      <w:r>
        <w:rPr>
          <w:shd w:val="clear" w:color="auto" w:fill="FFFFFF"/>
        </w:rPr>
        <w:t xml:space="preserve">, and instead hold understandings of democracy that </w:t>
      </w:r>
      <w:r w:rsidR="0031627F">
        <w:rPr>
          <w:shd w:val="clear" w:color="auto" w:fill="FFFFFF"/>
        </w:rPr>
        <w:t>combine</w:t>
      </w:r>
      <w:r>
        <w:rPr>
          <w:shd w:val="clear" w:color="auto" w:fill="FFFFFF"/>
        </w:rPr>
        <w:t xml:space="preserve"> liberal, populist</w:t>
      </w:r>
      <w:r w:rsidR="002C5648">
        <w:rPr>
          <w:shd w:val="clear" w:color="auto" w:fill="FFFFFF"/>
        </w:rPr>
        <w:t>,</w:t>
      </w:r>
      <w:r>
        <w:rPr>
          <w:shd w:val="clear" w:color="auto" w:fill="FFFFFF"/>
        </w:rPr>
        <w:t xml:space="preserve"> and social theoretical definitions, and, in some cases, </w:t>
      </w:r>
      <w:r w:rsidR="002C5648">
        <w:rPr>
          <w:shd w:val="clear" w:color="auto" w:fill="FFFFFF"/>
        </w:rPr>
        <w:t xml:space="preserve">even </w:t>
      </w:r>
      <w:r>
        <w:rPr>
          <w:shd w:val="clear" w:color="auto" w:fill="FFFFFF"/>
        </w:rPr>
        <w:t>authoritarian ones.</w:t>
      </w:r>
    </w:p>
    <w:p w14:paraId="027EDC26" w14:textId="77ED1A76" w:rsidR="00993CE0" w:rsidRPr="00D44C1B" w:rsidRDefault="00993CE0" w:rsidP="00993CE0">
      <w:pPr>
        <w:rPr>
          <w:shd w:val="clear" w:color="auto" w:fill="FFFFFF"/>
        </w:rPr>
      </w:pPr>
      <w:r>
        <w:rPr>
          <w:shd w:val="clear" w:color="auto" w:fill="FFFFFF"/>
        </w:rPr>
        <w:t xml:space="preserve">Despite this conceptual fuzziness however, the two conceptualisations of democracy outlined in this study – termed compound and authoritarian – do have consistent and clear effects on informal non-institutionalised political behaviour. Therefore, this thesis argues that future research should take seriously both the notion of understandings of democracy – not simply support for democracy – as well an exploratory approach. In this way we might better understand and navigate some of the many pitfalls that can occur when two citizens passionately pay lip-service to the term </w:t>
      </w:r>
      <w:r w:rsidR="0031627F">
        <w:rPr>
          <w:shd w:val="clear" w:color="auto" w:fill="FFFFFF"/>
        </w:rPr>
        <w:t>‘</w:t>
      </w:r>
      <w:r>
        <w:rPr>
          <w:shd w:val="clear" w:color="auto" w:fill="FFFFFF"/>
        </w:rPr>
        <w:t>democracy</w:t>
      </w:r>
      <w:r w:rsidR="0031627F">
        <w:rPr>
          <w:shd w:val="clear" w:color="auto" w:fill="FFFFFF"/>
        </w:rPr>
        <w:t>’</w:t>
      </w:r>
      <w:r>
        <w:rPr>
          <w:shd w:val="clear" w:color="auto" w:fill="FFFFFF"/>
        </w:rPr>
        <w:t>, yet privately hold very different, and possibly even contradictory, ideas of what it means.</w:t>
      </w:r>
    </w:p>
    <w:p w14:paraId="7EC64C83" w14:textId="77777777" w:rsidR="00D44C1B" w:rsidRDefault="00D44C1B" w:rsidP="00EE64B7">
      <w:pPr>
        <w:spacing w:before="0" w:line="240" w:lineRule="auto"/>
        <w:rPr>
          <w:b/>
          <w:sz w:val="40"/>
        </w:rPr>
      </w:pPr>
    </w:p>
    <w:p w14:paraId="18723481" w14:textId="77777777" w:rsidR="00D44C1B" w:rsidRDefault="00D44C1B" w:rsidP="00EE64B7">
      <w:pPr>
        <w:spacing w:before="0" w:line="240" w:lineRule="auto"/>
        <w:rPr>
          <w:b/>
          <w:sz w:val="40"/>
        </w:rPr>
      </w:pPr>
    </w:p>
    <w:p w14:paraId="7054F687" w14:textId="6B4DD5A0" w:rsidR="00AC4DFA" w:rsidRDefault="00AC4DFA">
      <w:pPr>
        <w:spacing w:before="0" w:after="200" w:line="276" w:lineRule="auto"/>
        <w:rPr>
          <w:b/>
          <w:sz w:val="40"/>
        </w:rPr>
      </w:pPr>
    </w:p>
    <w:p w14:paraId="79DE96D8" w14:textId="77777777" w:rsidR="00021733" w:rsidRDefault="00021733">
      <w:pPr>
        <w:spacing w:before="0" w:after="200" w:line="276" w:lineRule="auto"/>
        <w:rPr>
          <w:b/>
          <w:sz w:val="40"/>
        </w:rPr>
      </w:pPr>
    </w:p>
    <w:p w14:paraId="584F9950" w14:textId="74FE2DF7" w:rsidR="00D44C1B" w:rsidRDefault="00D44C1B" w:rsidP="00AC4DFA">
      <w:pPr>
        <w:spacing w:before="0" w:after="200" w:line="276" w:lineRule="auto"/>
        <w:rPr>
          <w:b/>
          <w:sz w:val="40"/>
        </w:rPr>
      </w:pPr>
    </w:p>
    <w:p w14:paraId="56364062" w14:textId="77777777" w:rsidR="00AC4DFA" w:rsidRDefault="00AC4DFA" w:rsidP="00AC4DFA">
      <w:pPr>
        <w:spacing w:before="0" w:after="200" w:line="276" w:lineRule="auto"/>
        <w:rPr>
          <w:b/>
          <w:sz w:val="40"/>
        </w:rPr>
      </w:pPr>
    </w:p>
    <w:p w14:paraId="7A50DFC4" w14:textId="77777777" w:rsidR="00AC4DFA" w:rsidRDefault="00AC4DFA" w:rsidP="00AC4DFA">
      <w:pPr>
        <w:spacing w:before="0" w:after="200" w:line="276" w:lineRule="auto"/>
        <w:rPr>
          <w:b/>
          <w:sz w:val="40"/>
        </w:rPr>
      </w:pPr>
    </w:p>
    <w:p w14:paraId="0BA55F30" w14:textId="77777777" w:rsidR="00AC4DFA" w:rsidRDefault="00AC4DFA" w:rsidP="00AC4DFA">
      <w:pPr>
        <w:spacing w:before="0" w:after="200" w:line="276" w:lineRule="auto"/>
        <w:rPr>
          <w:b/>
          <w:sz w:val="40"/>
        </w:rPr>
      </w:pPr>
    </w:p>
    <w:p w14:paraId="62416703" w14:textId="77777777" w:rsidR="00AC4DFA" w:rsidRDefault="00AC4DFA" w:rsidP="00AC4DFA">
      <w:pPr>
        <w:spacing w:before="0" w:after="200" w:line="276" w:lineRule="auto"/>
        <w:rPr>
          <w:b/>
          <w:sz w:val="40"/>
        </w:rPr>
      </w:pPr>
    </w:p>
    <w:p w14:paraId="0219CF3C" w14:textId="77777777" w:rsidR="00AC4DFA" w:rsidRDefault="00AC4DFA" w:rsidP="00AC4DFA">
      <w:pPr>
        <w:spacing w:before="0" w:after="200" w:line="276" w:lineRule="auto"/>
        <w:rPr>
          <w:b/>
          <w:sz w:val="40"/>
        </w:rPr>
      </w:pPr>
    </w:p>
    <w:p w14:paraId="332FEEEA" w14:textId="77777777" w:rsidR="00AC4DFA" w:rsidRDefault="00AC4DFA" w:rsidP="00AC4DFA">
      <w:pPr>
        <w:spacing w:before="0" w:after="200" w:line="276" w:lineRule="auto"/>
        <w:rPr>
          <w:b/>
          <w:sz w:val="40"/>
        </w:rPr>
      </w:pPr>
    </w:p>
    <w:p w14:paraId="50ED50BD" w14:textId="77777777" w:rsidR="00AC4DFA" w:rsidRDefault="00AC4DFA" w:rsidP="00AC4DFA">
      <w:pPr>
        <w:spacing w:before="0" w:after="200" w:line="276" w:lineRule="auto"/>
        <w:rPr>
          <w:b/>
          <w:sz w:val="40"/>
        </w:rPr>
      </w:pPr>
    </w:p>
    <w:p w14:paraId="3B3F4950" w14:textId="77777777" w:rsidR="00AC4DFA" w:rsidRDefault="00AC4DFA" w:rsidP="00AC4DFA">
      <w:pPr>
        <w:spacing w:before="0" w:after="200" w:line="276" w:lineRule="auto"/>
        <w:rPr>
          <w:b/>
          <w:sz w:val="40"/>
        </w:rPr>
      </w:pPr>
    </w:p>
    <w:p w14:paraId="05EC5610" w14:textId="77777777" w:rsidR="00AC4DFA" w:rsidRDefault="00AC4DFA" w:rsidP="00AC4DFA">
      <w:pPr>
        <w:spacing w:before="0" w:after="200" w:line="276" w:lineRule="auto"/>
        <w:rPr>
          <w:b/>
          <w:sz w:val="40"/>
        </w:rPr>
      </w:pPr>
    </w:p>
    <w:p w14:paraId="56AE48AD" w14:textId="77777777" w:rsidR="00AC4DFA" w:rsidRDefault="00AC4DFA" w:rsidP="00AC4DFA">
      <w:pPr>
        <w:spacing w:before="0" w:after="200" w:line="276" w:lineRule="auto"/>
        <w:rPr>
          <w:b/>
          <w:sz w:val="40"/>
        </w:rPr>
      </w:pPr>
    </w:p>
    <w:p w14:paraId="7726FCC5" w14:textId="77777777" w:rsidR="00AC4DFA" w:rsidRDefault="00AC4DFA" w:rsidP="00AC4DFA">
      <w:pPr>
        <w:spacing w:before="0" w:after="200" w:line="276" w:lineRule="auto"/>
        <w:rPr>
          <w:b/>
          <w:sz w:val="40"/>
        </w:rPr>
      </w:pPr>
    </w:p>
    <w:p w14:paraId="2DBC0F4C" w14:textId="77777777" w:rsidR="00AC4DFA" w:rsidRDefault="00AC4DFA" w:rsidP="00AC4DFA">
      <w:pPr>
        <w:spacing w:before="0" w:after="200" w:line="276" w:lineRule="auto"/>
        <w:rPr>
          <w:b/>
          <w:sz w:val="40"/>
        </w:rPr>
      </w:pPr>
    </w:p>
    <w:p w14:paraId="22A3A882" w14:textId="77777777" w:rsidR="00AC4DFA" w:rsidRDefault="00AC4DFA" w:rsidP="00AC4DFA">
      <w:pPr>
        <w:spacing w:before="0" w:after="200" w:line="276" w:lineRule="auto"/>
        <w:rPr>
          <w:b/>
          <w:sz w:val="40"/>
        </w:rPr>
      </w:pPr>
    </w:p>
    <w:p w14:paraId="7B844B28" w14:textId="08DA7C3D" w:rsidR="00AC4DFA" w:rsidRDefault="00AC4DFA" w:rsidP="00AC4DFA">
      <w:pPr>
        <w:spacing w:before="0" w:after="200" w:line="276" w:lineRule="auto"/>
        <w:rPr>
          <w:b/>
          <w:sz w:val="40"/>
        </w:rPr>
      </w:pPr>
    </w:p>
    <w:p w14:paraId="40DCDE2B" w14:textId="77777777" w:rsidR="00481AEF" w:rsidRDefault="00481AEF" w:rsidP="00AC4DFA">
      <w:pPr>
        <w:spacing w:before="0" w:after="200" w:line="276" w:lineRule="auto"/>
        <w:rPr>
          <w:b/>
          <w:sz w:val="40"/>
        </w:rPr>
      </w:pPr>
    </w:p>
    <w:p w14:paraId="00B96CE1" w14:textId="77777777" w:rsidR="00D44C1B" w:rsidRDefault="00D44C1B" w:rsidP="00EE64B7">
      <w:pPr>
        <w:spacing w:before="0" w:line="240" w:lineRule="auto"/>
        <w:rPr>
          <w:b/>
          <w:sz w:val="40"/>
        </w:rPr>
      </w:pPr>
    </w:p>
    <w:p w14:paraId="499C4C60" w14:textId="627DF6C3" w:rsidR="002C5648" w:rsidRDefault="00A549D2">
      <w:pPr>
        <w:pStyle w:val="TOC1"/>
        <w:rPr>
          <w:rFonts w:asciiTheme="minorHAnsi" w:hAnsiTheme="minorHAnsi"/>
          <w:b w:val="0"/>
          <w:lang w:eastAsia="en-GB"/>
        </w:rPr>
      </w:pPr>
      <w:r>
        <w:fldChar w:fldCharType="begin"/>
      </w:r>
      <w:r w:rsidRPr="00D44C1B">
        <w:instrText xml:space="preserve"> TOC \o "1-2" \h \z \u </w:instrText>
      </w:r>
      <w:r>
        <w:fldChar w:fldCharType="separate"/>
      </w:r>
      <w:hyperlink w:anchor="_Toc494034200" w:history="1">
        <w:r w:rsidR="002C5648" w:rsidRPr="00B6334F">
          <w:rPr>
            <w:rStyle w:val="Hyperlink"/>
          </w:rPr>
          <w:t>Chapter 1 Introduction</w:t>
        </w:r>
        <w:r w:rsidR="002C5648">
          <w:rPr>
            <w:webHidden/>
          </w:rPr>
          <w:tab/>
        </w:r>
        <w:r w:rsidR="002C5648">
          <w:rPr>
            <w:webHidden/>
          </w:rPr>
          <w:fldChar w:fldCharType="begin"/>
        </w:r>
        <w:r w:rsidR="002C5648">
          <w:rPr>
            <w:webHidden/>
          </w:rPr>
          <w:instrText xml:space="preserve"> PAGEREF _Toc494034200 \h </w:instrText>
        </w:r>
        <w:r w:rsidR="002C5648">
          <w:rPr>
            <w:webHidden/>
          </w:rPr>
        </w:r>
        <w:r w:rsidR="002C5648">
          <w:rPr>
            <w:webHidden/>
          </w:rPr>
          <w:fldChar w:fldCharType="separate"/>
        </w:r>
        <w:r w:rsidR="002C5648">
          <w:rPr>
            <w:webHidden/>
          </w:rPr>
          <w:t>16</w:t>
        </w:r>
        <w:r w:rsidR="002C5648">
          <w:rPr>
            <w:webHidden/>
          </w:rPr>
          <w:fldChar w:fldCharType="end"/>
        </w:r>
      </w:hyperlink>
    </w:p>
    <w:p w14:paraId="0C2ADE56" w14:textId="71F5FEF8" w:rsidR="002C5648" w:rsidRDefault="00F9347F">
      <w:pPr>
        <w:pStyle w:val="TOC2"/>
        <w:tabs>
          <w:tab w:val="right" w:leader="dot" w:pos="8659"/>
        </w:tabs>
        <w:rPr>
          <w:rFonts w:asciiTheme="minorHAnsi" w:hAnsiTheme="minorHAnsi"/>
          <w:noProof/>
          <w:lang w:eastAsia="en-GB"/>
        </w:rPr>
      </w:pPr>
      <w:hyperlink w:anchor="_Toc494034201" w:history="1">
        <w:r w:rsidR="002C5648" w:rsidRPr="00B6334F">
          <w:rPr>
            <w:rStyle w:val="Hyperlink"/>
            <w:noProof/>
          </w:rPr>
          <w:t>1.1 Support for democracy: meaninglessly high?</w:t>
        </w:r>
        <w:r w:rsidR="002C5648">
          <w:rPr>
            <w:noProof/>
            <w:webHidden/>
          </w:rPr>
          <w:tab/>
        </w:r>
        <w:r w:rsidR="002C5648">
          <w:rPr>
            <w:noProof/>
            <w:webHidden/>
          </w:rPr>
          <w:fldChar w:fldCharType="begin"/>
        </w:r>
        <w:r w:rsidR="002C5648">
          <w:rPr>
            <w:noProof/>
            <w:webHidden/>
          </w:rPr>
          <w:instrText xml:space="preserve"> PAGEREF _Toc494034201 \h </w:instrText>
        </w:r>
        <w:r w:rsidR="002C5648">
          <w:rPr>
            <w:noProof/>
            <w:webHidden/>
          </w:rPr>
        </w:r>
        <w:r w:rsidR="002C5648">
          <w:rPr>
            <w:noProof/>
            <w:webHidden/>
          </w:rPr>
          <w:fldChar w:fldCharType="separate"/>
        </w:r>
        <w:r w:rsidR="002C5648">
          <w:rPr>
            <w:noProof/>
            <w:webHidden/>
          </w:rPr>
          <w:t>17</w:t>
        </w:r>
        <w:r w:rsidR="002C5648">
          <w:rPr>
            <w:noProof/>
            <w:webHidden/>
          </w:rPr>
          <w:fldChar w:fldCharType="end"/>
        </w:r>
      </w:hyperlink>
    </w:p>
    <w:p w14:paraId="63A04C73" w14:textId="41C2CEC6" w:rsidR="002C5648" w:rsidRDefault="00F9347F">
      <w:pPr>
        <w:pStyle w:val="TOC2"/>
        <w:tabs>
          <w:tab w:val="right" w:leader="dot" w:pos="8659"/>
        </w:tabs>
        <w:rPr>
          <w:rFonts w:asciiTheme="minorHAnsi" w:hAnsiTheme="minorHAnsi"/>
          <w:noProof/>
          <w:lang w:eastAsia="en-GB"/>
        </w:rPr>
      </w:pPr>
      <w:hyperlink w:anchor="_Toc494034202" w:history="1">
        <w:r w:rsidR="002C5648" w:rsidRPr="00B6334F">
          <w:rPr>
            <w:rStyle w:val="Hyperlink"/>
            <w:noProof/>
          </w:rPr>
          <w:t>1.2 In principle at least…beyond support for democracy</w:t>
        </w:r>
        <w:r w:rsidR="002C5648">
          <w:rPr>
            <w:noProof/>
            <w:webHidden/>
          </w:rPr>
          <w:tab/>
        </w:r>
        <w:r w:rsidR="002C5648">
          <w:rPr>
            <w:noProof/>
            <w:webHidden/>
          </w:rPr>
          <w:fldChar w:fldCharType="begin"/>
        </w:r>
        <w:r w:rsidR="002C5648">
          <w:rPr>
            <w:noProof/>
            <w:webHidden/>
          </w:rPr>
          <w:instrText xml:space="preserve"> PAGEREF _Toc494034202 \h </w:instrText>
        </w:r>
        <w:r w:rsidR="002C5648">
          <w:rPr>
            <w:noProof/>
            <w:webHidden/>
          </w:rPr>
        </w:r>
        <w:r w:rsidR="002C5648">
          <w:rPr>
            <w:noProof/>
            <w:webHidden/>
          </w:rPr>
          <w:fldChar w:fldCharType="separate"/>
        </w:r>
        <w:r w:rsidR="002C5648">
          <w:rPr>
            <w:noProof/>
            <w:webHidden/>
          </w:rPr>
          <w:t>22</w:t>
        </w:r>
        <w:r w:rsidR="002C5648">
          <w:rPr>
            <w:noProof/>
            <w:webHidden/>
          </w:rPr>
          <w:fldChar w:fldCharType="end"/>
        </w:r>
      </w:hyperlink>
    </w:p>
    <w:p w14:paraId="17A1D55C" w14:textId="09A6CB5C" w:rsidR="002C5648" w:rsidRDefault="00F9347F">
      <w:pPr>
        <w:pStyle w:val="TOC2"/>
        <w:tabs>
          <w:tab w:val="right" w:leader="dot" w:pos="8659"/>
        </w:tabs>
        <w:rPr>
          <w:rFonts w:asciiTheme="minorHAnsi" w:hAnsiTheme="minorHAnsi"/>
          <w:noProof/>
          <w:lang w:eastAsia="en-GB"/>
        </w:rPr>
      </w:pPr>
      <w:hyperlink w:anchor="_Toc494034203" w:history="1">
        <w:r w:rsidR="002C5648" w:rsidRPr="00B6334F">
          <w:rPr>
            <w:rStyle w:val="Hyperlink"/>
            <w:noProof/>
          </w:rPr>
          <w:t>1.3 Examining citizens’ understandings of democracy</w:t>
        </w:r>
        <w:r w:rsidR="002C5648">
          <w:rPr>
            <w:noProof/>
            <w:webHidden/>
          </w:rPr>
          <w:tab/>
        </w:r>
        <w:r w:rsidR="002C5648">
          <w:rPr>
            <w:noProof/>
            <w:webHidden/>
          </w:rPr>
          <w:fldChar w:fldCharType="begin"/>
        </w:r>
        <w:r w:rsidR="002C5648">
          <w:rPr>
            <w:noProof/>
            <w:webHidden/>
          </w:rPr>
          <w:instrText xml:space="preserve"> PAGEREF _Toc494034203 \h </w:instrText>
        </w:r>
        <w:r w:rsidR="002C5648">
          <w:rPr>
            <w:noProof/>
            <w:webHidden/>
          </w:rPr>
        </w:r>
        <w:r w:rsidR="002C5648">
          <w:rPr>
            <w:noProof/>
            <w:webHidden/>
          </w:rPr>
          <w:fldChar w:fldCharType="separate"/>
        </w:r>
        <w:r w:rsidR="002C5648">
          <w:rPr>
            <w:noProof/>
            <w:webHidden/>
          </w:rPr>
          <w:t>23</w:t>
        </w:r>
        <w:r w:rsidR="002C5648">
          <w:rPr>
            <w:noProof/>
            <w:webHidden/>
          </w:rPr>
          <w:fldChar w:fldCharType="end"/>
        </w:r>
      </w:hyperlink>
    </w:p>
    <w:p w14:paraId="3682EE62" w14:textId="70545646" w:rsidR="002C5648" w:rsidRDefault="00F9347F">
      <w:pPr>
        <w:pStyle w:val="TOC2"/>
        <w:tabs>
          <w:tab w:val="right" w:leader="dot" w:pos="8659"/>
        </w:tabs>
        <w:rPr>
          <w:rFonts w:asciiTheme="minorHAnsi" w:hAnsiTheme="minorHAnsi"/>
          <w:noProof/>
          <w:lang w:eastAsia="en-GB"/>
        </w:rPr>
      </w:pPr>
      <w:hyperlink w:anchor="_Toc494034204" w:history="1">
        <w:r w:rsidR="002C5648" w:rsidRPr="00B6334F">
          <w:rPr>
            <w:rStyle w:val="Hyperlink"/>
            <w:noProof/>
          </w:rPr>
          <w:t>1.4 Aims and Objectives</w:t>
        </w:r>
        <w:r w:rsidR="002C5648">
          <w:rPr>
            <w:noProof/>
            <w:webHidden/>
          </w:rPr>
          <w:tab/>
        </w:r>
        <w:r w:rsidR="002C5648">
          <w:rPr>
            <w:noProof/>
            <w:webHidden/>
          </w:rPr>
          <w:fldChar w:fldCharType="begin"/>
        </w:r>
        <w:r w:rsidR="002C5648">
          <w:rPr>
            <w:noProof/>
            <w:webHidden/>
          </w:rPr>
          <w:instrText xml:space="preserve"> PAGEREF _Toc494034204 \h </w:instrText>
        </w:r>
        <w:r w:rsidR="002C5648">
          <w:rPr>
            <w:noProof/>
            <w:webHidden/>
          </w:rPr>
        </w:r>
        <w:r w:rsidR="002C5648">
          <w:rPr>
            <w:noProof/>
            <w:webHidden/>
          </w:rPr>
          <w:fldChar w:fldCharType="separate"/>
        </w:r>
        <w:r w:rsidR="002C5648">
          <w:rPr>
            <w:noProof/>
            <w:webHidden/>
          </w:rPr>
          <w:t>26</w:t>
        </w:r>
        <w:r w:rsidR="002C5648">
          <w:rPr>
            <w:noProof/>
            <w:webHidden/>
          </w:rPr>
          <w:fldChar w:fldCharType="end"/>
        </w:r>
      </w:hyperlink>
    </w:p>
    <w:p w14:paraId="57FFF5C6" w14:textId="6929D592" w:rsidR="002C5648" w:rsidRDefault="00F9347F">
      <w:pPr>
        <w:pStyle w:val="TOC2"/>
        <w:tabs>
          <w:tab w:val="right" w:leader="dot" w:pos="8659"/>
        </w:tabs>
        <w:rPr>
          <w:rFonts w:asciiTheme="minorHAnsi" w:hAnsiTheme="minorHAnsi"/>
          <w:noProof/>
          <w:lang w:eastAsia="en-GB"/>
        </w:rPr>
      </w:pPr>
      <w:hyperlink w:anchor="_Toc494034205" w:history="1">
        <w:r w:rsidR="002C5648" w:rsidRPr="00B6334F">
          <w:rPr>
            <w:rStyle w:val="Hyperlink"/>
            <w:noProof/>
          </w:rPr>
          <w:t>1.5 Chapter Outline</w:t>
        </w:r>
        <w:r w:rsidR="002C5648">
          <w:rPr>
            <w:noProof/>
            <w:webHidden/>
          </w:rPr>
          <w:tab/>
        </w:r>
        <w:r w:rsidR="002C5648">
          <w:rPr>
            <w:noProof/>
            <w:webHidden/>
          </w:rPr>
          <w:fldChar w:fldCharType="begin"/>
        </w:r>
        <w:r w:rsidR="002C5648">
          <w:rPr>
            <w:noProof/>
            <w:webHidden/>
          </w:rPr>
          <w:instrText xml:space="preserve"> PAGEREF _Toc494034205 \h </w:instrText>
        </w:r>
        <w:r w:rsidR="002C5648">
          <w:rPr>
            <w:noProof/>
            <w:webHidden/>
          </w:rPr>
        </w:r>
        <w:r w:rsidR="002C5648">
          <w:rPr>
            <w:noProof/>
            <w:webHidden/>
          </w:rPr>
          <w:fldChar w:fldCharType="separate"/>
        </w:r>
        <w:r w:rsidR="002C5648">
          <w:rPr>
            <w:noProof/>
            <w:webHidden/>
          </w:rPr>
          <w:t>28</w:t>
        </w:r>
        <w:r w:rsidR="002C5648">
          <w:rPr>
            <w:noProof/>
            <w:webHidden/>
          </w:rPr>
          <w:fldChar w:fldCharType="end"/>
        </w:r>
      </w:hyperlink>
    </w:p>
    <w:p w14:paraId="11849469" w14:textId="05ACDA00" w:rsidR="002C5648" w:rsidRDefault="00F9347F">
      <w:pPr>
        <w:pStyle w:val="TOC1"/>
        <w:rPr>
          <w:rFonts w:asciiTheme="minorHAnsi" w:hAnsiTheme="minorHAnsi"/>
          <w:b w:val="0"/>
          <w:lang w:eastAsia="en-GB"/>
        </w:rPr>
      </w:pPr>
      <w:hyperlink w:anchor="_Toc494034206" w:history="1">
        <w:r w:rsidR="002C5648" w:rsidRPr="00B6334F">
          <w:rPr>
            <w:rStyle w:val="Hyperlink"/>
          </w:rPr>
          <w:t>Chapter 2 Literature Review</w:t>
        </w:r>
        <w:r w:rsidR="002C5648">
          <w:rPr>
            <w:webHidden/>
          </w:rPr>
          <w:tab/>
        </w:r>
        <w:r w:rsidR="002C5648">
          <w:rPr>
            <w:webHidden/>
          </w:rPr>
          <w:fldChar w:fldCharType="begin"/>
        </w:r>
        <w:r w:rsidR="002C5648">
          <w:rPr>
            <w:webHidden/>
          </w:rPr>
          <w:instrText xml:space="preserve"> PAGEREF _Toc494034206 \h </w:instrText>
        </w:r>
        <w:r w:rsidR="002C5648">
          <w:rPr>
            <w:webHidden/>
          </w:rPr>
        </w:r>
        <w:r w:rsidR="002C5648">
          <w:rPr>
            <w:webHidden/>
          </w:rPr>
          <w:fldChar w:fldCharType="separate"/>
        </w:r>
        <w:r w:rsidR="002C5648">
          <w:rPr>
            <w:webHidden/>
          </w:rPr>
          <w:t>31</w:t>
        </w:r>
        <w:r w:rsidR="002C5648">
          <w:rPr>
            <w:webHidden/>
          </w:rPr>
          <w:fldChar w:fldCharType="end"/>
        </w:r>
      </w:hyperlink>
    </w:p>
    <w:p w14:paraId="263E2DB4" w14:textId="6D4C88F2" w:rsidR="002C5648" w:rsidRDefault="00F9347F">
      <w:pPr>
        <w:pStyle w:val="TOC2"/>
        <w:tabs>
          <w:tab w:val="right" w:leader="dot" w:pos="8659"/>
        </w:tabs>
        <w:rPr>
          <w:rFonts w:asciiTheme="minorHAnsi" w:hAnsiTheme="minorHAnsi"/>
          <w:noProof/>
          <w:lang w:eastAsia="en-GB"/>
        </w:rPr>
      </w:pPr>
      <w:hyperlink w:anchor="_Toc494034207" w:history="1">
        <w:r w:rsidR="002C5648" w:rsidRPr="00B6334F">
          <w:rPr>
            <w:rStyle w:val="Hyperlink"/>
            <w:noProof/>
          </w:rPr>
          <w:t>2.1 Democracy through the Ages</w:t>
        </w:r>
        <w:r w:rsidR="002C5648">
          <w:rPr>
            <w:noProof/>
            <w:webHidden/>
          </w:rPr>
          <w:tab/>
        </w:r>
        <w:r w:rsidR="002C5648">
          <w:rPr>
            <w:noProof/>
            <w:webHidden/>
          </w:rPr>
          <w:fldChar w:fldCharType="begin"/>
        </w:r>
        <w:r w:rsidR="002C5648">
          <w:rPr>
            <w:noProof/>
            <w:webHidden/>
          </w:rPr>
          <w:instrText xml:space="preserve"> PAGEREF _Toc494034207 \h </w:instrText>
        </w:r>
        <w:r w:rsidR="002C5648">
          <w:rPr>
            <w:noProof/>
            <w:webHidden/>
          </w:rPr>
        </w:r>
        <w:r w:rsidR="002C5648">
          <w:rPr>
            <w:noProof/>
            <w:webHidden/>
          </w:rPr>
          <w:fldChar w:fldCharType="separate"/>
        </w:r>
        <w:r w:rsidR="002C5648">
          <w:rPr>
            <w:noProof/>
            <w:webHidden/>
          </w:rPr>
          <w:t>33</w:t>
        </w:r>
        <w:r w:rsidR="002C5648">
          <w:rPr>
            <w:noProof/>
            <w:webHidden/>
          </w:rPr>
          <w:fldChar w:fldCharType="end"/>
        </w:r>
      </w:hyperlink>
    </w:p>
    <w:p w14:paraId="3A6C16A7" w14:textId="36A3C70D" w:rsidR="002C5648" w:rsidRDefault="00F9347F">
      <w:pPr>
        <w:pStyle w:val="TOC2"/>
        <w:tabs>
          <w:tab w:val="right" w:leader="dot" w:pos="8659"/>
        </w:tabs>
        <w:rPr>
          <w:rFonts w:asciiTheme="minorHAnsi" w:hAnsiTheme="minorHAnsi"/>
          <w:noProof/>
          <w:lang w:eastAsia="en-GB"/>
        </w:rPr>
      </w:pPr>
      <w:hyperlink w:anchor="_Toc494034208" w:history="1">
        <w:r w:rsidR="002C5648" w:rsidRPr="00B6334F">
          <w:rPr>
            <w:rStyle w:val="Hyperlink"/>
            <w:noProof/>
          </w:rPr>
          <w:t>Waves of Democracy</w:t>
        </w:r>
        <w:r w:rsidR="002C5648">
          <w:rPr>
            <w:noProof/>
            <w:webHidden/>
          </w:rPr>
          <w:tab/>
        </w:r>
        <w:r w:rsidR="002C5648">
          <w:rPr>
            <w:noProof/>
            <w:webHidden/>
          </w:rPr>
          <w:fldChar w:fldCharType="begin"/>
        </w:r>
        <w:r w:rsidR="002C5648">
          <w:rPr>
            <w:noProof/>
            <w:webHidden/>
          </w:rPr>
          <w:instrText xml:space="preserve"> PAGEREF _Toc494034208 \h </w:instrText>
        </w:r>
        <w:r w:rsidR="002C5648">
          <w:rPr>
            <w:noProof/>
            <w:webHidden/>
          </w:rPr>
        </w:r>
        <w:r w:rsidR="002C5648">
          <w:rPr>
            <w:noProof/>
            <w:webHidden/>
          </w:rPr>
          <w:fldChar w:fldCharType="separate"/>
        </w:r>
        <w:r w:rsidR="002C5648">
          <w:rPr>
            <w:noProof/>
            <w:webHidden/>
          </w:rPr>
          <w:t>37</w:t>
        </w:r>
        <w:r w:rsidR="002C5648">
          <w:rPr>
            <w:noProof/>
            <w:webHidden/>
          </w:rPr>
          <w:fldChar w:fldCharType="end"/>
        </w:r>
      </w:hyperlink>
    </w:p>
    <w:p w14:paraId="5FADCA5A" w14:textId="4B1B9287" w:rsidR="002C5648" w:rsidRDefault="00F9347F">
      <w:pPr>
        <w:pStyle w:val="TOC2"/>
        <w:tabs>
          <w:tab w:val="right" w:leader="dot" w:pos="8659"/>
        </w:tabs>
        <w:rPr>
          <w:rFonts w:asciiTheme="minorHAnsi" w:hAnsiTheme="minorHAnsi"/>
          <w:noProof/>
          <w:lang w:eastAsia="en-GB"/>
        </w:rPr>
      </w:pPr>
      <w:hyperlink w:anchor="_Toc494034209" w:history="1">
        <w:r w:rsidR="002C5648" w:rsidRPr="00B6334F">
          <w:rPr>
            <w:rStyle w:val="Hyperlink"/>
            <w:noProof/>
          </w:rPr>
          <w:t>2.2 Theoretical Approaches Towards Democracy</w:t>
        </w:r>
        <w:r w:rsidR="002C5648">
          <w:rPr>
            <w:noProof/>
            <w:webHidden/>
          </w:rPr>
          <w:tab/>
        </w:r>
        <w:r w:rsidR="002C5648">
          <w:rPr>
            <w:noProof/>
            <w:webHidden/>
          </w:rPr>
          <w:fldChar w:fldCharType="begin"/>
        </w:r>
        <w:r w:rsidR="002C5648">
          <w:rPr>
            <w:noProof/>
            <w:webHidden/>
          </w:rPr>
          <w:instrText xml:space="preserve"> PAGEREF _Toc494034209 \h </w:instrText>
        </w:r>
        <w:r w:rsidR="002C5648">
          <w:rPr>
            <w:noProof/>
            <w:webHidden/>
          </w:rPr>
        </w:r>
        <w:r w:rsidR="002C5648">
          <w:rPr>
            <w:noProof/>
            <w:webHidden/>
          </w:rPr>
          <w:fldChar w:fldCharType="separate"/>
        </w:r>
        <w:r w:rsidR="002C5648">
          <w:rPr>
            <w:noProof/>
            <w:webHidden/>
          </w:rPr>
          <w:t>39</w:t>
        </w:r>
        <w:r w:rsidR="002C5648">
          <w:rPr>
            <w:noProof/>
            <w:webHidden/>
          </w:rPr>
          <w:fldChar w:fldCharType="end"/>
        </w:r>
      </w:hyperlink>
    </w:p>
    <w:p w14:paraId="2938B5B0" w14:textId="4094FEBD" w:rsidR="002C5648" w:rsidRDefault="00F9347F">
      <w:pPr>
        <w:pStyle w:val="TOC2"/>
        <w:tabs>
          <w:tab w:val="right" w:leader="dot" w:pos="8659"/>
        </w:tabs>
        <w:rPr>
          <w:rFonts w:asciiTheme="minorHAnsi" w:hAnsiTheme="minorHAnsi"/>
          <w:noProof/>
          <w:lang w:eastAsia="en-GB"/>
        </w:rPr>
      </w:pPr>
      <w:hyperlink w:anchor="_Toc494034210" w:history="1">
        <w:r w:rsidR="002C5648" w:rsidRPr="00B6334F">
          <w:rPr>
            <w:rStyle w:val="Hyperlink"/>
            <w:noProof/>
          </w:rPr>
          <w:t>Theories of Democratization: How does democracy come about?</w:t>
        </w:r>
        <w:r w:rsidR="002C5648">
          <w:rPr>
            <w:noProof/>
            <w:webHidden/>
          </w:rPr>
          <w:tab/>
        </w:r>
        <w:r w:rsidR="002C5648">
          <w:rPr>
            <w:noProof/>
            <w:webHidden/>
          </w:rPr>
          <w:fldChar w:fldCharType="begin"/>
        </w:r>
        <w:r w:rsidR="002C5648">
          <w:rPr>
            <w:noProof/>
            <w:webHidden/>
          </w:rPr>
          <w:instrText xml:space="preserve"> PAGEREF _Toc494034210 \h </w:instrText>
        </w:r>
        <w:r w:rsidR="002C5648">
          <w:rPr>
            <w:noProof/>
            <w:webHidden/>
          </w:rPr>
        </w:r>
        <w:r w:rsidR="002C5648">
          <w:rPr>
            <w:noProof/>
            <w:webHidden/>
          </w:rPr>
          <w:fldChar w:fldCharType="separate"/>
        </w:r>
        <w:r w:rsidR="002C5648">
          <w:rPr>
            <w:noProof/>
            <w:webHidden/>
          </w:rPr>
          <w:t>57</w:t>
        </w:r>
        <w:r w:rsidR="002C5648">
          <w:rPr>
            <w:noProof/>
            <w:webHidden/>
          </w:rPr>
          <w:fldChar w:fldCharType="end"/>
        </w:r>
      </w:hyperlink>
    </w:p>
    <w:p w14:paraId="7F9EF65A" w14:textId="62F81B58" w:rsidR="002C5648" w:rsidRDefault="00F9347F">
      <w:pPr>
        <w:pStyle w:val="TOC2"/>
        <w:tabs>
          <w:tab w:val="right" w:leader="dot" w:pos="8659"/>
        </w:tabs>
        <w:rPr>
          <w:rFonts w:asciiTheme="minorHAnsi" w:hAnsiTheme="minorHAnsi"/>
          <w:noProof/>
          <w:lang w:eastAsia="en-GB"/>
        </w:rPr>
      </w:pPr>
      <w:hyperlink w:anchor="_Toc494034211" w:history="1">
        <w:r w:rsidR="002C5648" w:rsidRPr="00B6334F">
          <w:rPr>
            <w:rStyle w:val="Hyperlink"/>
            <w:noProof/>
          </w:rPr>
          <w:t>2.3 People and Democracy: Political Support and Civic Culture</w:t>
        </w:r>
        <w:r w:rsidR="002C5648">
          <w:rPr>
            <w:noProof/>
            <w:webHidden/>
          </w:rPr>
          <w:tab/>
        </w:r>
        <w:r w:rsidR="002C5648">
          <w:rPr>
            <w:noProof/>
            <w:webHidden/>
          </w:rPr>
          <w:fldChar w:fldCharType="begin"/>
        </w:r>
        <w:r w:rsidR="002C5648">
          <w:rPr>
            <w:noProof/>
            <w:webHidden/>
          </w:rPr>
          <w:instrText xml:space="preserve"> PAGEREF _Toc494034211 \h </w:instrText>
        </w:r>
        <w:r w:rsidR="002C5648">
          <w:rPr>
            <w:noProof/>
            <w:webHidden/>
          </w:rPr>
        </w:r>
        <w:r w:rsidR="002C5648">
          <w:rPr>
            <w:noProof/>
            <w:webHidden/>
          </w:rPr>
          <w:fldChar w:fldCharType="separate"/>
        </w:r>
        <w:r w:rsidR="002C5648">
          <w:rPr>
            <w:noProof/>
            <w:webHidden/>
          </w:rPr>
          <w:t>67</w:t>
        </w:r>
        <w:r w:rsidR="002C5648">
          <w:rPr>
            <w:noProof/>
            <w:webHidden/>
          </w:rPr>
          <w:fldChar w:fldCharType="end"/>
        </w:r>
      </w:hyperlink>
    </w:p>
    <w:p w14:paraId="105DDD99" w14:textId="15129CEF" w:rsidR="002C5648" w:rsidRDefault="00F9347F">
      <w:pPr>
        <w:pStyle w:val="TOC2"/>
        <w:tabs>
          <w:tab w:val="right" w:leader="dot" w:pos="8659"/>
        </w:tabs>
        <w:rPr>
          <w:rFonts w:asciiTheme="minorHAnsi" w:hAnsiTheme="minorHAnsi"/>
          <w:noProof/>
          <w:lang w:eastAsia="en-GB"/>
        </w:rPr>
      </w:pPr>
      <w:hyperlink w:anchor="_Toc494034212" w:history="1">
        <w:r w:rsidR="002C5648" w:rsidRPr="00B6334F">
          <w:rPr>
            <w:rStyle w:val="Hyperlink"/>
            <w:noProof/>
          </w:rPr>
          <w:t>2.4 How Do Citizens Themselves Understand Democracy?</w:t>
        </w:r>
        <w:r w:rsidR="002C5648">
          <w:rPr>
            <w:noProof/>
            <w:webHidden/>
          </w:rPr>
          <w:tab/>
        </w:r>
        <w:r w:rsidR="002C5648">
          <w:rPr>
            <w:noProof/>
            <w:webHidden/>
          </w:rPr>
          <w:fldChar w:fldCharType="begin"/>
        </w:r>
        <w:r w:rsidR="002C5648">
          <w:rPr>
            <w:noProof/>
            <w:webHidden/>
          </w:rPr>
          <w:instrText xml:space="preserve"> PAGEREF _Toc494034212 \h </w:instrText>
        </w:r>
        <w:r w:rsidR="002C5648">
          <w:rPr>
            <w:noProof/>
            <w:webHidden/>
          </w:rPr>
        </w:r>
        <w:r w:rsidR="002C5648">
          <w:rPr>
            <w:noProof/>
            <w:webHidden/>
          </w:rPr>
          <w:fldChar w:fldCharType="separate"/>
        </w:r>
        <w:r w:rsidR="002C5648">
          <w:rPr>
            <w:noProof/>
            <w:webHidden/>
          </w:rPr>
          <w:t>76</w:t>
        </w:r>
        <w:r w:rsidR="002C5648">
          <w:rPr>
            <w:noProof/>
            <w:webHidden/>
          </w:rPr>
          <w:fldChar w:fldCharType="end"/>
        </w:r>
      </w:hyperlink>
    </w:p>
    <w:p w14:paraId="7C0AF6A4" w14:textId="08F83EAC" w:rsidR="002C5648" w:rsidRDefault="00F9347F">
      <w:pPr>
        <w:pStyle w:val="TOC2"/>
        <w:tabs>
          <w:tab w:val="right" w:leader="dot" w:pos="8659"/>
        </w:tabs>
        <w:rPr>
          <w:rFonts w:asciiTheme="minorHAnsi" w:hAnsiTheme="minorHAnsi"/>
          <w:noProof/>
          <w:lang w:eastAsia="en-GB"/>
        </w:rPr>
      </w:pPr>
      <w:hyperlink w:anchor="_Toc494034213" w:history="1">
        <w:r w:rsidR="002C5648" w:rsidRPr="00B6334F">
          <w:rPr>
            <w:rStyle w:val="Hyperlink"/>
            <w:noProof/>
          </w:rPr>
          <w:t>2.5 Conclusions and Research Agenda</w:t>
        </w:r>
        <w:r w:rsidR="002C5648">
          <w:rPr>
            <w:noProof/>
            <w:webHidden/>
          </w:rPr>
          <w:tab/>
        </w:r>
        <w:r w:rsidR="002C5648">
          <w:rPr>
            <w:noProof/>
            <w:webHidden/>
          </w:rPr>
          <w:fldChar w:fldCharType="begin"/>
        </w:r>
        <w:r w:rsidR="002C5648">
          <w:rPr>
            <w:noProof/>
            <w:webHidden/>
          </w:rPr>
          <w:instrText xml:space="preserve"> PAGEREF _Toc494034213 \h </w:instrText>
        </w:r>
        <w:r w:rsidR="002C5648">
          <w:rPr>
            <w:noProof/>
            <w:webHidden/>
          </w:rPr>
        </w:r>
        <w:r w:rsidR="002C5648">
          <w:rPr>
            <w:noProof/>
            <w:webHidden/>
          </w:rPr>
          <w:fldChar w:fldCharType="separate"/>
        </w:r>
        <w:r w:rsidR="002C5648">
          <w:rPr>
            <w:noProof/>
            <w:webHidden/>
          </w:rPr>
          <w:t>86</w:t>
        </w:r>
        <w:r w:rsidR="002C5648">
          <w:rPr>
            <w:noProof/>
            <w:webHidden/>
          </w:rPr>
          <w:fldChar w:fldCharType="end"/>
        </w:r>
      </w:hyperlink>
    </w:p>
    <w:p w14:paraId="4BA4FD65" w14:textId="2BB507B4" w:rsidR="002C5648" w:rsidRDefault="00F9347F">
      <w:pPr>
        <w:pStyle w:val="TOC1"/>
        <w:rPr>
          <w:rFonts w:asciiTheme="minorHAnsi" w:hAnsiTheme="minorHAnsi"/>
          <w:b w:val="0"/>
          <w:lang w:eastAsia="en-GB"/>
        </w:rPr>
      </w:pPr>
      <w:hyperlink w:anchor="_Toc494034214" w:history="1">
        <w:r w:rsidR="002C5648" w:rsidRPr="00B6334F">
          <w:rPr>
            <w:rStyle w:val="Hyperlink"/>
          </w:rPr>
          <w:t>Chapter 3 Exploring Understandings of Democracy</w:t>
        </w:r>
        <w:r w:rsidR="002C5648">
          <w:rPr>
            <w:webHidden/>
          </w:rPr>
          <w:tab/>
        </w:r>
        <w:r w:rsidR="002C5648">
          <w:rPr>
            <w:webHidden/>
          </w:rPr>
          <w:fldChar w:fldCharType="begin"/>
        </w:r>
        <w:r w:rsidR="002C5648">
          <w:rPr>
            <w:webHidden/>
          </w:rPr>
          <w:instrText xml:space="preserve"> PAGEREF _Toc494034214 \h </w:instrText>
        </w:r>
        <w:r w:rsidR="002C5648">
          <w:rPr>
            <w:webHidden/>
          </w:rPr>
        </w:r>
        <w:r w:rsidR="002C5648">
          <w:rPr>
            <w:webHidden/>
          </w:rPr>
          <w:fldChar w:fldCharType="separate"/>
        </w:r>
        <w:r w:rsidR="002C5648">
          <w:rPr>
            <w:webHidden/>
          </w:rPr>
          <w:t>90</w:t>
        </w:r>
        <w:r w:rsidR="002C5648">
          <w:rPr>
            <w:webHidden/>
          </w:rPr>
          <w:fldChar w:fldCharType="end"/>
        </w:r>
      </w:hyperlink>
    </w:p>
    <w:p w14:paraId="1399E36F" w14:textId="5B148E73" w:rsidR="002C5648" w:rsidRDefault="00F9347F">
      <w:pPr>
        <w:pStyle w:val="TOC2"/>
        <w:tabs>
          <w:tab w:val="right" w:leader="dot" w:pos="8659"/>
        </w:tabs>
        <w:rPr>
          <w:rFonts w:asciiTheme="minorHAnsi" w:hAnsiTheme="minorHAnsi"/>
          <w:noProof/>
          <w:lang w:eastAsia="en-GB"/>
        </w:rPr>
      </w:pPr>
      <w:hyperlink w:anchor="_Toc494034215" w:history="1">
        <w:r w:rsidR="002C5648" w:rsidRPr="00B6334F">
          <w:rPr>
            <w:rStyle w:val="Hyperlink"/>
            <w:noProof/>
            <w:highlight w:val="green"/>
          </w:rPr>
          <w:t>3.1: Taking a Cross-national Quantitative Approach and using Survey Data</w:t>
        </w:r>
        <w:r w:rsidR="002C5648">
          <w:rPr>
            <w:noProof/>
            <w:webHidden/>
          </w:rPr>
          <w:tab/>
        </w:r>
        <w:r w:rsidR="002C5648">
          <w:rPr>
            <w:noProof/>
            <w:webHidden/>
          </w:rPr>
          <w:fldChar w:fldCharType="begin"/>
        </w:r>
        <w:r w:rsidR="002C5648">
          <w:rPr>
            <w:noProof/>
            <w:webHidden/>
          </w:rPr>
          <w:instrText xml:space="preserve"> PAGEREF _Toc494034215 \h </w:instrText>
        </w:r>
        <w:r w:rsidR="002C5648">
          <w:rPr>
            <w:noProof/>
            <w:webHidden/>
          </w:rPr>
        </w:r>
        <w:r w:rsidR="002C5648">
          <w:rPr>
            <w:noProof/>
            <w:webHidden/>
          </w:rPr>
          <w:fldChar w:fldCharType="separate"/>
        </w:r>
        <w:r w:rsidR="002C5648">
          <w:rPr>
            <w:noProof/>
            <w:webHidden/>
          </w:rPr>
          <w:t>91</w:t>
        </w:r>
        <w:r w:rsidR="002C5648">
          <w:rPr>
            <w:noProof/>
            <w:webHidden/>
          </w:rPr>
          <w:fldChar w:fldCharType="end"/>
        </w:r>
      </w:hyperlink>
    </w:p>
    <w:p w14:paraId="11B6E7B4" w14:textId="77702512" w:rsidR="002C5648" w:rsidRDefault="00F9347F">
      <w:pPr>
        <w:pStyle w:val="TOC2"/>
        <w:tabs>
          <w:tab w:val="right" w:leader="dot" w:pos="8659"/>
        </w:tabs>
        <w:rPr>
          <w:rFonts w:asciiTheme="minorHAnsi" w:hAnsiTheme="minorHAnsi"/>
          <w:noProof/>
          <w:lang w:eastAsia="en-GB"/>
        </w:rPr>
      </w:pPr>
      <w:hyperlink w:anchor="_Toc494034216" w:history="1">
        <w:r w:rsidR="002C5648" w:rsidRPr="00B6334F">
          <w:rPr>
            <w:rStyle w:val="Hyperlink"/>
            <w:noProof/>
          </w:rPr>
          <w:t>3.2: The Data and the Theory</w:t>
        </w:r>
        <w:r w:rsidR="002C5648">
          <w:rPr>
            <w:noProof/>
            <w:webHidden/>
          </w:rPr>
          <w:tab/>
        </w:r>
        <w:r w:rsidR="002C5648">
          <w:rPr>
            <w:noProof/>
            <w:webHidden/>
          </w:rPr>
          <w:fldChar w:fldCharType="begin"/>
        </w:r>
        <w:r w:rsidR="002C5648">
          <w:rPr>
            <w:noProof/>
            <w:webHidden/>
          </w:rPr>
          <w:instrText xml:space="preserve"> PAGEREF _Toc494034216 \h </w:instrText>
        </w:r>
        <w:r w:rsidR="002C5648">
          <w:rPr>
            <w:noProof/>
            <w:webHidden/>
          </w:rPr>
        </w:r>
        <w:r w:rsidR="002C5648">
          <w:rPr>
            <w:noProof/>
            <w:webHidden/>
          </w:rPr>
          <w:fldChar w:fldCharType="separate"/>
        </w:r>
        <w:r w:rsidR="002C5648">
          <w:rPr>
            <w:noProof/>
            <w:webHidden/>
          </w:rPr>
          <w:t>102</w:t>
        </w:r>
        <w:r w:rsidR="002C5648">
          <w:rPr>
            <w:noProof/>
            <w:webHidden/>
          </w:rPr>
          <w:fldChar w:fldCharType="end"/>
        </w:r>
      </w:hyperlink>
    </w:p>
    <w:p w14:paraId="30E397B8" w14:textId="58D2328B" w:rsidR="002C5648" w:rsidRDefault="00F9347F">
      <w:pPr>
        <w:pStyle w:val="TOC2"/>
        <w:tabs>
          <w:tab w:val="right" w:leader="dot" w:pos="8659"/>
        </w:tabs>
        <w:rPr>
          <w:rFonts w:asciiTheme="minorHAnsi" w:hAnsiTheme="minorHAnsi"/>
          <w:noProof/>
          <w:lang w:eastAsia="en-GB"/>
        </w:rPr>
      </w:pPr>
      <w:hyperlink w:anchor="_Toc494034217" w:history="1">
        <w:r w:rsidR="002C5648" w:rsidRPr="00B6334F">
          <w:rPr>
            <w:rStyle w:val="Hyperlink"/>
            <w:noProof/>
            <w:highlight w:val="yellow"/>
          </w:rPr>
          <w:t>3.3: Descriptive Statistics</w:t>
        </w:r>
        <w:r w:rsidR="002C5648">
          <w:rPr>
            <w:noProof/>
            <w:webHidden/>
          </w:rPr>
          <w:tab/>
        </w:r>
        <w:r w:rsidR="002C5648">
          <w:rPr>
            <w:noProof/>
            <w:webHidden/>
          </w:rPr>
          <w:fldChar w:fldCharType="begin"/>
        </w:r>
        <w:r w:rsidR="002C5648">
          <w:rPr>
            <w:noProof/>
            <w:webHidden/>
          </w:rPr>
          <w:instrText xml:space="preserve"> PAGEREF _Toc494034217 \h </w:instrText>
        </w:r>
        <w:r w:rsidR="002C5648">
          <w:rPr>
            <w:noProof/>
            <w:webHidden/>
          </w:rPr>
        </w:r>
        <w:r w:rsidR="002C5648">
          <w:rPr>
            <w:noProof/>
            <w:webHidden/>
          </w:rPr>
          <w:fldChar w:fldCharType="separate"/>
        </w:r>
        <w:r w:rsidR="002C5648">
          <w:rPr>
            <w:noProof/>
            <w:webHidden/>
          </w:rPr>
          <w:t>118</w:t>
        </w:r>
        <w:r w:rsidR="002C5648">
          <w:rPr>
            <w:noProof/>
            <w:webHidden/>
          </w:rPr>
          <w:fldChar w:fldCharType="end"/>
        </w:r>
      </w:hyperlink>
    </w:p>
    <w:p w14:paraId="26403195" w14:textId="4B977BAE" w:rsidR="002C5648" w:rsidRDefault="00F9347F">
      <w:pPr>
        <w:pStyle w:val="TOC2"/>
        <w:tabs>
          <w:tab w:val="right" w:leader="dot" w:pos="8659"/>
        </w:tabs>
        <w:rPr>
          <w:rFonts w:asciiTheme="minorHAnsi" w:hAnsiTheme="minorHAnsi"/>
          <w:noProof/>
          <w:lang w:eastAsia="en-GB"/>
        </w:rPr>
      </w:pPr>
      <w:hyperlink w:anchor="_Toc494034218" w:history="1">
        <w:r w:rsidR="002C5648" w:rsidRPr="00B6334F">
          <w:rPr>
            <w:rStyle w:val="Hyperlink"/>
            <w:noProof/>
          </w:rPr>
          <w:t>3.4: Conclusion</w:t>
        </w:r>
        <w:r w:rsidR="002C5648">
          <w:rPr>
            <w:noProof/>
            <w:webHidden/>
          </w:rPr>
          <w:tab/>
        </w:r>
        <w:r w:rsidR="002C5648">
          <w:rPr>
            <w:noProof/>
            <w:webHidden/>
          </w:rPr>
          <w:fldChar w:fldCharType="begin"/>
        </w:r>
        <w:r w:rsidR="002C5648">
          <w:rPr>
            <w:noProof/>
            <w:webHidden/>
          </w:rPr>
          <w:instrText xml:space="preserve"> PAGEREF _Toc494034218 \h </w:instrText>
        </w:r>
        <w:r w:rsidR="002C5648">
          <w:rPr>
            <w:noProof/>
            <w:webHidden/>
          </w:rPr>
        </w:r>
        <w:r w:rsidR="002C5648">
          <w:rPr>
            <w:noProof/>
            <w:webHidden/>
          </w:rPr>
          <w:fldChar w:fldCharType="separate"/>
        </w:r>
        <w:r w:rsidR="002C5648">
          <w:rPr>
            <w:noProof/>
            <w:webHidden/>
          </w:rPr>
          <w:t>144</w:t>
        </w:r>
        <w:r w:rsidR="002C5648">
          <w:rPr>
            <w:noProof/>
            <w:webHidden/>
          </w:rPr>
          <w:fldChar w:fldCharType="end"/>
        </w:r>
      </w:hyperlink>
    </w:p>
    <w:p w14:paraId="07BADC67" w14:textId="6A28839E" w:rsidR="002C5648" w:rsidRDefault="00F9347F">
      <w:pPr>
        <w:pStyle w:val="TOC1"/>
        <w:rPr>
          <w:rFonts w:asciiTheme="minorHAnsi" w:hAnsiTheme="minorHAnsi"/>
          <w:b w:val="0"/>
          <w:lang w:eastAsia="en-GB"/>
        </w:rPr>
      </w:pPr>
      <w:hyperlink w:anchor="_Toc494034219" w:history="1">
        <w:r w:rsidR="002C5648" w:rsidRPr="00B6334F">
          <w:rPr>
            <w:rStyle w:val="Hyperlink"/>
            <w:rFonts w:eastAsiaTheme="minorHAnsi"/>
          </w:rPr>
          <w:t>Chapter 4</w:t>
        </w:r>
        <w:r w:rsidR="002C5648" w:rsidRPr="00B6334F">
          <w:rPr>
            <w:rStyle w:val="Hyperlink"/>
          </w:rPr>
          <w:t xml:space="preserve"> Dimensions of Democratic Understanding</w:t>
        </w:r>
        <w:r w:rsidR="002C5648">
          <w:rPr>
            <w:webHidden/>
          </w:rPr>
          <w:tab/>
        </w:r>
        <w:r w:rsidR="002C5648">
          <w:rPr>
            <w:webHidden/>
          </w:rPr>
          <w:fldChar w:fldCharType="begin"/>
        </w:r>
        <w:r w:rsidR="002C5648">
          <w:rPr>
            <w:webHidden/>
          </w:rPr>
          <w:instrText xml:space="preserve"> PAGEREF _Toc494034219 \h </w:instrText>
        </w:r>
        <w:r w:rsidR="002C5648">
          <w:rPr>
            <w:webHidden/>
          </w:rPr>
        </w:r>
        <w:r w:rsidR="002C5648">
          <w:rPr>
            <w:webHidden/>
          </w:rPr>
          <w:fldChar w:fldCharType="separate"/>
        </w:r>
        <w:r w:rsidR="002C5648">
          <w:rPr>
            <w:webHidden/>
          </w:rPr>
          <w:t>147</w:t>
        </w:r>
        <w:r w:rsidR="002C5648">
          <w:rPr>
            <w:webHidden/>
          </w:rPr>
          <w:fldChar w:fldCharType="end"/>
        </w:r>
      </w:hyperlink>
    </w:p>
    <w:p w14:paraId="26A60288" w14:textId="4D28B71B" w:rsidR="002C5648" w:rsidRDefault="00F9347F">
      <w:pPr>
        <w:pStyle w:val="TOC2"/>
        <w:tabs>
          <w:tab w:val="right" w:leader="dot" w:pos="8659"/>
        </w:tabs>
        <w:rPr>
          <w:rFonts w:asciiTheme="minorHAnsi" w:hAnsiTheme="minorHAnsi"/>
          <w:noProof/>
          <w:lang w:eastAsia="en-GB"/>
        </w:rPr>
      </w:pPr>
      <w:hyperlink w:anchor="_Toc494034220" w:history="1">
        <w:r w:rsidR="002C5648" w:rsidRPr="00B6334F">
          <w:rPr>
            <w:rStyle w:val="Hyperlink"/>
            <w:noProof/>
          </w:rPr>
          <w:t>4.1 Exploring Underlying Dimensions of Understanding – confirmatory and exploratory approaches</w:t>
        </w:r>
        <w:r w:rsidR="002C5648">
          <w:rPr>
            <w:noProof/>
            <w:webHidden/>
          </w:rPr>
          <w:tab/>
        </w:r>
        <w:r w:rsidR="002C5648">
          <w:rPr>
            <w:noProof/>
            <w:webHidden/>
          </w:rPr>
          <w:fldChar w:fldCharType="begin"/>
        </w:r>
        <w:r w:rsidR="002C5648">
          <w:rPr>
            <w:noProof/>
            <w:webHidden/>
          </w:rPr>
          <w:instrText xml:space="preserve"> PAGEREF _Toc494034220 \h </w:instrText>
        </w:r>
        <w:r w:rsidR="002C5648">
          <w:rPr>
            <w:noProof/>
            <w:webHidden/>
          </w:rPr>
        </w:r>
        <w:r w:rsidR="002C5648">
          <w:rPr>
            <w:noProof/>
            <w:webHidden/>
          </w:rPr>
          <w:fldChar w:fldCharType="separate"/>
        </w:r>
        <w:r w:rsidR="002C5648">
          <w:rPr>
            <w:noProof/>
            <w:webHidden/>
          </w:rPr>
          <w:t>149</w:t>
        </w:r>
        <w:r w:rsidR="002C5648">
          <w:rPr>
            <w:noProof/>
            <w:webHidden/>
          </w:rPr>
          <w:fldChar w:fldCharType="end"/>
        </w:r>
      </w:hyperlink>
    </w:p>
    <w:p w14:paraId="49BBEE34" w14:textId="37C79EC2" w:rsidR="002C5648" w:rsidRDefault="00F9347F">
      <w:pPr>
        <w:pStyle w:val="TOC2"/>
        <w:tabs>
          <w:tab w:val="right" w:leader="dot" w:pos="8659"/>
        </w:tabs>
        <w:rPr>
          <w:rFonts w:asciiTheme="minorHAnsi" w:hAnsiTheme="minorHAnsi"/>
          <w:noProof/>
          <w:lang w:eastAsia="en-GB"/>
        </w:rPr>
      </w:pPr>
      <w:hyperlink w:anchor="_Toc494034221" w:history="1">
        <w:r w:rsidR="002C5648" w:rsidRPr="00B6334F">
          <w:rPr>
            <w:rStyle w:val="Hyperlink"/>
            <w:noProof/>
            <w:highlight w:val="lightGray"/>
          </w:rPr>
          <w:t>4.2 Method: Principal Components Analysis and Exploratory Factor Analysis</w:t>
        </w:r>
        <w:r w:rsidR="002C5648">
          <w:rPr>
            <w:noProof/>
            <w:webHidden/>
          </w:rPr>
          <w:tab/>
        </w:r>
        <w:r w:rsidR="002C5648">
          <w:rPr>
            <w:noProof/>
            <w:webHidden/>
          </w:rPr>
          <w:fldChar w:fldCharType="begin"/>
        </w:r>
        <w:r w:rsidR="002C5648">
          <w:rPr>
            <w:noProof/>
            <w:webHidden/>
          </w:rPr>
          <w:instrText xml:space="preserve"> PAGEREF _Toc494034221 \h </w:instrText>
        </w:r>
        <w:r w:rsidR="002C5648">
          <w:rPr>
            <w:noProof/>
            <w:webHidden/>
          </w:rPr>
        </w:r>
        <w:r w:rsidR="002C5648">
          <w:rPr>
            <w:noProof/>
            <w:webHidden/>
          </w:rPr>
          <w:fldChar w:fldCharType="separate"/>
        </w:r>
        <w:r w:rsidR="002C5648">
          <w:rPr>
            <w:noProof/>
            <w:webHidden/>
          </w:rPr>
          <w:t>154</w:t>
        </w:r>
        <w:r w:rsidR="002C5648">
          <w:rPr>
            <w:noProof/>
            <w:webHidden/>
          </w:rPr>
          <w:fldChar w:fldCharType="end"/>
        </w:r>
      </w:hyperlink>
    </w:p>
    <w:p w14:paraId="49AE0FB7" w14:textId="0DCBF809" w:rsidR="002C5648" w:rsidRDefault="00F9347F">
      <w:pPr>
        <w:pStyle w:val="TOC2"/>
        <w:tabs>
          <w:tab w:val="right" w:leader="dot" w:pos="8659"/>
        </w:tabs>
        <w:rPr>
          <w:rFonts w:asciiTheme="minorHAnsi" w:hAnsiTheme="minorHAnsi"/>
          <w:noProof/>
          <w:lang w:eastAsia="en-GB"/>
        </w:rPr>
      </w:pPr>
      <w:hyperlink w:anchor="_Toc494034222" w:history="1">
        <w:r w:rsidR="002C5648" w:rsidRPr="00B6334F">
          <w:rPr>
            <w:rStyle w:val="Hyperlink"/>
            <w:noProof/>
            <w:highlight w:val="lightGray"/>
          </w:rPr>
          <w:t>4.3 Results</w:t>
        </w:r>
        <w:r w:rsidR="002C5648">
          <w:rPr>
            <w:noProof/>
            <w:webHidden/>
          </w:rPr>
          <w:tab/>
        </w:r>
        <w:r w:rsidR="002C5648">
          <w:rPr>
            <w:noProof/>
            <w:webHidden/>
          </w:rPr>
          <w:fldChar w:fldCharType="begin"/>
        </w:r>
        <w:r w:rsidR="002C5648">
          <w:rPr>
            <w:noProof/>
            <w:webHidden/>
          </w:rPr>
          <w:instrText xml:space="preserve"> PAGEREF _Toc494034222 \h </w:instrText>
        </w:r>
        <w:r w:rsidR="002C5648">
          <w:rPr>
            <w:noProof/>
            <w:webHidden/>
          </w:rPr>
        </w:r>
        <w:r w:rsidR="002C5648">
          <w:rPr>
            <w:noProof/>
            <w:webHidden/>
          </w:rPr>
          <w:fldChar w:fldCharType="separate"/>
        </w:r>
        <w:r w:rsidR="002C5648">
          <w:rPr>
            <w:noProof/>
            <w:webHidden/>
          </w:rPr>
          <w:t>164</w:t>
        </w:r>
        <w:r w:rsidR="002C5648">
          <w:rPr>
            <w:noProof/>
            <w:webHidden/>
          </w:rPr>
          <w:fldChar w:fldCharType="end"/>
        </w:r>
      </w:hyperlink>
    </w:p>
    <w:p w14:paraId="359DBC9E" w14:textId="44D48DE3" w:rsidR="002C5648" w:rsidRDefault="00F9347F">
      <w:pPr>
        <w:pStyle w:val="TOC2"/>
        <w:tabs>
          <w:tab w:val="right" w:leader="dot" w:pos="8659"/>
        </w:tabs>
        <w:rPr>
          <w:rFonts w:asciiTheme="minorHAnsi" w:hAnsiTheme="minorHAnsi"/>
          <w:noProof/>
          <w:lang w:eastAsia="en-GB"/>
        </w:rPr>
      </w:pPr>
      <w:hyperlink w:anchor="_Toc494034223" w:history="1">
        <w:r w:rsidR="002C5648" w:rsidRPr="00B6334F">
          <w:rPr>
            <w:rStyle w:val="Hyperlink"/>
            <w:noProof/>
          </w:rPr>
          <w:t>4.4 Discussion: What do the components mean?</w:t>
        </w:r>
        <w:r w:rsidR="002C5648">
          <w:rPr>
            <w:noProof/>
            <w:webHidden/>
          </w:rPr>
          <w:tab/>
        </w:r>
        <w:r w:rsidR="002C5648">
          <w:rPr>
            <w:noProof/>
            <w:webHidden/>
          </w:rPr>
          <w:fldChar w:fldCharType="begin"/>
        </w:r>
        <w:r w:rsidR="002C5648">
          <w:rPr>
            <w:noProof/>
            <w:webHidden/>
          </w:rPr>
          <w:instrText xml:space="preserve"> PAGEREF _Toc494034223 \h </w:instrText>
        </w:r>
        <w:r w:rsidR="002C5648">
          <w:rPr>
            <w:noProof/>
            <w:webHidden/>
          </w:rPr>
        </w:r>
        <w:r w:rsidR="002C5648">
          <w:rPr>
            <w:noProof/>
            <w:webHidden/>
          </w:rPr>
          <w:fldChar w:fldCharType="separate"/>
        </w:r>
        <w:r w:rsidR="002C5648">
          <w:rPr>
            <w:noProof/>
            <w:webHidden/>
          </w:rPr>
          <w:t>167</w:t>
        </w:r>
        <w:r w:rsidR="002C5648">
          <w:rPr>
            <w:noProof/>
            <w:webHidden/>
          </w:rPr>
          <w:fldChar w:fldCharType="end"/>
        </w:r>
      </w:hyperlink>
    </w:p>
    <w:p w14:paraId="7F59CAC4" w14:textId="207BCF50" w:rsidR="002C5648" w:rsidRDefault="00F9347F">
      <w:pPr>
        <w:pStyle w:val="TOC2"/>
        <w:tabs>
          <w:tab w:val="right" w:leader="dot" w:pos="8659"/>
        </w:tabs>
        <w:rPr>
          <w:rFonts w:asciiTheme="minorHAnsi" w:hAnsiTheme="minorHAnsi"/>
          <w:noProof/>
          <w:lang w:eastAsia="en-GB"/>
        </w:rPr>
      </w:pPr>
      <w:hyperlink w:anchor="_Toc494034224" w:history="1">
        <w:r w:rsidR="002C5648" w:rsidRPr="00B6334F">
          <w:rPr>
            <w:rStyle w:val="Hyperlink"/>
            <w:noProof/>
          </w:rPr>
          <w:t>4.5 Combining the Dimensions of Understanding</w:t>
        </w:r>
        <w:r w:rsidR="002C5648">
          <w:rPr>
            <w:noProof/>
            <w:webHidden/>
          </w:rPr>
          <w:tab/>
        </w:r>
        <w:r w:rsidR="002C5648">
          <w:rPr>
            <w:noProof/>
            <w:webHidden/>
          </w:rPr>
          <w:fldChar w:fldCharType="begin"/>
        </w:r>
        <w:r w:rsidR="002C5648">
          <w:rPr>
            <w:noProof/>
            <w:webHidden/>
          </w:rPr>
          <w:instrText xml:space="preserve"> PAGEREF _Toc494034224 \h </w:instrText>
        </w:r>
        <w:r w:rsidR="002C5648">
          <w:rPr>
            <w:noProof/>
            <w:webHidden/>
          </w:rPr>
        </w:r>
        <w:r w:rsidR="002C5648">
          <w:rPr>
            <w:noProof/>
            <w:webHidden/>
          </w:rPr>
          <w:fldChar w:fldCharType="separate"/>
        </w:r>
        <w:r w:rsidR="002C5648">
          <w:rPr>
            <w:noProof/>
            <w:webHidden/>
          </w:rPr>
          <w:t>178</w:t>
        </w:r>
        <w:r w:rsidR="002C5648">
          <w:rPr>
            <w:noProof/>
            <w:webHidden/>
          </w:rPr>
          <w:fldChar w:fldCharType="end"/>
        </w:r>
      </w:hyperlink>
    </w:p>
    <w:p w14:paraId="32C4CB72" w14:textId="2B02B74F" w:rsidR="002C5648" w:rsidRDefault="00F9347F">
      <w:pPr>
        <w:pStyle w:val="TOC2"/>
        <w:tabs>
          <w:tab w:val="right" w:leader="dot" w:pos="8659"/>
        </w:tabs>
        <w:rPr>
          <w:rFonts w:asciiTheme="minorHAnsi" w:hAnsiTheme="minorHAnsi"/>
          <w:noProof/>
          <w:lang w:eastAsia="en-GB"/>
        </w:rPr>
      </w:pPr>
      <w:hyperlink w:anchor="_Toc494034225" w:history="1">
        <w:r w:rsidR="002C5648" w:rsidRPr="00B6334F">
          <w:rPr>
            <w:rStyle w:val="Hyperlink"/>
            <w:noProof/>
          </w:rPr>
          <w:t>4.6 Conclusion</w:t>
        </w:r>
        <w:r w:rsidR="002C5648">
          <w:rPr>
            <w:noProof/>
            <w:webHidden/>
          </w:rPr>
          <w:tab/>
        </w:r>
        <w:r w:rsidR="002C5648">
          <w:rPr>
            <w:noProof/>
            <w:webHidden/>
          </w:rPr>
          <w:fldChar w:fldCharType="begin"/>
        </w:r>
        <w:r w:rsidR="002C5648">
          <w:rPr>
            <w:noProof/>
            <w:webHidden/>
          </w:rPr>
          <w:instrText xml:space="preserve"> PAGEREF _Toc494034225 \h </w:instrText>
        </w:r>
        <w:r w:rsidR="002C5648">
          <w:rPr>
            <w:noProof/>
            <w:webHidden/>
          </w:rPr>
        </w:r>
        <w:r w:rsidR="002C5648">
          <w:rPr>
            <w:noProof/>
            <w:webHidden/>
          </w:rPr>
          <w:fldChar w:fldCharType="separate"/>
        </w:r>
        <w:r w:rsidR="002C5648">
          <w:rPr>
            <w:noProof/>
            <w:webHidden/>
          </w:rPr>
          <w:t>183</w:t>
        </w:r>
        <w:r w:rsidR="002C5648">
          <w:rPr>
            <w:noProof/>
            <w:webHidden/>
          </w:rPr>
          <w:fldChar w:fldCharType="end"/>
        </w:r>
      </w:hyperlink>
    </w:p>
    <w:p w14:paraId="42BDB333" w14:textId="54ED4F13" w:rsidR="002C5648" w:rsidRDefault="00F9347F">
      <w:pPr>
        <w:pStyle w:val="TOC1"/>
        <w:rPr>
          <w:rFonts w:asciiTheme="minorHAnsi" w:hAnsiTheme="minorHAnsi"/>
          <w:b w:val="0"/>
          <w:lang w:eastAsia="en-GB"/>
        </w:rPr>
      </w:pPr>
      <w:hyperlink w:anchor="_Toc494034226" w:history="1">
        <w:r w:rsidR="002C5648" w:rsidRPr="00B6334F">
          <w:rPr>
            <w:rStyle w:val="Hyperlink"/>
          </w:rPr>
          <w:t>Chapter 5 Explaining Different Understandings of Democracy</w:t>
        </w:r>
        <w:r w:rsidR="002C5648">
          <w:rPr>
            <w:webHidden/>
          </w:rPr>
          <w:tab/>
        </w:r>
        <w:r w:rsidR="002C5648">
          <w:rPr>
            <w:webHidden/>
          </w:rPr>
          <w:fldChar w:fldCharType="begin"/>
        </w:r>
        <w:r w:rsidR="002C5648">
          <w:rPr>
            <w:webHidden/>
          </w:rPr>
          <w:instrText xml:space="preserve"> PAGEREF _Toc494034226 \h </w:instrText>
        </w:r>
        <w:r w:rsidR="002C5648">
          <w:rPr>
            <w:webHidden/>
          </w:rPr>
        </w:r>
        <w:r w:rsidR="002C5648">
          <w:rPr>
            <w:webHidden/>
          </w:rPr>
          <w:fldChar w:fldCharType="separate"/>
        </w:r>
        <w:r w:rsidR="002C5648">
          <w:rPr>
            <w:webHidden/>
          </w:rPr>
          <w:t>185</w:t>
        </w:r>
        <w:r w:rsidR="002C5648">
          <w:rPr>
            <w:webHidden/>
          </w:rPr>
          <w:fldChar w:fldCharType="end"/>
        </w:r>
      </w:hyperlink>
    </w:p>
    <w:p w14:paraId="02907CC1" w14:textId="6CBFD54C" w:rsidR="002C5648" w:rsidRDefault="00F9347F">
      <w:pPr>
        <w:pStyle w:val="TOC2"/>
        <w:tabs>
          <w:tab w:val="right" w:leader="dot" w:pos="8659"/>
        </w:tabs>
        <w:rPr>
          <w:rFonts w:asciiTheme="minorHAnsi" w:hAnsiTheme="minorHAnsi"/>
          <w:noProof/>
          <w:lang w:eastAsia="en-GB"/>
        </w:rPr>
      </w:pPr>
      <w:hyperlink w:anchor="_Toc494034227" w:history="1">
        <w:r w:rsidR="002C5648" w:rsidRPr="00B6334F">
          <w:rPr>
            <w:rStyle w:val="Hyperlink"/>
            <w:noProof/>
          </w:rPr>
          <w:t>5.1: Theories of democratic understanding</w:t>
        </w:r>
        <w:r w:rsidR="002C5648">
          <w:rPr>
            <w:noProof/>
            <w:webHidden/>
          </w:rPr>
          <w:tab/>
        </w:r>
        <w:r w:rsidR="002C5648">
          <w:rPr>
            <w:noProof/>
            <w:webHidden/>
          </w:rPr>
          <w:fldChar w:fldCharType="begin"/>
        </w:r>
        <w:r w:rsidR="002C5648">
          <w:rPr>
            <w:noProof/>
            <w:webHidden/>
          </w:rPr>
          <w:instrText xml:space="preserve"> PAGEREF _Toc494034227 \h </w:instrText>
        </w:r>
        <w:r w:rsidR="002C5648">
          <w:rPr>
            <w:noProof/>
            <w:webHidden/>
          </w:rPr>
        </w:r>
        <w:r w:rsidR="002C5648">
          <w:rPr>
            <w:noProof/>
            <w:webHidden/>
          </w:rPr>
          <w:fldChar w:fldCharType="separate"/>
        </w:r>
        <w:r w:rsidR="002C5648">
          <w:rPr>
            <w:noProof/>
            <w:webHidden/>
          </w:rPr>
          <w:t>186</w:t>
        </w:r>
        <w:r w:rsidR="002C5648">
          <w:rPr>
            <w:noProof/>
            <w:webHidden/>
          </w:rPr>
          <w:fldChar w:fldCharType="end"/>
        </w:r>
      </w:hyperlink>
    </w:p>
    <w:p w14:paraId="7C0EA7B0" w14:textId="3DD7E817" w:rsidR="002C5648" w:rsidRDefault="00F9347F">
      <w:pPr>
        <w:pStyle w:val="TOC2"/>
        <w:tabs>
          <w:tab w:val="right" w:leader="dot" w:pos="8659"/>
        </w:tabs>
        <w:rPr>
          <w:rFonts w:asciiTheme="minorHAnsi" w:hAnsiTheme="minorHAnsi"/>
          <w:noProof/>
          <w:lang w:eastAsia="en-GB"/>
        </w:rPr>
      </w:pPr>
      <w:hyperlink w:anchor="_Toc494034228" w:history="1">
        <w:r w:rsidR="002C5648" w:rsidRPr="00B6334F">
          <w:rPr>
            <w:rStyle w:val="Hyperlink"/>
            <w:noProof/>
          </w:rPr>
          <w:t>5.3: Method – Multilevel Regression Modelling</w:t>
        </w:r>
        <w:r w:rsidR="002C5648">
          <w:rPr>
            <w:noProof/>
            <w:webHidden/>
          </w:rPr>
          <w:tab/>
        </w:r>
        <w:r w:rsidR="002C5648">
          <w:rPr>
            <w:noProof/>
            <w:webHidden/>
          </w:rPr>
          <w:fldChar w:fldCharType="begin"/>
        </w:r>
        <w:r w:rsidR="002C5648">
          <w:rPr>
            <w:noProof/>
            <w:webHidden/>
          </w:rPr>
          <w:instrText xml:space="preserve"> PAGEREF _Toc494034228 \h </w:instrText>
        </w:r>
        <w:r w:rsidR="002C5648">
          <w:rPr>
            <w:noProof/>
            <w:webHidden/>
          </w:rPr>
        </w:r>
        <w:r w:rsidR="002C5648">
          <w:rPr>
            <w:noProof/>
            <w:webHidden/>
          </w:rPr>
          <w:fldChar w:fldCharType="separate"/>
        </w:r>
        <w:r w:rsidR="002C5648">
          <w:rPr>
            <w:noProof/>
            <w:webHidden/>
          </w:rPr>
          <w:t>202</w:t>
        </w:r>
        <w:r w:rsidR="002C5648">
          <w:rPr>
            <w:noProof/>
            <w:webHidden/>
          </w:rPr>
          <w:fldChar w:fldCharType="end"/>
        </w:r>
      </w:hyperlink>
    </w:p>
    <w:p w14:paraId="59441841" w14:textId="0656C1C6" w:rsidR="002C5648" w:rsidRDefault="00F9347F">
      <w:pPr>
        <w:pStyle w:val="TOC2"/>
        <w:tabs>
          <w:tab w:val="right" w:leader="dot" w:pos="8659"/>
        </w:tabs>
        <w:rPr>
          <w:rFonts w:asciiTheme="minorHAnsi" w:hAnsiTheme="minorHAnsi"/>
          <w:noProof/>
          <w:lang w:eastAsia="en-GB"/>
        </w:rPr>
      </w:pPr>
      <w:hyperlink w:anchor="_Toc494034229" w:history="1">
        <w:r w:rsidR="002C5648" w:rsidRPr="00B6334F">
          <w:rPr>
            <w:rStyle w:val="Hyperlink"/>
            <w:noProof/>
          </w:rPr>
          <w:t>5.4: Results</w:t>
        </w:r>
        <w:r w:rsidR="002C5648">
          <w:rPr>
            <w:noProof/>
            <w:webHidden/>
          </w:rPr>
          <w:tab/>
        </w:r>
        <w:r w:rsidR="002C5648">
          <w:rPr>
            <w:noProof/>
            <w:webHidden/>
          </w:rPr>
          <w:fldChar w:fldCharType="begin"/>
        </w:r>
        <w:r w:rsidR="002C5648">
          <w:rPr>
            <w:noProof/>
            <w:webHidden/>
          </w:rPr>
          <w:instrText xml:space="preserve"> PAGEREF _Toc494034229 \h </w:instrText>
        </w:r>
        <w:r w:rsidR="002C5648">
          <w:rPr>
            <w:noProof/>
            <w:webHidden/>
          </w:rPr>
        </w:r>
        <w:r w:rsidR="002C5648">
          <w:rPr>
            <w:noProof/>
            <w:webHidden/>
          </w:rPr>
          <w:fldChar w:fldCharType="separate"/>
        </w:r>
        <w:r w:rsidR="002C5648">
          <w:rPr>
            <w:noProof/>
            <w:webHidden/>
          </w:rPr>
          <w:t>215</w:t>
        </w:r>
        <w:r w:rsidR="002C5648">
          <w:rPr>
            <w:noProof/>
            <w:webHidden/>
          </w:rPr>
          <w:fldChar w:fldCharType="end"/>
        </w:r>
      </w:hyperlink>
    </w:p>
    <w:p w14:paraId="24635633" w14:textId="48082645" w:rsidR="002C5648" w:rsidRDefault="00F9347F">
      <w:pPr>
        <w:pStyle w:val="TOC2"/>
        <w:tabs>
          <w:tab w:val="right" w:leader="dot" w:pos="8659"/>
        </w:tabs>
        <w:rPr>
          <w:rFonts w:asciiTheme="minorHAnsi" w:hAnsiTheme="minorHAnsi"/>
          <w:noProof/>
          <w:lang w:eastAsia="en-GB"/>
        </w:rPr>
      </w:pPr>
      <w:hyperlink w:anchor="_Toc494034230" w:history="1">
        <w:r w:rsidR="002C5648" w:rsidRPr="00B6334F">
          <w:rPr>
            <w:rStyle w:val="Hyperlink"/>
            <w:noProof/>
            <w:highlight w:val="yellow"/>
          </w:rPr>
          <w:t>5.5: Discussion</w:t>
        </w:r>
        <w:r w:rsidR="002C5648">
          <w:rPr>
            <w:noProof/>
            <w:webHidden/>
          </w:rPr>
          <w:tab/>
        </w:r>
        <w:r w:rsidR="002C5648">
          <w:rPr>
            <w:noProof/>
            <w:webHidden/>
          </w:rPr>
          <w:fldChar w:fldCharType="begin"/>
        </w:r>
        <w:r w:rsidR="002C5648">
          <w:rPr>
            <w:noProof/>
            <w:webHidden/>
          </w:rPr>
          <w:instrText xml:space="preserve"> PAGEREF _Toc494034230 \h </w:instrText>
        </w:r>
        <w:r w:rsidR="002C5648">
          <w:rPr>
            <w:noProof/>
            <w:webHidden/>
          </w:rPr>
        </w:r>
        <w:r w:rsidR="002C5648">
          <w:rPr>
            <w:noProof/>
            <w:webHidden/>
          </w:rPr>
          <w:fldChar w:fldCharType="separate"/>
        </w:r>
        <w:r w:rsidR="002C5648">
          <w:rPr>
            <w:noProof/>
            <w:webHidden/>
          </w:rPr>
          <w:t>242</w:t>
        </w:r>
        <w:r w:rsidR="002C5648">
          <w:rPr>
            <w:noProof/>
            <w:webHidden/>
          </w:rPr>
          <w:fldChar w:fldCharType="end"/>
        </w:r>
      </w:hyperlink>
    </w:p>
    <w:p w14:paraId="11EE9B2D" w14:textId="7E57EAFA" w:rsidR="002C5648" w:rsidRDefault="00F9347F">
      <w:pPr>
        <w:pStyle w:val="TOC2"/>
        <w:tabs>
          <w:tab w:val="right" w:leader="dot" w:pos="8659"/>
        </w:tabs>
        <w:rPr>
          <w:rFonts w:asciiTheme="minorHAnsi" w:hAnsiTheme="minorHAnsi"/>
          <w:noProof/>
          <w:lang w:eastAsia="en-GB"/>
        </w:rPr>
      </w:pPr>
      <w:hyperlink w:anchor="_Toc494034231" w:history="1">
        <w:r w:rsidR="002C5648" w:rsidRPr="00B6334F">
          <w:rPr>
            <w:rStyle w:val="Hyperlink"/>
            <w:noProof/>
          </w:rPr>
          <w:t>5.6: Conclusion</w:t>
        </w:r>
        <w:r w:rsidR="002C5648">
          <w:rPr>
            <w:noProof/>
            <w:webHidden/>
          </w:rPr>
          <w:tab/>
        </w:r>
        <w:r w:rsidR="002C5648">
          <w:rPr>
            <w:noProof/>
            <w:webHidden/>
          </w:rPr>
          <w:fldChar w:fldCharType="begin"/>
        </w:r>
        <w:r w:rsidR="002C5648">
          <w:rPr>
            <w:noProof/>
            <w:webHidden/>
          </w:rPr>
          <w:instrText xml:space="preserve"> PAGEREF _Toc494034231 \h </w:instrText>
        </w:r>
        <w:r w:rsidR="002C5648">
          <w:rPr>
            <w:noProof/>
            <w:webHidden/>
          </w:rPr>
        </w:r>
        <w:r w:rsidR="002C5648">
          <w:rPr>
            <w:noProof/>
            <w:webHidden/>
          </w:rPr>
          <w:fldChar w:fldCharType="separate"/>
        </w:r>
        <w:r w:rsidR="002C5648">
          <w:rPr>
            <w:noProof/>
            <w:webHidden/>
          </w:rPr>
          <w:t>246</w:t>
        </w:r>
        <w:r w:rsidR="002C5648">
          <w:rPr>
            <w:noProof/>
            <w:webHidden/>
          </w:rPr>
          <w:fldChar w:fldCharType="end"/>
        </w:r>
      </w:hyperlink>
    </w:p>
    <w:p w14:paraId="09C3CD1E" w14:textId="2418116F" w:rsidR="002C5648" w:rsidRDefault="00F9347F">
      <w:pPr>
        <w:pStyle w:val="TOC1"/>
        <w:rPr>
          <w:rFonts w:asciiTheme="minorHAnsi" w:hAnsiTheme="minorHAnsi"/>
          <w:b w:val="0"/>
          <w:lang w:eastAsia="en-GB"/>
        </w:rPr>
      </w:pPr>
      <w:hyperlink w:anchor="_Toc494034232" w:history="1">
        <w:r w:rsidR="002C5648" w:rsidRPr="00B6334F">
          <w:rPr>
            <w:rStyle w:val="Hyperlink"/>
          </w:rPr>
          <w:t>Chapter 6 Understandings of Democracy and Informal Political Participation</w:t>
        </w:r>
        <w:r w:rsidR="002C5648">
          <w:rPr>
            <w:webHidden/>
          </w:rPr>
          <w:tab/>
        </w:r>
        <w:r w:rsidR="002C5648">
          <w:rPr>
            <w:webHidden/>
          </w:rPr>
          <w:fldChar w:fldCharType="begin"/>
        </w:r>
        <w:r w:rsidR="002C5648">
          <w:rPr>
            <w:webHidden/>
          </w:rPr>
          <w:instrText xml:space="preserve"> PAGEREF _Toc494034232 \h </w:instrText>
        </w:r>
        <w:r w:rsidR="002C5648">
          <w:rPr>
            <w:webHidden/>
          </w:rPr>
        </w:r>
        <w:r w:rsidR="002C5648">
          <w:rPr>
            <w:webHidden/>
          </w:rPr>
          <w:fldChar w:fldCharType="separate"/>
        </w:r>
        <w:r w:rsidR="002C5648">
          <w:rPr>
            <w:webHidden/>
          </w:rPr>
          <w:t>248</w:t>
        </w:r>
        <w:r w:rsidR="002C5648">
          <w:rPr>
            <w:webHidden/>
          </w:rPr>
          <w:fldChar w:fldCharType="end"/>
        </w:r>
      </w:hyperlink>
    </w:p>
    <w:p w14:paraId="37A09B1E" w14:textId="14E62ADB" w:rsidR="002C5648" w:rsidRDefault="00F9347F">
      <w:pPr>
        <w:pStyle w:val="TOC2"/>
        <w:tabs>
          <w:tab w:val="right" w:leader="dot" w:pos="8659"/>
        </w:tabs>
        <w:rPr>
          <w:rFonts w:asciiTheme="minorHAnsi" w:hAnsiTheme="minorHAnsi"/>
          <w:noProof/>
          <w:lang w:eastAsia="en-GB"/>
        </w:rPr>
      </w:pPr>
      <w:hyperlink w:anchor="_Toc494034233" w:history="1">
        <w:r w:rsidR="002C5648" w:rsidRPr="00B6334F">
          <w:rPr>
            <w:rStyle w:val="Hyperlink"/>
            <w:noProof/>
          </w:rPr>
          <w:t>6.1 Informal Political Participation</w:t>
        </w:r>
        <w:r w:rsidR="002C5648">
          <w:rPr>
            <w:noProof/>
            <w:webHidden/>
          </w:rPr>
          <w:tab/>
        </w:r>
        <w:r w:rsidR="002C5648">
          <w:rPr>
            <w:noProof/>
            <w:webHidden/>
          </w:rPr>
          <w:fldChar w:fldCharType="begin"/>
        </w:r>
        <w:r w:rsidR="002C5648">
          <w:rPr>
            <w:noProof/>
            <w:webHidden/>
          </w:rPr>
          <w:instrText xml:space="preserve"> PAGEREF _Toc494034233 \h </w:instrText>
        </w:r>
        <w:r w:rsidR="002C5648">
          <w:rPr>
            <w:noProof/>
            <w:webHidden/>
          </w:rPr>
        </w:r>
        <w:r w:rsidR="002C5648">
          <w:rPr>
            <w:noProof/>
            <w:webHidden/>
          </w:rPr>
          <w:fldChar w:fldCharType="separate"/>
        </w:r>
        <w:r w:rsidR="002C5648">
          <w:rPr>
            <w:noProof/>
            <w:webHidden/>
          </w:rPr>
          <w:t>250</w:t>
        </w:r>
        <w:r w:rsidR="002C5648">
          <w:rPr>
            <w:noProof/>
            <w:webHidden/>
          </w:rPr>
          <w:fldChar w:fldCharType="end"/>
        </w:r>
      </w:hyperlink>
    </w:p>
    <w:p w14:paraId="276B8F9D" w14:textId="4EE9D9B9" w:rsidR="002C5648" w:rsidRDefault="00F9347F">
      <w:pPr>
        <w:pStyle w:val="TOC2"/>
        <w:tabs>
          <w:tab w:val="right" w:leader="dot" w:pos="8659"/>
        </w:tabs>
        <w:rPr>
          <w:rFonts w:asciiTheme="minorHAnsi" w:hAnsiTheme="minorHAnsi"/>
          <w:noProof/>
          <w:lang w:eastAsia="en-GB"/>
        </w:rPr>
      </w:pPr>
      <w:hyperlink w:anchor="_Toc494034234" w:history="1">
        <w:r w:rsidR="002C5648" w:rsidRPr="00B6334F">
          <w:rPr>
            <w:rStyle w:val="Hyperlink"/>
            <w:noProof/>
          </w:rPr>
          <w:t>6.2 Individual Theories</w:t>
        </w:r>
        <w:r w:rsidR="002C5648">
          <w:rPr>
            <w:noProof/>
            <w:webHidden/>
          </w:rPr>
          <w:tab/>
        </w:r>
        <w:r w:rsidR="002C5648">
          <w:rPr>
            <w:noProof/>
            <w:webHidden/>
          </w:rPr>
          <w:fldChar w:fldCharType="begin"/>
        </w:r>
        <w:r w:rsidR="002C5648">
          <w:rPr>
            <w:noProof/>
            <w:webHidden/>
          </w:rPr>
          <w:instrText xml:space="preserve"> PAGEREF _Toc494034234 \h </w:instrText>
        </w:r>
        <w:r w:rsidR="002C5648">
          <w:rPr>
            <w:noProof/>
            <w:webHidden/>
          </w:rPr>
        </w:r>
        <w:r w:rsidR="002C5648">
          <w:rPr>
            <w:noProof/>
            <w:webHidden/>
          </w:rPr>
          <w:fldChar w:fldCharType="separate"/>
        </w:r>
        <w:r w:rsidR="002C5648">
          <w:rPr>
            <w:noProof/>
            <w:webHidden/>
          </w:rPr>
          <w:t>252</w:t>
        </w:r>
        <w:r w:rsidR="002C5648">
          <w:rPr>
            <w:noProof/>
            <w:webHidden/>
          </w:rPr>
          <w:fldChar w:fldCharType="end"/>
        </w:r>
      </w:hyperlink>
    </w:p>
    <w:p w14:paraId="647138F9" w14:textId="3303C2CC" w:rsidR="002C5648" w:rsidRDefault="00F9347F">
      <w:pPr>
        <w:pStyle w:val="TOC2"/>
        <w:tabs>
          <w:tab w:val="right" w:leader="dot" w:pos="8659"/>
        </w:tabs>
        <w:rPr>
          <w:rFonts w:asciiTheme="minorHAnsi" w:hAnsiTheme="minorHAnsi"/>
          <w:noProof/>
          <w:lang w:eastAsia="en-GB"/>
        </w:rPr>
      </w:pPr>
      <w:hyperlink w:anchor="_Toc494034235" w:history="1">
        <w:r w:rsidR="002C5648" w:rsidRPr="00B6334F">
          <w:rPr>
            <w:rStyle w:val="Hyperlink"/>
            <w:noProof/>
          </w:rPr>
          <w:t>6.3 Contextual Theories</w:t>
        </w:r>
        <w:r w:rsidR="002C5648">
          <w:rPr>
            <w:noProof/>
            <w:webHidden/>
          </w:rPr>
          <w:tab/>
        </w:r>
        <w:r w:rsidR="002C5648">
          <w:rPr>
            <w:noProof/>
            <w:webHidden/>
          </w:rPr>
          <w:fldChar w:fldCharType="begin"/>
        </w:r>
        <w:r w:rsidR="002C5648">
          <w:rPr>
            <w:noProof/>
            <w:webHidden/>
          </w:rPr>
          <w:instrText xml:space="preserve"> PAGEREF _Toc494034235 \h </w:instrText>
        </w:r>
        <w:r w:rsidR="002C5648">
          <w:rPr>
            <w:noProof/>
            <w:webHidden/>
          </w:rPr>
        </w:r>
        <w:r w:rsidR="002C5648">
          <w:rPr>
            <w:noProof/>
            <w:webHidden/>
          </w:rPr>
          <w:fldChar w:fldCharType="separate"/>
        </w:r>
        <w:r w:rsidR="002C5648">
          <w:rPr>
            <w:noProof/>
            <w:webHidden/>
          </w:rPr>
          <w:t>262</w:t>
        </w:r>
        <w:r w:rsidR="002C5648">
          <w:rPr>
            <w:noProof/>
            <w:webHidden/>
          </w:rPr>
          <w:fldChar w:fldCharType="end"/>
        </w:r>
      </w:hyperlink>
    </w:p>
    <w:p w14:paraId="66A39879" w14:textId="3612A9BC" w:rsidR="002C5648" w:rsidRDefault="00F9347F">
      <w:pPr>
        <w:pStyle w:val="TOC2"/>
        <w:tabs>
          <w:tab w:val="right" w:leader="dot" w:pos="8659"/>
        </w:tabs>
        <w:rPr>
          <w:rFonts w:asciiTheme="minorHAnsi" w:hAnsiTheme="minorHAnsi"/>
          <w:noProof/>
          <w:lang w:eastAsia="en-GB"/>
        </w:rPr>
      </w:pPr>
      <w:hyperlink w:anchor="_Toc494034236" w:history="1">
        <w:r w:rsidR="002C5648" w:rsidRPr="00B6334F">
          <w:rPr>
            <w:rStyle w:val="Hyperlink"/>
            <w:noProof/>
          </w:rPr>
          <w:t>6.4 Informal Political Participation</w:t>
        </w:r>
        <w:r w:rsidR="002C5648">
          <w:rPr>
            <w:noProof/>
            <w:webHidden/>
          </w:rPr>
          <w:tab/>
        </w:r>
        <w:r w:rsidR="002C5648">
          <w:rPr>
            <w:noProof/>
            <w:webHidden/>
          </w:rPr>
          <w:fldChar w:fldCharType="begin"/>
        </w:r>
        <w:r w:rsidR="002C5648">
          <w:rPr>
            <w:noProof/>
            <w:webHidden/>
          </w:rPr>
          <w:instrText xml:space="preserve"> PAGEREF _Toc494034236 \h </w:instrText>
        </w:r>
        <w:r w:rsidR="002C5648">
          <w:rPr>
            <w:noProof/>
            <w:webHidden/>
          </w:rPr>
        </w:r>
        <w:r w:rsidR="002C5648">
          <w:rPr>
            <w:noProof/>
            <w:webHidden/>
          </w:rPr>
          <w:fldChar w:fldCharType="separate"/>
        </w:r>
        <w:r w:rsidR="002C5648">
          <w:rPr>
            <w:noProof/>
            <w:webHidden/>
          </w:rPr>
          <w:t>264</w:t>
        </w:r>
        <w:r w:rsidR="002C5648">
          <w:rPr>
            <w:noProof/>
            <w:webHidden/>
          </w:rPr>
          <w:fldChar w:fldCharType="end"/>
        </w:r>
      </w:hyperlink>
    </w:p>
    <w:p w14:paraId="2D1D4901" w14:textId="21BC37C3" w:rsidR="002C5648" w:rsidRDefault="00F9347F">
      <w:pPr>
        <w:pStyle w:val="TOC2"/>
        <w:tabs>
          <w:tab w:val="right" w:leader="dot" w:pos="8659"/>
        </w:tabs>
        <w:rPr>
          <w:rFonts w:asciiTheme="minorHAnsi" w:hAnsiTheme="minorHAnsi"/>
          <w:noProof/>
          <w:lang w:eastAsia="en-GB"/>
        </w:rPr>
      </w:pPr>
      <w:hyperlink w:anchor="_Toc494034237" w:history="1">
        <w:r w:rsidR="002C5648" w:rsidRPr="00B6334F">
          <w:rPr>
            <w:rStyle w:val="Hyperlink"/>
            <w:noProof/>
          </w:rPr>
          <w:t>6.5 Results</w:t>
        </w:r>
        <w:r w:rsidR="002C5648">
          <w:rPr>
            <w:noProof/>
            <w:webHidden/>
          </w:rPr>
          <w:tab/>
        </w:r>
        <w:r w:rsidR="002C5648">
          <w:rPr>
            <w:noProof/>
            <w:webHidden/>
          </w:rPr>
          <w:fldChar w:fldCharType="begin"/>
        </w:r>
        <w:r w:rsidR="002C5648">
          <w:rPr>
            <w:noProof/>
            <w:webHidden/>
          </w:rPr>
          <w:instrText xml:space="preserve"> PAGEREF _Toc494034237 \h </w:instrText>
        </w:r>
        <w:r w:rsidR="002C5648">
          <w:rPr>
            <w:noProof/>
            <w:webHidden/>
          </w:rPr>
        </w:r>
        <w:r w:rsidR="002C5648">
          <w:rPr>
            <w:noProof/>
            <w:webHidden/>
          </w:rPr>
          <w:fldChar w:fldCharType="separate"/>
        </w:r>
        <w:r w:rsidR="002C5648">
          <w:rPr>
            <w:noProof/>
            <w:webHidden/>
          </w:rPr>
          <w:t>266</w:t>
        </w:r>
        <w:r w:rsidR="002C5648">
          <w:rPr>
            <w:noProof/>
            <w:webHidden/>
          </w:rPr>
          <w:fldChar w:fldCharType="end"/>
        </w:r>
      </w:hyperlink>
    </w:p>
    <w:p w14:paraId="5786662E" w14:textId="74B056DC" w:rsidR="002C5648" w:rsidRDefault="00F9347F">
      <w:pPr>
        <w:pStyle w:val="TOC2"/>
        <w:tabs>
          <w:tab w:val="right" w:leader="dot" w:pos="8659"/>
        </w:tabs>
        <w:rPr>
          <w:rFonts w:asciiTheme="minorHAnsi" w:hAnsiTheme="minorHAnsi"/>
          <w:noProof/>
          <w:lang w:eastAsia="en-GB"/>
        </w:rPr>
      </w:pPr>
      <w:hyperlink w:anchor="_Toc494034238" w:history="1">
        <w:r w:rsidR="002C5648" w:rsidRPr="00B6334F">
          <w:rPr>
            <w:rStyle w:val="Hyperlink"/>
            <w:noProof/>
          </w:rPr>
          <w:t>Informal Political Participation and Understandings of Democracy</w:t>
        </w:r>
        <w:r w:rsidR="002C5648">
          <w:rPr>
            <w:noProof/>
            <w:webHidden/>
          </w:rPr>
          <w:tab/>
        </w:r>
        <w:r w:rsidR="002C5648">
          <w:rPr>
            <w:noProof/>
            <w:webHidden/>
          </w:rPr>
          <w:fldChar w:fldCharType="begin"/>
        </w:r>
        <w:r w:rsidR="002C5648">
          <w:rPr>
            <w:noProof/>
            <w:webHidden/>
          </w:rPr>
          <w:instrText xml:space="preserve"> PAGEREF _Toc494034238 \h </w:instrText>
        </w:r>
        <w:r w:rsidR="002C5648">
          <w:rPr>
            <w:noProof/>
            <w:webHidden/>
          </w:rPr>
        </w:r>
        <w:r w:rsidR="002C5648">
          <w:rPr>
            <w:noProof/>
            <w:webHidden/>
          </w:rPr>
          <w:fldChar w:fldCharType="separate"/>
        </w:r>
        <w:r w:rsidR="002C5648">
          <w:rPr>
            <w:noProof/>
            <w:webHidden/>
          </w:rPr>
          <w:t>273</w:t>
        </w:r>
        <w:r w:rsidR="002C5648">
          <w:rPr>
            <w:noProof/>
            <w:webHidden/>
          </w:rPr>
          <w:fldChar w:fldCharType="end"/>
        </w:r>
      </w:hyperlink>
    </w:p>
    <w:p w14:paraId="5A0AE31A" w14:textId="4BE2F055" w:rsidR="002C5648" w:rsidRDefault="00F9347F">
      <w:pPr>
        <w:pStyle w:val="TOC2"/>
        <w:tabs>
          <w:tab w:val="right" w:leader="dot" w:pos="8659"/>
        </w:tabs>
        <w:rPr>
          <w:rFonts w:asciiTheme="minorHAnsi" w:hAnsiTheme="minorHAnsi"/>
          <w:noProof/>
          <w:lang w:eastAsia="en-GB"/>
        </w:rPr>
      </w:pPr>
      <w:hyperlink w:anchor="_Toc494034239" w:history="1">
        <w:r w:rsidR="002C5648" w:rsidRPr="00B6334F">
          <w:rPr>
            <w:rStyle w:val="Hyperlink"/>
            <w:noProof/>
            <w:highlight w:val="yellow"/>
          </w:rPr>
          <w:t>Summary</w:t>
        </w:r>
        <w:r w:rsidR="002C5648">
          <w:rPr>
            <w:noProof/>
            <w:webHidden/>
          </w:rPr>
          <w:tab/>
        </w:r>
        <w:r w:rsidR="002C5648">
          <w:rPr>
            <w:noProof/>
            <w:webHidden/>
          </w:rPr>
          <w:fldChar w:fldCharType="begin"/>
        </w:r>
        <w:r w:rsidR="002C5648">
          <w:rPr>
            <w:noProof/>
            <w:webHidden/>
          </w:rPr>
          <w:instrText xml:space="preserve"> PAGEREF _Toc494034239 \h </w:instrText>
        </w:r>
        <w:r w:rsidR="002C5648">
          <w:rPr>
            <w:noProof/>
            <w:webHidden/>
          </w:rPr>
        </w:r>
        <w:r w:rsidR="002C5648">
          <w:rPr>
            <w:noProof/>
            <w:webHidden/>
          </w:rPr>
          <w:fldChar w:fldCharType="separate"/>
        </w:r>
        <w:r w:rsidR="002C5648">
          <w:rPr>
            <w:noProof/>
            <w:webHidden/>
          </w:rPr>
          <w:t>292</w:t>
        </w:r>
        <w:r w:rsidR="002C5648">
          <w:rPr>
            <w:noProof/>
            <w:webHidden/>
          </w:rPr>
          <w:fldChar w:fldCharType="end"/>
        </w:r>
      </w:hyperlink>
    </w:p>
    <w:p w14:paraId="6EB747F7" w14:textId="6421A326" w:rsidR="002C5648" w:rsidRDefault="00F9347F">
      <w:pPr>
        <w:pStyle w:val="TOC2"/>
        <w:tabs>
          <w:tab w:val="right" w:leader="dot" w:pos="8659"/>
        </w:tabs>
        <w:rPr>
          <w:rFonts w:asciiTheme="minorHAnsi" w:hAnsiTheme="minorHAnsi"/>
          <w:noProof/>
          <w:lang w:eastAsia="en-GB"/>
        </w:rPr>
      </w:pPr>
      <w:hyperlink w:anchor="_Toc494034240" w:history="1">
        <w:r w:rsidR="002C5648" w:rsidRPr="00B6334F">
          <w:rPr>
            <w:rStyle w:val="Hyperlink"/>
            <w:noProof/>
            <w:highlight w:val="yellow"/>
          </w:rPr>
          <w:t>6.6 Conclusion</w:t>
        </w:r>
        <w:r w:rsidR="002C5648">
          <w:rPr>
            <w:noProof/>
            <w:webHidden/>
          </w:rPr>
          <w:tab/>
        </w:r>
        <w:r w:rsidR="002C5648">
          <w:rPr>
            <w:noProof/>
            <w:webHidden/>
          </w:rPr>
          <w:fldChar w:fldCharType="begin"/>
        </w:r>
        <w:r w:rsidR="002C5648">
          <w:rPr>
            <w:noProof/>
            <w:webHidden/>
          </w:rPr>
          <w:instrText xml:space="preserve"> PAGEREF _Toc494034240 \h </w:instrText>
        </w:r>
        <w:r w:rsidR="002C5648">
          <w:rPr>
            <w:noProof/>
            <w:webHidden/>
          </w:rPr>
        </w:r>
        <w:r w:rsidR="002C5648">
          <w:rPr>
            <w:noProof/>
            <w:webHidden/>
          </w:rPr>
          <w:fldChar w:fldCharType="separate"/>
        </w:r>
        <w:r w:rsidR="002C5648">
          <w:rPr>
            <w:noProof/>
            <w:webHidden/>
          </w:rPr>
          <w:t>293</w:t>
        </w:r>
        <w:r w:rsidR="002C5648">
          <w:rPr>
            <w:noProof/>
            <w:webHidden/>
          </w:rPr>
          <w:fldChar w:fldCharType="end"/>
        </w:r>
      </w:hyperlink>
    </w:p>
    <w:p w14:paraId="0850C1AD" w14:textId="5267E42E" w:rsidR="002C5648" w:rsidRDefault="00F9347F">
      <w:pPr>
        <w:pStyle w:val="TOC1"/>
        <w:rPr>
          <w:rFonts w:asciiTheme="minorHAnsi" w:hAnsiTheme="minorHAnsi"/>
          <w:b w:val="0"/>
          <w:lang w:eastAsia="en-GB"/>
        </w:rPr>
      </w:pPr>
      <w:hyperlink w:anchor="_Toc494034241" w:history="1">
        <w:r w:rsidR="002C5648" w:rsidRPr="00B6334F">
          <w:rPr>
            <w:rStyle w:val="Hyperlink"/>
          </w:rPr>
          <w:t>Chapter 7 Conclusions</w:t>
        </w:r>
        <w:r w:rsidR="002C5648">
          <w:rPr>
            <w:webHidden/>
          </w:rPr>
          <w:tab/>
        </w:r>
        <w:r w:rsidR="002C5648">
          <w:rPr>
            <w:webHidden/>
          </w:rPr>
          <w:fldChar w:fldCharType="begin"/>
        </w:r>
        <w:r w:rsidR="002C5648">
          <w:rPr>
            <w:webHidden/>
          </w:rPr>
          <w:instrText xml:space="preserve"> PAGEREF _Toc494034241 \h </w:instrText>
        </w:r>
        <w:r w:rsidR="002C5648">
          <w:rPr>
            <w:webHidden/>
          </w:rPr>
        </w:r>
        <w:r w:rsidR="002C5648">
          <w:rPr>
            <w:webHidden/>
          </w:rPr>
          <w:fldChar w:fldCharType="separate"/>
        </w:r>
        <w:r w:rsidR="002C5648">
          <w:rPr>
            <w:webHidden/>
          </w:rPr>
          <w:t>296</w:t>
        </w:r>
        <w:r w:rsidR="002C5648">
          <w:rPr>
            <w:webHidden/>
          </w:rPr>
          <w:fldChar w:fldCharType="end"/>
        </w:r>
      </w:hyperlink>
    </w:p>
    <w:p w14:paraId="1D22AF8A" w14:textId="612A93C7" w:rsidR="002C5648" w:rsidRDefault="00F9347F">
      <w:pPr>
        <w:pStyle w:val="TOC2"/>
        <w:tabs>
          <w:tab w:val="right" w:leader="dot" w:pos="8659"/>
        </w:tabs>
        <w:rPr>
          <w:rFonts w:asciiTheme="minorHAnsi" w:hAnsiTheme="minorHAnsi"/>
          <w:noProof/>
          <w:lang w:eastAsia="en-GB"/>
        </w:rPr>
      </w:pPr>
      <w:hyperlink w:anchor="_Toc494034242" w:history="1">
        <w:r w:rsidR="002C5648" w:rsidRPr="00B6334F">
          <w:rPr>
            <w:rStyle w:val="Hyperlink"/>
            <w:noProof/>
          </w:rPr>
          <w:t>7.1 Research Findings and Results: Returning to the Aims and Objectives</w:t>
        </w:r>
        <w:r w:rsidR="002C5648">
          <w:rPr>
            <w:noProof/>
            <w:webHidden/>
          </w:rPr>
          <w:tab/>
        </w:r>
        <w:r w:rsidR="002C5648">
          <w:rPr>
            <w:noProof/>
            <w:webHidden/>
          </w:rPr>
          <w:fldChar w:fldCharType="begin"/>
        </w:r>
        <w:r w:rsidR="002C5648">
          <w:rPr>
            <w:noProof/>
            <w:webHidden/>
          </w:rPr>
          <w:instrText xml:space="preserve"> PAGEREF _Toc494034242 \h </w:instrText>
        </w:r>
        <w:r w:rsidR="002C5648">
          <w:rPr>
            <w:noProof/>
            <w:webHidden/>
          </w:rPr>
        </w:r>
        <w:r w:rsidR="002C5648">
          <w:rPr>
            <w:noProof/>
            <w:webHidden/>
          </w:rPr>
          <w:fldChar w:fldCharType="separate"/>
        </w:r>
        <w:r w:rsidR="002C5648">
          <w:rPr>
            <w:noProof/>
            <w:webHidden/>
          </w:rPr>
          <w:t>296</w:t>
        </w:r>
        <w:r w:rsidR="002C5648">
          <w:rPr>
            <w:noProof/>
            <w:webHidden/>
          </w:rPr>
          <w:fldChar w:fldCharType="end"/>
        </w:r>
      </w:hyperlink>
    </w:p>
    <w:p w14:paraId="56B5029E" w14:textId="1401526C" w:rsidR="002C5648" w:rsidRDefault="00F9347F">
      <w:pPr>
        <w:pStyle w:val="TOC2"/>
        <w:tabs>
          <w:tab w:val="right" w:leader="dot" w:pos="8659"/>
        </w:tabs>
        <w:rPr>
          <w:rFonts w:asciiTheme="minorHAnsi" w:hAnsiTheme="minorHAnsi"/>
          <w:noProof/>
          <w:lang w:eastAsia="en-GB"/>
        </w:rPr>
      </w:pPr>
      <w:hyperlink w:anchor="_Toc494034243" w:history="1">
        <w:r w:rsidR="002C5648" w:rsidRPr="00B6334F">
          <w:rPr>
            <w:rStyle w:val="Hyperlink"/>
            <w:noProof/>
          </w:rPr>
          <w:t>7.3 Limitations and Further Research</w:t>
        </w:r>
        <w:r w:rsidR="002C5648">
          <w:rPr>
            <w:noProof/>
            <w:webHidden/>
          </w:rPr>
          <w:tab/>
        </w:r>
        <w:r w:rsidR="002C5648">
          <w:rPr>
            <w:noProof/>
            <w:webHidden/>
          </w:rPr>
          <w:fldChar w:fldCharType="begin"/>
        </w:r>
        <w:r w:rsidR="002C5648">
          <w:rPr>
            <w:noProof/>
            <w:webHidden/>
          </w:rPr>
          <w:instrText xml:space="preserve"> PAGEREF _Toc494034243 \h </w:instrText>
        </w:r>
        <w:r w:rsidR="002C5648">
          <w:rPr>
            <w:noProof/>
            <w:webHidden/>
          </w:rPr>
        </w:r>
        <w:r w:rsidR="002C5648">
          <w:rPr>
            <w:noProof/>
            <w:webHidden/>
          </w:rPr>
          <w:fldChar w:fldCharType="separate"/>
        </w:r>
        <w:r w:rsidR="002C5648">
          <w:rPr>
            <w:noProof/>
            <w:webHidden/>
          </w:rPr>
          <w:t>307</w:t>
        </w:r>
        <w:r w:rsidR="002C5648">
          <w:rPr>
            <w:noProof/>
            <w:webHidden/>
          </w:rPr>
          <w:fldChar w:fldCharType="end"/>
        </w:r>
      </w:hyperlink>
    </w:p>
    <w:p w14:paraId="79325E28" w14:textId="2D4C6D1D" w:rsidR="002C5648" w:rsidRDefault="00F9347F">
      <w:pPr>
        <w:pStyle w:val="TOC2"/>
        <w:tabs>
          <w:tab w:val="right" w:leader="dot" w:pos="8659"/>
        </w:tabs>
        <w:rPr>
          <w:rFonts w:asciiTheme="minorHAnsi" w:hAnsiTheme="minorHAnsi"/>
          <w:noProof/>
          <w:lang w:eastAsia="en-GB"/>
        </w:rPr>
      </w:pPr>
      <w:hyperlink w:anchor="_Toc494034244" w:history="1">
        <w:r w:rsidR="002C5648" w:rsidRPr="00B6334F">
          <w:rPr>
            <w:rStyle w:val="Hyperlink"/>
            <w:noProof/>
          </w:rPr>
          <w:t>7.4Concluding Statement</w:t>
        </w:r>
        <w:r w:rsidR="002C5648">
          <w:rPr>
            <w:noProof/>
            <w:webHidden/>
          </w:rPr>
          <w:tab/>
        </w:r>
        <w:r w:rsidR="002C5648">
          <w:rPr>
            <w:noProof/>
            <w:webHidden/>
          </w:rPr>
          <w:fldChar w:fldCharType="begin"/>
        </w:r>
        <w:r w:rsidR="002C5648">
          <w:rPr>
            <w:noProof/>
            <w:webHidden/>
          </w:rPr>
          <w:instrText xml:space="preserve"> PAGEREF _Toc494034244 \h </w:instrText>
        </w:r>
        <w:r w:rsidR="002C5648">
          <w:rPr>
            <w:noProof/>
            <w:webHidden/>
          </w:rPr>
        </w:r>
        <w:r w:rsidR="002C5648">
          <w:rPr>
            <w:noProof/>
            <w:webHidden/>
          </w:rPr>
          <w:fldChar w:fldCharType="separate"/>
        </w:r>
        <w:r w:rsidR="002C5648">
          <w:rPr>
            <w:noProof/>
            <w:webHidden/>
          </w:rPr>
          <w:t>310</w:t>
        </w:r>
        <w:r w:rsidR="002C5648">
          <w:rPr>
            <w:noProof/>
            <w:webHidden/>
          </w:rPr>
          <w:fldChar w:fldCharType="end"/>
        </w:r>
      </w:hyperlink>
    </w:p>
    <w:p w14:paraId="1C5320EA" w14:textId="51A1A2D2" w:rsidR="002C5648" w:rsidRDefault="00F9347F">
      <w:pPr>
        <w:pStyle w:val="TOC1"/>
        <w:rPr>
          <w:rFonts w:asciiTheme="minorHAnsi" w:hAnsiTheme="minorHAnsi"/>
          <w:b w:val="0"/>
          <w:lang w:eastAsia="en-GB"/>
        </w:rPr>
      </w:pPr>
      <w:hyperlink w:anchor="_Toc494034245" w:history="1">
        <w:r w:rsidR="002C5648" w:rsidRPr="00B6334F">
          <w:rPr>
            <w:rStyle w:val="Hyperlink"/>
          </w:rPr>
          <w:t>Appendix</w:t>
        </w:r>
        <w:r w:rsidR="002C5648">
          <w:rPr>
            <w:webHidden/>
          </w:rPr>
          <w:tab/>
        </w:r>
        <w:r w:rsidR="002C5648">
          <w:rPr>
            <w:webHidden/>
          </w:rPr>
          <w:fldChar w:fldCharType="begin"/>
        </w:r>
        <w:r w:rsidR="002C5648">
          <w:rPr>
            <w:webHidden/>
          </w:rPr>
          <w:instrText xml:space="preserve"> PAGEREF _Toc494034245 \h </w:instrText>
        </w:r>
        <w:r w:rsidR="002C5648">
          <w:rPr>
            <w:webHidden/>
          </w:rPr>
        </w:r>
        <w:r w:rsidR="002C5648">
          <w:rPr>
            <w:webHidden/>
          </w:rPr>
          <w:fldChar w:fldCharType="separate"/>
        </w:r>
        <w:r w:rsidR="002C5648">
          <w:rPr>
            <w:webHidden/>
          </w:rPr>
          <w:t>312</w:t>
        </w:r>
        <w:r w:rsidR="002C5648">
          <w:rPr>
            <w:webHidden/>
          </w:rPr>
          <w:fldChar w:fldCharType="end"/>
        </w:r>
      </w:hyperlink>
    </w:p>
    <w:p w14:paraId="3C227891" w14:textId="36646889" w:rsidR="002C5648" w:rsidRDefault="00F9347F">
      <w:pPr>
        <w:pStyle w:val="TOC2"/>
        <w:tabs>
          <w:tab w:val="right" w:leader="dot" w:pos="8659"/>
        </w:tabs>
        <w:rPr>
          <w:rFonts w:asciiTheme="minorHAnsi" w:hAnsiTheme="minorHAnsi"/>
          <w:noProof/>
          <w:lang w:eastAsia="en-GB"/>
        </w:rPr>
      </w:pPr>
      <w:hyperlink w:anchor="_Toc494034246" w:history="1">
        <w:r w:rsidR="002C5648" w:rsidRPr="00B6334F">
          <w:rPr>
            <w:rStyle w:val="Hyperlink"/>
            <w:noProof/>
          </w:rPr>
          <w:t>A.1 Details on Welzel Factor Analysis</w:t>
        </w:r>
        <w:r w:rsidR="002C5648">
          <w:rPr>
            <w:noProof/>
            <w:webHidden/>
          </w:rPr>
          <w:tab/>
        </w:r>
        <w:r w:rsidR="002C5648">
          <w:rPr>
            <w:noProof/>
            <w:webHidden/>
          </w:rPr>
          <w:fldChar w:fldCharType="begin"/>
        </w:r>
        <w:r w:rsidR="002C5648">
          <w:rPr>
            <w:noProof/>
            <w:webHidden/>
          </w:rPr>
          <w:instrText xml:space="preserve"> PAGEREF _Toc494034246 \h </w:instrText>
        </w:r>
        <w:r w:rsidR="002C5648">
          <w:rPr>
            <w:noProof/>
            <w:webHidden/>
          </w:rPr>
        </w:r>
        <w:r w:rsidR="002C5648">
          <w:rPr>
            <w:noProof/>
            <w:webHidden/>
          </w:rPr>
          <w:fldChar w:fldCharType="separate"/>
        </w:r>
        <w:r w:rsidR="002C5648">
          <w:rPr>
            <w:noProof/>
            <w:webHidden/>
          </w:rPr>
          <w:t>312</w:t>
        </w:r>
        <w:r w:rsidR="002C5648">
          <w:rPr>
            <w:noProof/>
            <w:webHidden/>
          </w:rPr>
          <w:fldChar w:fldCharType="end"/>
        </w:r>
      </w:hyperlink>
    </w:p>
    <w:p w14:paraId="11781810" w14:textId="1ABD7044" w:rsidR="002C5648" w:rsidRDefault="00F9347F">
      <w:pPr>
        <w:pStyle w:val="TOC2"/>
        <w:tabs>
          <w:tab w:val="right" w:leader="dot" w:pos="8659"/>
        </w:tabs>
        <w:rPr>
          <w:rFonts w:asciiTheme="minorHAnsi" w:hAnsiTheme="minorHAnsi"/>
          <w:noProof/>
          <w:lang w:eastAsia="en-GB"/>
        </w:rPr>
      </w:pPr>
      <w:hyperlink w:anchor="_Toc494034247" w:history="1">
        <w:r w:rsidR="002C5648" w:rsidRPr="00B6334F">
          <w:rPr>
            <w:rStyle w:val="Hyperlink"/>
            <w:noProof/>
          </w:rPr>
          <w:t>A.2 Details on Variable Construction (Individual Level)</w:t>
        </w:r>
        <w:r w:rsidR="002C5648">
          <w:rPr>
            <w:noProof/>
            <w:webHidden/>
          </w:rPr>
          <w:tab/>
        </w:r>
        <w:r w:rsidR="002C5648">
          <w:rPr>
            <w:noProof/>
            <w:webHidden/>
          </w:rPr>
          <w:fldChar w:fldCharType="begin"/>
        </w:r>
        <w:r w:rsidR="002C5648">
          <w:rPr>
            <w:noProof/>
            <w:webHidden/>
          </w:rPr>
          <w:instrText xml:space="preserve"> PAGEREF _Toc494034247 \h </w:instrText>
        </w:r>
        <w:r w:rsidR="002C5648">
          <w:rPr>
            <w:noProof/>
            <w:webHidden/>
          </w:rPr>
        </w:r>
        <w:r w:rsidR="002C5648">
          <w:rPr>
            <w:noProof/>
            <w:webHidden/>
          </w:rPr>
          <w:fldChar w:fldCharType="separate"/>
        </w:r>
        <w:r w:rsidR="002C5648">
          <w:rPr>
            <w:noProof/>
            <w:webHidden/>
          </w:rPr>
          <w:t>314</w:t>
        </w:r>
        <w:r w:rsidR="002C5648">
          <w:rPr>
            <w:noProof/>
            <w:webHidden/>
          </w:rPr>
          <w:fldChar w:fldCharType="end"/>
        </w:r>
      </w:hyperlink>
    </w:p>
    <w:p w14:paraId="473FD8EE" w14:textId="29B1CBBC" w:rsidR="002C5648" w:rsidRDefault="00F9347F">
      <w:pPr>
        <w:pStyle w:val="TOC2"/>
        <w:tabs>
          <w:tab w:val="right" w:leader="dot" w:pos="8659"/>
        </w:tabs>
        <w:rPr>
          <w:rFonts w:asciiTheme="minorHAnsi" w:hAnsiTheme="minorHAnsi"/>
          <w:noProof/>
          <w:lang w:eastAsia="en-GB"/>
        </w:rPr>
      </w:pPr>
      <w:hyperlink w:anchor="_Toc494034248" w:history="1">
        <w:r w:rsidR="002C5648" w:rsidRPr="00B6334F">
          <w:rPr>
            <w:rStyle w:val="Hyperlink"/>
            <w:noProof/>
          </w:rPr>
          <w:t>A.3 Details on Variable Construction (National Level)</w:t>
        </w:r>
        <w:r w:rsidR="002C5648">
          <w:rPr>
            <w:noProof/>
            <w:webHidden/>
          </w:rPr>
          <w:tab/>
        </w:r>
        <w:r w:rsidR="002C5648">
          <w:rPr>
            <w:noProof/>
            <w:webHidden/>
          </w:rPr>
          <w:fldChar w:fldCharType="begin"/>
        </w:r>
        <w:r w:rsidR="002C5648">
          <w:rPr>
            <w:noProof/>
            <w:webHidden/>
          </w:rPr>
          <w:instrText xml:space="preserve"> PAGEREF _Toc494034248 \h </w:instrText>
        </w:r>
        <w:r w:rsidR="002C5648">
          <w:rPr>
            <w:noProof/>
            <w:webHidden/>
          </w:rPr>
        </w:r>
        <w:r w:rsidR="002C5648">
          <w:rPr>
            <w:noProof/>
            <w:webHidden/>
          </w:rPr>
          <w:fldChar w:fldCharType="separate"/>
        </w:r>
        <w:r w:rsidR="002C5648">
          <w:rPr>
            <w:noProof/>
            <w:webHidden/>
          </w:rPr>
          <w:t>315</w:t>
        </w:r>
        <w:r w:rsidR="002C5648">
          <w:rPr>
            <w:noProof/>
            <w:webHidden/>
          </w:rPr>
          <w:fldChar w:fldCharType="end"/>
        </w:r>
      </w:hyperlink>
    </w:p>
    <w:p w14:paraId="7772085C" w14:textId="69D001D5" w:rsidR="002C5648" w:rsidRDefault="00F9347F">
      <w:pPr>
        <w:pStyle w:val="TOC1"/>
        <w:rPr>
          <w:rFonts w:asciiTheme="minorHAnsi" w:hAnsiTheme="minorHAnsi"/>
          <w:b w:val="0"/>
          <w:lang w:eastAsia="en-GB"/>
        </w:rPr>
      </w:pPr>
      <w:hyperlink w:anchor="_Toc494034249" w:history="1">
        <w:r w:rsidR="002C5648" w:rsidRPr="00B6334F">
          <w:rPr>
            <w:rStyle w:val="Hyperlink"/>
          </w:rPr>
          <w:t>References</w:t>
        </w:r>
        <w:r w:rsidR="002C5648">
          <w:rPr>
            <w:webHidden/>
          </w:rPr>
          <w:tab/>
        </w:r>
        <w:r w:rsidR="002C5648">
          <w:rPr>
            <w:webHidden/>
          </w:rPr>
          <w:fldChar w:fldCharType="begin"/>
        </w:r>
        <w:r w:rsidR="002C5648">
          <w:rPr>
            <w:webHidden/>
          </w:rPr>
          <w:instrText xml:space="preserve"> PAGEREF _Toc494034249 \h </w:instrText>
        </w:r>
        <w:r w:rsidR="002C5648">
          <w:rPr>
            <w:webHidden/>
          </w:rPr>
        </w:r>
        <w:r w:rsidR="002C5648">
          <w:rPr>
            <w:webHidden/>
          </w:rPr>
          <w:fldChar w:fldCharType="separate"/>
        </w:r>
        <w:r w:rsidR="002C5648">
          <w:rPr>
            <w:webHidden/>
          </w:rPr>
          <w:t>316</w:t>
        </w:r>
        <w:r w:rsidR="002C5648">
          <w:rPr>
            <w:webHidden/>
          </w:rPr>
          <w:fldChar w:fldCharType="end"/>
        </w:r>
      </w:hyperlink>
    </w:p>
    <w:p w14:paraId="21119B77" w14:textId="7F4DCC53" w:rsidR="009A5842" w:rsidRDefault="00A549D2" w:rsidP="00A549D2">
      <w:r>
        <w:lastRenderedPageBreak/>
        <w:fldChar w:fldCharType="end"/>
      </w:r>
    </w:p>
    <w:p w14:paraId="66A487EF" w14:textId="77777777" w:rsidR="002C5648" w:rsidRDefault="002C5648" w:rsidP="00A549D2"/>
    <w:p w14:paraId="0D235F74" w14:textId="6A4E8E64" w:rsidR="009A5842" w:rsidRPr="0052597C" w:rsidRDefault="009A5842" w:rsidP="00AC4DFA">
      <w:pPr>
        <w:spacing w:before="0" w:line="240" w:lineRule="auto"/>
        <w:rPr>
          <w:rFonts w:cs="Segoe UI"/>
          <w:b/>
          <w:sz w:val="28"/>
          <w:szCs w:val="28"/>
        </w:rPr>
      </w:pPr>
      <w:r w:rsidRPr="0052597C">
        <w:rPr>
          <w:rFonts w:cs="Segoe UI"/>
          <w:b/>
          <w:sz w:val="28"/>
          <w:szCs w:val="28"/>
        </w:rPr>
        <w:t>List of Figures</w:t>
      </w:r>
    </w:p>
    <w:p w14:paraId="0207F1D3" w14:textId="10A50004" w:rsidR="0062679D" w:rsidRDefault="00C500F6">
      <w:pPr>
        <w:pStyle w:val="TableofFigures"/>
        <w:tabs>
          <w:tab w:val="right" w:leader="dot" w:pos="8659"/>
        </w:tabs>
        <w:rPr>
          <w:rFonts w:asciiTheme="minorHAnsi" w:hAnsiTheme="minorHAnsi"/>
          <w:noProof/>
          <w:lang w:eastAsia="en-GB"/>
        </w:rPr>
      </w:pPr>
      <w:r w:rsidRPr="00AC4DFA">
        <w:rPr>
          <w:rFonts w:cs="Segoe UI"/>
          <w:sz w:val="24"/>
          <w:szCs w:val="24"/>
        </w:rPr>
        <w:fldChar w:fldCharType="begin"/>
      </w:r>
      <w:r w:rsidRPr="00AC4DFA">
        <w:rPr>
          <w:rFonts w:cs="Segoe UI"/>
          <w:sz w:val="24"/>
          <w:szCs w:val="24"/>
        </w:rPr>
        <w:instrText xml:space="preserve"> TOC \h \z \c "Figure" </w:instrText>
      </w:r>
      <w:r w:rsidRPr="00AC4DFA">
        <w:rPr>
          <w:rFonts w:cs="Segoe UI"/>
          <w:sz w:val="24"/>
          <w:szCs w:val="24"/>
        </w:rPr>
        <w:fldChar w:fldCharType="separate"/>
      </w:r>
      <w:hyperlink w:anchor="_Toc494687129" w:history="1">
        <w:r w:rsidR="0062679D" w:rsidRPr="00F03132">
          <w:rPr>
            <w:rStyle w:val="Hyperlink"/>
            <w:noProof/>
          </w:rPr>
          <w:t>Figure 1:1 Support for ‘Having a Democratic System’ to govern the country</w:t>
        </w:r>
        <w:r w:rsidR="0062679D">
          <w:rPr>
            <w:noProof/>
            <w:webHidden/>
          </w:rPr>
          <w:tab/>
        </w:r>
        <w:r w:rsidR="0062679D">
          <w:rPr>
            <w:noProof/>
            <w:webHidden/>
          </w:rPr>
          <w:fldChar w:fldCharType="begin"/>
        </w:r>
        <w:r w:rsidR="0062679D">
          <w:rPr>
            <w:noProof/>
            <w:webHidden/>
          </w:rPr>
          <w:instrText xml:space="preserve"> PAGEREF _Toc494687129 \h </w:instrText>
        </w:r>
        <w:r w:rsidR="0062679D">
          <w:rPr>
            <w:noProof/>
            <w:webHidden/>
          </w:rPr>
        </w:r>
        <w:r w:rsidR="0062679D">
          <w:rPr>
            <w:noProof/>
            <w:webHidden/>
          </w:rPr>
          <w:fldChar w:fldCharType="separate"/>
        </w:r>
        <w:r w:rsidR="0062679D">
          <w:rPr>
            <w:noProof/>
            <w:webHidden/>
          </w:rPr>
          <w:t>18</w:t>
        </w:r>
        <w:r w:rsidR="0062679D">
          <w:rPr>
            <w:noProof/>
            <w:webHidden/>
          </w:rPr>
          <w:fldChar w:fldCharType="end"/>
        </w:r>
      </w:hyperlink>
    </w:p>
    <w:p w14:paraId="05D4D53E" w14:textId="633234FE" w:rsidR="0062679D" w:rsidRDefault="00F9347F">
      <w:pPr>
        <w:pStyle w:val="TableofFigures"/>
        <w:tabs>
          <w:tab w:val="right" w:leader="dot" w:pos="8659"/>
        </w:tabs>
        <w:rPr>
          <w:rFonts w:asciiTheme="minorHAnsi" w:hAnsiTheme="minorHAnsi"/>
          <w:noProof/>
          <w:lang w:eastAsia="en-GB"/>
        </w:rPr>
      </w:pPr>
      <w:hyperlink w:anchor="_Toc494687130" w:history="1">
        <w:r w:rsidR="0062679D" w:rsidRPr="00F03132">
          <w:rPr>
            <w:rStyle w:val="Hyperlink"/>
            <w:noProof/>
          </w:rPr>
          <w:t>Figure 1:2 Freedom in the World 2014</w:t>
        </w:r>
        <w:r w:rsidR="0062679D">
          <w:rPr>
            <w:noProof/>
            <w:webHidden/>
          </w:rPr>
          <w:tab/>
        </w:r>
        <w:r w:rsidR="0062679D">
          <w:rPr>
            <w:noProof/>
            <w:webHidden/>
          </w:rPr>
          <w:fldChar w:fldCharType="begin"/>
        </w:r>
        <w:r w:rsidR="0062679D">
          <w:rPr>
            <w:noProof/>
            <w:webHidden/>
          </w:rPr>
          <w:instrText xml:space="preserve"> PAGEREF _Toc494687130 \h </w:instrText>
        </w:r>
        <w:r w:rsidR="0062679D">
          <w:rPr>
            <w:noProof/>
            <w:webHidden/>
          </w:rPr>
        </w:r>
        <w:r w:rsidR="0062679D">
          <w:rPr>
            <w:noProof/>
            <w:webHidden/>
          </w:rPr>
          <w:fldChar w:fldCharType="separate"/>
        </w:r>
        <w:r w:rsidR="0062679D">
          <w:rPr>
            <w:noProof/>
            <w:webHidden/>
          </w:rPr>
          <w:t>19</w:t>
        </w:r>
        <w:r w:rsidR="0062679D">
          <w:rPr>
            <w:noProof/>
            <w:webHidden/>
          </w:rPr>
          <w:fldChar w:fldCharType="end"/>
        </w:r>
      </w:hyperlink>
    </w:p>
    <w:p w14:paraId="510557BC" w14:textId="49903C20" w:rsidR="0062679D" w:rsidRDefault="00F9347F">
      <w:pPr>
        <w:pStyle w:val="TableofFigures"/>
        <w:tabs>
          <w:tab w:val="right" w:leader="dot" w:pos="8659"/>
        </w:tabs>
        <w:rPr>
          <w:rFonts w:asciiTheme="minorHAnsi" w:hAnsiTheme="minorHAnsi"/>
          <w:noProof/>
          <w:lang w:eastAsia="en-GB"/>
        </w:rPr>
      </w:pPr>
      <w:hyperlink w:anchor="_Toc494687131" w:history="1">
        <w:r w:rsidR="0062679D" w:rsidRPr="00F03132">
          <w:rPr>
            <w:rStyle w:val="Hyperlink"/>
            <w:noProof/>
          </w:rPr>
          <w:t>Figure 1:3 Freedom in the World Population Percentages and Legend</w:t>
        </w:r>
        <w:r w:rsidR="0062679D">
          <w:rPr>
            <w:noProof/>
            <w:webHidden/>
          </w:rPr>
          <w:tab/>
        </w:r>
        <w:r w:rsidR="0062679D">
          <w:rPr>
            <w:noProof/>
            <w:webHidden/>
          </w:rPr>
          <w:fldChar w:fldCharType="begin"/>
        </w:r>
        <w:r w:rsidR="0062679D">
          <w:rPr>
            <w:noProof/>
            <w:webHidden/>
          </w:rPr>
          <w:instrText xml:space="preserve"> PAGEREF _Toc494687131 \h </w:instrText>
        </w:r>
        <w:r w:rsidR="0062679D">
          <w:rPr>
            <w:noProof/>
            <w:webHidden/>
          </w:rPr>
        </w:r>
        <w:r w:rsidR="0062679D">
          <w:rPr>
            <w:noProof/>
            <w:webHidden/>
          </w:rPr>
          <w:fldChar w:fldCharType="separate"/>
        </w:r>
        <w:r w:rsidR="0062679D">
          <w:rPr>
            <w:noProof/>
            <w:webHidden/>
          </w:rPr>
          <w:t>19</w:t>
        </w:r>
        <w:r w:rsidR="0062679D">
          <w:rPr>
            <w:noProof/>
            <w:webHidden/>
          </w:rPr>
          <w:fldChar w:fldCharType="end"/>
        </w:r>
      </w:hyperlink>
    </w:p>
    <w:p w14:paraId="55039836" w14:textId="248453B9" w:rsidR="0062679D" w:rsidRDefault="00F9347F">
      <w:pPr>
        <w:pStyle w:val="TableofFigures"/>
        <w:tabs>
          <w:tab w:val="right" w:leader="dot" w:pos="8659"/>
        </w:tabs>
        <w:rPr>
          <w:rFonts w:asciiTheme="minorHAnsi" w:hAnsiTheme="minorHAnsi"/>
          <w:noProof/>
          <w:lang w:eastAsia="en-GB"/>
        </w:rPr>
      </w:pPr>
      <w:hyperlink w:anchor="_Toc494687132" w:history="1">
        <w:r w:rsidR="0062679D" w:rsidRPr="00F03132">
          <w:rPr>
            <w:rStyle w:val="Hyperlink"/>
            <w:noProof/>
          </w:rPr>
          <w:t>Figure 1:4 How Important is Democracy on a Scale of 1-10 (1 = Not at all Important 10=Absolutely Important): All Countries versus Not Free</w:t>
        </w:r>
        <w:r w:rsidR="0062679D">
          <w:rPr>
            <w:noProof/>
            <w:webHidden/>
          </w:rPr>
          <w:tab/>
        </w:r>
        <w:r w:rsidR="0062679D">
          <w:rPr>
            <w:noProof/>
            <w:webHidden/>
          </w:rPr>
          <w:fldChar w:fldCharType="begin"/>
        </w:r>
        <w:r w:rsidR="0062679D">
          <w:rPr>
            <w:noProof/>
            <w:webHidden/>
          </w:rPr>
          <w:instrText xml:space="preserve"> PAGEREF _Toc494687132 \h </w:instrText>
        </w:r>
        <w:r w:rsidR="0062679D">
          <w:rPr>
            <w:noProof/>
            <w:webHidden/>
          </w:rPr>
        </w:r>
        <w:r w:rsidR="0062679D">
          <w:rPr>
            <w:noProof/>
            <w:webHidden/>
          </w:rPr>
          <w:fldChar w:fldCharType="separate"/>
        </w:r>
        <w:r w:rsidR="0062679D">
          <w:rPr>
            <w:noProof/>
            <w:webHidden/>
          </w:rPr>
          <w:t>20</w:t>
        </w:r>
        <w:r w:rsidR="0062679D">
          <w:rPr>
            <w:noProof/>
            <w:webHidden/>
          </w:rPr>
          <w:fldChar w:fldCharType="end"/>
        </w:r>
      </w:hyperlink>
    </w:p>
    <w:p w14:paraId="05F320C5" w14:textId="0B40A44B" w:rsidR="0062679D" w:rsidRDefault="00F9347F">
      <w:pPr>
        <w:pStyle w:val="TableofFigures"/>
        <w:tabs>
          <w:tab w:val="right" w:leader="dot" w:pos="8659"/>
        </w:tabs>
        <w:rPr>
          <w:rFonts w:asciiTheme="minorHAnsi" w:hAnsiTheme="minorHAnsi"/>
          <w:noProof/>
          <w:lang w:eastAsia="en-GB"/>
        </w:rPr>
      </w:pPr>
      <w:hyperlink w:anchor="_Toc494687133" w:history="1">
        <w:r w:rsidR="0062679D" w:rsidRPr="00F03132">
          <w:rPr>
            <w:rStyle w:val="Hyperlink"/>
            <w:noProof/>
          </w:rPr>
          <w:t>Figure 1:5 What Statement is Closest to Your Opinion Democracy as a Government? (African States)</w:t>
        </w:r>
        <w:r w:rsidR="0062679D">
          <w:rPr>
            <w:noProof/>
            <w:webHidden/>
          </w:rPr>
          <w:tab/>
        </w:r>
        <w:r w:rsidR="0062679D">
          <w:rPr>
            <w:noProof/>
            <w:webHidden/>
          </w:rPr>
          <w:fldChar w:fldCharType="begin"/>
        </w:r>
        <w:r w:rsidR="0062679D">
          <w:rPr>
            <w:noProof/>
            <w:webHidden/>
          </w:rPr>
          <w:instrText xml:space="preserve"> PAGEREF _Toc494687133 \h </w:instrText>
        </w:r>
        <w:r w:rsidR="0062679D">
          <w:rPr>
            <w:noProof/>
            <w:webHidden/>
          </w:rPr>
        </w:r>
        <w:r w:rsidR="0062679D">
          <w:rPr>
            <w:noProof/>
            <w:webHidden/>
          </w:rPr>
          <w:fldChar w:fldCharType="separate"/>
        </w:r>
        <w:r w:rsidR="0062679D">
          <w:rPr>
            <w:noProof/>
            <w:webHidden/>
          </w:rPr>
          <w:t>21</w:t>
        </w:r>
        <w:r w:rsidR="0062679D">
          <w:rPr>
            <w:noProof/>
            <w:webHidden/>
          </w:rPr>
          <w:fldChar w:fldCharType="end"/>
        </w:r>
      </w:hyperlink>
    </w:p>
    <w:p w14:paraId="5B3CCE2D" w14:textId="472E6E34" w:rsidR="0062679D" w:rsidRDefault="00F9347F">
      <w:pPr>
        <w:pStyle w:val="TableofFigures"/>
        <w:tabs>
          <w:tab w:val="right" w:leader="dot" w:pos="8659"/>
        </w:tabs>
        <w:rPr>
          <w:rFonts w:asciiTheme="minorHAnsi" w:hAnsiTheme="minorHAnsi"/>
          <w:noProof/>
          <w:lang w:eastAsia="en-GB"/>
        </w:rPr>
      </w:pPr>
      <w:hyperlink w:anchor="_Toc494687134" w:history="1">
        <w:r w:rsidR="0062679D" w:rsidRPr="00F03132">
          <w:rPr>
            <w:rStyle w:val="Hyperlink"/>
            <w:noProof/>
          </w:rPr>
          <w:t>Figure 2:1 Polyarchy and the Democratic Process (from Dahl 1989, p.222)</w:t>
        </w:r>
        <w:r w:rsidR="0062679D">
          <w:rPr>
            <w:noProof/>
            <w:webHidden/>
          </w:rPr>
          <w:tab/>
        </w:r>
        <w:r w:rsidR="0062679D">
          <w:rPr>
            <w:noProof/>
            <w:webHidden/>
          </w:rPr>
          <w:fldChar w:fldCharType="begin"/>
        </w:r>
        <w:r w:rsidR="0062679D">
          <w:rPr>
            <w:noProof/>
            <w:webHidden/>
          </w:rPr>
          <w:instrText xml:space="preserve"> PAGEREF _Toc494687134 \h </w:instrText>
        </w:r>
        <w:r w:rsidR="0062679D">
          <w:rPr>
            <w:noProof/>
            <w:webHidden/>
          </w:rPr>
        </w:r>
        <w:r w:rsidR="0062679D">
          <w:rPr>
            <w:noProof/>
            <w:webHidden/>
          </w:rPr>
          <w:fldChar w:fldCharType="separate"/>
        </w:r>
        <w:r w:rsidR="0062679D">
          <w:rPr>
            <w:noProof/>
            <w:webHidden/>
          </w:rPr>
          <w:t>44</w:t>
        </w:r>
        <w:r w:rsidR="0062679D">
          <w:rPr>
            <w:noProof/>
            <w:webHidden/>
          </w:rPr>
          <w:fldChar w:fldCharType="end"/>
        </w:r>
      </w:hyperlink>
    </w:p>
    <w:p w14:paraId="46BE7F6C" w14:textId="7FDE3B19" w:rsidR="0062679D" w:rsidRDefault="00F9347F">
      <w:pPr>
        <w:pStyle w:val="TableofFigures"/>
        <w:tabs>
          <w:tab w:val="right" w:leader="dot" w:pos="8659"/>
        </w:tabs>
        <w:rPr>
          <w:rFonts w:asciiTheme="minorHAnsi" w:hAnsiTheme="minorHAnsi"/>
          <w:noProof/>
          <w:lang w:eastAsia="en-GB"/>
        </w:rPr>
      </w:pPr>
      <w:hyperlink w:anchor="_Toc494687135" w:history="1">
        <w:r w:rsidR="0062679D" w:rsidRPr="00F03132">
          <w:rPr>
            <w:rStyle w:val="Hyperlink"/>
            <w:noProof/>
          </w:rPr>
          <w:t>Figure 2:2 Political Support – Analysis and Trends (adapted from Norris 1999, p.10 and Dalton 1999, p.58)</w:t>
        </w:r>
        <w:r w:rsidR="0062679D">
          <w:rPr>
            <w:noProof/>
            <w:webHidden/>
          </w:rPr>
          <w:tab/>
        </w:r>
        <w:r w:rsidR="0062679D">
          <w:rPr>
            <w:noProof/>
            <w:webHidden/>
          </w:rPr>
          <w:fldChar w:fldCharType="begin"/>
        </w:r>
        <w:r w:rsidR="0062679D">
          <w:rPr>
            <w:noProof/>
            <w:webHidden/>
          </w:rPr>
          <w:instrText xml:space="preserve"> PAGEREF _Toc494687135 \h </w:instrText>
        </w:r>
        <w:r w:rsidR="0062679D">
          <w:rPr>
            <w:noProof/>
            <w:webHidden/>
          </w:rPr>
        </w:r>
        <w:r w:rsidR="0062679D">
          <w:rPr>
            <w:noProof/>
            <w:webHidden/>
          </w:rPr>
          <w:fldChar w:fldCharType="separate"/>
        </w:r>
        <w:r w:rsidR="0062679D">
          <w:rPr>
            <w:noProof/>
            <w:webHidden/>
          </w:rPr>
          <w:t>73</w:t>
        </w:r>
        <w:r w:rsidR="0062679D">
          <w:rPr>
            <w:noProof/>
            <w:webHidden/>
          </w:rPr>
          <w:fldChar w:fldCharType="end"/>
        </w:r>
      </w:hyperlink>
    </w:p>
    <w:p w14:paraId="152B1B5E" w14:textId="1A35763D" w:rsidR="0062679D" w:rsidRDefault="00F9347F">
      <w:pPr>
        <w:pStyle w:val="TableofFigures"/>
        <w:tabs>
          <w:tab w:val="right" w:leader="dot" w:pos="8659"/>
        </w:tabs>
        <w:rPr>
          <w:rFonts w:asciiTheme="minorHAnsi" w:hAnsiTheme="minorHAnsi"/>
          <w:noProof/>
          <w:lang w:eastAsia="en-GB"/>
        </w:rPr>
      </w:pPr>
      <w:hyperlink w:anchor="_Toc494687136" w:history="1">
        <w:r w:rsidR="0062679D" w:rsidRPr="00F03132">
          <w:rPr>
            <w:rStyle w:val="Hyperlink"/>
            <w:noProof/>
          </w:rPr>
          <w:t>Figure 2:3 Questions on Democratic Characteristics from the WVS2008 and their theoretical classification by Cho, Welzel and Norris</w:t>
        </w:r>
        <w:r w:rsidR="0062679D">
          <w:rPr>
            <w:noProof/>
            <w:webHidden/>
          </w:rPr>
          <w:tab/>
        </w:r>
        <w:r w:rsidR="0062679D">
          <w:rPr>
            <w:noProof/>
            <w:webHidden/>
          </w:rPr>
          <w:fldChar w:fldCharType="begin"/>
        </w:r>
        <w:r w:rsidR="0062679D">
          <w:rPr>
            <w:noProof/>
            <w:webHidden/>
          </w:rPr>
          <w:instrText xml:space="preserve"> PAGEREF _Toc494687136 \h </w:instrText>
        </w:r>
        <w:r w:rsidR="0062679D">
          <w:rPr>
            <w:noProof/>
            <w:webHidden/>
          </w:rPr>
        </w:r>
        <w:r w:rsidR="0062679D">
          <w:rPr>
            <w:noProof/>
            <w:webHidden/>
          </w:rPr>
          <w:fldChar w:fldCharType="separate"/>
        </w:r>
        <w:r w:rsidR="0062679D">
          <w:rPr>
            <w:noProof/>
            <w:webHidden/>
          </w:rPr>
          <w:t>80</w:t>
        </w:r>
        <w:r w:rsidR="0062679D">
          <w:rPr>
            <w:noProof/>
            <w:webHidden/>
          </w:rPr>
          <w:fldChar w:fldCharType="end"/>
        </w:r>
      </w:hyperlink>
    </w:p>
    <w:p w14:paraId="31C5A36A" w14:textId="12FDC512" w:rsidR="0062679D" w:rsidRDefault="00F9347F">
      <w:pPr>
        <w:pStyle w:val="TableofFigures"/>
        <w:tabs>
          <w:tab w:val="right" w:leader="dot" w:pos="8659"/>
        </w:tabs>
        <w:rPr>
          <w:rFonts w:asciiTheme="minorHAnsi" w:hAnsiTheme="minorHAnsi"/>
          <w:noProof/>
          <w:lang w:eastAsia="en-GB"/>
        </w:rPr>
      </w:pPr>
      <w:hyperlink w:anchor="_Toc494687137" w:history="1">
        <w:r w:rsidR="0062679D" w:rsidRPr="00F03132">
          <w:rPr>
            <w:rStyle w:val="Hyperlink"/>
            <w:noProof/>
          </w:rPr>
          <w:t>Figure 2:4 Configuration of the WVS2008 questions to test democratic understanding across three studies</w:t>
        </w:r>
        <w:r w:rsidR="0062679D">
          <w:rPr>
            <w:noProof/>
            <w:webHidden/>
          </w:rPr>
          <w:tab/>
        </w:r>
        <w:r w:rsidR="0062679D">
          <w:rPr>
            <w:noProof/>
            <w:webHidden/>
          </w:rPr>
          <w:fldChar w:fldCharType="begin"/>
        </w:r>
        <w:r w:rsidR="0062679D">
          <w:rPr>
            <w:noProof/>
            <w:webHidden/>
          </w:rPr>
          <w:instrText xml:space="preserve"> PAGEREF _Toc494687137 \h </w:instrText>
        </w:r>
        <w:r w:rsidR="0062679D">
          <w:rPr>
            <w:noProof/>
            <w:webHidden/>
          </w:rPr>
        </w:r>
        <w:r w:rsidR="0062679D">
          <w:rPr>
            <w:noProof/>
            <w:webHidden/>
          </w:rPr>
          <w:fldChar w:fldCharType="separate"/>
        </w:r>
        <w:r w:rsidR="0062679D">
          <w:rPr>
            <w:noProof/>
            <w:webHidden/>
          </w:rPr>
          <w:t>80</w:t>
        </w:r>
        <w:r w:rsidR="0062679D">
          <w:rPr>
            <w:noProof/>
            <w:webHidden/>
          </w:rPr>
          <w:fldChar w:fldCharType="end"/>
        </w:r>
      </w:hyperlink>
    </w:p>
    <w:p w14:paraId="061AF12E" w14:textId="1DCED80F" w:rsidR="0062679D" w:rsidRDefault="00F9347F">
      <w:pPr>
        <w:pStyle w:val="TableofFigures"/>
        <w:tabs>
          <w:tab w:val="right" w:leader="dot" w:pos="8659"/>
        </w:tabs>
        <w:rPr>
          <w:rFonts w:asciiTheme="minorHAnsi" w:hAnsiTheme="minorHAnsi"/>
          <w:noProof/>
          <w:lang w:eastAsia="en-GB"/>
        </w:rPr>
      </w:pPr>
      <w:hyperlink w:anchor="_Toc494687138" w:history="1">
        <w:r w:rsidR="0062679D" w:rsidRPr="00F03132">
          <w:rPr>
            <w:rStyle w:val="Hyperlink"/>
            <w:noProof/>
            <w:highlight w:val="green"/>
          </w:rPr>
          <w:t>Figure 3:1 Democratic Characteristics from the WVS2008</w:t>
        </w:r>
        <w:r w:rsidR="0062679D">
          <w:rPr>
            <w:noProof/>
            <w:webHidden/>
          </w:rPr>
          <w:tab/>
        </w:r>
        <w:r w:rsidR="0062679D">
          <w:rPr>
            <w:noProof/>
            <w:webHidden/>
          </w:rPr>
          <w:fldChar w:fldCharType="begin"/>
        </w:r>
        <w:r w:rsidR="0062679D">
          <w:rPr>
            <w:noProof/>
            <w:webHidden/>
          </w:rPr>
          <w:instrText xml:space="preserve"> PAGEREF _Toc494687138 \h </w:instrText>
        </w:r>
        <w:r w:rsidR="0062679D">
          <w:rPr>
            <w:noProof/>
            <w:webHidden/>
          </w:rPr>
        </w:r>
        <w:r w:rsidR="0062679D">
          <w:rPr>
            <w:noProof/>
            <w:webHidden/>
          </w:rPr>
          <w:fldChar w:fldCharType="separate"/>
        </w:r>
        <w:r w:rsidR="0062679D">
          <w:rPr>
            <w:noProof/>
            <w:webHidden/>
          </w:rPr>
          <w:t>94</w:t>
        </w:r>
        <w:r w:rsidR="0062679D">
          <w:rPr>
            <w:noProof/>
            <w:webHidden/>
          </w:rPr>
          <w:fldChar w:fldCharType="end"/>
        </w:r>
      </w:hyperlink>
    </w:p>
    <w:p w14:paraId="52A312C1" w14:textId="20FADE06" w:rsidR="0062679D" w:rsidRDefault="00F9347F">
      <w:pPr>
        <w:pStyle w:val="TableofFigures"/>
        <w:tabs>
          <w:tab w:val="right" w:leader="dot" w:pos="8659"/>
        </w:tabs>
        <w:rPr>
          <w:rFonts w:asciiTheme="minorHAnsi" w:hAnsiTheme="minorHAnsi"/>
          <w:noProof/>
          <w:lang w:eastAsia="en-GB"/>
        </w:rPr>
      </w:pPr>
      <w:hyperlink w:anchor="_Toc494687139" w:history="1">
        <w:r w:rsidR="0062679D" w:rsidRPr="00F03132">
          <w:rPr>
            <w:rStyle w:val="Hyperlink"/>
            <w:noProof/>
          </w:rPr>
          <w:t>Figure 3:2 Countries used in this analysis</w:t>
        </w:r>
        <w:r w:rsidR="0062679D">
          <w:rPr>
            <w:noProof/>
            <w:webHidden/>
          </w:rPr>
          <w:tab/>
        </w:r>
        <w:r w:rsidR="0062679D">
          <w:rPr>
            <w:noProof/>
            <w:webHidden/>
          </w:rPr>
          <w:fldChar w:fldCharType="begin"/>
        </w:r>
        <w:r w:rsidR="0062679D">
          <w:rPr>
            <w:noProof/>
            <w:webHidden/>
          </w:rPr>
          <w:instrText xml:space="preserve"> PAGEREF _Toc494687139 \h </w:instrText>
        </w:r>
        <w:r w:rsidR="0062679D">
          <w:rPr>
            <w:noProof/>
            <w:webHidden/>
          </w:rPr>
        </w:r>
        <w:r w:rsidR="0062679D">
          <w:rPr>
            <w:noProof/>
            <w:webHidden/>
          </w:rPr>
          <w:fldChar w:fldCharType="separate"/>
        </w:r>
        <w:r w:rsidR="0062679D">
          <w:rPr>
            <w:noProof/>
            <w:webHidden/>
          </w:rPr>
          <w:t>99</w:t>
        </w:r>
        <w:r w:rsidR="0062679D">
          <w:rPr>
            <w:noProof/>
            <w:webHidden/>
          </w:rPr>
          <w:fldChar w:fldCharType="end"/>
        </w:r>
      </w:hyperlink>
    </w:p>
    <w:p w14:paraId="551353EC" w14:textId="7146F04A" w:rsidR="0062679D" w:rsidRDefault="00F9347F">
      <w:pPr>
        <w:pStyle w:val="TableofFigures"/>
        <w:tabs>
          <w:tab w:val="right" w:leader="dot" w:pos="8659"/>
        </w:tabs>
        <w:rPr>
          <w:rFonts w:asciiTheme="minorHAnsi" w:hAnsiTheme="minorHAnsi"/>
          <w:noProof/>
          <w:lang w:eastAsia="en-GB"/>
        </w:rPr>
      </w:pPr>
      <w:hyperlink w:anchor="_Toc494687140" w:history="1">
        <w:r w:rsidR="0062679D" w:rsidRPr="00F03132">
          <w:rPr>
            <w:rStyle w:val="Hyperlink"/>
            <w:noProof/>
          </w:rPr>
          <w:t>Figure 3:3 A summary of theoretical expectations for each characteristic of democracy</w:t>
        </w:r>
        <w:r w:rsidR="0062679D">
          <w:rPr>
            <w:noProof/>
            <w:webHidden/>
          </w:rPr>
          <w:tab/>
        </w:r>
        <w:r w:rsidR="0062679D">
          <w:rPr>
            <w:noProof/>
            <w:webHidden/>
          </w:rPr>
          <w:fldChar w:fldCharType="begin"/>
        </w:r>
        <w:r w:rsidR="0062679D">
          <w:rPr>
            <w:noProof/>
            <w:webHidden/>
          </w:rPr>
          <w:instrText xml:space="preserve"> PAGEREF _Toc494687140 \h </w:instrText>
        </w:r>
        <w:r w:rsidR="0062679D">
          <w:rPr>
            <w:noProof/>
            <w:webHidden/>
          </w:rPr>
        </w:r>
        <w:r w:rsidR="0062679D">
          <w:rPr>
            <w:noProof/>
            <w:webHidden/>
          </w:rPr>
          <w:fldChar w:fldCharType="separate"/>
        </w:r>
        <w:r w:rsidR="0062679D">
          <w:rPr>
            <w:noProof/>
            <w:webHidden/>
          </w:rPr>
          <w:t>116</w:t>
        </w:r>
        <w:r w:rsidR="0062679D">
          <w:rPr>
            <w:noProof/>
            <w:webHidden/>
          </w:rPr>
          <w:fldChar w:fldCharType="end"/>
        </w:r>
      </w:hyperlink>
    </w:p>
    <w:p w14:paraId="61876E75" w14:textId="73F0DFBB" w:rsidR="0062679D" w:rsidRDefault="00F9347F">
      <w:pPr>
        <w:pStyle w:val="TableofFigures"/>
        <w:tabs>
          <w:tab w:val="right" w:leader="dot" w:pos="8659"/>
        </w:tabs>
        <w:rPr>
          <w:rFonts w:asciiTheme="minorHAnsi" w:hAnsiTheme="minorHAnsi"/>
          <w:noProof/>
          <w:lang w:eastAsia="en-GB"/>
        </w:rPr>
      </w:pPr>
      <w:hyperlink w:anchor="_Toc494687141" w:history="1">
        <w:r w:rsidR="0062679D" w:rsidRPr="00F03132">
          <w:rPr>
            <w:rStyle w:val="Hyperlink"/>
            <w:noProof/>
          </w:rPr>
          <w:t xml:space="preserve">Figure 3:4 </w:t>
        </w:r>
        <w:r w:rsidR="0062679D" w:rsidRPr="00F03132">
          <w:rPr>
            <w:rStyle w:val="Hyperlink"/>
            <w:noProof/>
            <w:highlight w:val="yellow"/>
          </w:rPr>
          <w:t xml:space="preserve"> Mean and Standard Deviation of Democratic Characteristics (0 Not essential – 10 essential) and Country Level ICC</w:t>
        </w:r>
        <w:r w:rsidR="0062679D">
          <w:rPr>
            <w:noProof/>
            <w:webHidden/>
          </w:rPr>
          <w:tab/>
        </w:r>
        <w:r w:rsidR="0062679D">
          <w:rPr>
            <w:noProof/>
            <w:webHidden/>
          </w:rPr>
          <w:fldChar w:fldCharType="begin"/>
        </w:r>
        <w:r w:rsidR="0062679D">
          <w:rPr>
            <w:noProof/>
            <w:webHidden/>
          </w:rPr>
          <w:instrText xml:space="preserve"> PAGEREF _Toc494687141 \h </w:instrText>
        </w:r>
        <w:r w:rsidR="0062679D">
          <w:rPr>
            <w:noProof/>
            <w:webHidden/>
          </w:rPr>
        </w:r>
        <w:r w:rsidR="0062679D">
          <w:rPr>
            <w:noProof/>
            <w:webHidden/>
          </w:rPr>
          <w:fldChar w:fldCharType="separate"/>
        </w:r>
        <w:r w:rsidR="0062679D">
          <w:rPr>
            <w:noProof/>
            <w:webHidden/>
          </w:rPr>
          <w:t>119</w:t>
        </w:r>
        <w:r w:rsidR="0062679D">
          <w:rPr>
            <w:noProof/>
            <w:webHidden/>
          </w:rPr>
          <w:fldChar w:fldCharType="end"/>
        </w:r>
      </w:hyperlink>
    </w:p>
    <w:p w14:paraId="23A563A9" w14:textId="356EDFE6" w:rsidR="0062679D" w:rsidRDefault="00F9347F">
      <w:pPr>
        <w:pStyle w:val="TableofFigures"/>
        <w:tabs>
          <w:tab w:val="right" w:leader="dot" w:pos="8659"/>
        </w:tabs>
        <w:rPr>
          <w:rFonts w:asciiTheme="minorHAnsi" w:hAnsiTheme="minorHAnsi"/>
          <w:noProof/>
          <w:lang w:eastAsia="en-GB"/>
        </w:rPr>
      </w:pPr>
      <w:hyperlink w:anchor="_Toc494687142" w:history="1">
        <w:r w:rsidR="0062679D" w:rsidRPr="00F03132">
          <w:rPr>
            <w:rStyle w:val="Hyperlink"/>
            <w:noProof/>
          </w:rPr>
          <w:t>Figure 3:5 Percentage Distribution Graphs for the Ten Characteristics</w:t>
        </w:r>
        <w:r w:rsidR="0062679D">
          <w:rPr>
            <w:noProof/>
            <w:webHidden/>
          </w:rPr>
          <w:tab/>
        </w:r>
        <w:r w:rsidR="0062679D">
          <w:rPr>
            <w:noProof/>
            <w:webHidden/>
          </w:rPr>
          <w:fldChar w:fldCharType="begin"/>
        </w:r>
        <w:r w:rsidR="0062679D">
          <w:rPr>
            <w:noProof/>
            <w:webHidden/>
          </w:rPr>
          <w:instrText xml:space="preserve"> PAGEREF _Toc494687142 \h </w:instrText>
        </w:r>
        <w:r w:rsidR="0062679D">
          <w:rPr>
            <w:noProof/>
            <w:webHidden/>
          </w:rPr>
        </w:r>
        <w:r w:rsidR="0062679D">
          <w:rPr>
            <w:noProof/>
            <w:webHidden/>
          </w:rPr>
          <w:fldChar w:fldCharType="separate"/>
        </w:r>
        <w:r w:rsidR="0062679D">
          <w:rPr>
            <w:noProof/>
            <w:webHidden/>
          </w:rPr>
          <w:t>120</w:t>
        </w:r>
        <w:r w:rsidR="0062679D">
          <w:rPr>
            <w:noProof/>
            <w:webHidden/>
          </w:rPr>
          <w:fldChar w:fldCharType="end"/>
        </w:r>
      </w:hyperlink>
    </w:p>
    <w:p w14:paraId="1AED061D" w14:textId="490A2DC2" w:rsidR="0062679D" w:rsidRDefault="00F9347F">
      <w:pPr>
        <w:pStyle w:val="TableofFigures"/>
        <w:tabs>
          <w:tab w:val="right" w:leader="dot" w:pos="8659"/>
        </w:tabs>
        <w:rPr>
          <w:rFonts w:asciiTheme="minorHAnsi" w:hAnsiTheme="minorHAnsi"/>
          <w:noProof/>
          <w:lang w:eastAsia="en-GB"/>
        </w:rPr>
      </w:pPr>
      <w:hyperlink w:anchor="_Toc494687143" w:history="1">
        <w:r w:rsidR="0062679D" w:rsidRPr="00F03132">
          <w:rPr>
            <w:rStyle w:val="Hyperlink"/>
            <w:noProof/>
          </w:rPr>
          <w:t xml:space="preserve">Figure 3:6 </w:t>
        </w:r>
        <w:r w:rsidR="0062679D" w:rsidRPr="00F03132">
          <w:rPr>
            <w:rStyle w:val="Hyperlink"/>
            <w:noProof/>
            <w:highlight w:val="yellow"/>
          </w:rPr>
          <w:t xml:space="preserve"> </w:t>
        </w:r>
        <w:r w:rsidR="0062679D" w:rsidRPr="00F03132">
          <w:rPr>
            <w:rStyle w:val="Hyperlink"/>
            <w:rFonts w:cstheme="majorBidi"/>
            <w:noProof/>
            <w:highlight w:val="yellow"/>
          </w:rPr>
          <w:t>Sociodemographic variables and essentialness of democratic characteristics: mean out of 10 &amp; standard deviation in brackets</w:t>
        </w:r>
        <w:r w:rsidR="0062679D">
          <w:rPr>
            <w:noProof/>
            <w:webHidden/>
          </w:rPr>
          <w:tab/>
        </w:r>
        <w:r w:rsidR="0062679D">
          <w:rPr>
            <w:noProof/>
            <w:webHidden/>
          </w:rPr>
          <w:fldChar w:fldCharType="begin"/>
        </w:r>
        <w:r w:rsidR="0062679D">
          <w:rPr>
            <w:noProof/>
            <w:webHidden/>
          </w:rPr>
          <w:instrText xml:space="preserve"> PAGEREF _Toc494687143 \h </w:instrText>
        </w:r>
        <w:r w:rsidR="0062679D">
          <w:rPr>
            <w:noProof/>
            <w:webHidden/>
          </w:rPr>
        </w:r>
        <w:r w:rsidR="0062679D">
          <w:rPr>
            <w:noProof/>
            <w:webHidden/>
          </w:rPr>
          <w:fldChar w:fldCharType="separate"/>
        </w:r>
        <w:r w:rsidR="0062679D">
          <w:rPr>
            <w:noProof/>
            <w:webHidden/>
          </w:rPr>
          <w:t>125</w:t>
        </w:r>
        <w:r w:rsidR="0062679D">
          <w:rPr>
            <w:noProof/>
            <w:webHidden/>
          </w:rPr>
          <w:fldChar w:fldCharType="end"/>
        </w:r>
      </w:hyperlink>
    </w:p>
    <w:p w14:paraId="12105776" w14:textId="2908F211" w:rsidR="0062679D" w:rsidRDefault="00F9347F">
      <w:pPr>
        <w:pStyle w:val="TableofFigures"/>
        <w:tabs>
          <w:tab w:val="right" w:leader="dot" w:pos="8659"/>
        </w:tabs>
        <w:rPr>
          <w:rFonts w:asciiTheme="minorHAnsi" w:hAnsiTheme="minorHAnsi"/>
          <w:noProof/>
          <w:lang w:eastAsia="en-GB"/>
        </w:rPr>
      </w:pPr>
      <w:hyperlink w:anchor="_Toc494687144" w:history="1">
        <w:r w:rsidR="0062679D" w:rsidRPr="00F03132">
          <w:rPr>
            <w:rStyle w:val="Hyperlink"/>
            <w:noProof/>
          </w:rPr>
          <w:t>Figure 3:7 Boxplot for Democracy Characteristics</w:t>
        </w:r>
        <w:r w:rsidR="0062679D">
          <w:rPr>
            <w:noProof/>
            <w:webHidden/>
          </w:rPr>
          <w:tab/>
        </w:r>
        <w:r w:rsidR="0062679D">
          <w:rPr>
            <w:noProof/>
            <w:webHidden/>
          </w:rPr>
          <w:fldChar w:fldCharType="begin"/>
        </w:r>
        <w:r w:rsidR="0062679D">
          <w:rPr>
            <w:noProof/>
            <w:webHidden/>
          </w:rPr>
          <w:instrText xml:space="preserve"> PAGEREF _Toc494687144 \h </w:instrText>
        </w:r>
        <w:r w:rsidR="0062679D">
          <w:rPr>
            <w:noProof/>
            <w:webHidden/>
          </w:rPr>
        </w:r>
        <w:r w:rsidR="0062679D">
          <w:rPr>
            <w:noProof/>
            <w:webHidden/>
          </w:rPr>
          <w:fldChar w:fldCharType="separate"/>
        </w:r>
        <w:r w:rsidR="0062679D">
          <w:rPr>
            <w:noProof/>
            <w:webHidden/>
          </w:rPr>
          <w:t>129</w:t>
        </w:r>
        <w:r w:rsidR="0062679D">
          <w:rPr>
            <w:noProof/>
            <w:webHidden/>
          </w:rPr>
          <w:fldChar w:fldCharType="end"/>
        </w:r>
      </w:hyperlink>
    </w:p>
    <w:p w14:paraId="17F803F0" w14:textId="25E259E4" w:rsidR="0062679D" w:rsidRDefault="00F9347F">
      <w:pPr>
        <w:pStyle w:val="TableofFigures"/>
        <w:tabs>
          <w:tab w:val="right" w:leader="dot" w:pos="8659"/>
        </w:tabs>
        <w:rPr>
          <w:rFonts w:asciiTheme="minorHAnsi" w:hAnsiTheme="minorHAnsi"/>
          <w:noProof/>
          <w:lang w:eastAsia="en-GB"/>
        </w:rPr>
      </w:pPr>
      <w:hyperlink w:anchor="_Toc494687145" w:history="1">
        <w:r w:rsidR="0062679D" w:rsidRPr="00F03132">
          <w:rPr>
            <w:rStyle w:val="Hyperlink"/>
            <w:noProof/>
          </w:rPr>
          <w:t>Figure 3:8 Table showing country level averages by Freedom House, Islamic and Communist classifications</w:t>
        </w:r>
        <w:r w:rsidR="0062679D">
          <w:rPr>
            <w:noProof/>
            <w:webHidden/>
          </w:rPr>
          <w:tab/>
        </w:r>
        <w:r w:rsidR="0062679D">
          <w:rPr>
            <w:noProof/>
            <w:webHidden/>
          </w:rPr>
          <w:fldChar w:fldCharType="begin"/>
        </w:r>
        <w:r w:rsidR="0062679D">
          <w:rPr>
            <w:noProof/>
            <w:webHidden/>
          </w:rPr>
          <w:instrText xml:space="preserve"> PAGEREF _Toc494687145 \h </w:instrText>
        </w:r>
        <w:r w:rsidR="0062679D">
          <w:rPr>
            <w:noProof/>
            <w:webHidden/>
          </w:rPr>
        </w:r>
        <w:r w:rsidR="0062679D">
          <w:rPr>
            <w:noProof/>
            <w:webHidden/>
          </w:rPr>
          <w:fldChar w:fldCharType="separate"/>
        </w:r>
        <w:r w:rsidR="0062679D">
          <w:rPr>
            <w:noProof/>
            <w:webHidden/>
          </w:rPr>
          <w:t>132</w:t>
        </w:r>
        <w:r w:rsidR="0062679D">
          <w:rPr>
            <w:noProof/>
            <w:webHidden/>
          </w:rPr>
          <w:fldChar w:fldCharType="end"/>
        </w:r>
      </w:hyperlink>
    </w:p>
    <w:p w14:paraId="20BBDF43" w14:textId="33918B8D" w:rsidR="0062679D" w:rsidRDefault="00F9347F">
      <w:pPr>
        <w:pStyle w:val="TableofFigures"/>
        <w:tabs>
          <w:tab w:val="right" w:leader="dot" w:pos="8659"/>
        </w:tabs>
        <w:rPr>
          <w:rFonts w:asciiTheme="minorHAnsi" w:hAnsiTheme="minorHAnsi"/>
          <w:noProof/>
          <w:lang w:eastAsia="en-GB"/>
        </w:rPr>
      </w:pPr>
      <w:hyperlink w:anchor="_Toc494687146" w:history="1">
        <w:r w:rsidR="0062679D" w:rsidRPr="00F03132">
          <w:rPr>
            <w:rStyle w:val="Hyperlink"/>
            <w:noProof/>
          </w:rPr>
          <w:t>Figure 3:9 Elections and HDI scatterplot</w:t>
        </w:r>
        <w:r w:rsidR="0062679D">
          <w:rPr>
            <w:noProof/>
            <w:webHidden/>
          </w:rPr>
          <w:tab/>
        </w:r>
        <w:r w:rsidR="0062679D">
          <w:rPr>
            <w:noProof/>
            <w:webHidden/>
          </w:rPr>
          <w:fldChar w:fldCharType="begin"/>
        </w:r>
        <w:r w:rsidR="0062679D">
          <w:rPr>
            <w:noProof/>
            <w:webHidden/>
          </w:rPr>
          <w:instrText xml:space="preserve"> PAGEREF _Toc494687146 \h </w:instrText>
        </w:r>
        <w:r w:rsidR="0062679D">
          <w:rPr>
            <w:noProof/>
            <w:webHidden/>
          </w:rPr>
        </w:r>
        <w:r w:rsidR="0062679D">
          <w:rPr>
            <w:noProof/>
            <w:webHidden/>
          </w:rPr>
          <w:fldChar w:fldCharType="separate"/>
        </w:r>
        <w:r w:rsidR="0062679D">
          <w:rPr>
            <w:noProof/>
            <w:webHidden/>
          </w:rPr>
          <w:t>135</w:t>
        </w:r>
        <w:r w:rsidR="0062679D">
          <w:rPr>
            <w:noProof/>
            <w:webHidden/>
          </w:rPr>
          <w:fldChar w:fldCharType="end"/>
        </w:r>
      </w:hyperlink>
    </w:p>
    <w:p w14:paraId="6270D558" w14:textId="70C53CCA" w:rsidR="0062679D" w:rsidRDefault="00F9347F">
      <w:pPr>
        <w:pStyle w:val="TableofFigures"/>
        <w:tabs>
          <w:tab w:val="right" w:leader="dot" w:pos="8659"/>
        </w:tabs>
        <w:rPr>
          <w:rFonts w:asciiTheme="minorHAnsi" w:hAnsiTheme="minorHAnsi"/>
          <w:noProof/>
          <w:lang w:eastAsia="en-GB"/>
        </w:rPr>
      </w:pPr>
      <w:hyperlink w:anchor="_Toc494687147" w:history="1">
        <w:r w:rsidR="0062679D" w:rsidRPr="00F03132">
          <w:rPr>
            <w:rStyle w:val="Hyperlink"/>
            <w:noProof/>
          </w:rPr>
          <w:t>Figure 3:10 Referendum and HDI scatterplot</w:t>
        </w:r>
        <w:r w:rsidR="0062679D">
          <w:rPr>
            <w:noProof/>
            <w:webHidden/>
          </w:rPr>
          <w:tab/>
        </w:r>
        <w:r w:rsidR="0062679D">
          <w:rPr>
            <w:noProof/>
            <w:webHidden/>
          </w:rPr>
          <w:fldChar w:fldCharType="begin"/>
        </w:r>
        <w:r w:rsidR="0062679D">
          <w:rPr>
            <w:noProof/>
            <w:webHidden/>
          </w:rPr>
          <w:instrText xml:space="preserve"> PAGEREF _Toc494687147 \h </w:instrText>
        </w:r>
        <w:r w:rsidR="0062679D">
          <w:rPr>
            <w:noProof/>
            <w:webHidden/>
          </w:rPr>
        </w:r>
        <w:r w:rsidR="0062679D">
          <w:rPr>
            <w:noProof/>
            <w:webHidden/>
          </w:rPr>
          <w:fldChar w:fldCharType="separate"/>
        </w:r>
        <w:r w:rsidR="0062679D">
          <w:rPr>
            <w:noProof/>
            <w:webHidden/>
          </w:rPr>
          <w:t>136</w:t>
        </w:r>
        <w:r w:rsidR="0062679D">
          <w:rPr>
            <w:noProof/>
            <w:webHidden/>
          </w:rPr>
          <w:fldChar w:fldCharType="end"/>
        </w:r>
      </w:hyperlink>
    </w:p>
    <w:p w14:paraId="1DB5802A" w14:textId="1390CD06" w:rsidR="0062679D" w:rsidRDefault="00F9347F">
      <w:pPr>
        <w:pStyle w:val="TableofFigures"/>
        <w:tabs>
          <w:tab w:val="right" w:leader="dot" w:pos="8659"/>
        </w:tabs>
        <w:rPr>
          <w:rFonts w:asciiTheme="minorHAnsi" w:hAnsiTheme="minorHAnsi"/>
          <w:noProof/>
          <w:lang w:eastAsia="en-GB"/>
        </w:rPr>
      </w:pPr>
      <w:hyperlink w:anchor="_Toc494687148" w:history="1">
        <w:r w:rsidR="0062679D" w:rsidRPr="00F03132">
          <w:rPr>
            <w:rStyle w:val="Hyperlink"/>
            <w:noProof/>
          </w:rPr>
          <w:t>Figure 3:11 Civil Rights and HDI Scatterplot</w:t>
        </w:r>
        <w:r w:rsidR="0062679D">
          <w:rPr>
            <w:noProof/>
            <w:webHidden/>
          </w:rPr>
          <w:tab/>
        </w:r>
        <w:r w:rsidR="0062679D">
          <w:rPr>
            <w:noProof/>
            <w:webHidden/>
          </w:rPr>
          <w:fldChar w:fldCharType="begin"/>
        </w:r>
        <w:r w:rsidR="0062679D">
          <w:rPr>
            <w:noProof/>
            <w:webHidden/>
          </w:rPr>
          <w:instrText xml:space="preserve"> PAGEREF _Toc494687148 \h </w:instrText>
        </w:r>
        <w:r w:rsidR="0062679D">
          <w:rPr>
            <w:noProof/>
            <w:webHidden/>
          </w:rPr>
        </w:r>
        <w:r w:rsidR="0062679D">
          <w:rPr>
            <w:noProof/>
            <w:webHidden/>
          </w:rPr>
          <w:fldChar w:fldCharType="separate"/>
        </w:r>
        <w:r w:rsidR="0062679D">
          <w:rPr>
            <w:noProof/>
            <w:webHidden/>
          </w:rPr>
          <w:t>136</w:t>
        </w:r>
        <w:r w:rsidR="0062679D">
          <w:rPr>
            <w:noProof/>
            <w:webHidden/>
          </w:rPr>
          <w:fldChar w:fldCharType="end"/>
        </w:r>
      </w:hyperlink>
    </w:p>
    <w:p w14:paraId="57029403" w14:textId="5DB0E189" w:rsidR="0062679D" w:rsidRDefault="00F9347F">
      <w:pPr>
        <w:pStyle w:val="TableofFigures"/>
        <w:tabs>
          <w:tab w:val="right" w:leader="dot" w:pos="8659"/>
        </w:tabs>
        <w:rPr>
          <w:rFonts w:asciiTheme="minorHAnsi" w:hAnsiTheme="minorHAnsi"/>
          <w:noProof/>
          <w:lang w:eastAsia="en-GB"/>
        </w:rPr>
      </w:pPr>
      <w:hyperlink w:anchor="_Toc494687149" w:history="1">
        <w:r w:rsidR="0062679D" w:rsidRPr="00F03132">
          <w:rPr>
            <w:rStyle w:val="Hyperlink"/>
            <w:noProof/>
          </w:rPr>
          <w:t>Figure 3:12 Equality and HDI Scatterplot</w:t>
        </w:r>
        <w:r w:rsidR="0062679D">
          <w:rPr>
            <w:noProof/>
            <w:webHidden/>
          </w:rPr>
          <w:tab/>
        </w:r>
        <w:r w:rsidR="0062679D">
          <w:rPr>
            <w:noProof/>
            <w:webHidden/>
          </w:rPr>
          <w:fldChar w:fldCharType="begin"/>
        </w:r>
        <w:r w:rsidR="0062679D">
          <w:rPr>
            <w:noProof/>
            <w:webHidden/>
          </w:rPr>
          <w:instrText xml:space="preserve"> PAGEREF _Toc494687149 \h </w:instrText>
        </w:r>
        <w:r w:rsidR="0062679D">
          <w:rPr>
            <w:noProof/>
            <w:webHidden/>
          </w:rPr>
        </w:r>
        <w:r w:rsidR="0062679D">
          <w:rPr>
            <w:noProof/>
            <w:webHidden/>
          </w:rPr>
          <w:fldChar w:fldCharType="separate"/>
        </w:r>
        <w:r w:rsidR="0062679D">
          <w:rPr>
            <w:noProof/>
            <w:webHidden/>
          </w:rPr>
          <w:t>137</w:t>
        </w:r>
        <w:r w:rsidR="0062679D">
          <w:rPr>
            <w:noProof/>
            <w:webHidden/>
          </w:rPr>
          <w:fldChar w:fldCharType="end"/>
        </w:r>
      </w:hyperlink>
    </w:p>
    <w:p w14:paraId="18F51F3E" w14:textId="570B1D25" w:rsidR="0062679D" w:rsidRDefault="00F9347F">
      <w:pPr>
        <w:pStyle w:val="TableofFigures"/>
        <w:tabs>
          <w:tab w:val="right" w:leader="dot" w:pos="8659"/>
        </w:tabs>
        <w:rPr>
          <w:rFonts w:asciiTheme="minorHAnsi" w:hAnsiTheme="minorHAnsi"/>
          <w:noProof/>
          <w:lang w:eastAsia="en-GB"/>
        </w:rPr>
      </w:pPr>
      <w:hyperlink w:anchor="_Toc494687150" w:history="1">
        <w:r w:rsidR="0062679D" w:rsidRPr="00F03132">
          <w:rPr>
            <w:rStyle w:val="Hyperlink"/>
            <w:noProof/>
          </w:rPr>
          <w:t>Figure 3:13 Economy and HDI Scatterplot</w:t>
        </w:r>
        <w:r w:rsidR="0062679D">
          <w:rPr>
            <w:noProof/>
            <w:webHidden/>
          </w:rPr>
          <w:tab/>
        </w:r>
        <w:r w:rsidR="0062679D">
          <w:rPr>
            <w:noProof/>
            <w:webHidden/>
          </w:rPr>
          <w:fldChar w:fldCharType="begin"/>
        </w:r>
        <w:r w:rsidR="0062679D">
          <w:rPr>
            <w:noProof/>
            <w:webHidden/>
          </w:rPr>
          <w:instrText xml:space="preserve"> PAGEREF _Toc494687150 \h </w:instrText>
        </w:r>
        <w:r w:rsidR="0062679D">
          <w:rPr>
            <w:noProof/>
            <w:webHidden/>
          </w:rPr>
        </w:r>
        <w:r w:rsidR="0062679D">
          <w:rPr>
            <w:noProof/>
            <w:webHidden/>
          </w:rPr>
          <w:fldChar w:fldCharType="separate"/>
        </w:r>
        <w:r w:rsidR="0062679D">
          <w:rPr>
            <w:noProof/>
            <w:webHidden/>
          </w:rPr>
          <w:t>139</w:t>
        </w:r>
        <w:r w:rsidR="0062679D">
          <w:rPr>
            <w:noProof/>
            <w:webHidden/>
          </w:rPr>
          <w:fldChar w:fldCharType="end"/>
        </w:r>
      </w:hyperlink>
    </w:p>
    <w:p w14:paraId="0EBC536F" w14:textId="6D5B3E24" w:rsidR="0062679D" w:rsidRDefault="00F9347F">
      <w:pPr>
        <w:pStyle w:val="TableofFigures"/>
        <w:tabs>
          <w:tab w:val="right" w:leader="dot" w:pos="8659"/>
        </w:tabs>
        <w:rPr>
          <w:rFonts w:asciiTheme="minorHAnsi" w:hAnsiTheme="minorHAnsi"/>
          <w:noProof/>
          <w:lang w:eastAsia="en-GB"/>
        </w:rPr>
      </w:pPr>
      <w:hyperlink w:anchor="_Toc494687151" w:history="1">
        <w:r w:rsidR="0062679D" w:rsidRPr="00F03132">
          <w:rPr>
            <w:rStyle w:val="Hyperlink"/>
            <w:noProof/>
          </w:rPr>
          <w:t>Figure 3:14 Punishment and HDI Scatterplot</w:t>
        </w:r>
        <w:r w:rsidR="0062679D">
          <w:rPr>
            <w:noProof/>
            <w:webHidden/>
          </w:rPr>
          <w:tab/>
        </w:r>
        <w:r w:rsidR="0062679D">
          <w:rPr>
            <w:noProof/>
            <w:webHidden/>
          </w:rPr>
          <w:fldChar w:fldCharType="begin"/>
        </w:r>
        <w:r w:rsidR="0062679D">
          <w:rPr>
            <w:noProof/>
            <w:webHidden/>
          </w:rPr>
          <w:instrText xml:space="preserve"> PAGEREF _Toc494687151 \h </w:instrText>
        </w:r>
        <w:r w:rsidR="0062679D">
          <w:rPr>
            <w:noProof/>
            <w:webHidden/>
          </w:rPr>
        </w:r>
        <w:r w:rsidR="0062679D">
          <w:rPr>
            <w:noProof/>
            <w:webHidden/>
          </w:rPr>
          <w:fldChar w:fldCharType="separate"/>
        </w:r>
        <w:r w:rsidR="0062679D">
          <w:rPr>
            <w:noProof/>
            <w:webHidden/>
          </w:rPr>
          <w:t>139</w:t>
        </w:r>
        <w:r w:rsidR="0062679D">
          <w:rPr>
            <w:noProof/>
            <w:webHidden/>
          </w:rPr>
          <w:fldChar w:fldCharType="end"/>
        </w:r>
      </w:hyperlink>
    </w:p>
    <w:p w14:paraId="69D98EDB" w14:textId="2F59D590" w:rsidR="0062679D" w:rsidRDefault="00F9347F">
      <w:pPr>
        <w:pStyle w:val="TableofFigures"/>
        <w:tabs>
          <w:tab w:val="right" w:leader="dot" w:pos="8659"/>
        </w:tabs>
        <w:rPr>
          <w:rFonts w:asciiTheme="minorHAnsi" w:hAnsiTheme="minorHAnsi"/>
          <w:noProof/>
          <w:lang w:eastAsia="en-GB"/>
        </w:rPr>
      </w:pPr>
      <w:hyperlink w:anchor="_Toc494687152" w:history="1">
        <w:r w:rsidR="0062679D" w:rsidRPr="00F03132">
          <w:rPr>
            <w:rStyle w:val="Hyperlink"/>
            <w:noProof/>
          </w:rPr>
          <w:t>Figure 3:15 State Aid and HDI Scatterplot</w:t>
        </w:r>
        <w:r w:rsidR="0062679D">
          <w:rPr>
            <w:noProof/>
            <w:webHidden/>
          </w:rPr>
          <w:tab/>
        </w:r>
        <w:r w:rsidR="0062679D">
          <w:rPr>
            <w:noProof/>
            <w:webHidden/>
          </w:rPr>
          <w:fldChar w:fldCharType="begin"/>
        </w:r>
        <w:r w:rsidR="0062679D">
          <w:rPr>
            <w:noProof/>
            <w:webHidden/>
          </w:rPr>
          <w:instrText xml:space="preserve"> PAGEREF _Toc494687152 \h </w:instrText>
        </w:r>
        <w:r w:rsidR="0062679D">
          <w:rPr>
            <w:noProof/>
            <w:webHidden/>
          </w:rPr>
        </w:r>
        <w:r w:rsidR="0062679D">
          <w:rPr>
            <w:noProof/>
            <w:webHidden/>
          </w:rPr>
          <w:fldChar w:fldCharType="separate"/>
        </w:r>
        <w:r w:rsidR="0062679D">
          <w:rPr>
            <w:noProof/>
            <w:webHidden/>
          </w:rPr>
          <w:t>140</w:t>
        </w:r>
        <w:r w:rsidR="0062679D">
          <w:rPr>
            <w:noProof/>
            <w:webHidden/>
          </w:rPr>
          <w:fldChar w:fldCharType="end"/>
        </w:r>
      </w:hyperlink>
    </w:p>
    <w:p w14:paraId="5A4A56FA" w14:textId="383641FA" w:rsidR="0062679D" w:rsidRDefault="00F9347F">
      <w:pPr>
        <w:pStyle w:val="TableofFigures"/>
        <w:tabs>
          <w:tab w:val="right" w:leader="dot" w:pos="8659"/>
        </w:tabs>
        <w:rPr>
          <w:rFonts w:asciiTheme="minorHAnsi" w:hAnsiTheme="minorHAnsi"/>
          <w:noProof/>
          <w:lang w:eastAsia="en-GB"/>
        </w:rPr>
      </w:pPr>
      <w:hyperlink w:anchor="_Toc494687153" w:history="1">
        <w:r w:rsidR="0062679D" w:rsidRPr="00F03132">
          <w:rPr>
            <w:rStyle w:val="Hyperlink"/>
            <w:noProof/>
          </w:rPr>
          <w:t>Figure 3:16 Tax and HDI Scatterplot</w:t>
        </w:r>
        <w:r w:rsidR="0062679D">
          <w:rPr>
            <w:noProof/>
            <w:webHidden/>
          </w:rPr>
          <w:tab/>
        </w:r>
        <w:r w:rsidR="0062679D">
          <w:rPr>
            <w:noProof/>
            <w:webHidden/>
          </w:rPr>
          <w:fldChar w:fldCharType="begin"/>
        </w:r>
        <w:r w:rsidR="0062679D">
          <w:rPr>
            <w:noProof/>
            <w:webHidden/>
          </w:rPr>
          <w:instrText xml:space="preserve"> PAGEREF _Toc494687153 \h </w:instrText>
        </w:r>
        <w:r w:rsidR="0062679D">
          <w:rPr>
            <w:noProof/>
            <w:webHidden/>
          </w:rPr>
        </w:r>
        <w:r w:rsidR="0062679D">
          <w:rPr>
            <w:noProof/>
            <w:webHidden/>
          </w:rPr>
          <w:fldChar w:fldCharType="separate"/>
        </w:r>
        <w:r w:rsidR="0062679D">
          <w:rPr>
            <w:noProof/>
            <w:webHidden/>
          </w:rPr>
          <w:t>140</w:t>
        </w:r>
        <w:r w:rsidR="0062679D">
          <w:rPr>
            <w:noProof/>
            <w:webHidden/>
          </w:rPr>
          <w:fldChar w:fldCharType="end"/>
        </w:r>
      </w:hyperlink>
    </w:p>
    <w:p w14:paraId="70F7927A" w14:textId="79F41383" w:rsidR="0062679D" w:rsidRDefault="00F9347F">
      <w:pPr>
        <w:pStyle w:val="TableofFigures"/>
        <w:tabs>
          <w:tab w:val="right" w:leader="dot" w:pos="8659"/>
        </w:tabs>
        <w:rPr>
          <w:rFonts w:asciiTheme="minorHAnsi" w:hAnsiTheme="minorHAnsi"/>
          <w:noProof/>
          <w:lang w:eastAsia="en-GB"/>
        </w:rPr>
      </w:pPr>
      <w:hyperlink w:anchor="_Toc494687154" w:history="1">
        <w:r w:rsidR="0062679D" w:rsidRPr="00F03132">
          <w:rPr>
            <w:rStyle w:val="Hyperlink"/>
            <w:noProof/>
          </w:rPr>
          <w:t>Figure 3:17 Religious Authorities and HDI Scatterplot</w:t>
        </w:r>
        <w:r w:rsidR="0062679D">
          <w:rPr>
            <w:noProof/>
            <w:webHidden/>
          </w:rPr>
          <w:tab/>
        </w:r>
        <w:r w:rsidR="0062679D">
          <w:rPr>
            <w:noProof/>
            <w:webHidden/>
          </w:rPr>
          <w:fldChar w:fldCharType="begin"/>
        </w:r>
        <w:r w:rsidR="0062679D">
          <w:rPr>
            <w:noProof/>
            <w:webHidden/>
          </w:rPr>
          <w:instrText xml:space="preserve"> PAGEREF _Toc494687154 \h </w:instrText>
        </w:r>
        <w:r w:rsidR="0062679D">
          <w:rPr>
            <w:noProof/>
            <w:webHidden/>
          </w:rPr>
        </w:r>
        <w:r w:rsidR="0062679D">
          <w:rPr>
            <w:noProof/>
            <w:webHidden/>
          </w:rPr>
          <w:fldChar w:fldCharType="separate"/>
        </w:r>
        <w:r w:rsidR="0062679D">
          <w:rPr>
            <w:noProof/>
            <w:webHidden/>
          </w:rPr>
          <w:t>142</w:t>
        </w:r>
        <w:r w:rsidR="0062679D">
          <w:rPr>
            <w:noProof/>
            <w:webHidden/>
          </w:rPr>
          <w:fldChar w:fldCharType="end"/>
        </w:r>
      </w:hyperlink>
    </w:p>
    <w:p w14:paraId="64BB5478" w14:textId="4FC10A37" w:rsidR="0062679D" w:rsidRDefault="00F9347F">
      <w:pPr>
        <w:pStyle w:val="TableofFigures"/>
        <w:tabs>
          <w:tab w:val="right" w:leader="dot" w:pos="8659"/>
        </w:tabs>
        <w:rPr>
          <w:rFonts w:asciiTheme="minorHAnsi" w:hAnsiTheme="minorHAnsi"/>
          <w:noProof/>
          <w:lang w:eastAsia="en-GB"/>
        </w:rPr>
      </w:pPr>
      <w:hyperlink w:anchor="_Toc494687155" w:history="1">
        <w:r w:rsidR="0062679D" w:rsidRPr="00F03132">
          <w:rPr>
            <w:rStyle w:val="Hyperlink"/>
            <w:noProof/>
          </w:rPr>
          <w:t>Figure 3:18 Army and HDI Scatterplot</w:t>
        </w:r>
        <w:r w:rsidR="0062679D">
          <w:rPr>
            <w:noProof/>
            <w:webHidden/>
          </w:rPr>
          <w:tab/>
        </w:r>
        <w:r w:rsidR="0062679D">
          <w:rPr>
            <w:noProof/>
            <w:webHidden/>
          </w:rPr>
          <w:fldChar w:fldCharType="begin"/>
        </w:r>
        <w:r w:rsidR="0062679D">
          <w:rPr>
            <w:noProof/>
            <w:webHidden/>
          </w:rPr>
          <w:instrText xml:space="preserve"> PAGEREF _Toc494687155 \h </w:instrText>
        </w:r>
        <w:r w:rsidR="0062679D">
          <w:rPr>
            <w:noProof/>
            <w:webHidden/>
          </w:rPr>
        </w:r>
        <w:r w:rsidR="0062679D">
          <w:rPr>
            <w:noProof/>
            <w:webHidden/>
          </w:rPr>
          <w:fldChar w:fldCharType="separate"/>
        </w:r>
        <w:r w:rsidR="0062679D">
          <w:rPr>
            <w:noProof/>
            <w:webHidden/>
          </w:rPr>
          <w:t>142</w:t>
        </w:r>
        <w:r w:rsidR="0062679D">
          <w:rPr>
            <w:noProof/>
            <w:webHidden/>
          </w:rPr>
          <w:fldChar w:fldCharType="end"/>
        </w:r>
      </w:hyperlink>
    </w:p>
    <w:p w14:paraId="01A46D11" w14:textId="304213F5" w:rsidR="0062679D" w:rsidRDefault="00F9347F">
      <w:pPr>
        <w:pStyle w:val="TableofFigures"/>
        <w:tabs>
          <w:tab w:val="right" w:leader="dot" w:pos="8659"/>
        </w:tabs>
        <w:rPr>
          <w:rFonts w:asciiTheme="minorHAnsi" w:hAnsiTheme="minorHAnsi"/>
          <w:noProof/>
          <w:lang w:eastAsia="en-GB"/>
        </w:rPr>
      </w:pPr>
      <w:hyperlink w:anchor="_Toc494687156" w:history="1">
        <w:r w:rsidR="0062679D" w:rsidRPr="00F03132">
          <w:rPr>
            <w:rStyle w:val="Hyperlink"/>
            <w:noProof/>
            <w:highlight w:val="lightGray"/>
          </w:rPr>
          <w:t>Figure 4:1 Hypothetical Expected Structural Relations in a Confirmatory Factor Analysis (Scott Long 1983, p.15)</w:t>
        </w:r>
        <w:r w:rsidR="0062679D">
          <w:rPr>
            <w:noProof/>
            <w:webHidden/>
          </w:rPr>
          <w:tab/>
        </w:r>
        <w:r w:rsidR="0062679D">
          <w:rPr>
            <w:noProof/>
            <w:webHidden/>
          </w:rPr>
          <w:fldChar w:fldCharType="begin"/>
        </w:r>
        <w:r w:rsidR="0062679D">
          <w:rPr>
            <w:noProof/>
            <w:webHidden/>
          </w:rPr>
          <w:instrText xml:space="preserve"> PAGEREF _Toc494687156 \h </w:instrText>
        </w:r>
        <w:r w:rsidR="0062679D">
          <w:rPr>
            <w:noProof/>
            <w:webHidden/>
          </w:rPr>
        </w:r>
        <w:r w:rsidR="0062679D">
          <w:rPr>
            <w:noProof/>
            <w:webHidden/>
          </w:rPr>
          <w:fldChar w:fldCharType="separate"/>
        </w:r>
        <w:r w:rsidR="0062679D">
          <w:rPr>
            <w:noProof/>
            <w:webHidden/>
          </w:rPr>
          <w:t>150</w:t>
        </w:r>
        <w:r w:rsidR="0062679D">
          <w:rPr>
            <w:noProof/>
            <w:webHidden/>
          </w:rPr>
          <w:fldChar w:fldCharType="end"/>
        </w:r>
      </w:hyperlink>
    </w:p>
    <w:p w14:paraId="1BF8E71D" w14:textId="5EA99465" w:rsidR="0062679D" w:rsidRDefault="00F9347F">
      <w:pPr>
        <w:pStyle w:val="TableofFigures"/>
        <w:tabs>
          <w:tab w:val="right" w:leader="dot" w:pos="8659"/>
        </w:tabs>
        <w:rPr>
          <w:rFonts w:asciiTheme="minorHAnsi" w:hAnsiTheme="minorHAnsi"/>
          <w:noProof/>
          <w:lang w:eastAsia="en-GB"/>
        </w:rPr>
      </w:pPr>
      <w:hyperlink w:anchor="_Toc494687157" w:history="1">
        <w:r w:rsidR="0062679D" w:rsidRPr="00F03132">
          <w:rPr>
            <w:rStyle w:val="Hyperlink"/>
            <w:noProof/>
            <w:highlight w:val="lightGray"/>
          </w:rPr>
          <w:t>Figure 4:2 Factor Analysis on Democratic Characteristics (adapted from Welzel 2013, p.313)</w:t>
        </w:r>
        <w:r w:rsidR="0062679D">
          <w:rPr>
            <w:noProof/>
            <w:webHidden/>
          </w:rPr>
          <w:tab/>
        </w:r>
        <w:r w:rsidR="0062679D">
          <w:rPr>
            <w:noProof/>
            <w:webHidden/>
          </w:rPr>
          <w:fldChar w:fldCharType="begin"/>
        </w:r>
        <w:r w:rsidR="0062679D">
          <w:rPr>
            <w:noProof/>
            <w:webHidden/>
          </w:rPr>
          <w:instrText xml:space="preserve"> PAGEREF _Toc494687157 \h </w:instrText>
        </w:r>
        <w:r w:rsidR="0062679D">
          <w:rPr>
            <w:noProof/>
            <w:webHidden/>
          </w:rPr>
        </w:r>
        <w:r w:rsidR="0062679D">
          <w:rPr>
            <w:noProof/>
            <w:webHidden/>
          </w:rPr>
          <w:fldChar w:fldCharType="separate"/>
        </w:r>
        <w:r w:rsidR="0062679D">
          <w:rPr>
            <w:noProof/>
            <w:webHidden/>
          </w:rPr>
          <w:t>151</w:t>
        </w:r>
        <w:r w:rsidR="0062679D">
          <w:rPr>
            <w:noProof/>
            <w:webHidden/>
          </w:rPr>
          <w:fldChar w:fldCharType="end"/>
        </w:r>
      </w:hyperlink>
    </w:p>
    <w:p w14:paraId="36C71762" w14:textId="6067D098" w:rsidR="0062679D" w:rsidRDefault="00F9347F">
      <w:pPr>
        <w:pStyle w:val="TableofFigures"/>
        <w:tabs>
          <w:tab w:val="right" w:leader="dot" w:pos="8659"/>
        </w:tabs>
        <w:rPr>
          <w:rFonts w:asciiTheme="minorHAnsi" w:hAnsiTheme="minorHAnsi"/>
          <w:noProof/>
          <w:lang w:eastAsia="en-GB"/>
        </w:rPr>
      </w:pPr>
      <w:hyperlink w:anchor="_Toc494687158" w:history="1">
        <w:r w:rsidR="0062679D" w:rsidRPr="00F03132">
          <w:rPr>
            <w:rStyle w:val="Hyperlink"/>
            <w:noProof/>
            <w:highlight w:val="lightGray"/>
          </w:rPr>
          <w:t>Figure 4.3 Hypothetical Expected Structural Relations in an Exploratory Factor Analysis (Scott Long 1983, p.15)</w:t>
        </w:r>
        <w:r w:rsidR="0062679D">
          <w:rPr>
            <w:noProof/>
            <w:webHidden/>
          </w:rPr>
          <w:tab/>
        </w:r>
        <w:r w:rsidR="0062679D">
          <w:rPr>
            <w:noProof/>
            <w:webHidden/>
          </w:rPr>
          <w:fldChar w:fldCharType="begin"/>
        </w:r>
        <w:r w:rsidR="0062679D">
          <w:rPr>
            <w:noProof/>
            <w:webHidden/>
          </w:rPr>
          <w:instrText xml:space="preserve"> PAGEREF _Toc494687158 \h </w:instrText>
        </w:r>
        <w:r w:rsidR="0062679D">
          <w:rPr>
            <w:noProof/>
            <w:webHidden/>
          </w:rPr>
        </w:r>
        <w:r w:rsidR="0062679D">
          <w:rPr>
            <w:noProof/>
            <w:webHidden/>
          </w:rPr>
          <w:fldChar w:fldCharType="separate"/>
        </w:r>
        <w:r w:rsidR="0062679D">
          <w:rPr>
            <w:noProof/>
            <w:webHidden/>
          </w:rPr>
          <w:t>154</w:t>
        </w:r>
        <w:r w:rsidR="0062679D">
          <w:rPr>
            <w:noProof/>
            <w:webHidden/>
          </w:rPr>
          <w:fldChar w:fldCharType="end"/>
        </w:r>
      </w:hyperlink>
    </w:p>
    <w:p w14:paraId="0ED8D366" w14:textId="0ECE025B" w:rsidR="0062679D" w:rsidRDefault="00F9347F">
      <w:pPr>
        <w:pStyle w:val="TableofFigures"/>
        <w:tabs>
          <w:tab w:val="right" w:leader="dot" w:pos="8659"/>
        </w:tabs>
        <w:rPr>
          <w:rFonts w:asciiTheme="minorHAnsi" w:hAnsiTheme="minorHAnsi"/>
          <w:noProof/>
          <w:lang w:eastAsia="en-GB"/>
        </w:rPr>
      </w:pPr>
      <w:hyperlink w:anchor="_Toc494687159" w:history="1">
        <w:r w:rsidR="0062679D" w:rsidRPr="00F03132">
          <w:rPr>
            <w:rStyle w:val="Hyperlink"/>
            <w:noProof/>
          </w:rPr>
          <w:t>Figure 4:4 Oblique and Orthogonal rotations (from Field 2011, p.643)</w:t>
        </w:r>
        <w:r w:rsidR="0062679D">
          <w:rPr>
            <w:noProof/>
            <w:webHidden/>
          </w:rPr>
          <w:tab/>
        </w:r>
        <w:r w:rsidR="0062679D">
          <w:rPr>
            <w:noProof/>
            <w:webHidden/>
          </w:rPr>
          <w:fldChar w:fldCharType="begin"/>
        </w:r>
        <w:r w:rsidR="0062679D">
          <w:rPr>
            <w:noProof/>
            <w:webHidden/>
          </w:rPr>
          <w:instrText xml:space="preserve"> PAGEREF _Toc494687159 \h </w:instrText>
        </w:r>
        <w:r w:rsidR="0062679D">
          <w:rPr>
            <w:noProof/>
            <w:webHidden/>
          </w:rPr>
        </w:r>
        <w:r w:rsidR="0062679D">
          <w:rPr>
            <w:noProof/>
            <w:webHidden/>
          </w:rPr>
          <w:fldChar w:fldCharType="separate"/>
        </w:r>
        <w:r w:rsidR="0062679D">
          <w:rPr>
            <w:noProof/>
            <w:webHidden/>
          </w:rPr>
          <w:t>160</w:t>
        </w:r>
        <w:r w:rsidR="0062679D">
          <w:rPr>
            <w:noProof/>
            <w:webHidden/>
          </w:rPr>
          <w:fldChar w:fldCharType="end"/>
        </w:r>
      </w:hyperlink>
    </w:p>
    <w:p w14:paraId="2F32A21C" w14:textId="2047805D" w:rsidR="0062679D" w:rsidRDefault="00F9347F">
      <w:pPr>
        <w:pStyle w:val="TableofFigures"/>
        <w:tabs>
          <w:tab w:val="right" w:leader="dot" w:pos="8659"/>
        </w:tabs>
        <w:rPr>
          <w:rFonts w:asciiTheme="minorHAnsi" w:hAnsiTheme="minorHAnsi"/>
          <w:noProof/>
          <w:lang w:eastAsia="en-GB"/>
        </w:rPr>
      </w:pPr>
      <w:hyperlink w:anchor="_Toc494687160" w:history="1">
        <w:r w:rsidR="0062679D" w:rsidRPr="00F03132">
          <w:rPr>
            <w:rStyle w:val="Hyperlink"/>
            <w:noProof/>
            <w:highlight w:val="lightGray"/>
          </w:rPr>
          <w:t>Figure 4:5 PCA and FA results for Absolute Values on Democratic Characteristics</w:t>
        </w:r>
        <w:r w:rsidR="0062679D">
          <w:rPr>
            <w:noProof/>
            <w:webHidden/>
          </w:rPr>
          <w:tab/>
        </w:r>
        <w:r w:rsidR="0062679D">
          <w:rPr>
            <w:noProof/>
            <w:webHidden/>
          </w:rPr>
          <w:fldChar w:fldCharType="begin"/>
        </w:r>
        <w:r w:rsidR="0062679D">
          <w:rPr>
            <w:noProof/>
            <w:webHidden/>
          </w:rPr>
          <w:instrText xml:space="preserve"> PAGEREF _Toc494687160 \h </w:instrText>
        </w:r>
        <w:r w:rsidR="0062679D">
          <w:rPr>
            <w:noProof/>
            <w:webHidden/>
          </w:rPr>
        </w:r>
        <w:r w:rsidR="0062679D">
          <w:rPr>
            <w:noProof/>
            <w:webHidden/>
          </w:rPr>
          <w:fldChar w:fldCharType="separate"/>
        </w:r>
        <w:r w:rsidR="0062679D">
          <w:rPr>
            <w:noProof/>
            <w:webHidden/>
          </w:rPr>
          <w:t>164</w:t>
        </w:r>
        <w:r w:rsidR="0062679D">
          <w:rPr>
            <w:noProof/>
            <w:webHidden/>
          </w:rPr>
          <w:fldChar w:fldCharType="end"/>
        </w:r>
      </w:hyperlink>
    </w:p>
    <w:p w14:paraId="4481CC89" w14:textId="644C93C0" w:rsidR="0062679D" w:rsidRDefault="00F9347F">
      <w:pPr>
        <w:pStyle w:val="TableofFigures"/>
        <w:tabs>
          <w:tab w:val="right" w:leader="dot" w:pos="8659"/>
        </w:tabs>
        <w:rPr>
          <w:rFonts w:asciiTheme="minorHAnsi" w:hAnsiTheme="minorHAnsi"/>
          <w:noProof/>
          <w:lang w:eastAsia="en-GB"/>
        </w:rPr>
      </w:pPr>
      <w:hyperlink w:anchor="_Toc494687161" w:history="1">
        <w:r w:rsidR="0062679D" w:rsidRPr="00F03132">
          <w:rPr>
            <w:rStyle w:val="Hyperlink"/>
            <w:noProof/>
            <w:highlight w:val="lightGray"/>
          </w:rPr>
          <w:t>Figure 4:6 Correlation results comparing PCA and FA outputs, n=45,545</w:t>
        </w:r>
        <w:r w:rsidR="0062679D">
          <w:rPr>
            <w:noProof/>
            <w:webHidden/>
          </w:rPr>
          <w:tab/>
        </w:r>
        <w:r w:rsidR="0062679D">
          <w:rPr>
            <w:noProof/>
            <w:webHidden/>
          </w:rPr>
          <w:fldChar w:fldCharType="begin"/>
        </w:r>
        <w:r w:rsidR="0062679D">
          <w:rPr>
            <w:noProof/>
            <w:webHidden/>
          </w:rPr>
          <w:instrText xml:space="preserve"> PAGEREF _Toc494687161 \h </w:instrText>
        </w:r>
        <w:r w:rsidR="0062679D">
          <w:rPr>
            <w:noProof/>
            <w:webHidden/>
          </w:rPr>
        </w:r>
        <w:r w:rsidR="0062679D">
          <w:rPr>
            <w:noProof/>
            <w:webHidden/>
          </w:rPr>
          <w:fldChar w:fldCharType="separate"/>
        </w:r>
        <w:r w:rsidR="0062679D">
          <w:rPr>
            <w:noProof/>
            <w:webHidden/>
          </w:rPr>
          <w:t>165</w:t>
        </w:r>
        <w:r w:rsidR="0062679D">
          <w:rPr>
            <w:noProof/>
            <w:webHidden/>
          </w:rPr>
          <w:fldChar w:fldCharType="end"/>
        </w:r>
      </w:hyperlink>
    </w:p>
    <w:p w14:paraId="42907EBC" w14:textId="76AF0BC4" w:rsidR="0062679D" w:rsidRDefault="00F9347F">
      <w:pPr>
        <w:pStyle w:val="TableofFigures"/>
        <w:tabs>
          <w:tab w:val="right" w:leader="dot" w:pos="8659"/>
        </w:tabs>
        <w:rPr>
          <w:rFonts w:asciiTheme="minorHAnsi" w:hAnsiTheme="minorHAnsi"/>
          <w:noProof/>
          <w:lang w:eastAsia="en-GB"/>
        </w:rPr>
      </w:pPr>
      <w:hyperlink w:anchor="_Toc494687162" w:history="1">
        <w:r w:rsidR="0062679D" w:rsidRPr="00F03132">
          <w:rPr>
            <w:rStyle w:val="Hyperlink"/>
            <w:noProof/>
          </w:rPr>
          <w:t>Figure 4:7 National level scores for component one (compound understanding of democracy)</w:t>
        </w:r>
        <w:r w:rsidR="0062679D">
          <w:rPr>
            <w:noProof/>
            <w:webHidden/>
          </w:rPr>
          <w:tab/>
        </w:r>
        <w:r w:rsidR="0062679D">
          <w:rPr>
            <w:noProof/>
            <w:webHidden/>
          </w:rPr>
          <w:fldChar w:fldCharType="begin"/>
        </w:r>
        <w:r w:rsidR="0062679D">
          <w:rPr>
            <w:noProof/>
            <w:webHidden/>
          </w:rPr>
          <w:instrText xml:space="preserve"> PAGEREF _Toc494687162 \h </w:instrText>
        </w:r>
        <w:r w:rsidR="0062679D">
          <w:rPr>
            <w:noProof/>
            <w:webHidden/>
          </w:rPr>
        </w:r>
        <w:r w:rsidR="0062679D">
          <w:rPr>
            <w:noProof/>
            <w:webHidden/>
          </w:rPr>
          <w:fldChar w:fldCharType="separate"/>
        </w:r>
        <w:r w:rsidR="0062679D">
          <w:rPr>
            <w:noProof/>
            <w:webHidden/>
          </w:rPr>
          <w:t>172</w:t>
        </w:r>
        <w:r w:rsidR="0062679D">
          <w:rPr>
            <w:noProof/>
            <w:webHidden/>
          </w:rPr>
          <w:fldChar w:fldCharType="end"/>
        </w:r>
      </w:hyperlink>
    </w:p>
    <w:p w14:paraId="3C5AB968" w14:textId="0875FEBA" w:rsidR="0062679D" w:rsidRDefault="00F9347F">
      <w:pPr>
        <w:pStyle w:val="TableofFigures"/>
        <w:tabs>
          <w:tab w:val="right" w:leader="dot" w:pos="8659"/>
        </w:tabs>
        <w:rPr>
          <w:rFonts w:asciiTheme="minorHAnsi" w:hAnsiTheme="minorHAnsi"/>
          <w:noProof/>
          <w:lang w:eastAsia="en-GB"/>
        </w:rPr>
      </w:pPr>
      <w:hyperlink w:anchor="_Toc494687163" w:history="1">
        <w:r w:rsidR="0062679D" w:rsidRPr="00F03132">
          <w:rPr>
            <w:rStyle w:val="Hyperlink"/>
            <w:noProof/>
          </w:rPr>
          <w:t>Figure 4:8 Component Two at the Country level</w:t>
        </w:r>
        <w:r w:rsidR="0062679D">
          <w:rPr>
            <w:noProof/>
            <w:webHidden/>
          </w:rPr>
          <w:tab/>
        </w:r>
        <w:r w:rsidR="0062679D">
          <w:rPr>
            <w:noProof/>
            <w:webHidden/>
          </w:rPr>
          <w:fldChar w:fldCharType="begin"/>
        </w:r>
        <w:r w:rsidR="0062679D">
          <w:rPr>
            <w:noProof/>
            <w:webHidden/>
          </w:rPr>
          <w:instrText xml:space="preserve"> PAGEREF _Toc494687163 \h </w:instrText>
        </w:r>
        <w:r w:rsidR="0062679D">
          <w:rPr>
            <w:noProof/>
            <w:webHidden/>
          </w:rPr>
        </w:r>
        <w:r w:rsidR="0062679D">
          <w:rPr>
            <w:noProof/>
            <w:webHidden/>
          </w:rPr>
          <w:fldChar w:fldCharType="separate"/>
        </w:r>
        <w:r w:rsidR="0062679D">
          <w:rPr>
            <w:noProof/>
            <w:webHidden/>
          </w:rPr>
          <w:t>175</w:t>
        </w:r>
        <w:r w:rsidR="0062679D">
          <w:rPr>
            <w:noProof/>
            <w:webHidden/>
          </w:rPr>
          <w:fldChar w:fldCharType="end"/>
        </w:r>
      </w:hyperlink>
    </w:p>
    <w:p w14:paraId="7F878CB7" w14:textId="50E5930F" w:rsidR="0062679D" w:rsidRDefault="00F9347F">
      <w:pPr>
        <w:pStyle w:val="TableofFigures"/>
        <w:tabs>
          <w:tab w:val="right" w:leader="dot" w:pos="8659"/>
        </w:tabs>
        <w:rPr>
          <w:rFonts w:asciiTheme="minorHAnsi" w:hAnsiTheme="minorHAnsi"/>
          <w:noProof/>
          <w:lang w:eastAsia="en-GB"/>
        </w:rPr>
      </w:pPr>
      <w:hyperlink w:anchor="_Toc494687164" w:history="1">
        <w:r w:rsidR="0062679D" w:rsidRPr="00F03132">
          <w:rPr>
            <w:rStyle w:val="Hyperlink"/>
            <w:noProof/>
          </w:rPr>
          <w:t>Figure 4:9 Individual Percentages of Combinations of Democratic Definitions</w:t>
        </w:r>
        <w:r w:rsidR="0062679D">
          <w:rPr>
            <w:noProof/>
            <w:webHidden/>
          </w:rPr>
          <w:tab/>
        </w:r>
        <w:r w:rsidR="0062679D">
          <w:rPr>
            <w:noProof/>
            <w:webHidden/>
          </w:rPr>
          <w:fldChar w:fldCharType="begin"/>
        </w:r>
        <w:r w:rsidR="0062679D">
          <w:rPr>
            <w:noProof/>
            <w:webHidden/>
          </w:rPr>
          <w:instrText xml:space="preserve"> PAGEREF _Toc494687164 \h </w:instrText>
        </w:r>
        <w:r w:rsidR="0062679D">
          <w:rPr>
            <w:noProof/>
            <w:webHidden/>
          </w:rPr>
        </w:r>
        <w:r w:rsidR="0062679D">
          <w:rPr>
            <w:noProof/>
            <w:webHidden/>
          </w:rPr>
          <w:fldChar w:fldCharType="separate"/>
        </w:r>
        <w:r w:rsidR="0062679D">
          <w:rPr>
            <w:noProof/>
            <w:webHidden/>
          </w:rPr>
          <w:t>178</w:t>
        </w:r>
        <w:r w:rsidR="0062679D">
          <w:rPr>
            <w:noProof/>
            <w:webHidden/>
          </w:rPr>
          <w:fldChar w:fldCharType="end"/>
        </w:r>
      </w:hyperlink>
    </w:p>
    <w:p w14:paraId="0E2E42B1" w14:textId="77D1E111" w:rsidR="0062679D" w:rsidRDefault="00F9347F">
      <w:pPr>
        <w:pStyle w:val="TableofFigures"/>
        <w:tabs>
          <w:tab w:val="right" w:leader="dot" w:pos="8659"/>
        </w:tabs>
        <w:rPr>
          <w:rFonts w:asciiTheme="minorHAnsi" w:hAnsiTheme="minorHAnsi"/>
          <w:noProof/>
          <w:lang w:eastAsia="en-GB"/>
        </w:rPr>
      </w:pPr>
      <w:hyperlink w:anchor="_Toc494687165" w:history="1">
        <w:r w:rsidR="0062679D" w:rsidRPr="00F03132">
          <w:rPr>
            <w:rStyle w:val="Hyperlink"/>
            <w:noProof/>
          </w:rPr>
          <w:t>Figure 4:10 Country Level Results for both PCA Components</w:t>
        </w:r>
        <w:r w:rsidR="0062679D">
          <w:rPr>
            <w:noProof/>
            <w:webHidden/>
          </w:rPr>
          <w:tab/>
        </w:r>
        <w:r w:rsidR="0062679D">
          <w:rPr>
            <w:noProof/>
            <w:webHidden/>
          </w:rPr>
          <w:fldChar w:fldCharType="begin"/>
        </w:r>
        <w:r w:rsidR="0062679D">
          <w:rPr>
            <w:noProof/>
            <w:webHidden/>
          </w:rPr>
          <w:instrText xml:space="preserve"> PAGEREF _Toc494687165 \h </w:instrText>
        </w:r>
        <w:r w:rsidR="0062679D">
          <w:rPr>
            <w:noProof/>
            <w:webHidden/>
          </w:rPr>
        </w:r>
        <w:r w:rsidR="0062679D">
          <w:rPr>
            <w:noProof/>
            <w:webHidden/>
          </w:rPr>
          <w:fldChar w:fldCharType="separate"/>
        </w:r>
        <w:r w:rsidR="0062679D">
          <w:rPr>
            <w:noProof/>
            <w:webHidden/>
          </w:rPr>
          <w:t>179</w:t>
        </w:r>
        <w:r w:rsidR="0062679D">
          <w:rPr>
            <w:noProof/>
            <w:webHidden/>
          </w:rPr>
          <w:fldChar w:fldCharType="end"/>
        </w:r>
      </w:hyperlink>
    </w:p>
    <w:p w14:paraId="1FC13DAB" w14:textId="2539D516" w:rsidR="0062679D" w:rsidRDefault="00F9347F">
      <w:pPr>
        <w:pStyle w:val="TableofFigures"/>
        <w:tabs>
          <w:tab w:val="right" w:leader="dot" w:pos="8659"/>
        </w:tabs>
        <w:rPr>
          <w:rFonts w:asciiTheme="minorHAnsi" w:hAnsiTheme="minorHAnsi"/>
          <w:noProof/>
          <w:lang w:eastAsia="en-GB"/>
        </w:rPr>
      </w:pPr>
      <w:hyperlink w:anchor="_Toc494687166" w:history="1">
        <w:r w:rsidR="0062679D" w:rsidRPr="00F03132">
          <w:rPr>
            <w:rStyle w:val="Hyperlink"/>
            <w:noProof/>
          </w:rPr>
          <w:t>Figure 5:1 Theoretical Predictions and Variables for individual and national level variables</w:t>
        </w:r>
        <w:r w:rsidR="0062679D">
          <w:rPr>
            <w:noProof/>
            <w:webHidden/>
          </w:rPr>
          <w:tab/>
        </w:r>
        <w:r w:rsidR="0062679D">
          <w:rPr>
            <w:noProof/>
            <w:webHidden/>
          </w:rPr>
          <w:fldChar w:fldCharType="begin"/>
        </w:r>
        <w:r w:rsidR="0062679D">
          <w:rPr>
            <w:noProof/>
            <w:webHidden/>
          </w:rPr>
          <w:instrText xml:space="preserve"> PAGEREF _Toc494687166 \h </w:instrText>
        </w:r>
        <w:r w:rsidR="0062679D">
          <w:rPr>
            <w:noProof/>
            <w:webHidden/>
          </w:rPr>
        </w:r>
        <w:r w:rsidR="0062679D">
          <w:rPr>
            <w:noProof/>
            <w:webHidden/>
          </w:rPr>
          <w:fldChar w:fldCharType="separate"/>
        </w:r>
        <w:r w:rsidR="0062679D">
          <w:rPr>
            <w:noProof/>
            <w:webHidden/>
          </w:rPr>
          <w:t>199</w:t>
        </w:r>
        <w:r w:rsidR="0062679D">
          <w:rPr>
            <w:noProof/>
            <w:webHidden/>
          </w:rPr>
          <w:fldChar w:fldCharType="end"/>
        </w:r>
      </w:hyperlink>
    </w:p>
    <w:p w14:paraId="536799E5" w14:textId="63884CF2" w:rsidR="0062679D" w:rsidRDefault="00F9347F">
      <w:pPr>
        <w:pStyle w:val="TableofFigures"/>
        <w:tabs>
          <w:tab w:val="right" w:leader="dot" w:pos="8659"/>
        </w:tabs>
        <w:rPr>
          <w:rFonts w:asciiTheme="minorHAnsi" w:hAnsiTheme="minorHAnsi"/>
          <w:noProof/>
          <w:lang w:eastAsia="en-GB"/>
        </w:rPr>
      </w:pPr>
      <w:hyperlink w:anchor="_Toc494687167" w:history="1">
        <w:r w:rsidR="0062679D" w:rsidRPr="00F03132">
          <w:rPr>
            <w:rStyle w:val="Hyperlink"/>
            <w:noProof/>
          </w:rPr>
          <w:t>Figure 5:3 Theoretical puzzles and interaction tests</w:t>
        </w:r>
        <w:r w:rsidR="0062679D">
          <w:rPr>
            <w:noProof/>
            <w:webHidden/>
          </w:rPr>
          <w:tab/>
        </w:r>
        <w:r w:rsidR="0062679D">
          <w:rPr>
            <w:noProof/>
            <w:webHidden/>
          </w:rPr>
          <w:fldChar w:fldCharType="begin"/>
        </w:r>
        <w:r w:rsidR="0062679D">
          <w:rPr>
            <w:noProof/>
            <w:webHidden/>
          </w:rPr>
          <w:instrText xml:space="preserve"> PAGEREF _Toc494687167 \h </w:instrText>
        </w:r>
        <w:r w:rsidR="0062679D">
          <w:rPr>
            <w:noProof/>
            <w:webHidden/>
          </w:rPr>
        </w:r>
        <w:r w:rsidR="0062679D">
          <w:rPr>
            <w:noProof/>
            <w:webHidden/>
          </w:rPr>
          <w:fldChar w:fldCharType="separate"/>
        </w:r>
        <w:r w:rsidR="0062679D">
          <w:rPr>
            <w:noProof/>
            <w:webHidden/>
          </w:rPr>
          <w:t>200</w:t>
        </w:r>
        <w:r w:rsidR="0062679D">
          <w:rPr>
            <w:noProof/>
            <w:webHidden/>
          </w:rPr>
          <w:fldChar w:fldCharType="end"/>
        </w:r>
      </w:hyperlink>
    </w:p>
    <w:p w14:paraId="4887B8B0" w14:textId="46540F5E" w:rsidR="0062679D" w:rsidRDefault="00F9347F">
      <w:pPr>
        <w:pStyle w:val="TableofFigures"/>
        <w:tabs>
          <w:tab w:val="right" w:leader="dot" w:pos="8659"/>
        </w:tabs>
        <w:rPr>
          <w:rFonts w:asciiTheme="minorHAnsi" w:hAnsiTheme="minorHAnsi"/>
          <w:noProof/>
          <w:lang w:eastAsia="en-GB"/>
        </w:rPr>
      </w:pPr>
      <w:hyperlink w:anchor="_Toc494687168" w:history="1">
        <w:r w:rsidR="0062679D" w:rsidRPr="00F03132">
          <w:rPr>
            <w:rStyle w:val="Hyperlink"/>
            <w:noProof/>
          </w:rPr>
          <w:t>Figure 5:3 Single-Level and Multi-Level data</w:t>
        </w:r>
        <w:r w:rsidR="0062679D">
          <w:rPr>
            <w:noProof/>
            <w:webHidden/>
          </w:rPr>
          <w:tab/>
        </w:r>
        <w:r w:rsidR="0062679D">
          <w:rPr>
            <w:noProof/>
            <w:webHidden/>
          </w:rPr>
          <w:fldChar w:fldCharType="begin"/>
        </w:r>
        <w:r w:rsidR="0062679D">
          <w:rPr>
            <w:noProof/>
            <w:webHidden/>
          </w:rPr>
          <w:instrText xml:space="preserve"> PAGEREF _Toc494687168 \h </w:instrText>
        </w:r>
        <w:r w:rsidR="0062679D">
          <w:rPr>
            <w:noProof/>
            <w:webHidden/>
          </w:rPr>
        </w:r>
        <w:r w:rsidR="0062679D">
          <w:rPr>
            <w:noProof/>
            <w:webHidden/>
          </w:rPr>
          <w:fldChar w:fldCharType="separate"/>
        </w:r>
        <w:r w:rsidR="0062679D">
          <w:rPr>
            <w:noProof/>
            <w:webHidden/>
          </w:rPr>
          <w:t>202</w:t>
        </w:r>
        <w:r w:rsidR="0062679D">
          <w:rPr>
            <w:noProof/>
            <w:webHidden/>
          </w:rPr>
          <w:fldChar w:fldCharType="end"/>
        </w:r>
      </w:hyperlink>
    </w:p>
    <w:p w14:paraId="19C51141" w14:textId="216243D8" w:rsidR="0062679D" w:rsidRDefault="00F9347F">
      <w:pPr>
        <w:pStyle w:val="TableofFigures"/>
        <w:tabs>
          <w:tab w:val="right" w:leader="dot" w:pos="8659"/>
        </w:tabs>
        <w:rPr>
          <w:rFonts w:asciiTheme="minorHAnsi" w:hAnsiTheme="minorHAnsi"/>
          <w:noProof/>
          <w:lang w:eastAsia="en-GB"/>
        </w:rPr>
      </w:pPr>
      <w:hyperlink w:anchor="_Toc494687169" w:history="1">
        <w:r w:rsidR="0062679D" w:rsidRPr="00F03132">
          <w:rPr>
            <w:rStyle w:val="Hyperlink"/>
            <w:noProof/>
          </w:rPr>
          <w:t>Figure 5:4 Intraclass Correlation Coefficient</w:t>
        </w:r>
        <w:r w:rsidR="0062679D">
          <w:rPr>
            <w:noProof/>
            <w:webHidden/>
          </w:rPr>
          <w:tab/>
        </w:r>
        <w:r w:rsidR="0062679D">
          <w:rPr>
            <w:noProof/>
            <w:webHidden/>
          </w:rPr>
          <w:fldChar w:fldCharType="begin"/>
        </w:r>
        <w:r w:rsidR="0062679D">
          <w:rPr>
            <w:noProof/>
            <w:webHidden/>
          </w:rPr>
          <w:instrText xml:space="preserve"> PAGEREF _Toc494687169 \h </w:instrText>
        </w:r>
        <w:r w:rsidR="0062679D">
          <w:rPr>
            <w:noProof/>
            <w:webHidden/>
          </w:rPr>
        </w:r>
        <w:r w:rsidR="0062679D">
          <w:rPr>
            <w:noProof/>
            <w:webHidden/>
          </w:rPr>
          <w:fldChar w:fldCharType="separate"/>
        </w:r>
        <w:r w:rsidR="0062679D">
          <w:rPr>
            <w:noProof/>
            <w:webHidden/>
          </w:rPr>
          <w:t>206</w:t>
        </w:r>
        <w:r w:rsidR="0062679D">
          <w:rPr>
            <w:noProof/>
            <w:webHidden/>
          </w:rPr>
          <w:fldChar w:fldCharType="end"/>
        </w:r>
      </w:hyperlink>
    </w:p>
    <w:p w14:paraId="3833B1DF" w14:textId="1AEA2DF9" w:rsidR="0062679D" w:rsidRDefault="00F9347F">
      <w:pPr>
        <w:pStyle w:val="TableofFigures"/>
        <w:tabs>
          <w:tab w:val="right" w:leader="dot" w:pos="8659"/>
        </w:tabs>
        <w:rPr>
          <w:rFonts w:asciiTheme="minorHAnsi" w:hAnsiTheme="minorHAnsi"/>
          <w:noProof/>
          <w:lang w:eastAsia="en-GB"/>
        </w:rPr>
      </w:pPr>
      <w:hyperlink w:anchor="_Toc494687170" w:history="1">
        <w:r w:rsidR="0062679D" w:rsidRPr="00F03132">
          <w:rPr>
            <w:rStyle w:val="Hyperlink"/>
            <w:noProof/>
            <w:highlight w:val="yellow"/>
          </w:rPr>
          <w:t>Figure 5:5 How slopes and intercepts of regression lines can vary in MLM analysis (adapted from Kreft &amp; De Leeuw 1998, p.38)</w:t>
        </w:r>
        <w:r w:rsidR="0062679D">
          <w:rPr>
            <w:noProof/>
            <w:webHidden/>
          </w:rPr>
          <w:tab/>
        </w:r>
        <w:r w:rsidR="0062679D">
          <w:rPr>
            <w:noProof/>
            <w:webHidden/>
          </w:rPr>
          <w:fldChar w:fldCharType="begin"/>
        </w:r>
        <w:r w:rsidR="0062679D">
          <w:rPr>
            <w:noProof/>
            <w:webHidden/>
          </w:rPr>
          <w:instrText xml:space="preserve"> PAGEREF _Toc494687170 \h </w:instrText>
        </w:r>
        <w:r w:rsidR="0062679D">
          <w:rPr>
            <w:noProof/>
            <w:webHidden/>
          </w:rPr>
        </w:r>
        <w:r w:rsidR="0062679D">
          <w:rPr>
            <w:noProof/>
            <w:webHidden/>
          </w:rPr>
          <w:fldChar w:fldCharType="separate"/>
        </w:r>
        <w:r w:rsidR="0062679D">
          <w:rPr>
            <w:noProof/>
            <w:webHidden/>
          </w:rPr>
          <w:t>211</w:t>
        </w:r>
        <w:r w:rsidR="0062679D">
          <w:rPr>
            <w:noProof/>
            <w:webHidden/>
          </w:rPr>
          <w:fldChar w:fldCharType="end"/>
        </w:r>
      </w:hyperlink>
    </w:p>
    <w:p w14:paraId="323B87E3" w14:textId="00DEBF95" w:rsidR="0062679D" w:rsidRDefault="00F9347F">
      <w:pPr>
        <w:pStyle w:val="TableofFigures"/>
        <w:tabs>
          <w:tab w:val="right" w:leader="dot" w:pos="8659"/>
        </w:tabs>
        <w:rPr>
          <w:rFonts w:asciiTheme="minorHAnsi" w:hAnsiTheme="minorHAnsi"/>
          <w:noProof/>
          <w:lang w:eastAsia="en-GB"/>
        </w:rPr>
      </w:pPr>
      <w:hyperlink w:anchor="_Toc494687171" w:history="1">
        <w:r w:rsidR="0062679D" w:rsidRPr="00F03132">
          <w:rPr>
            <w:rStyle w:val="Hyperlink"/>
            <w:noProof/>
            <w:highlight w:val="yellow"/>
          </w:rPr>
          <w:t>Figure 5:6 Compound Understanding of Democracy (Individual Level)</w:t>
        </w:r>
        <w:r w:rsidR="0062679D">
          <w:rPr>
            <w:noProof/>
            <w:webHidden/>
          </w:rPr>
          <w:tab/>
        </w:r>
        <w:r w:rsidR="0062679D">
          <w:rPr>
            <w:noProof/>
            <w:webHidden/>
          </w:rPr>
          <w:fldChar w:fldCharType="begin"/>
        </w:r>
        <w:r w:rsidR="0062679D">
          <w:rPr>
            <w:noProof/>
            <w:webHidden/>
          </w:rPr>
          <w:instrText xml:space="preserve"> PAGEREF _Toc494687171 \h </w:instrText>
        </w:r>
        <w:r w:rsidR="0062679D">
          <w:rPr>
            <w:noProof/>
            <w:webHidden/>
          </w:rPr>
        </w:r>
        <w:r w:rsidR="0062679D">
          <w:rPr>
            <w:noProof/>
            <w:webHidden/>
          </w:rPr>
          <w:fldChar w:fldCharType="separate"/>
        </w:r>
        <w:r w:rsidR="0062679D">
          <w:rPr>
            <w:noProof/>
            <w:webHidden/>
          </w:rPr>
          <w:t>215</w:t>
        </w:r>
        <w:r w:rsidR="0062679D">
          <w:rPr>
            <w:noProof/>
            <w:webHidden/>
          </w:rPr>
          <w:fldChar w:fldCharType="end"/>
        </w:r>
      </w:hyperlink>
    </w:p>
    <w:p w14:paraId="30D8DB12" w14:textId="0F9D97C5" w:rsidR="0062679D" w:rsidRDefault="00F9347F">
      <w:pPr>
        <w:pStyle w:val="TableofFigures"/>
        <w:tabs>
          <w:tab w:val="right" w:leader="dot" w:pos="8659"/>
        </w:tabs>
        <w:rPr>
          <w:rFonts w:asciiTheme="minorHAnsi" w:hAnsiTheme="minorHAnsi"/>
          <w:noProof/>
          <w:lang w:eastAsia="en-GB"/>
        </w:rPr>
      </w:pPr>
      <w:hyperlink w:anchor="_Toc494687172" w:history="1">
        <w:r w:rsidR="0062679D" w:rsidRPr="00F03132">
          <w:rPr>
            <w:rStyle w:val="Hyperlink"/>
            <w:noProof/>
            <w:highlight w:val="yellow"/>
          </w:rPr>
          <w:t xml:space="preserve">Figure 5:7 </w:t>
        </w:r>
        <w:r w:rsidR="0062679D" w:rsidRPr="00F03132">
          <w:rPr>
            <w:rStyle w:val="Hyperlink"/>
            <w:rFonts w:cstheme="minorHAnsi"/>
            <w:noProof/>
            <w:highlight w:val="yellow"/>
          </w:rPr>
          <w:t>OLS and MLM Results for Authoritarian understanding of Democracy, WVS2008</w:t>
        </w:r>
        <w:r w:rsidR="0062679D">
          <w:rPr>
            <w:noProof/>
            <w:webHidden/>
          </w:rPr>
          <w:tab/>
        </w:r>
        <w:r w:rsidR="0062679D">
          <w:rPr>
            <w:noProof/>
            <w:webHidden/>
          </w:rPr>
          <w:fldChar w:fldCharType="begin"/>
        </w:r>
        <w:r w:rsidR="0062679D">
          <w:rPr>
            <w:noProof/>
            <w:webHidden/>
          </w:rPr>
          <w:instrText xml:space="preserve"> PAGEREF _Toc494687172 \h </w:instrText>
        </w:r>
        <w:r w:rsidR="0062679D">
          <w:rPr>
            <w:noProof/>
            <w:webHidden/>
          </w:rPr>
        </w:r>
        <w:r w:rsidR="0062679D">
          <w:rPr>
            <w:noProof/>
            <w:webHidden/>
          </w:rPr>
          <w:fldChar w:fldCharType="separate"/>
        </w:r>
        <w:r w:rsidR="0062679D">
          <w:rPr>
            <w:noProof/>
            <w:webHidden/>
          </w:rPr>
          <w:t>218</w:t>
        </w:r>
        <w:r w:rsidR="0062679D">
          <w:rPr>
            <w:noProof/>
            <w:webHidden/>
          </w:rPr>
          <w:fldChar w:fldCharType="end"/>
        </w:r>
      </w:hyperlink>
    </w:p>
    <w:p w14:paraId="0A58FF95" w14:textId="562A0387" w:rsidR="0062679D" w:rsidRDefault="00F9347F">
      <w:pPr>
        <w:pStyle w:val="TableofFigures"/>
        <w:tabs>
          <w:tab w:val="right" w:leader="dot" w:pos="8659"/>
        </w:tabs>
        <w:rPr>
          <w:rFonts w:asciiTheme="minorHAnsi" w:hAnsiTheme="minorHAnsi"/>
          <w:noProof/>
          <w:lang w:eastAsia="en-GB"/>
        </w:rPr>
      </w:pPr>
      <w:hyperlink w:anchor="_Toc494687173" w:history="1">
        <w:r w:rsidR="0062679D" w:rsidRPr="00F03132">
          <w:rPr>
            <w:rStyle w:val="Hyperlink"/>
            <w:rFonts w:cstheme="minorHAnsi"/>
            <w:noProof/>
            <w:highlight w:val="yellow"/>
          </w:rPr>
          <w:t>Figure 5:8 Predictive Margins for Individual Level-Variables (Models C7 and A7)</w:t>
        </w:r>
        <w:r w:rsidR="0062679D">
          <w:rPr>
            <w:noProof/>
            <w:webHidden/>
          </w:rPr>
          <w:tab/>
        </w:r>
        <w:r w:rsidR="0062679D">
          <w:rPr>
            <w:noProof/>
            <w:webHidden/>
          </w:rPr>
          <w:fldChar w:fldCharType="begin"/>
        </w:r>
        <w:r w:rsidR="0062679D">
          <w:rPr>
            <w:noProof/>
            <w:webHidden/>
          </w:rPr>
          <w:instrText xml:space="preserve"> PAGEREF _Toc494687173 \h </w:instrText>
        </w:r>
        <w:r w:rsidR="0062679D">
          <w:rPr>
            <w:noProof/>
            <w:webHidden/>
          </w:rPr>
        </w:r>
        <w:r w:rsidR="0062679D">
          <w:rPr>
            <w:noProof/>
            <w:webHidden/>
          </w:rPr>
          <w:fldChar w:fldCharType="separate"/>
        </w:r>
        <w:r w:rsidR="0062679D">
          <w:rPr>
            <w:noProof/>
            <w:webHidden/>
          </w:rPr>
          <w:t>221</w:t>
        </w:r>
        <w:r w:rsidR="0062679D">
          <w:rPr>
            <w:noProof/>
            <w:webHidden/>
          </w:rPr>
          <w:fldChar w:fldCharType="end"/>
        </w:r>
      </w:hyperlink>
    </w:p>
    <w:p w14:paraId="1351B9E5" w14:textId="1628A248" w:rsidR="0062679D" w:rsidRDefault="00F9347F">
      <w:pPr>
        <w:pStyle w:val="TableofFigures"/>
        <w:tabs>
          <w:tab w:val="right" w:leader="dot" w:pos="8659"/>
        </w:tabs>
        <w:rPr>
          <w:rFonts w:asciiTheme="minorHAnsi" w:hAnsiTheme="minorHAnsi"/>
          <w:noProof/>
          <w:lang w:eastAsia="en-GB"/>
        </w:rPr>
      </w:pPr>
      <w:hyperlink w:anchor="_Toc494687174" w:history="1">
        <w:r w:rsidR="0062679D" w:rsidRPr="00F03132">
          <w:rPr>
            <w:rStyle w:val="Hyperlink"/>
            <w:rFonts w:cstheme="minorHAnsi"/>
            <w:noProof/>
            <w:highlight w:val="yellow"/>
          </w:rPr>
          <w:t>Figure 5:9 Predictive Margins for Country Level Variables (Models C8-C13 and A8-A13)</w:t>
        </w:r>
        <w:r w:rsidR="0062679D">
          <w:rPr>
            <w:noProof/>
            <w:webHidden/>
          </w:rPr>
          <w:tab/>
        </w:r>
        <w:r w:rsidR="0062679D">
          <w:rPr>
            <w:noProof/>
            <w:webHidden/>
          </w:rPr>
          <w:fldChar w:fldCharType="begin"/>
        </w:r>
        <w:r w:rsidR="0062679D">
          <w:rPr>
            <w:noProof/>
            <w:webHidden/>
          </w:rPr>
          <w:instrText xml:space="preserve"> PAGEREF _Toc494687174 \h </w:instrText>
        </w:r>
        <w:r w:rsidR="0062679D">
          <w:rPr>
            <w:noProof/>
            <w:webHidden/>
          </w:rPr>
        </w:r>
        <w:r w:rsidR="0062679D">
          <w:rPr>
            <w:noProof/>
            <w:webHidden/>
          </w:rPr>
          <w:fldChar w:fldCharType="separate"/>
        </w:r>
        <w:r w:rsidR="0062679D">
          <w:rPr>
            <w:noProof/>
            <w:webHidden/>
          </w:rPr>
          <w:t>222</w:t>
        </w:r>
        <w:r w:rsidR="0062679D">
          <w:rPr>
            <w:noProof/>
            <w:webHidden/>
          </w:rPr>
          <w:fldChar w:fldCharType="end"/>
        </w:r>
      </w:hyperlink>
    </w:p>
    <w:p w14:paraId="41553399" w14:textId="6939A7B9" w:rsidR="0062679D" w:rsidRDefault="00F9347F">
      <w:pPr>
        <w:pStyle w:val="TableofFigures"/>
        <w:tabs>
          <w:tab w:val="right" w:leader="dot" w:pos="8659"/>
        </w:tabs>
        <w:rPr>
          <w:rFonts w:asciiTheme="minorHAnsi" w:hAnsiTheme="minorHAnsi"/>
          <w:noProof/>
          <w:lang w:eastAsia="en-GB"/>
        </w:rPr>
      </w:pPr>
      <w:hyperlink w:anchor="_Toc494687175" w:history="1">
        <w:r w:rsidR="0062679D" w:rsidRPr="00F03132">
          <w:rPr>
            <w:rStyle w:val="Hyperlink"/>
            <w:noProof/>
            <w:highlight w:val="yellow"/>
          </w:rPr>
          <w:t>Figure 5:10 Income *HDI/GINI for Understandings of Democracy</w:t>
        </w:r>
        <w:r w:rsidR="0062679D">
          <w:rPr>
            <w:noProof/>
            <w:webHidden/>
          </w:rPr>
          <w:tab/>
        </w:r>
        <w:r w:rsidR="0062679D">
          <w:rPr>
            <w:noProof/>
            <w:webHidden/>
          </w:rPr>
          <w:fldChar w:fldCharType="begin"/>
        </w:r>
        <w:r w:rsidR="0062679D">
          <w:rPr>
            <w:noProof/>
            <w:webHidden/>
          </w:rPr>
          <w:instrText xml:space="preserve"> PAGEREF _Toc494687175 \h </w:instrText>
        </w:r>
        <w:r w:rsidR="0062679D">
          <w:rPr>
            <w:noProof/>
            <w:webHidden/>
          </w:rPr>
        </w:r>
        <w:r w:rsidR="0062679D">
          <w:rPr>
            <w:noProof/>
            <w:webHidden/>
          </w:rPr>
          <w:fldChar w:fldCharType="separate"/>
        </w:r>
        <w:r w:rsidR="0062679D">
          <w:rPr>
            <w:noProof/>
            <w:webHidden/>
          </w:rPr>
          <w:t>225</w:t>
        </w:r>
        <w:r w:rsidR="0062679D">
          <w:rPr>
            <w:noProof/>
            <w:webHidden/>
          </w:rPr>
          <w:fldChar w:fldCharType="end"/>
        </w:r>
      </w:hyperlink>
    </w:p>
    <w:p w14:paraId="7CA95144" w14:textId="1E6AE3AA" w:rsidR="0062679D" w:rsidRDefault="00F9347F">
      <w:pPr>
        <w:pStyle w:val="TableofFigures"/>
        <w:tabs>
          <w:tab w:val="right" w:leader="dot" w:pos="8659"/>
        </w:tabs>
        <w:rPr>
          <w:rFonts w:asciiTheme="minorHAnsi" w:hAnsiTheme="minorHAnsi"/>
          <w:noProof/>
          <w:lang w:eastAsia="en-GB"/>
        </w:rPr>
      </w:pPr>
      <w:hyperlink w:anchor="_Toc494687176" w:history="1">
        <w:r w:rsidR="0062679D" w:rsidRPr="00F03132">
          <w:rPr>
            <w:rStyle w:val="Hyperlink"/>
            <w:noProof/>
            <w:highlight w:val="yellow"/>
          </w:rPr>
          <w:t>Figure 5:11 Predictive Margins: Income *HDI for Compound Understanding</w:t>
        </w:r>
        <w:r w:rsidR="0062679D">
          <w:rPr>
            <w:noProof/>
            <w:webHidden/>
          </w:rPr>
          <w:tab/>
        </w:r>
        <w:r w:rsidR="0062679D">
          <w:rPr>
            <w:noProof/>
            <w:webHidden/>
          </w:rPr>
          <w:fldChar w:fldCharType="begin"/>
        </w:r>
        <w:r w:rsidR="0062679D">
          <w:rPr>
            <w:noProof/>
            <w:webHidden/>
          </w:rPr>
          <w:instrText xml:space="preserve"> PAGEREF _Toc494687176 \h </w:instrText>
        </w:r>
        <w:r w:rsidR="0062679D">
          <w:rPr>
            <w:noProof/>
            <w:webHidden/>
          </w:rPr>
        </w:r>
        <w:r w:rsidR="0062679D">
          <w:rPr>
            <w:noProof/>
            <w:webHidden/>
          </w:rPr>
          <w:fldChar w:fldCharType="separate"/>
        </w:r>
        <w:r w:rsidR="0062679D">
          <w:rPr>
            <w:noProof/>
            <w:webHidden/>
          </w:rPr>
          <w:t>227</w:t>
        </w:r>
        <w:r w:rsidR="0062679D">
          <w:rPr>
            <w:noProof/>
            <w:webHidden/>
          </w:rPr>
          <w:fldChar w:fldCharType="end"/>
        </w:r>
      </w:hyperlink>
    </w:p>
    <w:p w14:paraId="069F91FF" w14:textId="007F4C19" w:rsidR="0062679D" w:rsidRDefault="00F9347F">
      <w:pPr>
        <w:pStyle w:val="TableofFigures"/>
        <w:tabs>
          <w:tab w:val="right" w:leader="dot" w:pos="8659"/>
        </w:tabs>
        <w:rPr>
          <w:rFonts w:asciiTheme="minorHAnsi" w:hAnsiTheme="minorHAnsi"/>
          <w:noProof/>
          <w:lang w:eastAsia="en-GB"/>
        </w:rPr>
      </w:pPr>
      <w:hyperlink w:anchor="_Toc494687177" w:history="1">
        <w:r w:rsidR="0062679D" w:rsidRPr="00F03132">
          <w:rPr>
            <w:rStyle w:val="Hyperlink"/>
            <w:noProof/>
            <w:highlight w:val="yellow"/>
          </w:rPr>
          <w:t>Figure 5:12 Predictive Margins: Income*HDI for Authoritarian Understanding</w:t>
        </w:r>
        <w:r w:rsidR="0062679D">
          <w:rPr>
            <w:noProof/>
            <w:webHidden/>
          </w:rPr>
          <w:tab/>
        </w:r>
        <w:r w:rsidR="0062679D">
          <w:rPr>
            <w:noProof/>
            <w:webHidden/>
          </w:rPr>
          <w:fldChar w:fldCharType="begin"/>
        </w:r>
        <w:r w:rsidR="0062679D">
          <w:rPr>
            <w:noProof/>
            <w:webHidden/>
          </w:rPr>
          <w:instrText xml:space="preserve"> PAGEREF _Toc494687177 \h </w:instrText>
        </w:r>
        <w:r w:rsidR="0062679D">
          <w:rPr>
            <w:noProof/>
            <w:webHidden/>
          </w:rPr>
        </w:r>
        <w:r w:rsidR="0062679D">
          <w:rPr>
            <w:noProof/>
            <w:webHidden/>
          </w:rPr>
          <w:fldChar w:fldCharType="separate"/>
        </w:r>
        <w:r w:rsidR="0062679D">
          <w:rPr>
            <w:noProof/>
            <w:webHidden/>
          </w:rPr>
          <w:t>227</w:t>
        </w:r>
        <w:r w:rsidR="0062679D">
          <w:rPr>
            <w:noProof/>
            <w:webHidden/>
          </w:rPr>
          <w:fldChar w:fldCharType="end"/>
        </w:r>
      </w:hyperlink>
    </w:p>
    <w:p w14:paraId="32B09384" w14:textId="7129C0CE" w:rsidR="0062679D" w:rsidRDefault="00F9347F">
      <w:pPr>
        <w:pStyle w:val="TableofFigures"/>
        <w:tabs>
          <w:tab w:val="right" w:leader="dot" w:pos="8659"/>
        </w:tabs>
        <w:rPr>
          <w:rFonts w:asciiTheme="minorHAnsi" w:hAnsiTheme="minorHAnsi"/>
          <w:noProof/>
          <w:lang w:eastAsia="en-GB"/>
        </w:rPr>
      </w:pPr>
      <w:hyperlink w:anchor="_Toc494687178" w:history="1">
        <w:r w:rsidR="0062679D" w:rsidRPr="00F03132">
          <w:rPr>
            <w:rStyle w:val="Hyperlink"/>
            <w:noProof/>
            <w:highlight w:val="yellow"/>
          </w:rPr>
          <w:t>Figure 5:13 Predictive Margins: Income *GINI for Compound Understanding</w:t>
        </w:r>
        <w:r w:rsidR="0062679D">
          <w:rPr>
            <w:noProof/>
            <w:webHidden/>
          </w:rPr>
          <w:tab/>
        </w:r>
        <w:r w:rsidR="0062679D">
          <w:rPr>
            <w:noProof/>
            <w:webHidden/>
          </w:rPr>
          <w:fldChar w:fldCharType="begin"/>
        </w:r>
        <w:r w:rsidR="0062679D">
          <w:rPr>
            <w:noProof/>
            <w:webHidden/>
          </w:rPr>
          <w:instrText xml:space="preserve"> PAGEREF _Toc494687178 \h </w:instrText>
        </w:r>
        <w:r w:rsidR="0062679D">
          <w:rPr>
            <w:noProof/>
            <w:webHidden/>
          </w:rPr>
        </w:r>
        <w:r w:rsidR="0062679D">
          <w:rPr>
            <w:noProof/>
            <w:webHidden/>
          </w:rPr>
          <w:fldChar w:fldCharType="separate"/>
        </w:r>
        <w:r w:rsidR="0062679D">
          <w:rPr>
            <w:noProof/>
            <w:webHidden/>
          </w:rPr>
          <w:t>228</w:t>
        </w:r>
        <w:r w:rsidR="0062679D">
          <w:rPr>
            <w:noProof/>
            <w:webHidden/>
          </w:rPr>
          <w:fldChar w:fldCharType="end"/>
        </w:r>
      </w:hyperlink>
    </w:p>
    <w:p w14:paraId="3B180B6A" w14:textId="62882612" w:rsidR="0062679D" w:rsidRDefault="00F9347F">
      <w:pPr>
        <w:pStyle w:val="TableofFigures"/>
        <w:tabs>
          <w:tab w:val="right" w:leader="dot" w:pos="8659"/>
        </w:tabs>
        <w:rPr>
          <w:rFonts w:asciiTheme="minorHAnsi" w:hAnsiTheme="minorHAnsi"/>
          <w:noProof/>
          <w:lang w:eastAsia="en-GB"/>
        </w:rPr>
      </w:pPr>
      <w:hyperlink w:anchor="_Toc494687179" w:history="1">
        <w:r w:rsidR="0062679D" w:rsidRPr="00F03132">
          <w:rPr>
            <w:rStyle w:val="Hyperlink"/>
            <w:noProof/>
            <w:highlight w:val="yellow"/>
          </w:rPr>
          <w:t>Figure 5:14 Predictive Margins: Income *GINI for Authoritarian Understanding</w:t>
        </w:r>
        <w:r w:rsidR="0062679D">
          <w:rPr>
            <w:noProof/>
            <w:webHidden/>
          </w:rPr>
          <w:tab/>
        </w:r>
        <w:r w:rsidR="0062679D">
          <w:rPr>
            <w:noProof/>
            <w:webHidden/>
          </w:rPr>
          <w:fldChar w:fldCharType="begin"/>
        </w:r>
        <w:r w:rsidR="0062679D">
          <w:rPr>
            <w:noProof/>
            <w:webHidden/>
          </w:rPr>
          <w:instrText xml:space="preserve"> PAGEREF _Toc494687179 \h </w:instrText>
        </w:r>
        <w:r w:rsidR="0062679D">
          <w:rPr>
            <w:noProof/>
            <w:webHidden/>
          </w:rPr>
        </w:r>
        <w:r w:rsidR="0062679D">
          <w:rPr>
            <w:noProof/>
            <w:webHidden/>
          </w:rPr>
          <w:fldChar w:fldCharType="separate"/>
        </w:r>
        <w:r w:rsidR="0062679D">
          <w:rPr>
            <w:noProof/>
            <w:webHidden/>
          </w:rPr>
          <w:t>229</w:t>
        </w:r>
        <w:r w:rsidR="0062679D">
          <w:rPr>
            <w:noProof/>
            <w:webHidden/>
          </w:rPr>
          <w:fldChar w:fldCharType="end"/>
        </w:r>
      </w:hyperlink>
    </w:p>
    <w:p w14:paraId="247AC0E5" w14:textId="3167825C" w:rsidR="0062679D" w:rsidRDefault="00F9347F">
      <w:pPr>
        <w:pStyle w:val="TableofFigures"/>
        <w:tabs>
          <w:tab w:val="right" w:leader="dot" w:pos="8659"/>
        </w:tabs>
        <w:rPr>
          <w:rFonts w:asciiTheme="minorHAnsi" w:hAnsiTheme="minorHAnsi"/>
          <w:noProof/>
          <w:lang w:eastAsia="en-GB"/>
        </w:rPr>
      </w:pPr>
      <w:hyperlink w:anchor="_Toc494687180" w:history="1">
        <w:r w:rsidR="0062679D" w:rsidRPr="00F03132">
          <w:rPr>
            <w:rStyle w:val="Hyperlink"/>
            <w:noProof/>
            <w:highlight w:val="yellow"/>
          </w:rPr>
          <w:t>Figure 5:15 Predictive Margins: Income*GINI*HDI for Compound Understanding</w:t>
        </w:r>
        <w:r w:rsidR="0062679D">
          <w:rPr>
            <w:noProof/>
            <w:webHidden/>
          </w:rPr>
          <w:tab/>
        </w:r>
        <w:r w:rsidR="0062679D">
          <w:rPr>
            <w:noProof/>
            <w:webHidden/>
          </w:rPr>
          <w:fldChar w:fldCharType="begin"/>
        </w:r>
        <w:r w:rsidR="0062679D">
          <w:rPr>
            <w:noProof/>
            <w:webHidden/>
          </w:rPr>
          <w:instrText xml:space="preserve"> PAGEREF _Toc494687180 \h </w:instrText>
        </w:r>
        <w:r w:rsidR="0062679D">
          <w:rPr>
            <w:noProof/>
            <w:webHidden/>
          </w:rPr>
        </w:r>
        <w:r w:rsidR="0062679D">
          <w:rPr>
            <w:noProof/>
            <w:webHidden/>
          </w:rPr>
          <w:fldChar w:fldCharType="separate"/>
        </w:r>
        <w:r w:rsidR="0062679D">
          <w:rPr>
            <w:noProof/>
            <w:webHidden/>
          </w:rPr>
          <w:t>229</w:t>
        </w:r>
        <w:r w:rsidR="0062679D">
          <w:rPr>
            <w:noProof/>
            <w:webHidden/>
          </w:rPr>
          <w:fldChar w:fldCharType="end"/>
        </w:r>
      </w:hyperlink>
    </w:p>
    <w:p w14:paraId="1446CD70" w14:textId="1EF5204B" w:rsidR="0062679D" w:rsidRDefault="00F9347F">
      <w:pPr>
        <w:pStyle w:val="TableofFigures"/>
        <w:tabs>
          <w:tab w:val="right" w:leader="dot" w:pos="8659"/>
        </w:tabs>
        <w:rPr>
          <w:rFonts w:asciiTheme="minorHAnsi" w:hAnsiTheme="minorHAnsi"/>
          <w:noProof/>
          <w:lang w:eastAsia="en-GB"/>
        </w:rPr>
      </w:pPr>
      <w:hyperlink w:anchor="_Toc494687181" w:history="1">
        <w:r w:rsidR="0062679D" w:rsidRPr="00F03132">
          <w:rPr>
            <w:rStyle w:val="Hyperlink"/>
            <w:noProof/>
            <w:highlight w:val="yellow"/>
          </w:rPr>
          <w:t>Figure 5:16 Predictive Margins: Income*GINI*HDI for Authoritarian Understanding</w:t>
        </w:r>
        <w:r w:rsidR="0062679D">
          <w:rPr>
            <w:noProof/>
            <w:webHidden/>
          </w:rPr>
          <w:tab/>
        </w:r>
        <w:r w:rsidR="0062679D">
          <w:rPr>
            <w:noProof/>
            <w:webHidden/>
          </w:rPr>
          <w:fldChar w:fldCharType="begin"/>
        </w:r>
        <w:r w:rsidR="0062679D">
          <w:rPr>
            <w:noProof/>
            <w:webHidden/>
          </w:rPr>
          <w:instrText xml:space="preserve"> PAGEREF _Toc494687181 \h </w:instrText>
        </w:r>
        <w:r w:rsidR="0062679D">
          <w:rPr>
            <w:noProof/>
            <w:webHidden/>
          </w:rPr>
        </w:r>
        <w:r w:rsidR="0062679D">
          <w:rPr>
            <w:noProof/>
            <w:webHidden/>
          </w:rPr>
          <w:fldChar w:fldCharType="separate"/>
        </w:r>
        <w:r w:rsidR="0062679D">
          <w:rPr>
            <w:noProof/>
            <w:webHidden/>
          </w:rPr>
          <w:t>230</w:t>
        </w:r>
        <w:r w:rsidR="0062679D">
          <w:rPr>
            <w:noProof/>
            <w:webHidden/>
          </w:rPr>
          <w:fldChar w:fldCharType="end"/>
        </w:r>
      </w:hyperlink>
    </w:p>
    <w:p w14:paraId="7B43F6A9" w14:textId="0D973A10" w:rsidR="0062679D" w:rsidRDefault="00F9347F">
      <w:pPr>
        <w:pStyle w:val="TableofFigures"/>
        <w:tabs>
          <w:tab w:val="right" w:leader="dot" w:pos="8659"/>
        </w:tabs>
        <w:rPr>
          <w:rFonts w:asciiTheme="minorHAnsi" w:hAnsiTheme="minorHAnsi"/>
          <w:noProof/>
          <w:lang w:eastAsia="en-GB"/>
        </w:rPr>
      </w:pPr>
      <w:hyperlink w:anchor="_Toc494687182" w:history="1">
        <w:r w:rsidR="0062679D" w:rsidRPr="00F03132">
          <w:rPr>
            <w:rStyle w:val="Hyperlink"/>
            <w:noProof/>
            <w:highlight w:val="yellow"/>
          </w:rPr>
          <w:t>Figure 5:17 Income *HDI/GINI for Understandings of Democracy</w:t>
        </w:r>
        <w:r w:rsidR="0062679D">
          <w:rPr>
            <w:noProof/>
            <w:webHidden/>
          </w:rPr>
          <w:tab/>
        </w:r>
        <w:r w:rsidR="0062679D">
          <w:rPr>
            <w:noProof/>
            <w:webHidden/>
          </w:rPr>
          <w:fldChar w:fldCharType="begin"/>
        </w:r>
        <w:r w:rsidR="0062679D">
          <w:rPr>
            <w:noProof/>
            <w:webHidden/>
          </w:rPr>
          <w:instrText xml:space="preserve"> PAGEREF _Toc494687182 \h </w:instrText>
        </w:r>
        <w:r w:rsidR="0062679D">
          <w:rPr>
            <w:noProof/>
            <w:webHidden/>
          </w:rPr>
        </w:r>
        <w:r w:rsidR="0062679D">
          <w:rPr>
            <w:noProof/>
            <w:webHidden/>
          </w:rPr>
          <w:fldChar w:fldCharType="separate"/>
        </w:r>
        <w:r w:rsidR="0062679D">
          <w:rPr>
            <w:noProof/>
            <w:webHidden/>
          </w:rPr>
          <w:t>233</w:t>
        </w:r>
        <w:r w:rsidR="0062679D">
          <w:rPr>
            <w:noProof/>
            <w:webHidden/>
          </w:rPr>
          <w:fldChar w:fldCharType="end"/>
        </w:r>
      </w:hyperlink>
    </w:p>
    <w:p w14:paraId="795A9B57" w14:textId="58FEBDD2" w:rsidR="0062679D" w:rsidRDefault="00F9347F">
      <w:pPr>
        <w:pStyle w:val="TableofFigures"/>
        <w:tabs>
          <w:tab w:val="right" w:leader="dot" w:pos="8659"/>
        </w:tabs>
        <w:rPr>
          <w:rFonts w:asciiTheme="minorHAnsi" w:hAnsiTheme="minorHAnsi"/>
          <w:noProof/>
          <w:lang w:eastAsia="en-GB"/>
        </w:rPr>
      </w:pPr>
      <w:hyperlink w:anchor="_Toc494687183" w:history="1">
        <w:r w:rsidR="0062679D" w:rsidRPr="00F03132">
          <w:rPr>
            <w:rStyle w:val="Hyperlink"/>
            <w:noProof/>
            <w:highlight w:val="yellow"/>
          </w:rPr>
          <w:t>Figure 5:18 Predictive Margins for Compound understanding of democracy and Media use*Press Freedom Interaction</w:t>
        </w:r>
        <w:r w:rsidR="0062679D">
          <w:rPr>
            <w:noProof/>
            <w:webHidden/>
          </w:rPr>
          <w:tab/>
        </w:r>
        <w:r w:rsidR="0062679D">
          <w:rPr>
            <w:noProof/>
            <w:webHidden/>
          </w:rPr>
          <w:fldChar w:fldCharType="begin"/>
        </w:r>
        <w:r w:rsidR="0062679D">
          <w:rPr>
            <w:noProof/>
            <w:webHidden/>
          </w:rPr>
          <w:instrText xml:space="preserve"> PAGEREF _Toc494687183 \h </w:instrText>
        </w:r>
        <w:r w:rsidR="0062679D">
          <w:rPr>
            <w:noProof/>
            <w:webHidden/>
          </w:rPr>
        </w:r>
        <w:r w:rsidR="0062679D">
          <w:rPr>
            <w:noProof/>
            <w:webHidden/>
          </w:rPr>
          <w:fldChar w:fldCharType="separate"/>
        </w:r>
        <w:r w:rsidR="0062679D">
          <w:rPr>
            <w:noProof/>
            <w:webHidden/>
          </w:rPr>
          <w:t>234</w:t>
        </w:r>
        <w:r w:rsidR="0062679D">
          <w:rPr>
            <w:noProof/>
            <w:webHidden/>
          </w:rPr>
          <w:fldChar w:fldCharType="end"/>
        </w:r>
      </w:hyperlink>
    </w:p>
    <w:p w14:paraId="240652D1" w14:textId="621DD0FA" w:rsidR="0062679D" w:rsidRDefault="00F9347F">
      <w:pPr>
        <w:pStyle w:val="TableofFigures"/>
        <w:tabs>
          <w:tab w:val="right" w:leader="dot" w:pos="8659"/>
        </w:tabs>
        <w:rPr>
          <w:rFonts w:asciiTheme="minorHAnsi" w:hAnsiTheme="minorHAnsi"/>
          <w:noProof/>
          <w:lang w:eastAsia="en-GB"/>
        </w:rPr>
      </w:pPr>
      <w:hyperlink w:anchor="_Toc494687184" w:history="1">
        <w:r w:rsidR="0062679D" w:rsidRPr="00F03132">
          <w:rPr>
            <w:rStyle w:val="Hyperlink"/>
            <w:noProof/>
            <w:highlight w:val="yellow"/>
          </w:rPr>
          <w:t>Figure 5:18 Predictive Margins for Authoritarian understanding of democracy and Media use*Press Freedom Interaction</w:t>
        </w:r>
        <w:r w:rsidR="0062679D">
          <w:rPr>
            <w:noProof/>
            <w:webHidden/>
          </w:rPr>
          <w:tab/>
        </w:r>
        <w:r w:rsidR="0062679D">
          <w:rPr>
            <w:noProof/>
            <w:webHidden/>
          </w:rPr>
          <w:fldChar w:fldCharType="begin"/>
        </w:r>
        <w:r w:rsidR="0062679D">
          <w:rPr>
            <w:noProof/>
            <w:webHidden/>
          </w:rPr>
          <w:instrText xml:space="preserve"> PAGEREF _Toc494687184 \h </w:instrText>
        </w:r>
        <w:r w:rsidR="0062679D">
          <w:rPr>
            <w:noProof/>
            <w:webHidden/>
          </w:rPr>
        </w:r>
        <w:r w:rsidR="0062679D">
          <w:rPr>
            <w:noProof/>
            <w:webHidden/>
          </w:rPr>
          <w:fldChar w:fldCharType="separate"/>
        </w:r>
        <w:r w:rsidR="0062679D">
          <w:rPr>
            <w:noProof/>
            <w:webHidden/>
          </w:rPr>
          <w:t>234</w:t>
        </w:r>
        <w:r w:rsidR="0062679D">
          <w:rPr>
            <w:noProof/>
            <w:webHidden/>
          </w:rPr>
          <w:fldChar w:fldCharType="end"/>
        </w:r>
      </w:hyperlink>
    </w:p>
    <w:p w14:paraId="21A3D94B" w14:textId="1C0D2E12" w:rsidR="0062679D" w:rsidRDefault="00F9347F">
      <w:pPr>
        <w:pStyle w:val="TableofFigures"/>
        <w:tabs>
          <w:tab w:val="right" w:leader="dot" w:pos="8659"/>
        </w:tabs>
        <w:rPr>
          <w:rFonts w:asciiTheme="minorHAnsi" w:hAnsiTheme="minorHAnsi"/>
          <w:noProof/>
          <w:lang w:eastAsia="en-GB"/>
        </w:rPr>
      </w:pPr>
      <w:hyperlink w:anchor="_Toc494687185" w:history="1">
        <w:r w:rsidR="0062679D" w:rsidRPr="00F03132">
          <w:rPr>
            <w:rStyle w:val="Hyperlink"/>
            <w:rFonts w:cs="Segoe UI"/>
            <w:noProof/>
            <w:highlight w:val="yellow"/>
          </w:rPr>
          <w:t>Figure 5:20 Membership*Freedom House Interaction results for Compound and Authoritarian Understandings of Democracy</w:t>
        </w:r>
        <w:r w:rsidR="0062679D">
          <w:rPr>
            <w:noProof/>
            <w:webHidden/>
          </w:rPr>
          <w:tab/>
        </w:r>
        <w:r w:rsidR="0062679D">
          <w:rPr>
            <w:noProof/>
            <w:webHidden/>
          </w:rPr>
          <w:fldChar w:fldCharType="begin"/>
        </w:r>
        <w:r w:rsidR="0062679D">
          <w:rPr>
            <w:noProof/>
            <w:webHidden/>
          </w:rPr>
          <w:instrText xml:space="preserve"> PAGEREF _Toc494687185 \h </w:instrText>
        </w:r>
        <w:r w:rsidR="0062679D">
          <w:rPr>
            <w:noProof/>
            <w:webHidden/>
          </w:rPr>
        </w:r>
        <w:r w:rsidR="0062679D">
          <w:rPr>
            <w:noProof/>
            <w:webHidden/>
          </w:rPr>
          <w:fldChar w:fldCharType="separate"/>
        </w:r>
        <w:r w:rsidR="0062679D">
          <w:rPr>
            <w:noProof/>
            <w:webHidden/>
          </w:rPr>
          <w:t>236</w:t>
        </w:r>
        <w:r w:rsidR="0062679D">
          <w:rPr>
            <w:noProof/>
            <w:webHidden/>
          </w:rPr>
          <w:fldChar w:fldCharType="end"/>
        </w:r>
      </w:hyperlink>
    </w:p>
    <w:p w14:paraId="25D3E305" w14:textId="4FB0F8F4" w:rsidR="0062679D" w:rsidRDefault="00F9347F">
      <w:pPr>
        <w:pStyle w:val="TableofFigures"/>
        <w:tabs>
          <w:tab w:val="right" w:leader="dot" w:pos="8659"/>
        </w:tabs>
        <w:rPr>
          <w:rFonts w:asciiTheme="minorHAnsi" w:hAnsiTheme="minorHAnsi"/>
          <w:noProof/>
          <w:lang w:eastAsia="en-GB"/>
        </w:rPr>
      </w:pPr>
      <w:hyperlink w:anchor="_Toc494687186" w:history="1">
        <w:r w:rsidR="0062679D" w:rsidRPr="00F03132">
          <w:rPr>
            <w:rStyle w:val="Hyperlink"/>
            <w:noProof/>
            <w:highlight w:val="yellow"/>
          </w:rPr>
          <w:t>Figure 5:21 Predictive Margins for Compound understanding of democracy and Group Membership* Freedom House</w:t>
        </w:r>
        <w:r w:rsidR="0062679D">
          <w:rPr>
            <w:noProof/>
            <w:webHidden/>
          </w:rPr>
          <w:tab/>
        </w:r>
        <w:r w:rsidR="0062679D">
          <w:rPr>
            <w:noProof/>
            <w:webHidden/>
          </w:rPr>
          <w:fldChar w:fldCharType="begin"/>
        </w:r>
        <w:r w:rsidR="0062679D">
          <w:rPr>
            <w:noProof/>
            <w:webHidden/>
          </w:rPr>
          <w:instrText xml:space="preserve"> PAGEREF _Toc494687186 \h </w:instrText>
        </w:r>
        <w:r w:rsidR="0062679D">
          <w:rPr>
            <w:noProof/>
            <w:webHidden/>
          </w:rPr>
        </w:r>
        <w:r w:rsidR="0062679D">
          <w:rPr>
            <w:noProof/>
            <w:webHidden/>
          </w:rPr>
          <w:fldChar w:fldCharType="separate"/>
        </w:r>
        <w:r w:rsidR="0062679D">
          <w:rPr>
            <w:noProof/>
            <w:webHidden/>
          </w:rPr>
          <w:t>237</w:t>
        </w:r>
        <w:r w:rsidR="0062679D">
          <w:rPr>
            <w:noProof/>
            <w:webHidden/>
          </w:rPr>
          <w:fldChar w:fldCharType="end"/>
        </w:r>
      </w:hyperlink>
    </w:p>
    <w:p w14:paraId="4CB90950" w14:textId="5720EC6A" w:rsidR="0062679D" w:rsidRDefault="00F9347F">
      <w:pPr>
        <w:pStyle w:val="TableofFigures"/>
        <w:tabs>
          <w:tab w:val="right" w:leader="dot" w:pos="8659"/>
        </w:tabs>
        <w:rPr>
          <w:rFonts w:asciiTheme="minorHAnsi" w:hAnsiTheme="minorHAnsi"/>
          <w:noProof/>
          <w:lang w:eastAsia="en-GB"/>
        </w:rPr>
      </w:pPr>
      <w:hyperlink w:anchor="_Toc494687187" w:history="1">
        <w:r w:rsidR="0062679D" w:rsidRPr="00F03132">
          <w:rPr>
            <w:rStyle w:val="Hyperlink"/>
            <w:noProof/>
            <w:highlight w:val="yellow"/>
          </w:rPr>
          <w:t>Figure 5:22 Predictive Margins for Authoritarian understanding of democracy and Group Membership* Freedom House</w:t>
        </w:r>
        <w:r w:rsidR="0062679D">
          <w:rPr>
            <w:noProof/>
            <w:webHidden/>
          </w:rPr>
          <w:tab/>
        </w:r>
        <w:r w:rsidR="0062679D">
          <w:rPr>
            <w:noProof/>
            <w:webHidden/>
          </w:rPr>
          <w:fldChar w:fldCharType="begin"/>
        </w:r>
        <w:r w:rsidR="0062679D">
          <w:rPr>
            <w:noProof/>
            <w:webHidden/>
          </w:rPr>
          <w:instrText xml:space="preserve"> PAGEREF _Toc494687187 \h </w:instrText>
        </w:r>
        <w:r w:rsidR="0062679D">
          <w:rPr>
            <w:noProof/>
            <w:webHidden/>
          </w:rPr>
        </w:r>
        <w:r w:rsidR="0062679D">
          <w:rPr>
            <w:noProof/>
            <w:webHidden/>
          </w:rPr>
          <w:fldChar w:fldCharType="separate"/>
        </w:r>
        <w:r w:rsidR="0062679D">
          <w:rPr>
            <w:noProof/>
            <w:webHidden/>
          </w:rPr>
          <w:t>238</w:t>
        </w:r>
        <w:r w:rsidR="0062679D">
          <w:rPr>
            <w:noProof/>
            <w:webHidden/>
          </w:rPr>
          <w:fldChar w:fldCharType="end"/>
        </w:r>
      </w:hyperlink>
    </w:p>
    <w:p w14:paraId="71A71B60" w14:textId="7A18E918" w:rsidR="0062679D" w:rsidRDefault="00F9347F">
      <w:pPr>
        <w:pStyle w:val="TableofFigures"/>
        <w:tabs>
          <w:tab w:val="right" w:leader="dot" w:pos="8659"/>
        </w:tabs>
        <w:rPr>
          <w:rFonts w:asciiTheme="minorHAnsi" w:hAnsiTheme="minorHAnsi"/>
          <w:noProof/>
          <w:lang w:eastAsia="en-GB"/>
        </w:rPr>
      </w:pPr>
      <w:hyperlink w:anchor="_Toc494687188" w:history="1">
        <w:r w:rsidR="0062679D" w:rsidRPr="00F03132">
          <w:rPr>
            <w:rStyle w:val="Hyperlink"/>
            <w:noProof/>
          </w:rPr>
          <w:t>Figure 6:1 Theoretical Predictions and Test Variables</w:t>
        </w:r>
        <w:r w:rsidR="0062679D">
          <w:rPr>
            <w:noProof/>
            <w:webHidden/>
          </w:rPr>
          <w:tab/>
        </w:r>
        <w:r w:rsidR="0062679D">
          <w:rPr>
            <w:noProof/>
            <w:webHidden/>
          </w:rPr>
          <w:fldChar w:fldCharType="begin"/>
        </w:r>
        <w:r w:rsidR="0062679D">
          <w:rPr>
            <w:noProof/>
            <w:webHidden/>
          </w:rPr>
          <w:instrText xml:space="preserve"> PAGEREF _Toc494687188 \h </w:instrText>
        </w:r>
        <w:r w:rsidR="0062679D">
          <w:rPr>
            <w:noProof/>
            <w:webHidden/>
          </w:rPr>
        </w:r>
        <w:r w:rsidR="0062679D">
          <w:rPr>
            <w:noProof/>
            <w:webHidden/>
          </w:rPr>
          <w:fldChar w:fldCharType="separate"/>
        </w:r>
        <w:r w:rsidR="0062679D">
          <w:rPr>
            <w:noProof/>
            <w:webHidden/>
          </w:rPr>
          <w:t>258</w:t>
        </w:r>
        <w:r w:rsidR="0062679D">
          <w:rPr>
            <w:noProof/>
            <w:webHidden/>
          </w:rPr>
          <w:fldChar w:fldCharType="end"/>
        </w:r>
      </w:hyperlink>
    </w:p>
    <w:p w14:paraId="32D21F7F" w14:textId="42EFB263" w:rsidR="0062679D" w:rsidRDefault="00F9347F">
      <w:pPr>
        <w:pStyle w:val="TableofFigures"/>
        <w:tabs>
          <w:tab w:val="right" w:leader="dot" w:pos="8659"/>
        </w:tabs>
        <w:rPr>
          <w:rFonts w:asciiTheme="minorHAnsi" w:hAnsiTheme="minorHAnsi"/>
          <w:noProof/>
          <w:lang w:eastAsia="en-GB"/>
        </w:rPr>
      </w:pPr>
      <w:hyperlink w:anchor="_Toc494687189" w:history="1">
        <w:r w:rsidR="0062679D" w:rsidRPr="00F03132">
          <w:rPr>
            <w:rStyle w:val="Hyperlink"/>
            <w:noProof/>
          </w:rPr>
          <w:t>Figure 6:2 Contextual Theoretical Predictions and Test Variables</w:t>
        </w:r>
        <w:r w:rsidR="0062679D">
          <w:rPr>
            <w:noProof/>
            <w:webHidden/>
          </w:rPr>
          <w:tab/>
        </w:r>
        <w:r w:rsidR="0062679D">
          <w:rPr>
            <w:noProof/>
            <w:webHidden/>
          </w:rPr>
          <w:fldChar w:fldCharType="begin"/>
        </w:r>
        <w:r w:rsidR="0062679D">
          <w:rPr>
            <w:noProof/>
            <w:webHidden/>
          </w:rPr>
          <w:instrText xml:space="preserve"> PAGEREF _Toc494687189 \h </w:instrText>
        </w:r>
        <w:r w:rsidR="0062679D">
          <w:rPr>
            <w:noProof/>
            <w:webHidden/>
          </w:rPr>
        </w:r>
        <w:r w:rsidR="0062679D">
          <w:rPr>
            <w:noProof/>
            <w:webHidden/>
          </w:rPr>
          <w:fldChar w:fldCharType="separate"/>
        </w:r>
        <w:r w:rsidR="0062679D">
          <w:rPr>
            <w:noProof/>
            <w:webHidden/>
          </w:rPr>
          <w:t>260</w:t>
        </w:r>
        <w:r w:rsidR="0062679D">
          <w:rPr>
            <w:noProof/>
            <w:webHidden/>
          </w:rPr>
          <w:fldChar w:fldCharType="end"/>
        </w:r>
      </w:hyperlink>
    </w:p>
    <w:p w14:paraId="420F1B16" w14:textId="0AF3098A" w:rsidR="0062679D" w:rsidRDefault="00F9347F">
      <w:pPr>
        <w:pStyle w:val="TableofFigures"/>
        <w:tabs>
          <w:tab w:val="right" w:leader="dot" w:pos="8659"/>
        </w:tabs>
        <w:rPr>
          <w:rFonts w:asciiTheme="minorHAnsi" w:hAnsiTheme="minorHAnsi"/>
          <w:noProof/>
          <w:lang w:eastAsia="en-GB"/>
        </w:rPr>
      </w:pPr>
      <w:hyperlink w:anchor="_Toc494687190" w:history="1">
        <w:r w:rsidR="0062679D" w:rsidRPr="00F03132">
          <w:rPr>
            <w:rStyle w:val="Hyperlink"/>
            <w:noProof/>
          </w:rPr>
          <w:t>Figure 6:3 Informal Participation by Development (%)</w:t>
        </w:r>
        <w:r w:rsidR="0062679D">
          <w:rPr>
            <w:noProof/>
            <w:webHidden/>
          </w:rPr>
          <w:tab/>
        </w:r>
        <w:r w:rsidR="0062679D">
          <w:rPr>
            <w:noProof/>
            <w:webHidden/>
          </w:rPr>
          <w:fldChar w:fldCharType="begin"/>
        </w:r>
        <w:r w:rsidR="0062679D">
          <w:rPr>
            <w:noProof/>
            <w:webHidden/>
          </w:rPr>
          <w:instrText xml:space="preserve"> PAGEREF _Toc494687190 \h </w:instrText>
        </w:r>
        <w:r w:rsidR="0062679D">
          <w:rPr>
            <w:noProof/>
            <w:webHidden/>
          </w:rPr>
        </w:r>
        <w:r w:rsidR="0062679D">
          <w:rPr>
            <w:noProof/>
            <w:webHidden/>
          </w:rPr>
          <w:fldChar w:fldCharType="separate"/>
        </w:r>
        <w:r w:rsidR="0062679D">
          <w:rPr>
            <w:noProof/>
            <w:webHidden/>
          </w:rPr>
          <w:t>264</w:t>
        </w:r>
        <w:r w:rsidR="0062679D">
          <w:rPr>
            <w:noProof/>
            <w:webHidden/>
          </w:rPr>
          <w:fldChar w:fldCharType="end"/>
        </w:r>
      </w:hyperlink>
    </w:p>
    <w:p w14:paraId="588EED90" w14:textId="20195DC0" w:rsidR="0062679D" w:rsidRDefault="00F9347F">
      <w:pPr>
        <w:pStyle w:val="TableofFigures"/>
        <w:tabs>
          <w:tab w:val="right" w:leader="dot" w:pos="8659"/>
        </w:tabs>
        <w:rPr>
          <w:rFonts w:asciiTheme="minorHAnsi" w:hAnsiTheme="minorHAnsi"/>
          <w:noProof/>
          <w:lang w:eastAsia="en-GB"/>
        </w:rPr>
      </w:pPr>
      <w:hyperlink w:anchor="_Toc494687191" w:history="1">
        <w:r w:rsidR="0062679D" w:rsidRPr="00F03132">
          <w:rPr>
            <w:rStyle w:val="Hyperlink"/>
            <w:noProof/>
          </w:rPr>
          <w:t>Figure 6:4 Have/Might petition (%) by country and wave</w:t>
        </w:r>
        <w:r w:rsidR="0062679D">
          <w:rPr>
            <w:noProof/>
            <w:webHidden/>
          </w:rPr>
          <w:tab/>
        </w:r>
        <w:r w:rsidR="0062679D">
          <w:rPr>
            <w:noProof/>
            <w:webHidden/>
          </w:rPr>
          <w:fldChar w:fldCharType="begin"/>
        </w:r>
        <w:r w:rsidR="0062679D">
          <w:rPr>
            <w:noProof/>
            <w:webHidden/>
          </w:rPr>
          <w:instrText xml:space="preserve"> PAGEREF _Toc494687191 \h </w:instrText>
        </w:r>
        <w:r w:rsidR="0062679D">
          <w:rPr>
            <w:noProof/>
            <w:webHidden/>
          </w:rPr>
        </w:r>
        <w:r w:rsidR="0062679D">
          <w:rPr>
            <w:noProof/>
            <w:webHidden/>
          </w:rPr>
          <w:fldChar w:fldCharType="separate"/>
        </w:r>
        <w:r w:rsidR="0062679D">
          <w:rPr>
            <w:noProof/>
            <w:webHidden/>
          </w:rPr>
          <w:t>265</w:t>
        </w:r>
        <w:r w:rsidR="0062679D">
          <w:rPr>
            <w:noProof/>
            <w:webHidden/>
          </w:rPr>
          <w:fldChar w:fldCharType="end"/>
        </w:r>
      </w:hyperlink>
    </w:p>
    <w:p w14:paraId="7E3C8D98" w14:textId="016A14C3" w:rsidR="0062679D" w:rsidRDefault="00F9347F">
      <w:pPr>
        <w:pStyle w:val="TableofFigures"/>
        <w:tabs>
          <w:tab w:val="right" w:leader="dot" w:pos="8659"/>
        </w:tabs>
        <w:rPr>
          <w:rFonts w:asciiTheme="minorHAnsi" w:hAnsiTheme="minorHAnsi"/>
          <w:noProof/>
          <w:lang w:eastAsia="en-GB"/>
        </w:rPr>
      </w:pPr>
      <w:hyperlink w:anchor="_Toc494687192" w:history="1">
        <w:r w:rsidR="0062679D" w:rsidRPr="00F03132">
          <w:rPr>
            <w:rStyle w:val="Hyperlink"/>
            <w:noProof/>
          </w:rPr>
          <w:t>Figure 6:5 Have/Might boycott (%) by country and wave</w:t>
        </w:r>
        <w:r w:rsidR="0062679D">
          <w:rPr>
            <w:noProof/>
            <w:webHidden/>
          </w:rPr>
          <w:tab/>
        </w:r>
        <w:r w:rsidR="0062679D">
          <w:rPr>
            <w:noProof/>
            <w:webHidden/>
          </w:rPr>
          <w:fldChar w:fldCharType="begin"/>
        </w:r>
        <w:r w:rsidR="0062679D">
          <w:rPr>
            <w:noProof/>
            <w:webHidden/>
          </w:rPr>
          <w:instrText xml:space="preserve"> PAGEREF _Toc494687192 \h </w:instrText>
        </w:r>
        <w:r w:rsidR="0062679D">
          <w:rPr>
            <w:noProof/>
            <w:webHidden/>
          </w:rPr>
        </w:r>
        <w:r w:rsidR="0062679D">
          <w:rPr>
            <w:noProof/>
            <w:webHidden/>
          </w:rPr>
          <w:fldChar w:fldCharType="separate"/>
        </w:r>
        <w:r w:rsidR="0062679D">
          <w:rPr>
            <w:noProof/>
            <w:webHidden/>
          </w:rPr>
          <w:t>267</w:t>
        </w:r>
        <w:r w:rsidR="0062679D">
          <w:rPr>
            <w:noProof/>
            <w:webHidden/>
          </w:rPr>
          <w:fldChar w:fldCharType="end"/>
        </w:r>
      </w:hyperlink>
    </w:p>
    <w:p w14:paraId="7410E9B7" w14:textId="28FE2FED" w:rsidR="0062679D" w:rsidRDefault="00F9347F">
      <w:pPr>
        <w:pStyle w:val="TableofFigures"/>
        <w:tabs>
          <w:tab w:val="right" w:leader="dot" w:pos="8659"/>
        </w:tabs>
        <w:rPr>
          <w:rFonts w:asciiTheme="minorHAnsi" w:hAnsiTheme="minorHAnsi"/>
          <w:noProof/>
          <w:lang w:eastAsia="en-GB"/>
        </w:rPr>
      </w:pPr>
      <w:hyperlink w:anchor="_Toc494687193" w:history="1">
        <w:r w:rsidR="0062679D" w:rsidRPr="00F03132">
          <w:rPr>
            <w:rStyle w:val="Hyperlink"/>
            <w:noProof/>
          </w:rPr>
          <w:t>Figure 6:6 Have/Might demonstrate (%) by country and wave</w:t>
        </w:r>
        <w:r w:rsidR="0062679D">
          <w:rPr>
            <w:noProof/>
            <w:webHidden/>
          </w:rPr>
          <w:tab/>
        </w:r>
        <w:r w:rsidR="0062679D">
          <w:rPr>
            <w:noProof/>
            <w:webHidden/>
          </w:rPr>
          <w:fldChar w:fldCharType="begin"/>
        </w:r>
        <w:r w:rsidR="0062679D">
          <w:rPr>
            <w:noProof/>
            <w:webHidden/>
          </w:rPr>
          <w:instrText xml:space="preserve"> PAGEREF _Toc494687193 \h </w:instrText>
        </w:r>
        <w:r w:rsidR="0062679D">
          <w:rPr>
            <w:noProof/>
            <w:webHidden/>
          </w:rPr>
        </w:r>
        <w:r w:rsidR="0062679D">
          <w:rPr>
            <w:noProof/>
            <w:webHidden/>
          </w:rPr>
          <w:fldChar w:fldCharType="separate"/>
        </w:r>
        <w:r w:rsidR="0062679D">
          <w:rPr>
            <w:noProof/>
            <w:webHidden/>
          </w:rPr>
          <w:t>268</w:t>
        </w:r>
        <w:r w:rsidR="0062679D">
          <w:rPr>
            <w:noProof/>
            <w:webHidden/>
          </w:rPr>
          <w:fldChar w:fldCharType="end"/>
        </w:r>
      </w:hyperlink>
    </w:p>
    <w:p w14:paraId="47E30818" w14:textId="57375ED3" w:rsidR="0062679D" w:rsidRDefault="00F9347F">
      <w:pPr>
        <w:pStyle w:val="TableofFigures"/>
        <w:tabs>
          <w:tab w:val="right" w:leader="dot" w:pos="8659"/>
        </w:tabs>
        <w:rPr>
          <w:rFonts w:asciiTheme="minorHAnsi" w:hAnsiTheme="minorHAnsi"/>
          <w:noProof/>
          <w:lang w:eastAsia="en-GB"/>
        </w:rPr>
      </w:pPr>
      <w:hyperlink w:anchor="_Toc494687194" w:history="1">
        <w:r w:rsidR="0062679D" w:rsidRPr="00F03132">
          <w:rPr>
            <w:rStyle w:val="Hyperlink"/>
            <w:noProof/>
          </w:rPr>
          <w:t>Figure 7:1 PCA loadings for Absolute Values (WVS2010-2014)</w:t>
        </w:r>
        <w:r w:rsidR="0062679D">
          <w:rPr>
            <w:noProof/>
            <w:webHidden/>
          </w:rPr>
          <w:tab/>
        </w:r>
        <w:r w:rsidR="0062679D">
          <w:rPr>
            <w:noProof/>
            <w:webHidden/>
          </w:rPr>
          <w:fldChar w:fldCharType="begin"/>
        </w:r>
        <w:r w:rsidR="0062679D">
          <w:rPr>
            <w:noProof/>
            <w:webHidden/>
          </w:rPr>
          <w:instrText xml:space="preserve"> PAGEREF _Toc494687194 \h </w:instrText>
        </w:r>
        <w:r w:rsidR="0062679D">
          <w:rPr>
            <w:noProof/>
            <w:webHidden/>
          </w:rPr>
        </w:r>
        <w:r w:rsidR="0062679D">
          <w:rPr>
            <w:noProof/>
            <w:webHidden/>
          </w:rPr>
          <w:fldChar w:fldCharType="separate"/>
        </w:r>
        <w:r w:rsidR="0062679D">
          <w:rPr>
            <w:noProof/>
            <w:webHidden/>
          </w:rPr>
          <w:t>307</w:t>
        </w:r>
        <w:r w:rsidR="0062679D">
          <w:rPr>
            <w:noProof/>
            <w:webHidden/>
          </w:rPr>
          <w:fldChar w:fldCharType="end"/>
        </w:r>
      </w:hyperlink>
    </w:p>
    <w:p w14:paraId="308EDF0C" w14:textId="7AAE0BCF" w:rsidR="002C5648" w:rsidRDefault="00C500F6" w:rsidP="002C5648">
      <w:r w:rsidRPr="00AC4DFA">
        <w:fldChar w:fldCharType="end"/>
      </w:r>
      <w:bookmarkStart w:id="1" w:name="_Toc441069153"/>
      <w:bookmarkStart w:id="2" w:name="_Toc494034200"/>
    </w:p>
    <w:p w14:paraId="5BBF3640" w14:textId="2C0DA2D7" w:rsidR="002C5648" w:rsidRDefault="002C5648" w:rsidP="002C5648"/>
    <w:p w14:paraId="222CCE93" w14:textId="5B6C2666" w:rsidR="002C5648" w:rsidRDefault="002C5648" w:rsidP="002C5648"/>
    <w:p w14:paraId="5F0A0473" w14:textId="1A4963DC" w:rsidR="002C5648" w:rsidRDefault="002C5648" w:rsidP="002C5648"/>
    <w:p w14:paraId="0C88BD27" w14:textId="435E1153" w:rsidR="0062679D" w:rsidRDefault="0062679D" w:rsidP="002C5648"/>
    <w:p w14:paraId="0ACB7FB0" w14:textId="6F7FF259" w:rsidR="0062679D" w:rsidRDefault="0062679D" w:rsidP="002C5648"/>
    <w:p w14:paraId="1A812723" w14:textId="3C183166" w:rsidR="0062679D" w:rsidRDefault="0062679D" w:rsidP="002C5648"/>
    <w:p w14:paraId="072BE0E9" w14:textId="6F11839A" w:rsidR="0062679D" w:rsidRDefault="0062679D" w:rsidP="002C5648"/>
    <w:p w14:paraId="0DF2AC46" w14:textId="478BE139" w:rsidR="0062679D" w:rsidRDefault="0062679D" w:rsidP="002C5648"/>
    <w:p w14:paraId="5C4C31A8" w14:textId="5C283EF8" w:rsidR="0062679D" w:rsidRDefault="0062679D" w:rsidP="002C5648"/>
    <w:p w14:paraId="0F0484D7" w14:textId="3369DEAE" w:rsidR="0062679D" w:rsidRDefault="0062679D" w:rsidP="002C5648"/>
    <w:p w14:paraId="7F908E67" w14:textId="1C6C3A28" w:rsidR="0062679D" w:rsidRDefault="0062679D" w:rsidP="002C5648"/>
    <w:p w14:paraId="7EFFDF94" w14:textId="11A98FF0" w:rsidR="0062679D" w:rsidRDefault="0062679D" w:rsidP="002C5648"/>
    <w:p w14:paraId="650B4FF7" w14:textId="795B2A14" w:rsidR="0021364D" w:rsidRPr="002C5648" w:rsidRDefault="00CF455B" w:rsidP="002C5648">
      <w:pPr>
        <w:pStyle w:val="Heading1"/>
      </w:pPr>
      <w:r w:rsidRPr="009B3A69">
        <w:lastRenderedPageBreak/>
        <w:t>Introduction</w:t>
      </w:r>
      <w:bookmarkEnd w:id="1"/>
      <w:bookmarkEnd w:id="2"/>
    </w:p>
    <w:p w14:paraId="5C4365DA" w14:textId="0F2A656D" w:rsidR="00CF455B" w:rsidRDefault="00CF455B" w:rsidP="0021364D">
      <w:pPr>
        <w:pStyle w:val="Quote"/>
        <w:rPr>
          <w:b/>
          <w:sz w:val="20"/>
          <w:szCs w:val="20"/>
        </w:rPr>
      </w:pPr>
      <w:r w:rsidRPr="0021364D">
        <w:rPr>
          <w:b/>
          <w:sz w:val="20"/>
          <w:szCs w:val="20"/>
        </w:rPr>
        <w:t xml:space="preserve">“Strikingly, the belief that democracy is (in principle at least) the best system is overwhelming and universal.” </w:t>
      </w:r>
      <w:r w:rsidR="0021364D">
        <w:rPr>
          <w:b/>
          <w:sz w:val="20"/>
          <w:szCs w:val="20"/>
        </w:rPr>
        <w:t>(</w:t>
      </w:r>
      <w:r w:rsidRPr="0021364D">
        <w:rPr>
          <w:b/>
          <w:sz w:val="20"/>
          <w:szCs w:val="20"/>
        </w:rPr>
        <w:t xml:space="preserve">Diamond </w:t>
      </w:r>
      <w:r w:rsidR="00653DDE" w:rsidRPr="0021364D">
        <w:rPr>
          <w:b/>
          <w:sz w:val="20"/>
          <w:szCs w:val="20"/>
        </w:rPr>
        <w:fldChar w:fldCharType="begin" w:fldLock="1"/>
      </w:r>
      <w:r w:rsidR="00E63CC6">
        <w:rPr>
          <w:b/>
          <w:sz w:val="20"/>
          <w:szCs w:val="20"/>
        </w:rPr>
        <w:instrText>ADDIN CSL_CITATION { "citationItems" : [ { "id" : "ITEM-1", "itemData" : { "author" : [ { "dropping-particle" : "", "family" : "Diamond", "given" : "Larry", "non-dropping-particle" : "", "parse-names" : false, "suffix" : "" } ], "container-title" : "How People View Democracy", "editor" : [ { "dropping-particle" : "", "family" : "Diamond", "given" : "L", "non-dropping-particle" : "", "parse-names" : false, "suffix" : "" }, { "dropping-particle" : "", "family" : "Plattner", "given" : "M F", "non-dropping-particle" : "", "parse-names" : false, "suffix" : "" } ], "id" : "ITEM-1", "issued" : { "date-parts" : [ [ "2008" ] ] }, "publisher" : "John Hopkins University Press", "publisher-place" : "Baltimore", "title" : "Introduction", "type" : "chapter" }, "locator" : "xi", "uris" : [ "http://www.mendeley.com/documents/?uuid=acdd4d23-a3d9-42f3-8e7d-aff01792a8a1" ] } ], "mendeley" : { "formattedCitation" : "(Diamond, 2008a, p. xi)", "manualFormatting" : "2008a, p.xi)", "plainTextFormattedCitation" : "(Diamond, 2008a, p. xi)", "previouslyFormattedCitation" : "(Diamond, 2008a, p. xi)" }, "properties" : { "noteIndex" : 0 }, "schema" : "https://github.com/citation-style-language/schema/raw/master/csl-citation.json" }</w:instrText>
      </w:r>
      <w:r w:rsidR="00653DDE" w:rsidRPr="0021364D">
        <w:rPr>
          <w:b/>
          <w:sz w:val="20"/>
          <w:szCs w:val="20"/>
        </w:rPr>
        <w:fldChar w:fldCharType="separate"/>
      </w:r>
      <w:r w:rsidR="00653DDE" w:rsidRPr="0021364D">
        <w:rPr>
          <w:b/>
          <w:noProof/>
          <w:sz w:val="20"/>
          <w:szCs w:val="20"/>
        </w:rPr>
        <w:t>2008a, p.xi)</w:t>
      </w:r>
      <w:r w:rsidR="00653DDE" w:rsidRPr="0021364D">
        <w:rPr>
          <w:b/>
          <w:sz w:val="20"/>
          <w:szCs w:val="20"/>
        </w:rPr>
        <w:fldChar w:fldCharType="end"/>
      </w:r>
    </w:p>
    <w:p w14:paraId="7E07A65F" w14:textId="77777777" w:rsidR="0021364D" w:rsidRPr="0021364D" w:rsidRDefault="0021364D" w:rsidP="0021364D"/>
    <w:p w14:paraId="20A74566" w14:textId="4D810FD9" w:rsidR="00CF455B" w:rsidRDefault="00CF455B" w:rsidP="00EE48E8">
      <w:r w:rsidRPr="00DB2734">
        <w:t xml:space="preserve">The motivation for this thesis is straightforward; scores of studies have shown that people like and want democracy, but we are much less sure about what people think democracy actually </w:t>
      </w:r>
      <w:r w:rsidRPr="00DB2734">
        <w:rPr>
          <w:i/>
        </w:rPr>
        <w:t>is</w:t>
      </w:r>
      <w:r w:rsidRPr="00DB2734">
        <w:t>. Therefore, if we don’t know how people understand or conceptualise democracy, a piece of the puzzle is missing when it comes to trying to explain their political participation. This motivation runs throughout the thesis, guiding all the following analysis.</w:t>
      </w:r>
    </w:p>
    <w:p w14:paraId="4C1E0E6E" w14:textId="3819839A" w:rsidR="00CF455B" w:rsidRDefault="00CF455B" w:rsidP="00A80C68">
      <w:r>
        <w:t xml:space="preserve">The analysis itself details the steps I have taken – and the importance of each step and its relation to the step before – to outline the value of analysing how citizens understand democracy and the effect their understanding has on their political activities. As </w:t>
      </w:r>
      <w:r>
        <w:fldChar w:fldCharType="begin" w:fldLock="1"/>
      </w:r>
      <w:r w:rsidR="00E63CC6">
        <w:instrText>ADDIN CSL_CITATION { "citationItems" : [ { "id" : "ITEM-1", "itemData" : { "DOI" : "10.1080/13510347.2012.734808", "ISSN" : "1351-0347", "author" : [ { "dropping-particle" : "", "family" : "Cho", "given" : "Youngho", "non-dropping-particle" : "", "parse-names" : false, "suffix" : "" } ], "container-title" : "Democratization", "id" : "ITEM-1", "issue" : "2", "issued" : { "date-parts" : [ [ "2014", "2", "23" ] ] }, "page" : "195-219", "title" : "How well ordinary citizens understand democracy: the case of the South Korean electorate", "type" : "article-journal", "volume" : "21" }, "locator" : "240", "uris" : [ "http://www.mendeley.com/documents/?uuid=483b0fc4-7656-428e-b557-12c8088c2130" ] } ], "mendeley" : { "formattedCitation" : "(Cho, 2014, p. 240)", "manualFormatting" : "Cho (2014, p.240)", "plainTextFormattedCitation" : "(Cho, 2014, p. 240)", "previouslyFormattedCitation" : "(Cho, 2014, p. 240)" }, "properties" : { "noteIndex" : 0 }, "schema" : "https://github.com/citation-style-language/schema/raw/master/csl-citation.json" }</w:instrText>
      </w:r>
      <w:r>
        <w:fldChar w:fldCharType="separate"/>
      </w:r>
      <w:r w:rsidRPr="00E47811">
        <w:rPr>
          <w:noProof/>
        </w:rPr>
        <w:t xml:space="preserve">Cho </w:t>
      </w:r>
      <w:r>
        <w:rPr>
          <w:noProof/>
        </w:rPr>
        <w:t>(</w:t>
      </w:r>
      <w:r w:rsidRPr="00E47811">
        <w:rPr>
          <w:noProof/>
        </w:rPr>
        <w:t>2014, p.240)</w:t>
      </w:r>
      <w:r>
        <w:fldChar w:fldCharType="end"/>
      </w:r>
      <w:r>
        <w:t xml:space="preserve"> puts it, the “</w:t>
      </w:r>
      <w:r w:rsidRPr="009131DE">
        <w:t>cognitive domain of democratic political culture</w:t>
      </w:r>
      <w:r>
        <w:t>…</w:t>
      </w:r>
      <w:r w:rsidRPr="009131DE">
        <w:t>has been an understudied area in the literature of democratisation and political culture for years</w:t>
      </w:r>
      <w:r>
        <w:t xml:space="preserve">” </w:t>
      </w:r>
      <w:r w:rsidR="002B52FE">
        <w:t>and</w:t>
      </w:r>
      <w:r>
        <w:t>, despite some new efforts, the “</w:t>
      </w:r>
      <w:r w:rsidRPr="001F46AC">
        <w:t>current literature on t</w:t>
      </w:r>
      <w:r>
        <w:t>he mass understanding of democ</w:t>
      </w:r>
      <w:r w:rsidRPr="001F46AC">
        <w:t>racy is in an embryonic stage and requires a great deal of systematic research exploring its nature, causes and consequences</w:t>
      </w:r>
      <w:r>
        <w:t xml:space="preserve">”. This thesis bolsters this newly developing field of research in a </w:t>
      </w:r>
      <w:r w:rsidR="002B52FE">
        <w:t>five</w:t>
      </w:r>
      <w:r>
        <w:t xml:space="preserve"> ways. </w:t>
      </w:r>
    </w:p>
    <w:p w14:paraId="4AE39AEE" w14:textId="0AD1BEF5" w:rsidR="002B52FE" w:rsidRDefault="00CF455B" w:rsidP="00EE48E8">
      <w:r w:rsidRPr="00CC2BF0">
        <w:rPr>
          <w:highlight w:val="yellow"/>
        </w:rPr>
        <w:t>Firstly, it provides further support for the importance of focu</w:t>
      </w:r>
      <w:r w:rsidR="002C5648">
        <w:rPr>
          <w:highlight w:val="yellow"/>
        </w:rPr>
        <w:t>sing on this area of research</w:t>
      </w:r>
      <w:r w:rsidRPr="00CC2BF0">
        <w:rPr>
          <w:highlight w:val="yellow"/>
        </w:rPr>
        <w:t xml:space="preserve">, and </w:t>
      </w:r>
      <w:r w:rsidR="002C5648">
        <w:rPr>
          <w:highlight w:val="yellow"/>
        </w:rPr>
        <w:t xml:space="preserve">of </w:t>
      </w:r>
      <w:r w:rsidRPr="00CC2BF0">
        <w:rPr>
          <w:highlight w:val="yellow"/>
        </w:rPr>
        <w:t xml:space="preserve">moving beyond simple measurements of democratic support. Secondly, it outlines and justifies a different approach to </w:t>
      </w:r>
      <w:r w:rsidR="002C5648">
        <w:rPr>
          <w:highlight w:val="yellow"/>
        </w:rPr>
        <w:t>those</w:t>
      </w:r>
      <w:r w:rsidRPr="00CC2BF0">
        <w:rPr>
          <w:highlight w:val="yellow"/>
        </w:rPr>
        <w:t xml:space="preserve"> taken by previous research towards this topic by arguing that instead of </w:t>
      </w:r>
      <w:r w:rsidRPr="00CC2BF0">
        <w:rPr>
          <w:i/>
          <w:highlight w:val="yellow"/>
        </w:rPr>
        <w:t xml:space="preserve">testing </w:t>
      </w:r>
      <w:r w:rsidRPr="00CC2BF0">
        <w:rPr>
          <w:highlight w:val="yellow"/>
        </w:rPr>
        <w:t xml:space="preserve">how citizens understand democracy according to our prescribed theoretical norms, we should allow citizens a greater space to </w:t>
      </w:r>
      <w:r w:rsidR="00F167FC" w:rsidRPr="00CC2BF0">
        <w:rPr>
          <w:highlight w:val="yellow"/>
        </w:rPr>
        <w:t>present their own conceptual mapping of democracy</w:t>
      </w:r>
      <w:r w:rsidRPr="00CC2BF0">
        <w:rPr>
          <w:highlight w:val="yellow"/>
        </w:rPr>
        <w:t xml:space="preserve">, and explore how </w:t>
      </w:r>
      <w:r w:rsidR="00F167FC" w:rsidRPr="00CC2BF0">
        <w:rPr>
          <w:highlight w:val="yellow"/>
        </w:rPr>
        <w:t>they</w:t>
      </w:r>
      <w:r w:rsidRPr="00CC2BF0">
        <w:rPr>
          <w:highlight w:val="yellow"/>
        </w:rPr>
        <w:t xml:space="preserve"> tie different characteristics of democracy together.</w:t>
      </w:r>
      <w:r>
        <w:t xml:space="preserve"> </w:t>
      </w:r>
    </w:p>
    <w:p w14:paraId="31E77CFD" w14:textId="465BB0E4" w:rsidR="002B52FE" w:rsidRDefault="00CF455B" w:rsidP="00EE48E8">
      <w:r>
        <w:t>Thirdly,</w:t>
      </w:r>
      <w:r w:rsidR="002B52FE">
        <w:t xml:space="preserve"> and substantively, </w:t>
      </w:r>
      <w:r w:rsidR="002C5648">
        <w:t xml:space="preserve">from existing survey data </w:t>
      </w:r>
      <w:r w:rsidR="002B52FE">
        <w:t>my analysis takes this exploratory approach to produce and describe</w:t>
      </w:r>
      <w:r>
        <w:t xml:space="preserve"> two </w:t>
      </w:r>
      <w:r w:rsidR="00237360">
        <w:t xml:space="preserve">dimensions of </w:t>
      </w:r>
      <w:r>
        <w:t>understandings of democracy</w:t>
      </w:r>
      <w:r w:rsidR="00501D14">
        <w:t xml:space="preserve">. These understandings are shown to revolve around important theoretical concerns. The </w:t>
      </w:r>
      <w:r w:rsidR="00501D14">
        <w:lastRenderedPageBreak/>
        <w:t>firs</w:t>
      </w:r>
      <w:r w:rsidR="002B52FE">
        <w:t xml:space="preserve">t is a </w:t>
      </w:r>
      <w:r w:rsidR="002C5648">
        <w:t>termed a ‘</w:t>
      </w:r>
      <w:r w:rsidR="002B52FE">
        <w:t>compound</w:t>
      </w:r>
      <w:r w:rsidR="002C5648">
        <w:t>’</w:t>
      </w:r>
      <w:r w:rsidR="002B52FE">
        <w:t xml:space="preserve"> understanding of</w:t>
      </w:r>
      <w:r w:rsidR="00501D14">
        <w:t xml:space="preserve"> democracy</w:t>
      </w:r>
      <w:r w:rsidR="002B52FE">
        <w:t>.</w:t>
      </w:r>
      <w:r w:rsidR="00501D14">
        <w:t xml:space="preserve"> </w:t>
      </w:r>
      <w:r w:rsidR="002B52FE">
        <w:t xml:space="preserve">Although </w:t>
      </w:r>
      <w:r w:rsidR="00501D14">
        <w:t xml:space="preserve">structured around a blend of liberal ideals, </w:t>
      </w:r>
      <w:r w:rsidR="002B52FE">
        <w:t>it is shown that this liberal influence</w:t>
      </w:r>
      <w:r w:rsidR="00501D14">
        <w:t xml:space="preserve"> </w:t>
      </w:r>
      <w:r w:rsidR="002B52FE">
        <w:t xml:space="preserve">is not </w:t>
      </w:r>
      <w:r w:rsidR="00501D14">
        <w:t>necessarily clear and distinct in the minds of citizens</w:t>
      </w:r>
      <w:r w:rsidR="002B52FE">
        <w:t>,</w:t>
      </w:r>
      <w:r w:rsidR="00501D14">
        <w:t xml:space="preserve"> compared</w:t>
      </w:r>
      <w:r w:rsidR="002C5648">
        <w:t xml:space="preserve"> to other ideals. Indeed, I outline how </w:t>
      </w:r>
      <w:r w:rsidR="00501D14">
        <w:t>social and populist ideal</w:t>
      </w:r>
      <w:r w:rsidR="002C5648">
        <w:t xml:space="preserve">s are also amalgamated into this </w:t>
      </w:r>
      <w:r w:rsidR="00501D14">
        <w:t xml:space="preserve">dimension. The second </w:t>
      </w:r>
      <w:r w:rsidR="002B52FE">
        <w:t xml:space="preserve">understanding </w:t>
      </w:r>
      <w:r w:rsidR="00501D14">
        <w:t xml:space="preserve">is an authoritarian view of democracy, which does offer a </w:t>
      </w:r>
      <w:r w:rsidR="00091CE6">
        <w:t xml:space="preserve">clear, and problematic, </w:t>
      </w:r>
      <w:r w:rsidR="00501D14">
        <w:t>un</w:t>
      </w:r>
      <w:r w:rsidR="002B52FE">
        <w:t>derstanding of what democracy means to some citizens</w:t>
      </w:r>
      <w:r w:rsidR="002C5648">
        <w:t>.</w:t>
      </w:r>
    </w:p>
    <w:p w14:paraId="381C6A87" w14:textId="61BD41BB" w:rsidR="00CF455B" w:rsidRDefault="002B52FE" w:rsidP="00EE48E8">
      <w:r>
        <w:t>Fourthly, t</w:t>
      </w:r>
      <w:r w:rsidR="00501D14">
        <w:t xml:space="preserve">he thesis </w:t>
      </w:r>
      <w:r>
        <w:t>analyses</w:t>
      </w:r>
      <w:r w:rsidR="00501D14">
        <w:t xml:space="preserve"> who might have these understandings and what personal </w:t>
      </w:r>
      <w:r w:rsidR="00091CE6">
        <w:t>characteristics shape</w:t>
      </w:r>
      <w:r w:rsidR="00501D14">
        <w:t xml:space="preserve"> them, alongside an examination of the importance of contextual level influences.</w:t>
      </w:r>
      <w:r>
        <w:t xml:space="preserve"> And finally</w:t>
      </w:r>
      <w:r w:rsidR="002C5648">
        <w:t>,</w:t>
      </w:r>
      <w:r w:rsidR="00CF455B">
        <w:t xml:space="preserve"> </w:t>
      </w:r>
      <w:r w:rsidR="00501D14">
        <w:t xml:space="preserve">this thesis shows </w:t>
      </w:r>
      <w:r>
        <w:t xml:space="preserve">how these understandings of </w:t>
      </w:r>
      <w:r w:rsidR="00501D14">
        <w:t xml:space="preserve">democracy </w:t>
      </w:r>
      <w:r w:rsidR="002C5648">
        <w:t>influence</w:t>
      </w:r>
      <w:r>
        <w:t xml:space="preserve"> whether individuals </w:t>
      </w:r>
      <w:r w:rsidR="00501D14">
        <w:t xml:space="preserve">participate </w:t>
      </w:r>
      <w:r w:rsidR="002C5648">
        <w:t>politically</w:t>
      </w:r>
      <w:r w:rsidR="00501D14">
        <w:t>.</w:t>
      </w:r>
    </w:p>
    <w:p w14:paraId="352F8B58" w14:textId="203B2962" w:rsidR="00CF455B" w:rsidRPr="00DB2734" w:rsidRDefault="00CF455B" w:rsidP="00EE48E8">
      <w:r w:rsidRPr="00DB2734">
        <w:t xml:space="preserve">This introductory chapter </w:t>
      </w:r>
      <w:r w:rsidR="00237360">
        <w:t>outlines</w:t>
      </w:r>
      <w:r>
        <w:t xml:space="preserve"> the motivation </w:t>
      </w:r>
      <w:r w:rsidR="00237360">
        <w:t>behind</w:t>
      </w:r>
      <w:r>
        <w:t xml:space="preserve"> this area of research</w:t>
      </w:r>
      <w:r w:rsidRPr="00DB2734">
        <w:t xml:space="preserve"> by </w:t>
      </w:r>
      <w:r w:rsidR="00D5462C">
        <w:t>introducing the argument</w:t>
      </w:r>
      <w:r w:rsidRPr="00DB2734">
        <w:t xml:space="preserve"> that looking at citizen </w:t>
      </w:r>
      <w:r w:rsidRPr="00DB2734">
        <w:rPr>
          <w:i/>
        </w:rPr>
        <w:t>support</w:t>
      </w:r>
      <w:r w:rsidRPr="00DB2734">
        <w:t xml:space="preserve"> for democracy is not good enough, and that we must look </w:t>
      </w:r>
      <w:r w:rsidR="002C5648">
        <w:t xml:space="preserve">at </w:t>
      </w:r>
      <w:r w:rsidRPr="00DB2734">
        <w:t xml:space="preserve">the substantive meanings of the term for people. This </w:t>
      </w:r>
      <w:r w:rsidR="00237360">
        <w:t>initial</w:t>
      </w:r>
      <w:r w:rsidR="00237360" w:rsidRPr="00DB2734">
        <w:t xml:space="preserve"> </w:t>
      </w:r>
      <w:r w:rsidRPr="00DB2734">
        <w:t xml:space="preserve">question – what do citizens think democracy </w:t>
      </w:r>
      <w:r w:rsidRPr="00DB2734">
        <w:rPr>
          <w:i/>
        </w:rPr>
        <w:t>is</w:t>
      </w:r>
      <w:r w:rsidRPr="00DB2734">
        <w:t xml:space="preserve">? – requires attention and leads to two </w:t>
      </w:r>
      <w:r w:rsidR="00237360">
        <w:t>further</w:t>
      </w:r>
      <w:r w:rsidR="00237360" w:rsidRPr="00DB2734">
        <w:t xml:space="preserve"> </w:t>
      </w:r>
      <w:r w:rsidRPr="00DB2734">
        <w:t xml:space="preserve">questions: Why do citizens think about democracy in a certain way? </w:t>
      </w:r>
      <w:r w:rsidR="00237360">
        <w:t>A</w:t>
      </w:r>
      <w:r w:rsidR="00237360" w:rsidRPr="00DB2734">
        <w:t>nd</w:t>
      </w:r>
      <w:r w:rsidRPr="00DB2734">
        <w:t xml:space="preserve"> </w:t>
      </w:r>
      <w:r w:rsidR="00237360">
        <w:t>d</w:t>
      </w:r>
      <w:r w:rsidR="00237360" w:rsidRPr="00DB2734">
        <w:t xml:space="preserve">oes </w:t>
      </w:r>
      <w:r w:rsidRPr="00DB2734">
        <w:t xml:space="preserve">this understanding impact upon political behaviour? </w:t>
      </w:r>
    </w:p>
    <w:p w14:paraId="7C0181B0" w14:textId="18E2CB2A" w:rsidR="00CF455B" w:rsidRPr="00DB2734" w:rsidRDefault="00D5462C" w:rsidP="00EE48E8">
      <w:r>
        <w:t>After outlining these ideas, at the end of</w:t>
      </w:r>
      <w:r w:rsidR="00CF455B" w:rsidRPr="00DB2734">
        <w:t xml:space="preserve"> this chapter </w:t>
      </w:r>
      <w:r>
        <w:t>I discuss</w:t>
      </w:r>
      <w:r w:rsidR="00CF455B" w:rsidRPr="00DB2734">
        <w:t xml:space="preserve"> the specific research aims and objectives</w:t>
      </w:r>
      <w:r w:rsidR="003B7E1A">
        <w:t xml:space="preserve"> which structure the analysis I undertake to </w:t>
      </w:r>
      <w:r w:rsidR="00CF455B">
        <w:t>tackle these three questions.</w:t>
      </w:r>
    </w:p>
    <w:p w14:paraId="60D92B28" w14:textId="77777777" w:rsidR="00CF455B" w:rsidRPr="00577217" w:rsidRDefault="00CF455B" w:rsidP="00577217">
      <w:pPr>
        <w:pStyle w:val="Heading2"/>
      </w:pPr>
      <w:bookmarkStart w:id="3" w:name="_Toc441069009"/>
      <w:bookmarkStart w:id="4" w:name="_Toc441069154"/>
      <w:bookmarkStart w:id="5" w:name="_Toc494034201"/>
      <w:r w:rsidRPr="00577217">
        <w:t xml:space="preserve">1.1 </w:t>
      </w:r>
      <w:r w:rsidR="00327DE0">
        <w:t>Support for democracy: meaninglessly h</w:t>
      </w:r>
      <w:r w:rsidRPr="00577217">
        <w:t>igh?</w:t>
      </w:r>
      <w:bookmarkEnd w:id="3"/>
      <w:bookmarkEnd w:id="4"/>
      <w:bookmarkEnd w:id="5"/>
    </w:p>
    <w:p w14:paraId="06597EDE" w14:textId="3CD9D62E" w:rsidR="00CF455B" w:rsidRPr="00DB2734" w:rsidRDefault="00230977" w:rsidP="00EE48E8">
      <w:pPr>
        <w:rPr>
          <w:noProof/>
          <w:lang w:eastAsia="en-GB"/>
        </w:rPr>
      </w:pPr>
      <w:r>
        <w:t>T</w:t>
      </w:r>
      <w:r w:rsidR="00CF455B" w:rsidRPr="00DB2734">
        <w:t xml:space="preserve">he World Values Survey </w:t>
      </w:r>
      <w:r>
        <w:t xml:space="preserve">is </w:t>
      </w:r>
      <w:r w:rsidR="00237360" w:rsidRPr="00237360">
        <w:t>a large cross-national survey, carried out in many different pol</w:t>
      </w:r>
      <w:r w:rsidR="00091CE6">
        <w:t>i</w:t>
      </w:r>
      <w:r>
        <w:t>tical systems. It has been</w:t>
      </w:r>
      <w:r w:rsidR="00237360" w:rsidRPr="00237360">
        <w:t xml:space="preserve"> carried out </w:t>
      </w:r>
      <w:r w:rsidR="00091CE6">
        <w:t>six</w:t>
      </w:r>
      <w:r w:rsidR="00237360" w:rsidRPr="00237360">
        <w:t xml:space="preserve"> times </w:t>
      </w:r>
      <w:r w:rsidR="00091CE6">
        <w:t>since the early 1980s</w:t>
      </w:r>
      <w:r>
        <w:t xml:space="preserve"> and, s</w:t>
      </w:r>
      <w:r w:rsidRPr="00DB2734">
        <w:t xml:space="preserve">ince 1995, </w:t>
      </w:r>
      <w:r>
        <w:t xml:space="preserve">it </w:t>
      </w:r>
      <w:r w:rsidR="00CF455B" w:rsidRPr="00DB2734">
        <w:t xml:space="preserve">has </w:t>
      </w:r>
      <w:r w:rsidR="00237360">
        <w:t>asked</w:t>
      </w:r>
      <w:r w:rsidR="00CF455B" w:rsidRPr="00DB2734">
        <w:t xml:space="preserve"> the following question across a total of 57 countries:</w:t>
      </w:r>
      <w:r w:rsidR="00CF455B" w:rsidRPr="00DB2734">
        <w:rPr>
          <w:noProof/>
          <w:lang w:eastAsia="en-GB"/>
        </w:rPr>
        <w:t xml:space="preserve"> </w:t>
      </w:r>
    </w:p>
    <w:p w14:paraId="3264BC41" w14:textId="77777777" w:rsidR="00CF455B" w:rsidRPr="00DB2734" w:rsidRDefault="00CF455B" w:rsidP="00CF455B">
      <w:pPr>
        <w:rPr>
          <w:szCs w:val="24"/>
        </w:rPr>
      </w:pPr>
      <w:r w:rsidRPr="00DB2734">
        <w:rPr>
          <w:noProof/>
          <w:szCs w:val="24"/>
          <w:lang w:eastAsia="zh-CN"/>
        </w:rPr>
        <mc:AlternateContent>
          <mc:Choice Requires="wps">
            <w:drawing>
              <wp:inline distT="0" distB="0" distL="0" distR="0" wp14:anchorId="0DBD400C" wp14:editId="0C3B7E3A">
                <wp:extent cx="5820355" cy="699715"/>
                <wp:effectExtent l="0" t="0" r="28575" b="247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355" cy="699715"/>
                        </a:xfrm>
                        <a:prstGeom prst="rect">
                          <a:avLst/>
                        </a:prstGeom>
                        <a:solidFill>
                          <a:srgbClr val="FFFFFF"/>
                        </a:solidFill>
                        <a:ln w="9525">
                          <a:solidFill>
                            <a:srgbClr val="000000"/>
                          </a:solidFill>
                          <a:miter lim="800000"/>
                          <a:headEnd/>
                          <a:tailEnd/>
                        </a:ln>
                      </wps:spPr>
                      <wps:txbx>
                        <w:txbxContent>
                          <w:p w14:paraId="65D4501A" w14:textId="77777777" w:rsidR="00C65616" w:rsidRPr="00A1210D" w:rsidRDefault="00C65616" w:rsidP="00CF455B">
                            <w:pPr>
                              <w:jc w:val="center"/>
                              <w:rPr>
                                <w:i/>
                                <w:sz w:val="20"/>
                                <w:szCs w:val="20"/>
                              </w:rPr>
                            </w:pPr>
                            <w:r w:rsidRPr="00A1210D">
                              <w:rPr>
                                <w:i/>
                                <w:sz w:val="20"/>
                                <w:szCs w:val="20"/>
                              </w:rPr>
                              <w:t>I'm going to describe various types of political systems and ask</w:t>
                            </w:r>
                            <w:r>
                              <w:rPr>
                                <w:i/>
                                <w:sz w:val="20"/>
                                <w:szCs w:val="20"/>
                              </w:rPr>
                              <w:t xml:space="preserve"> what you think about each as a </w:t>
                            </w:r>
                            <w:r w:rsidRPr="00A1210D">
                              <w:rPr>
                                <w:i/>
                                <w:sz w:val="20"/>
                                <w:szCs w:val="20"/>
                              </w:rPr>
                              <w:t>way of governing this country. For each one, would you say it is a ver</w:t>
                            </w:r>
                            <w:r>
                              <w:rPr>
                                <w:i/>
                                <w:sz w:val="20"/>
                                <w:szCs w:val="20"/>
                              </w:rPr>
                              <w:t xml:space="preserve">y good, fairly good, fairly bad </w:t>
                            </w:r>
                            <w:r w:rsidRPr="00A1210D">
                              <w:rPr>
                                <w:i/>
                                <w:sz w:val="20"/>
                                <w:szCs w:val="20"/>
                              </w:rPr>
                              <w:t>or very bad way of governing this country?</w:t>
                            </w:r>
                          </w:p>
                          <w:p w14:paraId="1D11F474" w14:textId="77777777" w:rsidR="00C65616" w:rsidRDefault="00C65616" w:rsidP="00CF455B">
                            <w:pPr>
                              <w:jc w:val="center"/>
                            </w:pP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BD400C" id="Text Box 2" o:spid="_x0000_s1027" type="#_x0000_t202" style="width:458.3pt;height: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">
                <v:textbox>
                  <w:txbxContent>
                    <w:p w14:paraId="65D4501A" w14:textId="77777777" w:rsidR="00C65616" w:rsidRPr="00A1210D" w:rsidRDefault="00C65616" w:rsidP="00CF455B">
                      <w:pPr>
                        <w:jc w:val="center"/>
                        <w:rPr>
                          <w:i/>
                          <w:sz w:val="20"/>
                          <w:szCs w:val="20"/>
                        </w:rPr>
                      </w:pPr>
                      <w:r w:rsidRPr="00A1210D">
                        <w:rPr>
                          <w:i/>
                          <w:sz w:val="20"/>
                          <w:szCs w:val="20"/>
                        </w:rPr>
                        <w:t>I'm going to describe various types of political systems and ask</w:t>
                      </w:r>
                      <w:r>
                        <w:rPr>
                          <w:i/>
                          <w:sz w:val="20"/>
                          <w:szCs w:val="20"/>
                        </w:rPr>
                        <w:t xml:space="preserve"> what you think about each as a </w:t>
                      </w:r>
                      <w:r w:rsidRPr="00A1210D">
                        <w:rPr>
                          <w:i/>
                          <w:sz w:val="20"/>
                          <w:szCs w:val="20"/>
                        </w:rPr>
                        <w:t>way of governing this country. For each one, would you say it is a ver</w:t>
                      </w:r>
                      <w:r>
                        <w:rPr>
                          <w:i/>
                          <w:sz w:val="20"/>
                          <w:szCs w:val="20"/>
                        </w:rPr>
                        <w:t xml:space="preserve">y good, </w:t>
                      </w:r>
                      <w:proofErr w:type="gramStart"/>
                      <w:r>
                        <w:rPr>
                          <w:i/>
                          <w:sz w:val="20"/>
                          <w:szCs w:val="20"/>
                        </w:rPr>
                        <w:t>fairly good</w:t>
                      </w:r>
                      <w:proofErr w:type="gramEnd"/>
                      <w:r>
                        <w:rPr>
                          <w:i/>
                          <w:sz w:val="20"/>
                          <w:szCs w:val="20"/>
                        </w:rPr>
                        <w:t xml:space="preserve">, fairly bad </w:t>
                      </w:r>
                      <w:r w:rsidRPr="00A1210D">
                        <w:rPr>
                          <w:i/>
                          <w:sz w:val="20"/>
                          <w:szCs w:val="20"/>
                        </w:rPr>
                        <w:t>or very bad way of governing this country?</w:t>
                      </w:r>
                    </w:p>
                    <w:p w14:paraId="1D11F474" w14:textId="77777777" w:rsidR="00C65616" w:rsidRDefault="00C65616" w:rsidP="00CF455B">
                      <w:pPr>
                        <w:jc w:val="center"/>
                      </w:pPr>
                    </w:p>
                  </w:txbxContent>
                </v:textbox>
                <w10:anchorlock/>
              </v:shape>
            </w:pict>
          </mc:Fallback>
        </mc:AlternateContent>
      </w:r>
    </w:p>
    <w:p w14:paraId="02B44F83" w14:textId="75182D04" w:rsidR="001E0659" w:rsidRDefault="00CF455B" w:rsidP="00EE48E8">
      <w:r w:rsidRPr="00DB2734">
        <w:t>When ‘</w:t>
      </w:r>
      <w:r w:rsidRPr="00DB2734">
        <w:rPr>
          <w:i/>
        </w:rPr>
        <w:t>Having a democratic system’</w:t>
      </w:r>
      <w:r w:rsidRPr="00DB2734">
        <w:t xml:space="preserve"> is offered as the option, the results have shown an extremely clear signal for the</w:t>
      </w:r>
      <w:r w:rsidR="0044461E">
        <w:t xml:space="preserve"> last four waves</w:t>
      </w:r>
      <w:r w:rsidR="00230977">
        <w:t xml:space="preserve"> of the survey</w:t>
      </w:r>
      <w:r w:rsidR="0044461E">
        <w:t>, collected over the</w:t>
      </w:r>
      <w:r w:rsidRPr="00DB2734">
        <w:t xml:space="preserve"> last twenty years. </w:t>
      </w:r>
      <w:r>
        <w:t>Figure 1.1</w:t>
      </w:r>
      <w:r w:rsidRPr="00DB2734">
        <w:t xml:space="preserve"> shows these basic results with the very good and fairly good options combined, and the fairly bad</w:t>
      </w:r>
      <w:r w:rsidR="001E0659">
        <w:t xml:space="preserve"> and very bad options combined.</w:t>
      </w:r>
    </w:p>
    <w:p w14:paraId="7C4B1CBB" w14:textId="52CC038B" w:rsidR="00A549D2" w:rsidRPr="00481AEF" w:rsidRDefault="00A549D2" w:rsidP="00EE64B7">
      <w:pPr>
        <w:pStyle w:val="Caption"/>
        <w:rPr>
          <w:rFonts w:ascii="Segoe UI" w:hAnsi="Segoe UI" w:cs="Segoe UI"/>
          <w:i w:val="0"/>
        </w:rPr>
      </w:pPr>
      <w:bookmarkStart w:id="6" w:name="_Toc494687129"/>
      <w:r w:rsidRPr="00481AEF">
        <w:rPr>
          <w:rFonts w:ascii="Segoe UI" w:hAnsi="Segoe UI" w:cs="Segoe UI"/>
          <w:i w:val="0"/>
        </w:rPr>
        <w:lastRenderedPageBreak/>
        <w:t xml:space="preserve">Figure </w:t>
      </w:r>
      <w:r w:rsidR="00994662" w:rsidRPr="00481AEF">
        <w:rPr>
          <w:rFonts w:ascii="Segoe UI" w:hAnsi="Segoe UI" w:cs="Segoe UI"/>
          <w:i w:val="0"/>
        </w:rPr>
        <w:fldChar w:fldCharType="begin"/>
      </w:r>
      <w:r w:rsidR="00994662" w:rsidRPr="00481AEF">
        <w:rPr>
          <w:rFonts w:ascii="Segoe UI" w:hAnsi="Segoe UI" w:cs="Segoe UI"/>
          <w:i w:val="0"/>
        </w:rPr>
        <w:instrText xml:space="preserve"> STYLEREF 1 \s </w:instrText>
      </w:r>
      <w:r w:rsidR="00994662" w:rsidRPr="00481AEF">
        <w:rPr>
          <w:rFonts w:ascii="Segoe UI" w:hAnsi="Segoe UI" w:cs="Segoe UI"/>
          <w:i w:val="0"/>
        </w:rPr>
        <w:fldChar w:fldCharType="separate"/>
      </w:r>
      <w:r w:rsidR="00306E67" w:rsidRPr="00481AEF">
        <w:rPr>
          <w:rFonts w:ascii="Segoe UI" w:hAnsi="Segoe UI" w:cs="Segoe UI"/>
          <w:i w:val="0"/>
          <w:noProof/>
        </w:rPr>
        <w:t>1</w:t>
      </w:r>
      <w:r w:rsidR="00994662" w:rsidRPr="00481AEF">
        <w:rPr>
          <w:rFonts w:ascii="Segoe UI" w:hAnsi="Segoe UI" w:cs="Segoe UI"/>
          <w:i w:val="0"/>
          <w:noProof/>
        </w:rPr>
        <w:fldChar w:fldCharType="end"/>
      </w:r>
      <w:r w:rsidR="00D9151E" w:rsidRPr="00481AEF">
        <w:rPr>
          <w:rFonts w:ascii="Segoe UI" w:hAnsi="Segoe UI" w:cs="Segoe UI"/>
          <w:i w:val="0"/>
        </w:rPr>
        <w:t>:</w:t>
      </w:r>
      <w:r w:rsidR="00994662" w:rsidRPr="00481AEF">
        <w:rPr>
          <w:rFonts w:ascii="Segoe UI" w:hAnsi="Segoe UI" w:cs="Segoe UI"/>
          <w:i w:val="0"/>
        </w:rPr>
        <w:fldChar w:fldCharType="begin"/>
      </w:r>
      <w:r w:rsidR="00994662" w:rsidRPr="00481AEF">
        <w:rPr>
          <w:rFonts w:ascii="Segoe UI" w:hAnsi="Segoe UI" w:cs="Segoe UI"/>
          <w:i w:val="0"/>
        </w:rPr>
        <w:instrText xml:space="preserve"> SEQ Figure \* ARABIC \s 1 </w:instrText>
      </w:r>
      <w:r w:rsidR="00994662" w:rsidRPr="00481AEF">
        <w:rPr>
          <w:rFonts w:ascii="Segoe UI" w:hAnsi="Segoe UI" w:cs="Segoe UI"/>
          <w:i w:val="0"/>
        </w:rPr>
        <w:fldChar w:fldCharType="separate"/>
      </w:r>
      <w:r w:rsidR="00306E67" w:rsidRPr="00481AEF">
        <w:rPr>
          <w:rFonts w:ascii="Segoe UI" w:hAnsi="Segoe UI" w:cs="Segoe UI"/>
          <w:i w:val="0"/>
          <w:noProof/>
        </w:rPr>
        <w:t>1</w:t>
      </w:r>
      <w:r w:rsidR="00994662" w:rsidRPr="00481AEF">
        <w:rPr>
          <w:rFonts w:ascii="Segoe UI" w:hAnsi="Segoe UI" w:cs="Segoe UI"/>
          <w:i w:val="0"/>
          <w:noProof/>
        </w:rPr>
        <w:fldChar w:fldCharType="end"/>
      </w:r>
      <w:r w:rsidRPr="00481AEF">
        <w:rPr>
          <w:rFonts w:ascii="Segoe UI" w:hAnsi="Segoe UI" w:cs="Segoe UI"/>
          <w:i w:val="0"/>
        </w:rPr>
        <w:t xml:space="preserve"> </w:t>
      </w:r>
      <w:r w:rsidR="00230977" w:rsidRPr="00481AEF">
        <w:rPr>
          <w:rFonts w:ascii="Segoe UI" w:hAnsi="Segoe UI" w:cs="Segoe UI"/>
          <w:i w:val="0"/>
        </w:rPr>
        <w:t>Support for ‘H</w:t>
      </w:r>
      <w:r w:rsidR="00267212" w:rsidRPr="00481AEF">
        <w:rPr>
          <w:rFonts w:ascii="Segoe UI" w:hAnsi="Segoe UI" w:cs="Segoe UI"/>
          <w:i w:val="0"/>
        </w:rPr>
        <w:t>aving a Democratic</w:t>
      </w:r>
      <w:r w:rsidR="00722D2E" w:rsidRPr="00481AEF">
        <w:rPr>
          <w:rFonts w:ascii="Segoe UI" w:hAnsi="Segoe UI" w:cs="Segoe UI"/>
          <w:i w:val="0"/>
        </w:rPr>
        <w:t xml:space="preserve"> </w:t>
      </w:r>
      <w:r w:rsidRPr="00481AEF">
        <w:rPr>
          <w:rFonts w:ascii="Segoe UI" w:hAnsi="Segoe UI" w:cs="Segoe UI"/>
          <w:i w:val="0"/>
        </w:rPr>
        <w:t>System</w:t>
      </w:r>
      <w:r w:rsidR="00230977" w:rsidRPr="00481AEF">
        <w:rPr>
          <w:rFonts w:ascii="Segoe UI" w:hAnsi="Segoe UI" w:cs="Segoe UI"/>
          <w:i w:val="0"/>
        </w:rPr>
        <w:t>’</w:t>
      </w:r>
      <w:r w:rsidR="00BE321F" w:rsidRPr="00481AEF">
        <w:rPr>
          <w:rFonts w:ascii="Segoe UI" w:hAnsi="Segoe UI" w:cs="Segoe UI"/>
          <w:i w:val="0"/>
        </w:rPr>
        <w:t xml:space="preserve"> to govern the country</w:t>
      </w:r>
      <w:bookmarkEnd w:id="6"/>
    </w:p>
    <w:p w14:paraId="689A1D27" w14:textId="21B475FE" w:rsidR="00CF455B" w:rsidRPr="00172645" w:rsidRDefault="00172645" w:rsidP="00CF455B">
      <w:r>
        <w:rPr>
          <w:noProof/>
          <w:lang w:eastAsia="zh-CN"/>
        </w:rPr>
        <w:drawing>
          <wp:inline distT="0" distB="0" distL="0" distR="0" wp14:anchorId="6FC7E160" wp14:editId="61661CD5">
            <wp:extent cx="5591175" cy="307657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5D5EAB" w14:textId="4F4D75F0" w:rsidR="00CF455B" w:rsidRPr="005341BB" w:rsidRDefault="00267212" w:rsidP="00172645">
      <w:pPr>
        <w:jc w:val="right"/>
        <w:rPr>
          <w:i/>
          <w:sz w:val="18"/>
          <w:szCs w:val="18"/>
        </w:rPr>
      </w:pPr>
      <w:r w:rsidRPr="005341BB">
        <w:rPr>
          <w:i/>
          <w:sz w:val="18"/>
          <w:szCs w:val="18"/>
        </w:rPr>
        <w:t>(Source: Integrated WVS Waves 3-6</w:t>
      </w:r>
      <w:r w:rsidR="00172645" w:rsidRPr="005341BB">
        <w:rPr>
          <w:i/>
          <w:sz w:val="18"/>
          <w:szCs w:val="18"/>
        </w:rPr>
        <w:t xml:space="preserve"> Excludes Don’t Knows,</w:t>
      </w:r>
      <w:r w:rsidR="00CF455B" w:rsidRPr="005341BB">
        <w:rPr>
          <w:i/>
          <w:sz w:val="18"/>
          <w:szCs w:val="18"/>
        </w:rPr>
        <w:t xml:space="preserve"> n= </w:t>
      </w:r>
      <w:r w:rsidR="00172645" w:rsidRPr="005341BB">
        <w:rPr>
          <w:i/>
          <w:sz w:val="18"/>
          <w:szCs w:val="18"/>
        </w:rPr>
        <w:t>273,2</w:t>
      </w:r>
      <w:r w:rsidR="00CF455B" w:rsidRPr="005341BB">
        <w:rPr>
          <w:i/>
          <w:sz w:val="18"/>
          <w:szCs w:val="18"/>
        </w:rPr>
        <w:t>89)</w:t>
      </w:r>
    </w:p>
    <w:p w14:paraId="4805CFD7" w14:textId="02BBCD09" w:rsidR="00CF455B" w:rsidRPr="00DB2734" w:rsidRDefault="00CF455B" w:rsidP="00EE48E8">
      <w:r w:rsidRPr="00DB2734">
        <w:t>An overwhelming majority of people</w:t>
      </w:r>
      <w:r w:rsidR="00230977">
        <w:t xml:space="preserve"> worldwide</w:t>
      </w:r>
      <w:r w:rsidRPr="00DB2734">
        <w:t xml:space="preserve"> </w:t>
      </w:r>
      <w:r w:rsidR="00230977">
        <w:t>– around 9 out of 10 –</w:t>
      </w:r>
      <w:r w:rsidR="00237360" w:rsidRPr="00237360">
        <w:t xml:space="preserve"> routinely </w:t>
      </w:r>
      <w:r w:rsidR="00230977">
        <w:t>answer</w:t>
      </w:r>
      <w:r w:rsidR="00237360" w:rsidRPr="00237360">
        <w:t xml:space="preserve"> that democracy is or would be a good or very good political system for their country</w:t>
      </w:r>
      <w:r w:rsidRPr="00DB2734">
        <w:t xml:space="preserve">. And </w:t>
      </w:r>
      <w:r w:rsidR="002E227B">
        <w:t>from these</w:t>
      </w:r>
      <w:r w:rsidRPr="00DB2734">
        <w:t xml:space="preserve"> </w:t>
      </w:r>
      <w:r w:rsidR="008A32BC">
        <w:t>four</w:t>
      </w:r>
      <w:r w:rsidRPr="00DB2734">
        <w:t xml:space="preserve"> data points</w:t>
      </w:r>
      <w:r w:rsidR="002E227B">
        <w:t>, there does not seem to be any particular trend or change of direction for the result.</w:t>
      </w:r>
    </w:p>
    <w:p w14:paraId="72F2375F" w14:textId="018AB30B" w:rsidR="00A80C68" w:rsidRDefault="00CF455B" w:rsidP="00CF455B">
      <w:r w:rsidRPr="00DB2734">
        <w:t xml:space="preserve">However, this is something of a blunt measurement, and so it is reasonable to ask if these large aggregate numbers are hiding patterns of difference, especially when we know that billions of people around the world do not live under a democratic system, as shown in </w:t>
      </w:r>
      <w:r>
        <w:t>Figure 1.2 and Figure 1.3</w:t>
      </w:r>
      <w:r w:rsidRPr="00DB2734">
        <w:t xml:space="preserve">. </w:t>
      </w:r>
    </w:p>
    <w:p w14:paraId="41035B7E" w14:textId="471C1BDC" w:rsidR="009B0B3B" w:rsidRPr="001E0659" w:rsidRDefault="001E0659" w:rsidP="00CF455B">
      <w:pPr>
        <w:rPr>
          <w:rFonts w:cstheme="majorBidi"/>
        </w:rPr>
      </w:pPr>
      <w:r w:rsidRPr="00DB2734">
        <w:t xml:space="preserve">These results come from Freedom House, a think-tank that measures how free a country is based on civil rights and political liberties (see freedomhouse.org). </w:t>
      </w:r>
      <w:r w:rsidRPr="00DB2734">
        <w:rPr>
          <w:rFonts w:cstheme="majorBidi"/>
        </w:rPr>
        <w:t xml:space="preserve">The organisation focuses squarely on judging theoretically relevant attributes of liberal democracy </w:t>
      </w:r>
      <w:r>
        <w:rPr>
          <w:rFonts w:cstheme="majorBidi"/>
        </w:rPr>
        <w:fldChar w:fldCharType="begin" w:fldLock="1"/>
      </w:r>
      <w:r w:rsidR="00E63CC6">
        <w:rPr>
          <w:rFonts w:cstheme="majorBidi"/>
        </w:rPr>
        <w:instrText>ADDIN CSL_CITATION { "citationItems" : [ { "id" : "ITEM-1", "itemData" : { "author" : [ { "dropping-particle" : "", "family" : "Munk", "given" : "GL", "non-dropping-particle" : "", "parse-names" : false, "suffix" : "" } ], "id" : "ITEM-1", "issued" : { "date-parts" : [ [ "2009" ] ] }, "publisher" : "Hopkins University Press", "publisher-place" : "Baltimore", "title" : "Measuring Democracy \u2013 A Bridge Between Scholarship &amp; Politics", "type" : "book" }, "locator" : "17", "uris" : [ "http://www.mendeley.com/documents/?uuid=8582740f-ad71-455a-85e2-c3f10d625e54" ] } ], "mendeley" : { "formattedCitation" : "(Munk, 2009, p. 17)", "plainTextFormattedCitation" : "(Munk, 2009, p. 17)", "previouslyFormattedCitation" : "(Munk, 2009, p. 17)" }, "properties" : { "noteIndex" : 0 }, "schema" : "https://github.com/citation-style-language/schema/raw/master/csl-citation.json" }</w:instrText>
      </w:r>
      <w:r>
        <w:rPr>
          <w:rFonts w:cstheme="majorBidi"/>
        </w:rPr>
        <w:fldChar w:fldCharType="separate"/>
      </w:r>
      <w:r w:rsidR="00E63CC6" w:rsidRPr="00E63CC6">
        <w:rPr>
          <w:rFonts w:cstheme="majorBidi"/>
          <w:noProof/>
        </w:rPr>
        <w:t>(Munk, 2009, p. 17)</w:t>
      </w:r>
      <w:r>
        <w:rPr>
          <w:rFonts w:cstheme="majorBidi"/>
        </w:rPr>
        <w:fldChar w:fldCharType="end"/>
      </w:r>
      <w:r w:rsidRPr="00DB2734">
        <w:rPr>
          <w:rFonts w:cstheme="majorBidi"/>
        </w:rPr>
        <w:t>.</w:t>
      </w:r>
      <w:r>
        <w:rPr>
          <w:rFonts w:cstheme="majorBidi"/>
        </w:rPr>
        <w:t xml:space="preserve"> </w:t>
      </w:r>
      <w:r w:rsidRPr="00DB2734">
        <w:rPr>
          <w:rFonts w:cstheme="majorBidi"/>
        </w:rPr>
        <w:t>The three-category classification splits countries into Free (green), Partly Free (yellow) and Not Free (blue). Again this categorisation is blunt, but it allows us to see a clear spatial patterning of the most repressive non-democratic regimes; these can be found predominantly in sub-Saharan Africa, and then in an arc that covers much of the Middle-East, Central</w:t>
      </w:r>
      <w:r w:rsidR="00BE321F">
        <w:rPr>
          <w:rFonts w:cstheme="majorBidi"/>
        </w:rPr>
        <w:t>,</w:t>
      </w:r>
      <w:r w:rsidRPr="00DB2734">
        <w:rPr>
          <w:rFonts w:cstheme="majorBidi"/>
        </w:rPr>
        <w:t xml:space="preserve"> and Eastern Asia. It makes sense then, to test whether this support </w:t>
      </w:r>
      <w:r w:rsidRPr="00DB2734">
        <w:rPr>
          <w:rFonts w:cstheme="majorBidi"/>
        </w:rPr>
        <w:lastRenderedPageBreak/>
        <w:t>for democracy extends to these areas with very limited experience of dem</w:t>
      </w:r>
      <w:r>
        <w:rPr>
          <w:rFonts w:cstheme="majorBidi"/>
        </w:rPr>
        <w:t>ocracy as a type of government.</w:t>
      </w:r>
    </w:p>
    <w:p w14:paraId="71A9D2E5" w14:textId="552D0429" w:rsidR="00A549D2" w:rsidRPr="00481AEF" w:rsidRDefault="00A549D2" w:rsidP="00A549D2">
      <w:pPr>
        <w:pStyle w:val="Caption"/>
        <w:rPr>
          <w:rFonts w:ascii="Segoe UI" w:hAnsi="Segoe UI" w:cs="Segoe UI"/>
          <w:i w:val="0"/>
        </w:rPr>
      </w:pPr>
      <w:bookmarkStart w:id="7" w:name="_Toc494687130"/>
      <w:r w:rsidRPr="00481AEF">
        <w:rPr>
          <w:rFonts w:ascii="Segoe UI" w:hAnsi="Segoe UI" w:cs="Segoe UI"/>
          <w:i w:val="0"/>
        </w:rPr>
        <w:t xml:space="preserve">Figure </w:t>
      </w:r>
      <w:r w:rsidR="00994662" w:rsidRPr="00481AEF">
        <w:rPr>
          <w:rFonts w:ascii="Segoe UI" w:hAnsi="Segoe UI" w:cs="Segoe UI"/>
          <w:i w:val="0"/>
        </w:rPr>
        <w:fldChar w:fldCharType="begin"/>
      </w:r>
      <w:r w:rsidR="00994662" w:rsidRPr="00481AEF">
        <w:rPr>
          <w:rFonts w:ascii="Segoe UI" w:hAnsi="Segoe UI" w:cs="Segoe UI"/>
          <w:i w:val="0"/>
        </w:rPr>
        <w:instrText xml:space="preserve"> STYLEREF 1 \s </w:instrText>
      </w:r>
      <w:r w:rsidR="00994662" w:rsidRPr="00481AEF">
        <w:rPr>
          <w:rFonts w:ascii="Segoe UI" w:hAnsi="Segoe UI" w:cs="Segoe UI"/>
          <w:i w:val="0"/>
        </w:rPr>
        <w:fldChar w:fldCharType="separate"/>
      </w:r>
      <w:r w:rsidR="00306E67" w:rsidRPr="00481AEF">
        <w:rPr>
          <w:rFonts w:ascii="Segoe UI" w:hAnsi="Segoe UI" w:cs="Segoe UI"/>
          <w:i w:val="0"/>
          <w:noProof/>
        </w:rPr>
        <w:t>1</w:t>
      </w:r>
      <w:r w:rsidR="00994662" w:rsidRPr="00481AEF">
        <w:rPr>
          <w:rFonts w:ascii="Segoe UI" w:hAnsi="Segoe UI" w:cs="Segoe UI"/>
          <w:i w:val="0"/>
          <w:noProof/>
        </w:rPr>
        <w:fldChar w:fldCharType="end"/>
      </w:r>
      <w:r w:rsidR="00D9151E" w:rsidRPr="00481AEF">
        <w:rPr>
          <w:rFonts w:ascii="Segoe UI" w:hAnsi="Segoe UI" w:cs="Segoe UI"/>
          <w:i w:val="0"/>
        </w:rPr>
        <w:t>:</w:t>
      </w:r>
      <w:r w:rsidR="00994662" w:rsidRPr="00481AEF">
        <w:rPr>
          <w:rFonts w:ascii="Segoe UI" w:hAnsi="Segoe UI" w:cs="Segoe UI"/>
          <w:i w:val="0"/>
        </w:rPr>
        <w:fldChar w:fldCharType="begin"/>
      </w:r>
      <w:r w:rsidR="00994662" w:rsidRPr="00481AEF">
        <w:rPr>
          <w:rFonts w:ascii="Segoe UI" w:hAnsi="Segoe UI" w:cs="Segoe UI"/>
          <w:i w:val="0"/>
        </w:rPr>
        <w:instrText xml:space="preserve"> SEQ Figure \* ARABIC \s 1 </w:instrText>
      </w:r>
      <w:r w:rsidR="00994662" w:rsidRPr="00481AEF">
        <w:rPr>
          <w:rFonts w:ascii="Segoe UI" w:hAnsi="Segoe UI" w:cs="Segoe UI"/>
          <w:i w:val="0"/>
        </w:rPr>
        <w:fldChar w:fldCharType="separate"/>
      </w:r>
      <w:r w:rsidR="00306E67" w:rsidRPr="00481AEF">
        <w:rPr>
          <w:rFonts w:ascii="Segoe UI" w:hAnsi="Segoe UI" w:cs="Segoe UI"/>
          <w:i w:val="0"/>
          <w:noProof/>
        </w:rPr>
        <w:t>2</w:t>
      </w:r>
      <w:r w:rsidR="00994662" w:rsidRPr="00481AEF">
        <w:rPr>
          <w:rFonts w:ascii="Segoe UI" w:hAnsi="Segoe UI" w:cs="Segoe UI"/>
          <w:i w:val="0"/>
          <w:noProof/>
        </w:rPr>
        <w:fldChar w:fldCharType="end"/>
      </w:r>
      <w:r w:rsidRPr="00481AEF">
        <w:rPr>
          <w:rFonts w:ascii="Segoe UI" w:hAnsi="Segoe UI" w:cs="Segoe UI"/>
          <w:i w:val="0"/>
        </w:rPr>
        <w:t xml:space="preserve"> Freedom in the World 2014</w:t>
      </w:r>
      <w:bookmarkEnd w:id="7"/>
    </w:p>
    <w:p w14:paraId="1B0C90C2" w14:textId="77777777" w:rsidR="00CF455B" w:rsidRPr="00DB2734" w:rsidRDefault="00CF455B" w:rsidP="00A549D2">
      <w:pPr>
        <w:pStyle w:val="Caption"/>
        <w:rPr>
          <w:szCs w:val="24"/>
        </w:rPr>
      </w:pPr>
      <w:r w:rsidRPr="00DB2734">
        <w:rPr>
          <w:noProof/>
          <w:szCs w:val="24"/>
          <w:lang w:eastAsia="zh-CN"/>
        </w:rPr>
        <w:drawing>
          <wp:inline distT="0" distB="0" distL="0" distR="0" wp14:anchorId="330DC71D" wp14:editId="256D0633">
            <wp:extent cx="5731510" cy="2741450"/>
            <wp:effectExtent l="19050" t="19050" r="2159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741450"/>
                    </a:xfrm>
                    <a:prstGeom prst="rect">
                      <a:avLst/>
                    </a:prstGeom>
                    <a:ln>
                      <a:solidFill>
                        <a:schemeClr val="tx1"/>
                      </a:solidFill>
                    </a:ln>
                  </pic:spPr>
                </pic:pic>
              </a:graphicData>
            </a:graphic>
          </wp:inline>
        </w:drawing>
      </w:r>
    </w:p>
    <w:p w14:paraId="4C1A15CD" w14:textId="44B46E0B" w:rsidR="00722D2E" w:rsidRPr="00481AEF" w:rsidRDefault="00722D2E" w:rsidP="00722D2E">
      <w:pPr>
        <w:pStyle w:val="Caption"/>
        <w:rPr>
          <w:rFonts w:ascii="Segoe UI" w:hAnsi="Segoe UI" w:cs="Segoe UI"/>
          <w:i w:val="0"/>
        </w:rPr>
      </w:pPr>
      <w:bookmarkStart w:id="8" w:name="_Toc494687131"/>
      <w:r w:rsidRPr="00481AEF">
        <w:rPr>
          <w:rFonts w:ascii="Segoe UI" w:hAnsi="Segoe UI" w:cs="Segoe UI"/>
          <w:i w:val="0"/>
        </w:rPr>
        <w:t xml:space="preserve">Figure </w:t>
      </w:r>
      <w:r w:rsidR="00994662" w:rsidRPr="00481AEF">
        <w:rPr>
          <w:rFonts w:ascii="Segoe UI" w:hAnsi="Segoe UI" w:cs="Segoe UI"/>
          <w:i w:val="0"/>
        </w:rPr>
        <w:fldChar w:fldCharType="begin"/>
      </w:r>
      <w:r w:rsidR="00994662" w:rsidRPr="00481AEF">
        <w:rPr>
          <w:rFonts w:ascii="Segoe UI" w:hAnsi="Segoe UI" w:cs="Segoe UI"/>
          <w:i w:val="0"/>
        </w:rPr>
        <w:instrText xml:space="preserve"> STYLEREF 1 \s </w:instrText>
      </w:r>
      <w:r w:rsidR="00994662" w:rsidRPr="00481AEF">
        <w:rPr>
          <w:rFonts w:ascii="Segoe UI" w:hAnsi="Segoe UI" w:cs="Segoe UI"/>
          <w:i w:val="0"/>
        </w:rPr>
        <w:fldChar w:fldCharType="separate"/>
      </w:r>
      <w:r w:rsidR="00306E67" w:rsidRPr="00481AEF">
        <w:rPr>
          <w:rFonts w:ascii="Segoe UI" w:hAnsi="Segoe UI" w:cs="Segoe UI"/>
          <w:i w:val="0"/>
          <w:noProof/>
        </w:rPr>
        <w:t>1</w:t>
      </w:r>
      <w:r w:rsidR="00994662" w:rsidRPr="00481AEF">
        <w:rPr>
          <w:rFonts w:ascii="Segoe UI" w:hAnsi="Segoe UI" w:cs="Segoe UI"/>
          <w:i w:val="0"/>
          <w:noProof/>
        </w:rPr>
        <w:fldChar w:fldCharType="end"/>
      </w:r>
      <w:r w:rsidR="00D9151E" w:rsidRPr="00481AEF">
        <w:rPr>
          <w:rFonts w:ascii="Segoe UI" w:hAnsi="Segoe UI" w:cs="Segoe UI"/>
          <w:i w:val="0"/>
        </w:rPr>
        <w:t>:</w:t>
      </w:r>
      <w:r w:rsidR="00994662" w:rsidRPr="00481AEF">
        <w:rPr>
          <w:rFonts w:ascii="Segoe UI" w:hAnsi="Segoe UI" w:cs="Segoe UI"/>
          <w:i w:val="0"/>
        </w:rPr>
        <w:fldChar w:fldCharType="begin"/>
      </w:r>
      <w:r w:rsidR="00994662" w:rsidRPr="00481AEF">
        <w:rPr>
          <w:rFonts w:ascii="Segoe UI" w:hAnsi="Segoe UI" w:cs="Segoe UI"/>
          <w:i w:val="0"/>
        </w:rPr>
        <w:instrText xml:space="preserve"> SEQ Figure \* ARABIC \s 1 </w:instrText>
      </w:r>
      <w:r w:rsidR="00994662" w:rsidRPr="00481AEF">
        <w:rPr>
          <w:rFonts w:ascii="Segoe UI" w:hAnsi="Segoe UI" w:cs="Segoe UI"/>
          <w:i w:val="0"/>
        </w:rPr>
        <w:fldChar w:fldCharType="separate"/>
      </w:r>
      <w:r w:rsidR="00306E67" w:rsidRPr="00481AEF">
        <w:rPr>
          <w:rFonts w:ascii="Segoe UI" w:hAnsi="Segoe UI" w:cs="Segoe UI"/>
          <w:i w:val="0"/>
          <w:noProof/>
        </w:rPr>
        <w:t>3</w:t>
      </w:r>
      <w:r w:rsidR="00994662" w:rsidRPr="00481AEF">
        <w:rPr>
          <w:rFonts w:ascii="Segoe UI" w:hAnsi="Segoe UI" w:cs="Segoe UI"/>
          <w:i w:val="0"/>
          <w:noProof/>
        </w:rPr>
        <w:fldChar w:fldCharType="end"/>
      </w:r>
      <w:r w:rsidRPr="00481AEF">
        <w:rPr>
          <w:rFonts w:ascii="Segoe UI" w:hAnsi="Segoe UI" w:cs="Segoe UI"/>
          <w:i w:val="0"/>
        </w:rPr>
        <w:t xml:space="preserve"> Freedom in the World Population Percentages and Legend</w:t>
      </w:r>
      <w:bookmarkEnd w:id="8"/>
    </w:p>
    <w:p w14:paraId="1FC34393" w14:textId="77777777" w:rsidR="00CF455B" w:rsidRPr="00DB2734" w:rsidRDefault="00CF455B" w:rsidP="00CF455B">
      <w:pPr>
        <w:jc w:val="center"/>
        <w:rPr>
          <w:b/>
          <w:szCs w:val="24"/>
        </w:rPr>
      </w:pPr>
      <w:r w:rsidRPr="00DB2734">
        <w:rPr>
          <w:noProof/>
          <w:szCs w:val="24"/>
          <w:lang w:eastAsia="zh-CN"/>
        </w:rPr>
        <w:drawing>
          <wp:inline distT="0" distB="0" distL="0" distR="0" wp14:anchorId="35DC3C12" wp14:editId="62939ECD">
            <wp:extent cx="1994062" cy="1900362"/>
            <wp:effectExtent l="19050" t="19050" r="25400" b="24130"/>
            <wp:docPr id="4" name="Picture 4" descr="http://www.freedomhouse.org/sites/default/files/GLOBAL%20STATUS%20BY%20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domhouse.org/sites/default/files/GLOBAL%20STATUS%20BY%20POPUL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4062" cy="1900362"/>
                    </a:xfrm>
                    <a:prstGeom prst="rect">
                      <a:avLst/>
                    </a:prstGeom>
                    <a:noFill/>
                    <a:ln>
                      <a:solidFill>
                        <a:schemeClr val="tx1"/>
                      </a:solidFill>
                    </a:ln>
                  </pic:spPr>
                </pic:pic>
              </a:graphicData>
            </a:graphic>
          </wp:inline>
        </w:drawing>
      </w:r>
    </w:p>
    <w:p w14:paraId="3559A8F6" w14:textId="0BF1C2CE" w:rsidR="00CF455B" w:rsidRPr="00DB2734" w:rsidRDefault="00CF455B" w:rsidP="00EE48E8">
      <w:r w:rsidRPr="00DB2734">
        <w:t>The first test address</w:t>
      </w:r>
      <w:r w:rsidR="00237360">
        <w:t>es</w:t>
      </w:r>
      <w:r w:rsidRPr="00DB2734">
        <w:t xml:space="preserve"> the Asian/Middle-Eastern arc of authoritarian regimes. </w:t>
      </w:r>
      <w:r w:rsidRPr="00DB2734">
        <w:rPr>
          <w:rFonts w:cstheme="majorBidi"/>
        </w:rPr>
        <w:t>An issue with these types of regimes is that the less democratic a regime, usually the harder it is to collect reliable survey data there. However, sticking with the WVS for now, an examination can be made using the</w:t>
      </w:r>
      <w:r w:rsidRPr="00DB2734">
        <w:t xml:space="preserve"> 2005-2009 wave. According to Freedom House calculations the most repressive regimes in this survey wave are Iran, China, R</w:t>
      </w:r>
      <w:r w:rsidR="00BE321F">
        <w:t>ussia, Jordan, Vietnam and Iraq</w:t>
      </w:r>
      <w:r w:rsidRPr="00DB2734">
        <w:t>. In the 2005-2009 wave a further question was asked which allowed citizens to give a more detailed opinion on the subject of democracy and its importance:</w:t>
      </w:r>
    </w:p>
    <w:p w14:paraId="4BB3B82A" w14:textId="77777777" w:rsidR="00CF455B" w:rsidRPr="00DB2734" w:rsidRDefault="00CF455B" w:rsidP="00CF455B">
      <w:pPr>
        <w:rPr>
          <w:szCs w:val="24"/>
        </w:rPr>
      </w:pPr>
      <w:r w:rsidRPr="00DB2734">
        <w:rPr>
          <w:noProof/>
          <w:szCs w:val="24"/>
          <w:lang w:eastAsia="zh-CN"/>
        </w:rPr>
        <w:lastRenderedPageBreak/>
        <mc:AlternateContent>
          <mc:Choice Requires="wps">
            <w:drawing>
              <wp:inline distT="0" distB="0" distL="0" distR="0" wp14:anchorId="60F4BE9F" wp14:editId="1E1E97EA">
                <wp:extent cx="5731510" cy="868680"/>
                <wp:effectExtent l="0" t="0" r="2159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68680"/>
                        </a:xfrm>
                        <a:prstGeom prst="rect">
                          <a:avLst/>
                        </a:prstGeom>
                        <a:solidFill>
                          <a:srgbClr val="FFFFFF"/>
                        </a:solidFill>
                        <a:ln w="9525">
                          <a:solidFill>
                            <a:srgbClr val="000000"/>
                          </a:solidFill>
                          <a:miter lim="800000"/>
                          <a:headEnd/>
                          <a:tailEnd/>
                        </a:ln>
                      </wps:spPr>
                      <wps:txbx>
                        <w:txbxContent>
                          <w:p w14:paraId="0BBD5BF6" w14:textId="77777777" w:rsidR="00C65616" w:rsidRPr="00A1210D" w:rsidRDefault="00C65616" w:rsidP="00666F05">
                            <w:pPr>
                              <w:rPr>
                                <w:i/>
                                <w:sz w:val="20"/>
                                <w:szCs w:val="20"/>
                              </w:rPr>
                            </w:pPr>
                            <w:r w:rsidRPr="00A1210D">
                              <w:rPr>
                                <w:i/>
                                <w:sz w:val="20"/>
                                <w:szCs w:val="20"/>
                              </w:rPr>
                              <w:t>How important is it for you to live in a country that is governed</w:t>
                            </w:r>
                            <w:r>
                              <w:rPr>
                                <w:i/>
                                <w:sz w:val="20"/>
                                <w:szCs w:val="20"/>
                              </w:rPr>
                              <w:t xml:space="preserve"> democratically?  On this scale </w:t>
                            </w:r>
                            <w:r w:rsidRPr="00A1210D">
                              <w:rPr>
                                <w:i/>
                                <w:sz w:val="20"/>
                                <w:szCs w:val="20"/>
                              </w:rPr>
                              <w:t>where 1 means it is “not at all important” and 10 means “absolutely</w:t>
                            </w:r>
                            <w:r>
                              <w:rPr>
                                <w:i/>
                                <w:sz w:val="20"/>
                                <w:szCs w:val="20"/>
                              </w:rPr>
                              <w:t xml:space="preserve"> important” what position would you choose?</w:t>
                            </w: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F4BE9F" id="_x0000_s1028" type="#_x0000_t202" style="width:451.3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">
                <v:textbox>
                  <w:txbxContent>
                    <w:p w14:paraId="0BBD5BF6" w14:textId="77777777" w:rsidR="00C65616" w:rsidRPr="00A1210D" w:rsidRDefault="00C65616" w:rsidP="00666F05">
                      <w:pPr>
                        <w:rPr>
                          <w:i/>
                          <w:sz w:val="20"/>
                          <w:szCs w:val="20"/>
                        </w:rPr>
                      </w:pPr>
                      <w:r w:rsidRPr="00A1210D">
                        <w:rPr>
                          <w:i/>
                          <w:sz w:val="20"/>
                          <w:szCs w:val="20"/>
                        </w:rPr>
                        <w:t>How important is it for you to live in a country that is governed</w:t>
                      </w:r>
                      <w:r>
                        <w:rPr>
                          <w:i/>
                          <w:sz w:val="20"/>
                          <w:szCs w:val="20"/>
                        </w:rPr>
                        <w:t xml:space="preserve"> democratically?  On this scale </w:t>
                      </w:r>
                      <w:r w:rsidRPr="00A1210D">
                        <w:rPr>
                          <w:i/>
                          <w:sz w:val="20"/>
                          <w:szCs w:val="20"/>
                        </w:rPr>
                        <w:t>where 1 means it is “not at all important” and 10 means “absolutely</w:t>
                      </w:r>
                      <w:r>
                        <w:rPr>
                          <w:i/>
                          <w:sz w:val="20"/>
                          <w:szCs w:val="20"/>
                        </w:rPr>
                        <w:t xml:space="preserve"> important” what position would you choose?</w:t>
                      </w:r>
                    </w:p>
                  </w:txbxContent>
                </v:textbox>
                <w10:anchorlock/>
              </v:shape>
            </w:pict>
          </mc:Fallback>
        </mc:AlternateContent>
      </w:r>
    </w:p>
    <w:p w14:paraId="48ACF215" w14:textId="1E74C8B6" w:rsidR="00CF455B" w:rsidRDefault="00CF455B" w:rsidP="00EE48E8">
      <w:r w:rsidRPr="00DB2734">
        <w:t>In Figur</w:t>
      </w:r>
      <w:r>
        <w:t>e 1.4</w:t>
      </w:r>
      <w:r w:rsidRPr="00DB2734">
        <w:t xml:space="preserve">, the results of this question are presented for two categories. The first category includes overall results for </w:t>
      </w:r>
      <w:r w:rsidRPr="002A15A7">
        <w:rPr>
          <w:i/>
        </w:rPr>
        <w:t>all</w:t>
      </w:r>
      <w:r w:rsidRPr="00DB2734">
        <w:t xml:space="preserve"> countries in the wave: 72,172 respondents from 51 countries. The second category includes results for only the </w:t>
      </w:r>
      <w:r w:rsidR="002A15A7">
        <w:t>‘</w:t>
      </w:r>
      <w:r w:rsidRPr="00DB2734">
        <w:t>Not Free</w:t>
      </w:r>
      <w:r w:rsidR="002A15A7">
        <w:t>’</w:t>
      </w:r>
      <w:r w:rsidRPr="00DB2734">
        <w:t xml:space="preserve"> regimes</w:t>
      </w:r>
      <w:r w:rsidR="00235984">
        <w:t xml:space="preserve"> in the survey</w:t>
      </w:r>
      <w:r w:rsidRPr="00DB2734">
        <w:t xml:space="preserve">: 8, 663 respondents from 5 countries (Iraq </w:t>
      </w:r>
      <w:r w:rsidR="002A15A7">
        <w:t>unfortunately does</w:t>
      </w:r>
      <w:r w:rsidRPr="00DB2734">
        <w:t xml:space="preserve"> not feature as the question was not asked there).</w:t>
      </w:r>
    </w:p>
    <w:p w14:paraId="206C6973" w14:textId="731474B7" w:rsidR="00A80C68" w:rsidRPr="001E0659" w:rsidRDefault="00CF455B" w:rsidP="00EE48E8">
      <w:r w:rsidRPr="00DB2734">
        <w:t>Once a</w:t>
      </w:r>
      <w:r w:rsidR="002A15A7">
        <w:t xml:space="preserve">gain the pattern is very clear </w:t>
      </w:r>
      <w:r w:rsidRPr="00DB2734">
        <w:t>and</w:t>
      </w:r>
      <w:r w:rsidR="002A15A7">
        <w:t>,</w:t>
      </w:r>
      <w:r w:rsidRPr="00DB2734">
        <w:t xml:space="preserve"> more importantly, it holds for both categories. When provided with a ten-point scale, almost half of all respondents choose the highest option: ‘absolutely important’. For all countries the average score was 8.6, compared to 8.3 for the Not Free regimes. </w:t>
      </w:r>
      <w:r w:rsidR="00237360">
        <w:t>Even a</w:t>
      </w:r>
      <w:r w:rsidR="00237360" w:rsidRPr="00DB2734">
        <w:t xml:space="preserve">cross </w:t>
      </w:r>
      <w:r w:rsidRPr="00DB2734">
        <w:t>these authoritarian regimes, support for democracy is extremely high.</w:t>
      </w:r>
    </w:p>
    <w:p w14:paraId="1CBAEC94" w14:textId="644E3729" w:rsidR="00722D2E" w:rsidRPr="00481AEF" w:rsidRDefault="00722D2E" w:rsidP="00722D2E">
      <w:pPr>
        <w:pStyle w:val="Caption"/>
        <w:rPr>
          <w:rFonts w:ascii="Segoe UI" w:hAnsi="Segoe UI" w:cs="Segoe UI"/>
          <w:i w:val="0"/>
        </w:rPr>
      </w:pPr>
      <w:bookmarkStart w:id="9" w:name="_Toc494687132"/>
      <w:r w:rsidRPr="00481AEF">
        <w:rPr>
          <w:rFonts w:ascii="Segoe UI" w:hAnsi="Segoe UI" w:cs="Segoe UI"/>
          <w:i w:val="0"/>
        </w:rPr>
        <w:t xml:space="preserve">Figure </w:t>
      </w:r>
      <w:r w:rsidR="00994662" w:rsidRPr="00481AEF">
        <w:rPr>
          <w:rFonts w:ascii="Segoe UI" w:hAnsi="Segoe UI" w:cs="Segoe UI"/>
          <w:i w:val="0"/>
        </w:rPr>
        <w:fldChar w:fldCharType="begin"/>
      </w:r>
      <w:r w:rsidR="00994662" w:rsidRPr="00481AEF">
        <w:rPr>
          <w:rFonts w:ascii="Segoe UI" w:hAnsi="Segoe UI" w:cs="Segoe UI"/>
          <w:i w:val="0"/>
        </w:rPr>
        <w:instrText xml:space="preserve"> STYLEREF 1 \s </w:instrText>
      </w:r>
      <w:r w:rsidR="00994662" w:rsidRPr="00481AEF">
        <w:rPr>
          <w:rFonts w:ascii="Segoe UI" w:hAnsi="Segoe UI" w:cs="Segoe UI"/>
          <w:i w:val="0"/>
        </w:rPr>
        <w:fldChar w:fldCharType="separate"/>
      </w:r>
      <w:r w:rsidR="00306E67" w:rsidRPr="00481AEF">
        <w:rPr>
          <w:rFonts w:ascii="Segoe UI" w:hAnsi="Segoe UI" w:cs="Segoe UI"/>
          <w:i w:val="0"/>
          <w:noProof/>
        </w:rPr>
        <w:t>1</w:t>
      </w:r>
      <w:r w:rsidR="00994662" w:rsidRPr="00481AEF">
        <w:rPr>
          <w:rFonts w:ascii="Segoe UI" w:hAnsi="Segoe UI" w:cs="Segoe UI"/>
          <w:i w:val="0"/>
          <w:noProof/>
        </w:rPr>
        <w:fldChar w:fldCharType="end"/>
      </w:r>
      <w:r w:rsidR="00D9151E" w:rsidRPr="00481AEF">
        <w:rPr>
          <w:rFonts w:ascii="Segoe UI" w:hAnsi="Segoe UI" w:cs="Segoe UI"/>
          <w:i w:val="0"/>
        </w:rPr>
        <w:t>:</w:t>
      </w:r>
      <w:r w:rsidR="00994662" w:rsidRPr="00481AEF">
        <w:rPr>
          <w:rFonts w:ascii="Segoe UI" w:hAnsi="Segoe UI" w:cs="Segoe UI"/>
          <w:i w:val="0"/>
        </w:rPr>
        <w:fldChar w:fldCharType="begin"/>
      </w:r>
      <w:r w:rsidR="00994662" w:rsidRPr="00481AEF">
        <w:rPr>
          <w:rFonts w:ascii="Segoe UI" w:hAnsi="Segoe UI" w:cs="Segoe UI"/>
          <w:i w:val="0"/>
        </w:rPr>
        <w:instrText xml:space="preserve"> SEQ Figure \* ARABIC \s 1 </w:instrText>
      </w:r>
      <w:r w:rsidR="00994662" w:rsidRPr="00481AEF">
        <w:rPr>
          <w:rFonts w:ascii="Segoe UI" w:hAnsi="Segoe UI" w:cs="Segoe UI"/>
          <w:i w:val="0"/>
        </w:rPr>
        <w:fldChar w:fldCharType="separate"/>
      </w:r>
      <w:r w:rsidR="00306E67" w:rsidRPr="00481AEF">
        <w:rPr>
          <w:rFonts w:ascii="Segoe UI" w:hAnsi="Segoe UI" w:cs="Segoe UI"/>
          <w:i w:val="0"/>
          <w:noProof/>
        </w:rPr>
        <w:t>4</w:t>
      </w:r>
      <w:r w:rsidR="00994662" w:rsidRPr="00481AEF">
        <w:rPr>
          <w:rFonts w:ascii="Segoe UI" w:hAnsi="Segoe UI" w:cs="Segoe UI"/>
          <w:i w:val="0"/>
          <w:noProof/>
        </w:rPr>
        <w:fldChar w:fldCharType="end"/>
      </w:r>
      <w:r w:rsidRPr="00481AEF">
        <w:rPr>
          <w:rFonts w:ascii="Segoe UI" w:hAnsi="Segoe UI" w:cs="Segoe UI"/>
          <w:i w:val="0"/>
        </w:rPr>
        <w:t xml:space="preserve"> </w:t>
      </w:r>
      <w:r w:rsidR="00BE321F" w:rsidRPr="00481AEF">
        <w:rPr>
          <w:rFonts w:ascii="Segoe UI" w:hAnsi="Segoe UI" w:cs="Segoe UI"/>
          <w:i w:val="0"/>
        </w:rPr>
        <w:t>How I</w:t>
      </w:r>
      <w:r w:rsidRPr="00481AEF">
        <w:rPr>
          <w:rFonts w:ascii="Segoe UI" w:hAnsi="Segoe UI" w:cs="Segoe UI"/>
          <w:i w:val="0"/>
        </w:rPr>
        <w:t>mportant is Democracy on a Scale of 1-10</w:t>
      </w:r>
      <w:r w:rsidR="00BE321F" w:rsidRPr="00481AEF">
        <w:rPr>
          <w:rFonts w:ascii="Segoe UI" w:hAnsi="Segoe UI" w:cs="Segoe UI"/>
          <w:i w:val="0"/>
        </w:rPr>
        <w:t xml:space="preserve"> (1 = Not at all Important 10=Absolutely Important)</w:t>
      </w:r>
      <w:r w:rsidRPr="00481AEF">
        <w:rPr>
          <w:rFonts w:ascii="Segoe UI" w:hAnsi="Segoe UI" w:cs="Segoe UI"/>
          <w:i w:val="0"/>
        </w:rPr>
        <w:t>: All Countries versus Not Free</w:t>
      </w:r>
      <w:bookmarkEnd w:id="9"/>
    </w:p>
    <w:p w14:paraId="4A12A748" w14:textId="77777777" w:rsidR="00CF455B" w:rsidRDefault="00CF455B" w:rsidP="00CF455B">
      <w:pPr>
        <w:rPr>
          <w:szCs w:val="24"/>
        </w:rPr>
      </w:pPr>
      <w:r w:rsidRPr="00DB2734">
        <w:rPr>
          <w:noProof/>
          <w:szCs w:val="24"/>
          <w:lang w:eastAsia="zh-CN"/>
        </w:rPr>
        <w:drawing>
          <wp:inline distT="0" distB="0" distL="0" distR="0" wp14:anchorId="7D48D8F5" wp14:editId="3A616A78">
            <wp:extent cx="5731510" cy="2619287"/>
            <wp:effectExtent l="0" t="0" r="2159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A853DE" w14:textId="4A0E4102" w:rsidR="00CF455B" w:rsidRPr="00666F05" w:rsidRDefault="00CF455B" w:rsidP="00CF455B">
      <w:pPr>
        <w:jc w:val="right"/>
        <w:rPr>
          <w:i/>
          <w:sz w:val="18"/>
          <w:szCs w:val="18"/>
        </w:rPr>
      </w:pPr>
      <w:r w:rsidRPr="00666F05">
        <w:rPr>
          <w:i/>
          <w:sz w:val="18"/>
          <w:szCs w:val="18"/>
        </w:rPr>
        <w:t>(Source: WVS 2005-2008</w:t>
      </w:r>
      <w:r w:rsidR="005341BB">
        <w:rPr>
          <w:i/>
          <w:sz w:val="18"/>
          <w:szCs w:val="18"/>
        </w:rPr>
        <w:t>, total n=76,215</w:t>
      </w:r>
      <w:r w:rsidRPr="00666F05">
        <w:rPr>
          <w:i/>
          <w:sz w:val="18"/>
          <w:szCs w:val="18"/>
        </w:rPr>
        <w:t>)</w:t>
      </w:r>
    </w:p>
    <w:p w14:paraId="7CA635E6" w14:textId="3DF6F6D4" w:rsidR="00CF455B" w:rsidRPr="00DB2734" w:rsidRDefault="00CF455B" w:rsidP="00EE48E8">
      <w:r w:rsidRPr="00DB2734">
        <w:t xml:space="preserve">The other region containing non-democratic regimes, sub-Saharan Africa, has little history of representative national surveys and is not particularly well-covered by the WVS. However the AfroBarometer project has collected data in four waves since 1999 over a total of 36 African states and almost 99,000 respondents, providing the most </w:t>
      </w:r>
      <w:r w:rsidRPr="00DB2734">
        <w:lastRenderedPageBreak/>
        <w:t xml:space="preserve">comprehensive survey data for the region (see afrobarometer.org). Whilst this does not focus </w:t>
      </w:r>
      <w:r w:rsidR="000D7BF5" w:rsidRPr="00DB2734">
        <w:t xml:space="preserve">only </w:t>
      </w:r>
      <w:r w:rsidRPr="00DB2734">
        <w:t>on sub-Saharan</w:t>
      </w:r>
      <w:r w:rsidR="002A15A7">
        <w:t xml:space="preserve"> Africa</w:t>
      </w:r>
      <w:r w:rsidRPr="00DB2734">
        <w:t>, it generally covers states with limited experience of democracy. In all four waves, the following question was asked:</w:t>
      </w:r>
    </w:p>
    <w:p w14:paraId="0F6EB8FC" w14:textId="77777777" w:rsidR="00CF455B" w:rsidRPr="00DB2734" w:rsidRDefault="00CF455B" w:rsidP="00CF455B">
      <w:pPr>
        <w:rPr>
          <w:rFonts w:cstheme="majorBidi"/>
          <w:szCs w:val="24"/>
        </w:rPr>
      </w:pPr>
      <w:r w:rsidRPr="00DB2734">
        <w:rPr>
          <w:noProof/>
          <w:szCs w:val="24"/>
          <w:lang w:eastAsia="zh-CN"/>
        </w:rPr>
        <mc:AlternateContent>
          <mc:Choice Requires="wps">
            <w:drawing>
              <wp:inline distT="0" distB="0" distL="0" distR="0" wp14:anchorId="2903AC81" wp14:editId="463E54BC">
                <wp:extent cx="5731510" cy="1257300"/>
                <wp:effectExtent l="0" t="0" r="2159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257300"/>
                        </a:xfrm>
                        <a:prstGeom prst="rect">
                          <a:avLst/>
                        </a:prstGeom>
                        <a:solidFill>
                          <a:srgbClr val="FFFFFF"/>
                        </a:solidFill>
                        <a:ln w="9525">
                          <a:solidFill>
                            <a:srgbClr val="000000"/>
                          </a:solidFill>
                          <a:miter lim="800000"/>
                          <a:headEnd/>
                          <a:tailEnd/>
                        </a:ln>
                      </wps:spPr>
                      <wps:txbx>
                        <w:txbxContent>
                          <w:p w14:paraId="43862F51" w14:textId="77777777" w:rsidR="00C65616" w:rsidRPr="00344189" w:rsidRDefault="00C65616" w:rsidP="00CF455B">
                            <w:pPr>
                              <w:spacing w:line="240" w:lineRule="auto"/>
                              <w:rPr>
                                <w:i/>
                                <w:sz w:val="20"/>
                                <w:szCs w:val="20"/>
                              </w:rPr>
                            </w:pPr>
                            <w:r w:rsidRPr="00597CB8">
                              <w:rPr>
                                <w:b/>
                                <w:i/>
                                <w:sz w:val="20"/>
                                <w:szCs w:val="20"/>
                              </w:rPr>
                              <w:t>Which of these three statements is closest to your own opinion?</w:t>
                            </w:r>
                            <w:r w:rsidRPr="00344189">
                              <w:rPr>
                                <w:i/>
                                <w:sz w:val="20"/>
                                <w:szCs w:val="20"/>
                              </w:rPr>
                              <w:t xml:space="preserve">  </w:t>
                            </w:r>
                          </w:p>
                          <w:p w14:paraId="0DD21942" w14:textId="77777777" w:rsidR="00C65616" w:rsidRPr="00344189" w:rsidRDefault="00C65616" w:rsidP="00CF455B">
                            <w:pPr>
                              <w:spacing w:line="240" w:lineRule="auto"/>
                              <w:rPr>
                                <w:i/>
                                <w:sz w:val="20"/>
                                <w:szCs w:val="20"/>
                              </w:rPr>
                            </w:pPr>
                            <w:r w:rsidRPr="00344189">
                              <w:rPr>
                                <w:i/>
                                <w:sz w:val="20"/>
                                <w:szCs w:val="20"/>
                              </w:rPr>
                              <w:t xml:space="preserve">1) Democracy is preferable to any other kind of government. </w:t>
                            </w:r>
                          </w:p>
                          <w:p w14:paraId="501FC2DB" w14:textId="77777777" w:rsidR="00C65616" w:rsidRPr="00344189" w:rsidRDefault="00C65616" w:rsidP="00CF455B">
                            <w:pPr>
                              <w:spacing w:line="240" w:lineRule="auto"/>
                              <w:rPr>
                                <w:i/>
                                <w:sz w:val="20"/>
                                <w:szCs w:val="20"/>
                              </w:rPr>
                            </w:pPr>
                            <w:r w:rsidRPr="00344189">
                              <w:rPr>
                                <w:i/>
                                <w:sz w:val="20"/>
                                <w:szCs w:val="20"/>
                              </w:rPr>
                              <w:t xml:space="preserve">2) In some circumstances, a non-democratic government can be preferable. </w:t>
                            </w:r>
                          </w:p>
                          <w:p w14:paraId="6D832924" w14:textId="77777777" w:rsidR="00C65616" w:rsidRPr="00344189" w:rsidRDefault="00C65616" w:rsidP="00CF455B">
                            <w:pPr>
                              <w:spacing w:line="240" w:lineRule="auto"/>
                              <w:rPr>
                                <w:i/>
                                <w:sz w:val="20"/>
                                <w:szCs w:val="20"/>
                              </w:rPr>
                            </w:pPr>
                            <w:r w:rsidRPr="00344189">
                              <w:rPr>
                                <w:i/>
                                <w:sz w:val="20"/>
                                <w:szCs w:val="20"/>
                              </w:rPr>
                              <w:t>3) For someone like me, it doesn’t matter what kind of government we have.</w:t>
                            </w:r>
                          </w:p>
                          <w:p w14:paraId="5BCE4542" w14:textId="77777777" w:rsidR="00C65616" w:rsidRPr="00A1210D" w:rsidRDefault="00C65616" w:rsidP="00CF455B">
                            <w:pPr>
                              <w:jc w:val="center"/>
                              <w:rPr>
                                <w:i/>
                                <w:sz w:val="20"/>
                                <w:szCs w:val="20"/>
                              </w:rPr>
                            </w:pP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03AC81" id="_x0000_s1029" type="#_x0000_t202" style="width:451.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">
                <v:textbox>
                  <w:txbxContent>
                    <w:p w14:paraId="43862F51" w14:textId="77777777" w:rsidR="00C65616" w:rsidRPr="00344189" w:rsidRDefault="00C65616" w:rsidP="00CF455B">
                      <w:pPr>
                        <w:spacing w:line="240" w:lineRule="auto"/>
                        <w:rPr>
                          <w:i/>
                          <w:sz w:val="20"/>
                          <w:szCs w:val="20"/>
                        </w:rPr>
                      </w:pPr>
                      <w:r w:rsidRPr="00597CB8">
                        <w:rPr>
                          <w:b/>
                          <w:i/>
                          <w:sz w:val="20"/>
                          <w:szCs w:val="20"/>
                        </w:rPr>
                        <w:t>Which of these three statements is closest to your own opinion?</w:t>
                      </w:r>
                      <w:r w:rsidRPr="00344189">
                        <w:rPr>
                          <w:i/>
                          <w:sz w:val="20"/>
                          <w:szCs w:val="20"/>
                        </w:rPr>
                        <w:t xml:space="preserve">  </w:t>
                      </w:r>
                    </w:p>
                    <w:p w14:paraId="0DD21942" w14:textId="77777777" w:rsidR="00C65616" w:rsidRPr="00344189" w:rsidRDefault="00C65616" w:rsidP="00CF455B">
                      <w:pPr>
                        <w:spacing w:line="240" w:lineRule="auto"/>
                        <w:rPr>
                          <w:i/>
                          <w:sz w:val="20"/>
                          <w:szCs w:val="20"/>
                        </w:rPr>
                      </w:pPr>
                      <w:r w:rsidRPr="00344189">
                        <w:rPr>
                          <w:i/>
                          <w:sz w:val="20"/>
                          <w:szCs w:val="20"/>
                        </w:rPr>
                        <w:t xml:space="preserve">1) Democracy is preferable to any other kind of government. </w:t>
                      </w:r>
                    </w:p>
                    <w:p w14:paraId="501FC2DB" w14:textId="77777777" w:rsidR="00C65616" w:rsidRPr="00344189" w:rsidRDefault="00C65616" w:rsidP="00CF455B">
                      <w:pPr>
                        <w:spacing w:line="240" w:lineRule="auto"/>
                        <w:rPr>
                          <w:i/>
                          <w:sz w:val="20"/>
                          <w:szCs w:val="20"/>
                        </w:rPr>
                      </w:pPr>
                      <w:r w:rsidRPr="00344189">
                        <w:rPr>
                          <w:i/>
                          <w:sz w:val="20"/>
                          <w:szCs w:val="20"/>
                        </w:rPr>
                        <w:t xml:space="preserve">2) In some circumstances, a non-democratic government can be preferable. </w:t>
                      </w:r>
                    </w:p>
                    <w:p w14:paraId="6D832924" w14:textId="77777777" w:rsidR="00C65616" w:rsidRPr="00344189" w:rsidRDefault="00C65616" w:rsidP="00CF455B">
                      <w:pPr>
                        <w:spacing w:line="240" w:lineRule="auto"/>
                        <w:rPr>
                          <w:i/>
                          <w:sz w:val="20"/>
                          <w:szCs w:val="20"/>
                        </w:rPr>
                      </w:pPr>
                      <w:r w:rsidRPr="00344189">
                        <w:rPr>
                          <w:i/>
                          <w:sz w:val="20"/>
                          <w:szCs w:val="20"/>
                        </w:rPr>
                        <w:t>3) For someone like me, it doesn’t matter what kind of government we have.</w:t>
                      </w:r>
                    </w:p>
                    <w:p w14:paraId="5BCE4542" w14:textId="77777777" w:rsidR="00C65616" w:rsidRPr="00A1210D" w:rsidRDefault="00C65616" w:rsidP="00CF455B">
                      <w:pPr>
                        <w:jc w:val="center"/>
                        <w:rPr>
                          <w:i/>
                          <w:sz w:val="20"/>
                          <w:szCs w:val="20"/>
                        </w:rPr>
                      </w:pPr>
                    </w:p>
                  </w:txbxContent>
                </v:textbox>
                <w10:anchorlock/>
              </v:shape>
            </w:pict>
          </mc:Fallback>
        </mc:AlternateContent>
      </w:r>
    </w:p>
    <w:p w14:paraId="3E839739" w14:textId="07B80383" w:rsidR="00A80C68" w:rsidRPr="001E0659" w:rsidRDefault="00CF455B" w:rsidP="00EE48E8">
      <w:r>
        <w:rPr>
          <w:rFonts w:cstheme="majorBidi"/>
        </w:rPr>
        <w:t>Figure 1.5</w:t>
      </w:r>
      <w:r w:rsidRPr="00DB2734">
        <w:rPr>
          <w:rFonts w:cstheme="majorBidi"/>
        </w:rPr>
        <w:t xml:space="preserve"> shows the results. O</w:t>
      </w:r>
      <w:r w:rsidRPr="00DB2734">
        <w:t>nce again the majority choosing democracy is overwhelming, at around 7 out of 10 in 2008. Even when the choice of options allows for more pragmatic viewpoints to be aired, th</w:t>
      </w:r>
      <w:r w:rsidR="00533C92">
        <w:t>e pattern remains</w:t>
      </w:r>
      <w:r w:rsidRPr="00DB2734">
        <w:t xml:space="preserve"> </w:t>
      </w:r>
      <w:r w:rsidR="00533C92">
        <w:t>clear</w:t>
      </w:r>
      <w:r w:rsidRPr="00DB2734">
        <w:t>.</w:t>
      </w:r>
    </w:p>
    <w:p w14:paraId="1FC1D49C" w14:textId="76EC1599" w:rsidR="00722D2E" w:rsidRPr="00481AEF" w:rsidRDefault="00722D2E" w:rsidP="00722D2E">
      <w:pPr>
        <w:pStyle w:val="Caption"/>
        <w:rPr>
          <w:rFonts w:ascii="Segoe UI" w:hAnsi="Segoe UI" w:cs="Segoe UI"/>
          <w:i w:val="0"/>
        </w:rPr>
      </w:pPr>
      <w:bookmarkStart w:id="10" w:name="_Toc494687133"/>
      <w:r w:rsidRPr="00481AEF">
        <w:rPr>
          <w:rFonts w:ascii="Segoe UI" w:hAnsi="Segoe UI" w:cs="Segoe UI"/>
          <w:i w:val="0"/>
        </w:rPr>
        <w:t xml:space="preserve">Figure </w:t>
      </w:r>
      <w:r w:rsidR="00994662" w:rsidRPr="00481AEF">
        <w:rPr>
          <w:rFonts w:ascii="Segoe UI" w:hAnsi="Segoe UI" w:cs="Segoe UI"/>
          <w:i w:val="0"/>
        </w:rPr>
        <w:fldChar w:fldCharType="begin"/>
      </w:r>
      <w:r w:rsidR="00994662" w:rsidRPr="00481AEF">
        <w:rPr>
          <w:rFonts w:ascii="Segoe UI" w:hAnsi="Segoe UI" w:cs="Segoe UI"/>
          <w:i w:val="0"/>
        </w:rPr>
        <w:instrText xml:space="preserve"> STYLEREF 1 \s </w:instrText>
      </w:r>
      <w:r w:rsidR="00994662" w:rsidRPr="00481AEF">
        <w:rPr>
          <w:rFonts w:ascii="Segoe UI" w:hAnsi="Segoe UI" w:cs="Segoe UI"/>
          <w:i w:val="0"/>
        </w:rPr>
        <w:fldChar w:fldCharType="separate"/>
      </w:r>
      <w:r w:rsidR="00306E67" w:rsidRPr="00481AEF">
        <w:rPr>
          <w:rFonts w:ascii="Segoe UI" w:hAnsi="Segoe UI" w:cs="Segoe UI"/>
          <w:i w:val="0"/>
          <w:noProof/>
        </w:rPr>
        <w:t>1</w:t>
      </w:r>
      <w:r w:rsidR="00994662" w:rsidRPr="00481AEF">
        <w:rPr>
          <w:rFonts w:ascii="Segoe UI" w:hAnsi="Segoe UI" w:cs="Segoe UI"/>
          <w:i w:val="0"/>
          <w:noProof/>
        </w:rPr>
        <w:fldChar w:fldCharType="end"/>
      </w:r>
      <w:r w:rsidR="00D9151E" w:rsidRPr="00481AEF">
        <w:rPr>
          <w:rFonts w:ascii="Segoe UI" w:hAnsi="Segoe UI" w:cs="Segoe UI"/>
          <w:i w:val="0"/>
        </w:rPr>
        <w:t>:</w:t>
      </w:r>
      <w:r w:rsidR="00994662" w:rsidRPr="00481AEF">
        <w:rPr>
          <w:rFonts w:ascii="Segoe UI" w:hAnsi="Segoe UI" w:cs="Segoe UI"/>
          <w:i w:val="0"/>
        </w:rPr>
        <w:fldChar w:fldCharType="begin"/>
      </w:r>
      <w:r w:rsidR="00994662" w:rsidRPr="00481AEF">
        <w:rPr>
          <w:rFonts w:ascii="Segoe UI" w:hAnsi="Segoe UI" w:cs="Segoe UI"/>
          <w:i w:val="0"/>
        </w:rPr>
        <w:instrText xml:space="preserve"> SEQ Figure \* ARABIC \s 1 </w:instrText>
      </w:r>
      <w:r w:rsidR="00994662" w:rsidRPr="00481AEF">
        <w:rPr>
          <w:rFonts w:ascii="Segoe UI" w:hAnsi="Segoe UI" w:cs="Segoe UI"/>
          <w:i w:val="0"/>
        </w:rPr>
        <w:fldChar w:fldCharType="separate"/>
      </w:r>
      <w:r w:rsidR="00306E67" w:rsidRPr="00481AEF">
        <w:rPr>
          <w:rFonts w:ascii="Segoe UI" w:hAnsi="Segoe UI" w:cs="Segoe UI"/>
          <w:i w:val="0"/>
          <w:noProof/>
        </w:rPr>
        <w:t>5</w:t>
      </w:r>
      <w:r w:rsidR="00994662" w:rsidRPr="00481AEF">
        <w:rPr>
          <w:rFonts w:ascii="Segoe UI" w:hAnsi="Segoe UI" w:cs="Segoe UI"/>
          <w:i w:val="0"/>
          <w:noProof/>
        </w:rPr>
        <w:fldChar w:fldCharType="end"/>
      </w:r>
      <w:r w:rsidRPr="00481AEF">
        <w:rPr>
          <w:rFonts w:ascii="Segoe UI" w:hAnsi="Segoe UI" w:cs="Segoe UI"/>
          <w:i w:val="0"/>
        </w:rPr>
        <w:t xml:space="preserve"> What Statement is Closest to Your Opinion Democracy as a Government? (African States)</w:t>
      </w:r>
      <w:bookmarkEnd w:id="10"/>
    </w:p>
    <w:p w14:paraId="6A062BC7" w14:textId="77777777" w:rsidR="00CF455B" w:rsidRPr="00DB2734" w:rsidRDefault="00CF455B" w:rsidP="00CF455B">
      <w:pPr>
        <w:rPr>
          <w:rFonts w:cstheme="majorBidi"/>
          <w:szCs w:val="24"/>
        </w:rPr>
      </w:pPr>
      <w:r w:rsidRPr="00DB2734">
        <w:rPr>
          <w:noProof/>
          <w:szCs w:val="24"/>
          <w:lang w:eastAsia="zh-CN"/>
        </w:rPr>
        <w:drawing>
          <wp:inline distT="0" distB="0" distL="0" distR="0" wp14:anchorId="79C1561D" wp14:editId="604593A6">
            <wp:extent cx="6011186" cy="3299791"/>
            <wp:effectExtent l="0" t="0" r="2794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CA5999" w14:textId="77777777" w:rsidR="00CF455B" w:rsidRPr="00327DE0" w:rsidRDefault="00CF455B" w:rsidP="00CF455B">
      <w:pPr>
        <w:jc w:val="right"/>
        <w:rPr>
          <w:i/>
          <w:sz w:val="18"/>
          <w:szCs w:val="18"/>
        </w:rPr>
      </w:pPr>
      <w:r w:rsidRPr="00327DE0">
        <w:rPr>
          <w:i/>
          <w:sz w:val="18"/>
          <w:szCs w:val="18"/>
        </w:rPr>
        <w:t xml:space="preserve">(Source: Afrobarometer Wvs 1-4. Total n = 98,942) </w:t>
      </w:r>
    </w:p>
    <w:p w14:paraId="32DBF011" w14:textId="27C62BD5" w:rsidR="00CF455B" w:rsidRPr="00DB2734" w:rsidRDefault="00CF455B" w:rsidP="00EE48E8">
      <w:r w:rsidRPr="00DB2734">
        <w:t>Taken together, these results present an optimistic picture of support for democracy around the world. Findings such as this naturally lead to questions such as the one raised by Amarty</w:t>
      </w:r>
      <w:r>
        <w:t xml:space="preserve">a </w:t>
      </w:r>
      <w:r>
        <w:fldChar w:fldCharType="begin" w:fldLock="1"/>
      </w:r>
      <w:r w:rsidR="00E63CC6">
        <w:instrText>ADDIN CSL_CITATION { "citationItems" : [ { "id" : "ITEM-1", "itemData" : { "author" : [ { "dropping-particle" : "", "family" : "Sen", "given" : "Amartya", "non-dropping-particle" : "", "parse-names" : false, "suffix" : "" } ], "container-title" : "Journal of Democracy", "id" : "ITEM-1", "issue" : "3", "issued" : { "date-parts" : [ [ "1999" ] ] }, "page" : "3-17", "title" : "Democracy as universal value", "type" : "article-journal", "volume" : "10" }, "uris" : [ "http://www.mendeley.com/documents/?uuid=c7793ef7-2675-4d4d-b6c3-9bdf0492e749" ] } ], "mendeley" : { "formattedCitation" : "(Sen, 1999)", "manualFormatting" : "Sen (1999)", "plainTextFormattedCitation" : "(Sen, 1999)", "previouslyFormattedCitation" : "(Sen, 1999)" }, "properties" : { "noteIndex" : 0 }, "schema" : "https://github.com/citation-style-language/schema/raw/master/csl-citation.json" }</w:instrText>
      </w:r>
      <w:r>
        <w:fldChar w:fldCharType="separate"/>
      </w:r>
      <w:r w:rsidRPr="009F1880">
        <w:rPr>
          <w:noProof/>
        </w:rPr>
        <w:t xml:space="preserve">Sen </w:t>
      </w:r>
      <w:r>
        <w:rPr>
          <w:noProof/>
        </w:rPr>
        <w:t>(</w:t>
      </w:r>
      <w:r w:rsidRPr="009F1880">
        <w:rPr>
          <w:noProof/>
        </w:rPr>
        <w:t>1999)</w:t>
      </w:r>
      <w:r>
        <w:fldChar w:fldCharType="end"/>
      </w:r>
      <w:r w:rsidR="002A15A7">
        <w:t>, who asked:</w:t>
      </w:r>
      <w:r w:rsidRPr="00DB2734">
        <w:t xml:space="preserve"> is </w:t>
      </w:r>
      <w:r w:rsidRPr="00DB2734">
        <w:rPr>
          <w:color w:val="000000" w:themeColor="text1"/>
          <w:kern w:val="24"/>
        </w:rPr>
        <w:t xml:space="preserve">democracy is a universal value which </w:t>
      </w:r>
      <w:r w:rsidRPr="00DB2734">
        <w:rPr>
          <w:i/>
          <w:iCs/>
          <w:color w:val="000000" w:themeColor="text1"/>
          <w:kern w:val="24"/>
        </w:rPr>
        <w:t>‘</w:t>
      </w:r>
      <w:r w:rsidRPr="00DB2734">
        <w:rPr>
          <w:iCs/>
          <w:color w:val="000000" w:themeColor="text1"/>
          <w:kern w:val="24"/>
        </w:rPr>
        <w:t>cannot be disposed of by imagined cultural taboos or assumed civilizational predispositions imposed by our various pasts’</w:t>
      </w:r>
      <w:r w:rsidRPr="00DB2734">
        <w:rPr>
          <w:color w:val="000000" w:themeColor="text1"/>
          <w:kern w:val="24"/>
        </w:rPr>
        <w:t xml:space="preserve">? After all, although the common belief is that democracy </w:t>
      </w:r>
      <w:r w:rsidRPr="00DB2734">
        <w:rPr>
          <w:color w:val="000000" w:themeColor="text1"/>
          <w:kern w:val="24"/>
        </w:rPr>
        <w:lastRenderedPageBreak/>
        <w:t>has quite specific roots in Ancient Athens, some commentators have argued that actually comparable systems developed independently in</w:t>
      </w:r>
      <w:r>
        <w:rPr>
          <w:color w:val="000000" w:themeColor="text1"/>
          <w:kern w:val="24"/>
        </w:rPr>
        <w:t xml:space="preserve"> multiple locations across the world </w:t>
      </w:r>
      <w:r>
        <w:rPr>
          <w:color w:val="000000" w:themeColor="text1"/>
          <w:kern w:val="24"/>
        </w:rPr>
        <w:fldChar w:fldCharType="begin" w:fldLock="1"/>
      </w:r>
      <w:r w:rsidR="00E63CC6">
        <w:rPr>
          <w:color w:val="000000" w:themeColor="text1"/>
          <w:kern w:val="24"/>
        </w:rPr>
        <w:instrText>ADDIN CSL_CITATION { "citationItems" : [ { "id" : "ITEM-1", "itemData" : { "author" : [ { "dropping-particle" : "", "family" : "Keane", "given" : "John", "non-dropping-particle" : "", "parse-names" : false, "suffix" : "" } ], "id" : "ITEM-1", "issued" : { "date-parts" : [ [ "2009" ] ] }, "publisher" : "Simon &amp; Schuster", "publisher-place" : "London", "title" : "The Life and Death of Democracy", "type" : "book" }, "locator" : "xvi", "uris" : [ "http://www.mendeley.com/documents/?uuid=82d862a3-078c-4bdd-9c48-6dd18a0d4464" ] }, { "id" : "ITEM-2", "itemData" : { "author" : [ { "dropping-particle" : "", "family" : "Sen", "given" : "Amartya", "non-dropping-particle" : "", "parse-names" : false, "suffix" : "" } ], "container-title" : "Journal of Democracy", "id" : "ITEM-2", "issue" : "3", "issued" : { "date-parts" : [ [ "1999" ] ] }, "page" : "3-17", "title" : "Democracy as universal value", "type" : "article-journal", "volume" : "10" }, "uris" : [ "http://www.mendeley.com/documents/?uuid=c7793ef7-2675-4d4d-b6c3-9bdf0492e749" ] } ], "mendeley" : { "formattedCitation" : "(Sen, 1999; Keane, 2009, p. xvi)", "plainTextFormattedCitation" : "(Sen, 1999; Keane, 2009, p. xvi)", "previouslyFormattedCitation" : "(Sen, 1999; Keane, 2009, p. xvi)" }, "properties" : { "noteIndex" : 0 }, "schema" : "https://github.com/citation-style-language/schema/raw/master/csl-citation.json" }</w:instrText>
      </w:r>
      <w:r>
        <w:rPr>
          <w:color w:val="000000" w:themeColor="text1"/>
          <w:kern w:val="24"/>
        </w:rPr>
        <w:fldChar w:fldCharType="separate"/>
      </w:r>
      <w:r w:rsidR="00E63CC6" w:rsidRPr="00E63CC6">
        <w:rPr>
          <w:noProof/>
          <w:color w:val="000000" w:themeColor="text1"/>
          <w:kern w:val="24"/>
        </w:rPr>
        <w:t>(Sen, 1999; Keane, 2009, p. xvi)</w:t>
      </w:r>
      <w:r>
        <w:rPr>
          <w:color w:val="000000" w:themeColor="text1"/>
          <w:kern w:val="24"/>
        </w:rPr>
        <w:fldChar w:fldCharType="end"/>
      </w:r>
      <w:r>
        <w:rPr>
          <w:color w:val="000000" w:themeColor="text1"/>
          <w:kern w:val="24"/>
        </w:rPr>
        <w:t>.</w:t>
      </w:r>
    </w:p>
    <w:p w14:paraId="3A957978" w14:textId="3C169AB7" w:rsidR="00CF455B" w:rsidRPr="00DB2734" w:rsidRDefault="00CF455B" w:rsidP="00EE48E8">
      <w:r w:rsidRPr="00DB2734">
        <w:t>Summarising the trends and findings on survey data around the world,</w:t>
      </w:r>
      <w:r>
        <w:t xml:space="preserve"> Diamond (2008, p.</w:t>
      </w:r>
      <w:r w:rsidR="002A15A7">
        <w:t>xi) noted that</w:t>
      </w:r>
      <w:r w:rsidRPr="00DB2734">
        <w:t>: “Strikingly, the belief that democracy is (in principle at least) the best system is overwhelming and universal.” However, the caveat that Diamond provides in brackets is absolutely key</w:t>
      </w:r>
      <w:r w:rsidR="00235984">
        <w:t xml:space="preserve"> to my analysis: this extremely </w:t>
      </w:r>
      <w:r w:rsidR="002A15A7">
        <w:t xml:space="preserve">clear </w:t>
      </w:r>
      <w:r w:rsidR="00235984">
        <w:t>pattern across such a wide number of countries can only be seen as universal if the word which the respondents are all agreeing to – democracy – has a shared understanding. If this isn’t the case, we have reason to question such findings</w:t>
      </w:r>
      <w:r w:rsidR="00656968">
        <w:t xml:space="preserve"> and interrogate them further</w:t>
      </w:r>
      <w:r w:rsidR="00235984">
        <w:t>.</w:t>
      </w:r>
    </w:p>
    <w:p w14:paraId="1361BA67" w14:textId="77777777" w:rsidR="00CF455B" w:rsidRPr="00577217" w:rsidRDefault="00CF455B" w:rsidP="00577217">
      <w:pPr>
        <w:pStyle w:val="Heading2"/>
      </w:pPr>
      <w:bookmarkStart w:id="11" w:name="_Toc441069010"/>
      <w:bookmarkStart w:id="12" w:name="_Toc441069155"/>
      <w:bookmarkStart w:id="13" w:name="_Toc494034202"/>
      <w:r w:rsidRPr="00577217">
        <w:t xml:space="preserve">1.2 </w:t>
      </w:r>
      <w:r w:rsidR="00327DE0">
        <w:t>In principle at least…beyond support for d</w:t>
      </w:r>
      <w:r w:rsidRPr="00577217">
        <w:t>emocracy</w:t>
      </w:r>
      <w:bookmarkEnd w:id="11"/>
      <w:bookmarkEnd w:id="12"/>
      <w:bookmarkEnd w:id="13"/>
    </w:p>
    <w:p w14:paraId="2738B1AC" w14:textId="5E7D6AC9" w:rsidR="00CF455B" w:rsidRPr="00DB2734" w:rsidRDefault="00CF455B" w:rsidP="00EE48E8">
      <w:r w:rsidRPr="00DB2734">
        <w:rPr>
          <w:iCs/>
        </w:rPr>
        <w:t xml:space="preserve">There is no doubt that democracy is an extremely important concept. </w:t>
      </w:r>
      <w:r w:rsidRPr="00DB2734">
        <w:t xml:space="preserve">The United Nations holds the promotion of democracy as a core ideal </w:t>
      </w:r>
      <w:r>
        <w:fldChar w:fldCharType="begin" w:fldLock="1"/>
      </w:r>
      <w:r w:rsidR="00E63CC6">
        <w:instrText>ADDIN CSL_CITATION { "citationItems" : [ { "id" : "ITEM-1", "itemData" : { "author" : [ { "dropping-particle" : "", "family" : "Newman", "given" : "E", "non-dropping-particle" : "", "parse-names" : false, "suffix" : "" }, { "dropping-particle" : "", "family" : "Rich", "given" : "R", "non-dropping-particle" : "", "parse-names" : false, "suffix" : "" } ], "id" : "ITEM-1", "issued" : { "date-parts" : [ [ "2004" ] ] }, "publisher" : "United Nations University", "publisher-place" : "USA", "title" : "The UN Role in Promoting Democracy - Between ideas and reality", "type" : "book" }, "uris" : [ "http://www.mendeley.com/documents/?uuid=4bf59c98-7329-4e6a-94ff-fb6a6b2a1031" ] } ], "mendeley" : { "formattedCitation" : "(Newman and Rich, 2004)", "plainTextFormattedCitation" : "(Newman and Rich, 2004)", "previouslyFormattedCitation" : "(Newman and Rich, 2004)" }, "properties" : { "noteIndex" : 0 }, "schema" : "https://github.com/citation-style-language/schema/raw/master/csl-citation.json" }</w:instrText>
      </w:r>
      <w:r>
        <w:fldChar w:fldCharType="separate"/>
      </w:r>
      <w:r w:rsidR="00E63CC6" w:rsidRPr="00E63CC6">
        <w:rPr>
          <w:noProof/>
        </w:rPr>
        <w:t>(Newman and Rich, 2004)</w:t>
      </w:r>
      <w:r>
        <w:fldChar w:fldCharType="end"/>
      </w:r>
      <w:r w:rsidRPr="00DB2734">
        <w:t xml:space="preserve">. International organisations, private foundations, corporations and individual governments have all taken active roles in the promotion of democracy </w:t>
      </w:r>
      <w:r>
        <w:fldChar w:fldCharType="begin" w:fldLock="1"/>
      </w:r>
      <w:r w:rsidR="00E63CC6">
        <w:instrText>ADDIN CSL_CITATION { "citationItems" : [ { "id" : "ITEM-1", "itemData" : { "DOI" : "10.1111/0004-5608.00112", "abstract" : "We examine the relationship between the temporal and spatial aspects of democratic diffusion in the world system since 1946. We find strong and consistent evidence of temporal clustering of democratic and autocratic trends, as well as strong spatial association (or autocorrelation) of democratization. The analysis uses an exploratory data approach in a longitudinal framework to understand global and regional trends in changes in authority structures. Our work reveals discrete changes in regimes that run counter to the dominant aggregate trends of democratic waves or sequences, demonstrating how the ebb and flow of democracy varies among the world's regions. We conclude that further analysis of the process of regime change from autocracy to democracy, as well as reversals, should start from a \u0093domain-specific\u0094 position that dis-aggregates the globe into its regional mosaics.", "author" : [ { "dropping-particle" : "", "family" : "O'Loughlin", "given" : "John", "non-dropping-particle" : "", "parse-names" : false, "suffix" : "" }, { "dropping-particle" : "", "family" : "Ward", "given" : "Michael D", "non-dropping-particle" : "", "parse-names" : false, "suffix" : "" }, { "dropping-particle" : "", "family" : "Lofdahl", "given" : "Corey L", "non-dropping-particle" : "", "parse-names" : false, "suffix" : "" }, { "dropping-particle" : "", "family" : "Cohen", "given" : "Jordin S", "non-dropping-particle" : "", "parse-names" : false, "suffix" : "" }, { "dropping-particle" : "", "family" : "Brown", "given" : "David S", "non-dropping-particle" : "", "parse-names" : false, "suffix" : "" }, { "dropping-particle" : "", "family" : "Reilly", "given" : "David", "non-dropping-particle" : "", "parse-names" : false, "suffix" : "" }, { "dropping-particle" : "", "family" : "Gleditsch", "given" : "Kristian S", "non-dropping-particle" : "", "parse-names" : false, "suffix" : "" }, { "dropping-particle" : "", "family" : "Shin", "given" : "Michael", "non-dropping-particle" : "", "parse-names" : false, "suffix" : "" } ], "container-title" : "Annals of the Association of American Geographers", "id" : "ITEM-1", "issue" : "4", "issued" : { "date-parts" : [ [ "1998" ] ] }, "note" : "(private-note)Kep point of paper is that democracy and it's spread has geographic elements to it, ie. external contagion effects from both neighbors experiencing similar transistions/reversals, to the role of policy promotion from outside forces, such as the US or Japan. Useful section on the growth and spread of democracy which outlines key theories and trends in studies of democracy see notes", "page" : "545-574", "publisher" : "Routledge", "title" : "The Diffusion of Democracy, 1946-\u00961994", "type" : "article-journal", "volume" : "88" }, "uris" : [ "http://www.mendeley.com/documents/?uuid=cd152e7e-4bf2-4236-8ab2-988d4064bd27" ] } ], "mendeley" : { "formattedCitation" : "(John O\u2019Loughlin &lt;i&gt;et al.&lt;/i&gt;, 1998)", "plainTextFormattedCitation" : "(John O\u2019Loughlin et al., 1998)", "previouslyFormattedCitation" : "(John O\u2019Loughlin &lt;i&gt;et al.&lt;/i&gt;, 1998)" }, "properties" : { "noteIndex" : 0 }, "schema" : "https://github.com/citation-style-language/schema/raw/master/csl-citation.json" }</w:instrText>
      </w:r>
      <w:r>
        <w:fldChar w:fldCharType="separate"/>
      </w:r>
      <w:r w:rsidR="00E63CC6" w:rsidRPr="00E63CC6">
        <w:rPr>
          <w:noProof/>
        </w:rPr>
        <w:t xml:space="preserve">(John O’Loughlin </w:t>
      </w:r>
      <w:r w:rsidR="00E63CC6" w:rsidRPr="00E63CC6">
        <w:rPr>
          <w:i/>
          <w:noProof/>
        </w:rPr>
        <w:t>et al.</w:t>
      </w:r>
      <w:r w:rsidR="00E63CC6" w:rsidRPr="00E63CC6">
        <w:rPr>
          <w:noProof/>
        </w:rPr>
        <w:t>, 1998)</w:t>
      </w:r>
      <w:r>
        <w:fldChar w:fldCharType="end"/>
      </w:r>
      <w:r w:rsidRPr="00DB2734">
        <w:rPr>
          <w:iCs/>
        </w:rPr>
        <w:t xml:space="preserve">. And </w:t>
      </w:r>
      <w:r w:rsidRPr="00DB2734">
        <w:t>within political science, hardly any other subject in the last quarter of the twentieth century influenced the research agenda more than the transformation of authoritarian and totalitarian political regimes into pluralist democracies</w:t>
      </w:r>
      <w:r>
        <w:t xml:space="preserve"> </w:t>
      </w:r>
      <w:r>
        <w:fldChar w:fldCharType="begin" w:fldLock="1"/>
      </w:r>
      <w:r w:rsidR="00E63CC6">
        <w:instrText>ADDIN CSL_CITATION { "citationItems" : [ { "id" : "ITEM-1", "itemData" : { "DOI" : "10.1080/13510340412331304570", "ISSN" : "1351-0347", "author" : [ { "dropping-particle" : "", "family" : "Croissant", "given" : "Aurel", "non-dropping-particle" : "", "parse-names" : false, "suffix" : "" }, { "dropping-particle" : "", "family" : "Merkel", "given" : "Wolfgang", "non-dropping-particle" : "", "parse-names" : false, "suffix" : "" } ], "container-title" : "Democratization", "id" : "ITEM-1", "issue" : "5", "issued" : { "date-parts" : [ [ "2004", "12" ] ] }, "page" : "1-9", "title" : "Introduction: democratization in the early twenty-first century", "type" : "article-journal", "volume" : "11" }, "uris" : [ "http://www.mendeley.com/documents/?uuid=77f1a16c-13b4-4531-81dc-e85a30d0798e" ] } ], "mendeley" : { "formattedCitation" : "(Croissant and Merkel, 2004)", "plainTextFormattedCitation" : "(Croissant and Merkel, 2004)", "previouslyFormattedCitation" : "(Croissant and Merkel, 2004)" }, "properties" : { "noteIndex" : 0 }, "schema" : "https://github.com/citation-style-language/schema/raw/master/csl-citation.json" }</w:instrText>
      </w:r>
      <w:r>
        <w:fldChar w:fldCharType="separate"/>
      </w:r>
      <w:r w:rsidR="00E63CC6" w:rsidRPr="00E63CC6">
        <w:rPr>
          <w:noProof/>
        </w:rPr>
        <w:t>(Croissant and Merkel, 2004)</w:t>
      </w:r>
      <w:r>
        <w:fldChar w:fldCharType="end"/>
      </w:r>
      <w:r w:rsidRPr="00DB2734">
        <w:t xml:space="preserve">. </w:t>
      </w:r>
    </w:p>
    <w:p w14:paraId="4504EC6D" w14:textId="1EA99789" w:rsidR="00CF455B" w:rsidRPr="00DB2734" w:rsidRDefault="00CF455B" w:rsidP="00EE48E8">
      <w:r w:rsidRPr="00DB2734">
        <w:t>With such a focus on</w:t>
      </w:r>
      <w:r w:rsidR="00CB599A">
        <w:t xml:space="preserve"> the</w:t>
      </w:r>
      <w:r w:rsidRPr="00DB2734">
        <w:t xml:space="preserve"> promotion of, and transition to, democracy, there is an implicit belief that citizens around the world </w:t>
      </w:r>
      <w:r w:rsidRPr="00B567C9">
        <w:rPr>
          <w:i/>
        </w:rPr>
        <w:t>want</w:t>
      </w:r>
      <w:r w:rsidRPr="00DB2734">
        <w:t xml:space="preserve"> democracy. </w:t>
      </w:r>
      <w:r>
        <w:fldChar w:fldCharType="begin" w:fldLock="1"/>
      </w:r>
      <w:r w:rsidR="00E63CC6">
        <w:instrText>ADDIN CSL_CITATION { "citationItems" : [ { "id" : "ITEM-1", "itemData" : { "DOI" : "10.1177/0192512110382029", "abstract" : "For decades, scholars of political culture have held that mass political attitudes have a profound impact on the process of democratization. In studying this impact, an increasing number of political scientists have recently theorized that the level of democratization a political system reaches depends on the extent to which its political institutions meet citizen demand for democracy. In testing such theoretical models of democratic demand and supply, however, many political scientists have mistakenly equated democratic demand with citizen preference for democracy over its alternatives. In this study, we first argue that popular demand for democracy is not the same thing as democratic regime preference or support. Instead, demand for democracy arises from dissatisfaction with democracy-in-practice. By analyzing the fourth wave of the World Values Survey, we then demonstrate that the critical orientations of democrats promote democratic development more powerfully than do the two attitudes \u2014 democratic regime support and self-expression values \u2014 that prior public opinion research has identified as the forces driving democratization.", "author" : [ { "dropping-particle" : "", "family" : "Qi", "given" : "Lingling", "non-dropping-particle" : "", "parse-names" : false, "suffix" : "" }, { "dropping-particle" : "", "family" : "Shin", "given" : "Doh C", "non-dropping-particle" : "", "parse-names" : false, "suffix" : "" } ], "container-title" : "International Political Science Review", "id" : "ITEM-1", "issue" : "3", "issued" : { "date-parts" : [ [ "2011", "6" ] ] }, "page" : "245-262", "title" : "How mass political attitudes affect democratization: Exploring the facilitating role critical democrats play in the process", "type" : "article-journal", "volume" : "32" }, "locator" : "247", "uris" : [ "http://www.mendeley.com/documents/?uuid=93736030-e9f1-408a-913d-b3d90749610b" ] } ], "mendeley" : { "formattedCitation" : "(Qi and Shin, 2011, p. 247)", "manualFormatting" : "Qi and Shin (2011, p.247)", "plainTextFormattedCitation" : "(Qi and Shin, 2011, p. 247)", "previouslyFormattedCitation" : "(Qi and Shin, 2011, p. 247)" }, "properties" : { "noteIndex" : 0 }, "schema" : "https://github.com/citation-style-language/schema/raw/master/csl-citation.json" }</w:instrText>
      </w:r>
      <w:r>
        <w:fldChar w:fldCharType="separate"/>
      </w:r>
      <w:r>
        <w:rPr>
          <w:noProof/>
        </w:rPr>
        <w:t>Qi and</w:t>
      </w:r>
      <w:r w:rsidRPr="00094672">
        <w:rPr>
          <w:noProof/>
        </w:rPr>
        <w:t xml:space="preserve"> Shin </w:t>
      </w:r>
      <w:r>
        <w:rPr>
          <w:noProof/>
        </w:rPr>
        <w:t>(</w:t>
      </w:r>
      <w:r w:rsidRPr="00094672">
        <w:rPr>
          <w:noProof/>
        </w:rPr>
        <w:t>2011, p.247)</w:t>
      </w:r>
      <w:r>
        <w:fldChar w:fldCharType="end"/>
      </w:r>
      <w:r w:rsidRPr="00DB2734">
        <w:t xml:space="preserve"> note</w:t>
      </w:r>
      <w:r w:rsidR="00B567C9">
        <w:t>d</w:t>
      </w:r>
      <w:r w:rsidRPr="00DB2734">
        <w:t xml:space="preserve"> that this demand-driven model of democratization has led to a standard practice where citizen demand is measure</w:t>
      </w:r>
      <w:r w:rsidR="00CB599A">
        <w:t>d</w:t>
      </w:r>
      <w:r w:rsidRPr="00DB2734">
        <w:t xml:space="preserve"> solely in terms of mass support for democracy as a regime. Measurement has focused on democracy ‘in principle’ – and the results</w:t>
      </w:r>
      <w:r w:rsidR="00CB599A">
        <w:t>, as outlined above,</w:t>
      </w:r>
      <w:r w:rsidRPr="00DB2734">
        <w:t xml:space="preserve"> are clear</w:t>
      </w:r>
      <w:r w:rsidR="00CB599A">
        <w:t>: across many different types of political regime, across continents, from rich states to poor ones, substantial majorities routinely claim to support democracy</w:t>
      </w:r>
      <w:r w:rsidRPr="00DB2734">
        <w:t>.</w:t>
      </w:r>
    </w:p>
    <w:p w14:paraId="68EEDC60" w14:textId="0ADC407F" w:rsidR="00CF455B" w:rsidRPr="00DB2734" w:rsidRDefault="00CF455B" w:rsidP="00EE48E8">
      <w:r w:rsidRPr="00DB2734">
        <w:rPr>
          <w:iCs/>
        </w:rPr>
        <w:t>However,</w:t>
      </w:r>
      <w:r w:rsidR="00594FBF">
        <w:rPr>
          <w:iCs/>
        </w:rPr>
        <w:t xml:space="preserve"> what </w:t>
      </w:r>
      <w:r w:rsidR="00656968">
        <w:rPr>
          <w:iCs/>
        </w:rPr>
        <w:t>is it that they are actually claiming to support</w:t>
      </w:r>
      <w:r w:rsidR="00594FBF">
        <w:rPr>
          <w:iCs/>
        </w:rPr>
        <w:t>? Here, things become unclear. Indeed,</w:t>
      </w:r>
      <w:r w:rsidRPr="00DB2734">
        <w:rPr>
          <w:iCs/>
        </w:rPr>
        <w:t xml:space="preserve"> </w:t>
      </w:r>
      <w:r w:rsidRPr="00DB2734">
        <w:t xml:space="preserve">the term ‘democracy’ was described almost 60 years ago as the contested political concept </w:t>
      </w:r>
      <w:r w:rsidRPr="00DB2734">
        <w:rPr>
          <w:i/>
          <w:iCs/>
        </w:rPr>
        <w:t>par excellence</w:t>
      </w:r>
      <w:r w:rsidR="001A03F4">
        <w:rPr>
          <w:i/>
          <w:iCs/>
        </w:rPr>
        <w:t xml:space="preserve"> </w:t>
      </w:r>
      <w:r w:rsidR="001A03F4">
        <w:rPr>
          <w:i/>
          <w:iCs/>
        </w:rPr>
        <w:fldChar w:fldCharType="begin" w:fldLock="1"/>
      </w:r>
      <w:r w:rsidR="00E63CC6">
        <w:rPr>
          <w:i/>
          <w:iCs/>
        </w:rPr>
        <w:instrText>ADDIN CSL_CITATION { "citationItems" : [ { "id" : "ITEM-1", "itemData" : { "author" : [ { "dropping-particle" : "", "family" : "Gallie", "given" : "W. B.", "non-dropping-particle" : "", "parse-names" : false, "suffix" : "" } ], "container-title" : "Proceedings of the Aristotelian Society", "id" : "ITEM-1", "issued" : { "date-parts" : [ [ "1956" ] ] }, "page" : "167-198", "title" : "Essentially Contested Concepts", "type" : "article-journal", "volume" : "56" }, "locator" : "184", "uris" : [ "http://www.mendeley.com/documents/?uuid=beb2578f-e4f9-401b-9f32-de6f693473ad" ] } ], "mendeley" : { "formattedCitation" : "(Gallie, 1956, p. 184)", "manualFormatting" : "(Gallie 1956, p.184)", "plainTextFormattedCitation" : "(Gallie, 1956, p. 184)", "previouslyFormattedCitation" : "(Gallie, 1956, p. 184)" }, "properties" : { "noteIndex" : 0 }, "schema" : "https://github.com/citation-style-language/schema/raw/master/csl-citation.json" }</w:instrText>
      </w:r>
      <w:r w:rsidR="001A03F4">
        <w:rPr>
          <w:i/>
          <w:iCs/>
        </w:rPr>
        <w:fldChar w:fldCharType="separate"/>
      </w:r>
      <w:r w:rsidR="001A03F4">
        <w:rPr>
          <w:iCs/>
          <w:noProof/>
        </w:rPr>
        <w:t>(Gallie 1956</w:t>
      </w:r>
      <w:r w:rsidR="001A03F4" w:rsidRPr="001A03F4">
        <w:rPr>
          <w:iCs/>
          <w:noProof/>
        </w:rPr>
        <w:t>, p.184)</w:t>
      </w:r>
      <w:r w:rsidR="001A03F4">
        <w:rPr>
          <w:i/>
          <w:iCs/>
        </w:rPr>
        <w:fldChar w:fldCharType="end"/>
      </w:r>
      <w:r w:rsidRPr="00DB2734">
        <w:t xml:space="preserve">. It is one of the most complicated concepts in political science, and there exists no </w:t>
      </w:r>
      <w:r w:rsidR="00594FBF">
        <w:t xml:space="preserve">academic </w:t>
      </w:r>
      <w:r w:rsidRPr="00DB2734">
        <w:t xml:space="preserve">consensus on </w:t>
      </w:r>
      <w:r w:rsidRPr="00DB2734">
        <w:lastRenderedPageBreak/>
        <w:t>exactly what democracy is. More recently, this has led analysts to begin voicing scepticism as to the reliability and utility of survey questions measuring support</w:t>
      </w:r>
      <w:r>
        <w:t xml:space="preserve"> for and satisfaction with</w:t>
      </w:r>
      <w:r w:rsidRPr="00DB2734">
        <w:t xml:space="preserve"> democracy</w:t>
      </w:r>
      <w:r>
        <w:t xml:space="preserve"> </w:t>
      </w:r>
      <w:r>
        <w:fldChar w:fldCharType="begin" w:fldLock="1"/>
      </w:r>
      <w:r w:rsidR="00E63CC6">
        <w:instrText>ADDIN CSL_CITATION { "citationItems" : [ { "id" : "ITEM-1", "itemData" : { "author" : [ { "dropping-particle" : "", "family" : "Linde", "given" : "Jonas", "non-dropping-particle" : "", "parse-names" : false, "suffix" : "" }, { "dropping-particle" : "", "family" : "Ekman", "given" : "Joakim", "non-dropping-particle" : "", "parse-names" : false, "suffix" : "" } ], "container-title" : "European Journal of Political Research", "id" : "ITEM-1", "issue" : "3", "issued" : { "date-parts" : [ [ "2003" ] ] }, "page" : "391-408", "title" : "Satisfaction with democracy : A note on a frequently used indicator in comparative politics", "type" : "article-journal", "volume" : "42" }, "uris" : [ "http://www.mendeley.com/documents/?uuid=bdda4801-9cd2-49f6-aeab-cf51791e5c8a" ] } ], "mendeley" : { "formattedCitation" : "(Linde and Ekman, 2003)", "manualFormatting" : "(Linde &amp; Ekman 2003; Przeworksi 2003)", "plainTextFormattedCitation" : "(Linde and Ekman, 2003)", "previouslyFormattedCitation" : "(Linde and Ekman, 2003)" }, "properties" : { "noteIndex" : 0 }, "schema" : "https://github.com/citation-style-language/schema/raw/master/csl-citation.json" }</w:instrText>
      </w:r>
      <w:r>
        <w:fldChar w:fldCharType="separate"/>
      </w:r>
      <w:r w:rsidRPr="009F1880">
        <w:rPr>
          <w:noProof/>
        </w:rPr>
        <w:t>(Linde &amp; Ekman 2003</w:t>
      </w:r>
      <w:r>
        <w:rPr>
          <w:noProof/>
        </w:rPr>
        <w:t>; Przeworksi 2003</w:t>
      </w:r>
      <w:r w:rsidRPr="009F1880">
        <w:rPr>
          <w:noProof/>
        </w:rPr>
        <w:t>)</w:t>
      </w:r>
      <w:r>
        <w:fldChar w:fldCharType="end"/>
      </w:r>
      <w:r w:rsidRPr="00DB2734">
        <w:t xml:space="preserve">. </w:t>
      </w:r>
    </w:p>
    <w:p w14:paraId="2E89335B" w14:textId="6BC364F3" w:rsidR="00CF455B" w:rsidRPr="00DB2734" w:rsidRDefault="00CF455B" w:rsidP="00EE48E8">
      <w:r w:rsidRPr="00DB2734">
        <w:t>The quibble lies not with the results</w:t>
      </w:r>
      <w:r>
        <w:t xml:space="preserve"> on </w:t>
      </w:r>
      <w:r w:rsidR="001D7E45">
        <w:t xml:space="preserve">the </w:t>
      </w:r>
      <w:r>
        <w:t>superficial level</w:t>
      </w:r>
      <w:r w:rsidR="001D7E45">
        <w:t xml:space="preserve"> of the (banal) observation</w:t>
      </w:r>
      <w:r w:rsidR="001D7E45" w:rsidRPr="00DB2734">
        <w:t xml:space="preserve"> </w:t>
      </w:r>
      <w:r w:rsidRPr="00DB2734">
        <w:t>that people everywhere think democracy is important</w:t>
      </w:r>
      <w:r w:rsidR="001D7E45">
        <w:t>. There is little real disagreement here</w:t>
      </w:r>
      <w:r w:rsidRPr="00DB2734">
        <w:t xml:space="preserve">. The </w:t>
      </w:r>
      <w:r w:rsidR="001D7E45">
        <w:t>disagreement</w:t>
      </w:r>
      <w:r w:rsidR="001D7E45" w:rsidRPr="00DB2734">
        <w:t xml:space="preserve"> </w:t>
      </w:r>
      <w:r w:rsidRPr="00DB2734">
        <w:t xml:space="preserve">lies in the substantive element of what </w:t>
      </w:r>
      <w:r w:rsidR="001D7E45">
        <w:t>democracy</w:t>
      </w:r>
      <w:r w:rsidR="001D7E45" w:rsidRPr="00DB2734">
        <w:t xml:space="preserve"> </w:t>
      </w:r>
      <w:r w:rsidRPr="00656968">
        <w:rPr>
          <w:i/>
        </w:rPr>
        <w:t>actually</w:t>
      </w:r>
      <w:r w:rsidRPr="00DB2734">
        <w:t xml:space="preserve"> </w:t>
      </w:r>
      <w:r w:rsidRPr="00B567C9">
        <w:rPr>
          <w:i/>
        </w:rPr>
        <w:t>means</w:t>
      </w:r>
      <w:r w:rsidR="00656968">
        <w:t xml:space="preserve"> in this instance, and what this</w:t>
      </w:r>
      <w:r w:rsidRPr="00DB2734">
        <w:t xml:space="preserve"> can tell us. </w:t>
      </w:r>
    </w:p>
    <w:p w14:paraId="6083F3C9" w14:textId="4D1DF3F2" w:rsidR="00CF455B" w:rsidRPr="00DB2734" w:rsidRDefault="00CF455B" w:rsidP="00EE48E8">
      <w:r>
        <w:t xml:space="preserve">Using straight-forward cross-tabulation analysis, </w:t>
      </w:r>
      <w:r>
        <w:fldChar w:fldCharType="begin" w:fldLock="1"/>
      </w:r>
      <w:r w:rsidR="00E63CC6">
        <w:instrText>ADDIN CSL_CITATION { "citationItems" : [ { "id" : "ITEM-1", "itemData" : { "author" : [ { "dropping-particle" : "", "family" : "Linde", "given" : "Jonas", "non-dropping-particle" : "", "parse-names" : false, "suffix" : "" }, { "dropping-particle" : "", "family" : "Ekman", "given" : "Joakim", "non-dropping-particle" : "", "parse-names" : false, "suffix" : "" } ], "container-title" : "European Journal of Political Research", "id" : "ITEM-1", "issue" : "3", "issued" : { "date-parts" : [ [ "2003" ] ] }, "page" : "391-408", "title" : "Satisfaction with democracy : A note on a frequently used indicator in comparative politics", "type" : "article-journal", "volume" : "42" }, "uris" : [ "http://www.mendeley.com/documents/?uuid=bdda4801-9cd2-49f6-aeab-cf51791e5c8a" ] } ], "mendeley" : { "formattedCitation" : "(Linde and Ekman, 2003)", "manualFormatting" : "Linde &amp; Ekman (2003, p.391)", "plainTextFormattedCitation" : "(Linde and Ekman, 2003)", "previouslyFormattedCitation" : "(Linde and Ekman, 2003)" }, "properties" : { "noteIndex" : 0 }, "schema" : "https://github.com/citation-style-language/schema/raw/master/csl-citation.json" }</w:instrText>
      </w:r>
      <w:r>
        <w:fldChar w:fldCharType="separate"/>
      </w:r>
      <w:r w:rsidRPr="009F1880">
        <w:rPr>
          <w:noProof/>
        </w:rPr>
        <w:t xml:space="preserve">Linde &amp; Ekman </w:t>
      </w:r>
      <w:r>
        <w:rPr>
          <w:noProof/>
        </w:rPr>
        <w:t>(</w:t>
      </w:r>
      <w:r w:rsidRPr="009F1880">
        <w:rPr>
          <w:noProof/>
        </w:rPr>
        <w:t>2003, p.391)</w:t>
      </w:r>
      <w:r>
        <w:fldChar w:fldCharType="end"/>
      </w:r>
      <w:r>
        <w:t xml:space="preserve"> effectively demonstrate</w:t>
      </w:r>
      <w:r w:rsidR="00B567C9">
        <w:t>d</w:t>
      </w:r>
      <w:r>
        <w:t xml:space="preserve"> the shortfalls</w:t>
      </w:r>
      <w:r w:rsidR="0082732F">
        <w:t xml:space="preserve"> of</w:t>
      </w:r>
      <w:r>
        <w:t xml:space="preserve"> attitudinal measurement</w:t>
      </w:r>
      <w:r w:rsidR="0082732F">
        <w:t xml:space="preserve">s </w:t>
      </w:r>
      <w:r w:rsidR="00235984">
        <w:t>towards</w:t>
      </w:r>
      <w:r w:rsidR="0082732F">
        <w:t xml:space="preserve"> democracy which</w:t>
      </w:r>
      <w:r>
        <w:t xml:space="preserve"> focus on ‘sa</w:t>
      </w:r>
      <w:r w:rsidR="00B567C9">
        <w:t>tisfaction with democracy’. Their</w:t>
      </w:r>
      <w:r>
        <w:t xml:space="preserve"> </w:t>
      </w:r>
      <w:r w:rsidR="00B567C9">
        <w:t>argument is</w:t>
      </w:r>
      <w:r>
        <w:t xml:space="preserve"> that satisfaction with the </w:t>
      </w:r>
      <w:r w:rsidR="00B567C9">
        <w:t>term</w:t>
      </w:r>
      <w:r>
        <w:t xml:space="preserve"> democracy </w:t>
      </w:r>
      <w:r w:rsidR="00B567C9">
        <w:t xml:space="preserve">on a superficial </w:t>
      </w:r>
      <w:r>
        <w:t>does not give us any insight into any support f</w:t>
      </w:r>
      <w:r w:rsidR="00B567C9">
        <w:t>or its deeper principles of democracy</w:t>
      </w:r>
      <w:r>
        <w:t xml:space="preserve">. </w:t>
      </w:r>
      <w:r w:rsidRPr="00DB2734">
        <w:t>Przeworski</w:t>
      </w:r>
      <w:r>
        <w:t xml:space="preserve"> (2003, p.</w:t>
      </w:r>
      <w:r w:rsidRPr="00DB2734">
        <w:t>119) pro</w:t>
      </w:r>
      <w:r w:rsidR="00B567C9">
        <w:t>bably put it best when he argued</w:t>
      </w:r>
      <w:r w:rsidRPr="00DB2734">
        <w:t xml:space="preserve"> that untold, “pages of academic journals are filled with percentages of Americans, Spaniards, Poles or Kazaks saying that they like or do not like democracy…and there is not a shred of evidence that these answers have anything to do with the actual survival of democracy.” </w:t>
      </w:r>
      <w:r>
        <w:t>Coming f</w:t>
      </w:r>
      <w:r w:rsidRPr="00DB2734">
        <w:t xml:space="preserve">rom a </w:t>
      </w:r>
      <w:r>
        <w:t xml:space="preserve">slightly </w:t>
      </w:r>
      <w:r w:rsidRPr="00DB2734">
        <w:t xml:space="preserve">different angle, </w:t>
      </w:r>
      <w:r>
        <w:fldChar w:fldCharType="begin" w:fldLock="1"/>
      </w:r>
      <w:r w:rsidR="00E63CC6">
        <w:instrText>ADDIN CSL_CITATION { "citationItems" : [ { "id" : "ITEM-1", "itemData" : { "DOI" : "10.1017/S1049096503001689", "ISBN" : "10490965", "ISSN" : "1049-0965", "author" : [ { "dropping-particle" : "", "family" : "Inglehart", "given" : "Ronald", "non-dropping-particle" : "", "parse-names" : false, "suffix" : "" } ], "container-title" : "PS: Political Science &amp; Politics", "id" : "ITEM-1", "issue" : "01", "issued" : { "date-parts" : [ [ "2003" ] ] }, "page" : "51-58", "title" : "How Solid is Mass Support for Democracy\u2014And How Can We Measure It?", "type" : "article-journal", "volume" : "36" }, "locator" : "51", "uris" : [ "http://www.mendeley.com/documents/?uuid=a32483b3-698d-4edf-b60f-97dd0e9b8bbb" ] } ], "mendeley" : { "formattedCitation" : "(Inglehart, 2003, p. 51)", "manualFormatting" : "Inglehart (2003, p.51)", "plainTextFormattedCitation" : "(Inglehart, 2003, p. 51)", "previouslyFormattedCitation" : "(Inglehart, 2003, p. 51)" }, "properties" : { "noteIndex" : 0 }, "schema" : "https://github.com/citation-style-language/schema/raw/master/csl-citation.json" }</w:instrText>
      </w:r>
      <w:r>
        <w:fldChar w:fldCharType="separate"/>
      </w:r>
      <w:r w:rsidRPr="007C4098">
        <w:rPr>
          <w:noProof/>
        </w:rPr>
        <w:t xml:space="preserve">Inglehart </w:t>
      </w:r>
      <w:r>
        <w:rPr>
          <w:noProof/>
        </w:rPr>
        <w:t>(</w:t>
      </w:r>
      <w:r w:rsidRPr="007C4098">
        <w:rPr>
          <w:noProof/>
        </w:rPr>
        <w:t>2003, p.51)</w:t>
      </w:r>
      <w:r>
        <w:fldChar w:fldCharType="end"/>
      </w:r>
      <w:r w:rsidR="00B567C9">
        <w:t xml:space="preserve"> has made</w:t>
      </w:r>
      <w:r w:rsidRPr="00DB2734">
        <w:t xml:space="preserve"> a similar point: “Although overt lip service to democracy is almost universal today, it is </w:t>
      </w:r>
      <w:r w:rsidRPr="00DB2734">
        <w:rPr>
          <w:iCs/>
        </w:rPr>
        <w:t>not</w:t>
      </w:r>
      <w:r w:rsidRPr="00DB2734">
        <w:t xml:space="preserve"> necessarily an accurate indicator of how deeply democracy has taken root in a given country.”</w:t>
      </w:r>
    </w:p>
    <w:p w14:paraId="412C5C08" w14:textId="77777777" w:rsidR="00CF455B" w:rsidRPr="00DB2734" w:rsidRDefault="00CF455B" w:rsidP="00EE48E8">
      <w:r w:rsidRPr="00DB2734">
        <w:t>It could be that ‘democracy’ means X but definitely not Y to person one, and for person two it means Y but definitely not X, yet they both agree that ‘democracy’ is the best thing for their country. If this is the case, what are we learning by just looking at whether they support the term or not?</w:t>
      </w:r>
    </w:p>
    <w:p w14:paraId="5DD37BF7" w14:textId="754E5A19" w:rsidR="00CF455B" w:rsidRPr="00577217" w:rsidRDefault="00CF455B" w:rsidP="00577217">
      <w:pPr>
        <w:pStyle w:val="Heading2"/>
      </w:pPr>
      <w:bookmarkStart w:id="14" w:name="_Toc441069011"/>
      <w:bookmarkStart w:id="15" w:name="_Toc441069156"/>
      <w:bookmarkStart w:id="16" w:name="_Toc494034203"/>
      <w:r w:rsidRPr="00577217">
        <w:t xml:space="preserve">1.3 </w:t>
      </w:r>
      <w:r w:rsidR="005E23FD">
        <w:t>Examining</w:t>
      </w:r>
      <w:r w:rsidR="00327DE0">
        <w:t xml:space="preserve"> citizens’ understandings of democracy</w:t>
      </w:r>
      <w:bookmarkEnd w:id="14"/>
      <w:bookmarkEnd w:id="15"/>
      <w:bookmarkEnd w:id="16"/>
    </w:p>
    <w:p w14:paraId="1547A380" w14:textId="36DA6719" w:rsidR="00CF455B" w:rsidRPr="00DB2734" w:rsidRDefault="00CF455B" w:rsidP="00EE48E8">
      <w:pPr>
        <w:rPr>
          <w:rFonts w:cstheme="majorBidi"/>
          <w:bCs/>
        </w:rPr>
      </w:pPr>
      <w:r w:rsidRPr="00DB2734">
        <w:t xml:space="preserve">The examination of citizen understandings of democracy is of course not without precedent (see </w:t>
      </w:r>
      <w:r>
        <w:fldChar w:fldCharType="begin" w:fldLock="1"/>
      </w:r>
      <w:r w:rsidR="00E63CC6">
        <w:instrText>ADDIN CSL_CITATION { "citationItems" : [ { "id" : "ITEM-1", "itemData" : { "author" : [ { "dropping-particle" : "", "family" : "Prothro", "given" : "James W", "non-dropping-particle" : "", "parse-names" : false, "suffix" : "" }, { "dropping-particle" : "", "family" : "Grigg", "given" : "Charles M", "non-dropping-particle" : "", "parse-names" : false, "suffix" : "" } ], "container-title" : "The Journal of Politics", "id" : "ITEM-1", "issue" : "2", "issued" : { "date-parts" : [ [ "1960" ] ] }, "page" : "276-294", "title" : "Fundamental Principles of Democracy : Bases of Agreement and Disagreement", "type" : "article-journal", "volume" : "22" }, "uris" : [ "http://www.mendeley.com/documents/?uuid=40ae2de8-cad3-409b-9b08-aba9178eebaa" ] } ], "mendeley" : { "formattedCitation" : "(Prothro and Grigg, 1960)", "manualFormatting" : "Prothro &amp; Grigg 1960)", "plainTextFormattedCitation" : "(Prothro and Grigg, 1960)", "previouslyFormattedCitation" : "(Prothro and Grigg, 1960)" }, "properties" : { "noteIndex" : 0 }, "schema" : "https://github.com/citation-style-language/schema/raw/master/csl-citation.json" }</w:instrText>
      </w:r>
      <w:r>
        <w:fldChar w:fldCharType="separate"/>
      </w:r>
      <w:r w:rsidRPr="007C4098">
        <w:rPr>
          <w:noProof/>
        </w:rPr>
        <w:t>Prothro &amp; Grigg 1960)</w:t>
      </w:r>
      <w:r>
        <w:fldChar w:fldCharType="end"/>
      </w:r>
      <w:r w:rsidR="0009240D">
        <w:t>.</w:t>
      </w:r>
      <w:r>
        <w:t xml:space="preserve"> </w:t>
      </w:r>
      <w:r w:rsidR="0009240D">
        <w:t>H</w:t>
      </w:r>
      <w:r w:rsidRPr="00DB2734">
        <w:t>owever</w:t>
      </w:r>
      <w:r w:rsidR="0009240D">
        <w:t>,</w:t>
      </w:r>
      <w:r w:rsidRPr="00DB2734">
        <w:t xml:space="preserve"> it is only in </w:t>
      </w:r>
      <w:r w:rsidR="005E23FD">
        <w:t xml:space="preserve">more </w:t>
      </w:r>
      <w:r w:rsidRPr="00DB2734">
        <w:t xml:space="preserve">recent years that surveys with large sample sizes have allowed robust cross-national comparison and included results from newer </w:t>
      </w:r>
      <w:r>
        <w:t>or even non-democracies</w:t>
      </w:r>
      <w:r w:rsidR="001C4297">
        <w:t xml:space="preserve"> </w:t>
      </w:r>
      <w:r w:rsidR="001C4297">
        <w:fldChar w:fldCharType="begin" w:fldLock="1"/>
      </w:r>
      <w:r w:rsidR="00E63CC6">
        <w:instrText>ADDIN CSL_CITATION { "citationItems" : [ { "id" : "ITEM-1", "itemData" : { "author" : [ { "dropping-particle" : "", "family" : "Norris", "given" : "P", "non-dropping-particle" : "", "parse-names" : false, "suffix" : "" } ], "container-title" : "Critical Citizens - Global Support for Democratic Governance", "editor" : [ { "dropping-particle" : "", "family" : "Norris", "given" : "P", "non-dropping-particle" : "", "parse-names" : false, "suffix" : "" } ], "id" : "ITEM-1", "issued" : { "date-parts" : [ [ "1999" ] ] }, "page" : "1-30", "publisher" : "Oxford University Press", "publisher-place" : "Oxford", "title" : "Introduction: The growth of critical citizens?", "type" : "chapter" }, "locator" : "13", "uris" : [ "http://www.mendeley.com/documents/?uuid=dfb502f5-7866-4e17-bb41-94987036ce24" ] } ], "mendeley" : { "formattedCitation" : "(Norris, 1999, p. 13)", "plainTextFormattedCitation" : "(Norris, 1999, p. 13)", "previouslyFormattedCitation" : "(Norris, 1999, p. 13)" }, "properties" : { "noteIndex" : 0 }, "schema" : "https://github.com/citation-style-language/schema/raw/master/csl-citation.json" }</w:instrText>
      </w:r>
      <w:r w:rsidR="001C4297">
        <w:fldChar w:fldCharType="separate"/>
      </w:r>
      <w:r w:rsidR="00E63CC6" w:rsidRPr="00E63CC6">
        <w:rPr>
          <w:noProof/>
        </w:rPr>
        <w:t>(Norris, 1999, p. 13)</w:t>
      </w:r>
      <w:r w:rsidR="001C4297">
        <w:fldChar w:fldCharType="end"/>
      </w:r>
      <w:r w:rsidRPr="00DB2734">
        <w:t>.</w:t>
      </w:r>
    </w:p>
    <w:p w14:paraId="436A3FA7" w14:textId="57A19F47" w:rsidR="00BB6629" w:rsidRDefault="00CF455B" w:rsidP="00EE48E8">
      <w:r w:rsidRPr="00DB2734">
        <w:t xml:space="preserve">Cross-national studies include those by Dalton </w:t>
      </w:r>
      <w:r w:rsidR="00803848">
        <w:t>et al</w:t>
      </w:r>
      <w:r>
        <w:t>.</w:t>
      </w:r>
      <w:r w:rsidRPr="00DB2734">
        <w:t xml:space="preserve"> </w:t>
      </w:r>
      <w:r w:rsidR="001C4297">
        <w:fldChar w:fldCharType="begin" w:fldLock="1"/>
      </w:r>
      <w:r w:rsidR="00E63CC6">
        <w:instrText>ADDIN CSL_CITATION { "citationItems" : [ { "id" : "ITEM-1", "itemData" : { "author" : [ { "dropping-particle" : "", "family" : "Dalton", "given" : "R", "non-dropping-particle" : "", "parse-names" : false, "suffix" : "" }, { "dropping-particle" : "", "family" : "Shin", "given" : "D C", "non-dropping-particle" : "", "parse-names" : false, "suffix" : "" }, { "dropping-particle" : "", "family" : "Jou", "given" : "W", "non-dropping-particle" : "", "parse-names" : false, "suffix" : "" } ], "container-title" : "How People View Democracy", "editor" : [ { "dropping-particle" : "", "family" : "Diamond", "given" : "L", "non-dropping-particle" : "", "parse-names" : false, "suffix" : "" }, { "dropping-particle" : "", "family" : "Plattner", "given" : "MF", "non-dropping-particle" : "", "parse-names" : false, "suffix" : "" } ], "id" : "ITEM-1", "issued" : { "date-parts" : [ [ "2008" ] ] }, "page" : "1-15", "publisher" : "The Johns Hopkins University Press", "publisher-place" : "Baltimore", "title" : "How People Understand Democracy", "type" : "chapter" }, "uris" : [ "http://www.mendeley.com/documents/?uuid=9f17365d-198f-4e11-8f1a-52431e9abff9" ] } ], "mendeley" : { "formattedCitation" : "(Dalton, Shin and Jou, 2008)", "manualFormatting" : "(2008)", "plainTextFormattedCitation" : "(Dalton, Shin and Jou, 2008)", "previouslyFormattedCitation" : "(Dalton, Shin and Jou, 2008)" }, "properties" : { "noteIndex" : 0 }, "schema" : "https://github.com/citation-style-language/schema/raw/master/csl-citation.json" }</w:instrText>
      </w:r>
      <w:r w:rsidR="001C4297">
        <w:fldChar w:fldCharType="separate"/>
      </w:r>
      <w:r w:rsidR="001C4297" w:rsidRPr="001C4297">
        <w:rPr>
          <w:noProof/>
        </w:rPr>
        <w:t>(2008)</w:t>
      </w:r>
      <w:r w:rsidR="001C4297">
        <w:fldChar w:fldCharType="end"/>
      </w:r>
      <w:r w:rsidR="001C4297">
        <w:t xml:space="preserve"> </w:t>
      </w:r>
      <w:r w:rsidRPr="00DB2734">
        <w:t xml:space="preserve">Norris </w:t>
      </w:r>
      <w:r w:rsidR="001C4297">
        <w:fldChar w:fldCharType="begin" w:fldLock="1"/>
      </w:r>
      <w:r w:rsidR="00E63CC6">
        <w:instrText>ADDIN CSL_CITATION { "citationItems" : [ { "id" : "ITEM-1", "itemData" : { "author" : [ { "dropping-particle" : "", "family" : "Norris", "given" : "P", "non-dropping-particle" : "", "parse-names" : false, "suffix" : "" } ], "id" : "ITEM-1", "issued" : { "date-parts" : [ [ "2011" ] ] }, "publisher" : "Cambridge University Press", "publisher-place" : "Cambridge", "title" : "Democratic Deficit - Critical Citizens Revisited", "type" : "book" }, "uris" : [ "http://www.mendeley.com/documents/?uuid=767d7bfd-72a9-4ffe-ba7a-ed7860204ebd" ] } ], "mendeley" : { "formattedCitation" : "(Norris, 2011)", "manualFormatting" : "(2011)", "plainTextFormattedCitation" : "(Norris, 2011)", "previouslyFormattedCitation" : "(Norris, 2011)" }, "properties" : { "noteIndex" : 0 }, "schema" : "https://github.com/citation-style-language/schema/raw/master/csl-citation.json" }</w:instrText>
      </w:r>
      <w:r w:rsidR="001C4297">
        <w:fldChar w:fldCharType="separate"/>
      </w:r>
      <w:r w:rsidR="001C4297" w:rsidRPr="001C4297">
        <w:rPr>
          <w:noProof/>
        </w:rPr>
        <w:t>(2011)</w:t>
      </w:r>
      <w:r w:rsidR="001C4297">
        <w:fldChar w:fldCharType="end"/>
      </w:r>
      <w:r w:rsidR="00BB6629">
        <w:t>,</w:t>
      </w:r>
      <w:r w:rsidR="00F47674">
        <w:t xml:space="preserve"> </w:t>
      </w:r>
      <w:r w:rsidRPr="00DB2734">
        <w:t xml:space="preserve">Welzel </w:t>
      </w:r>
      <w:r w:rsidR="001C4297">
        <w:fldChar w:fldCharType="begin" w:fldLock="1"/>
      </w:r>
      <w:r w:rsidR="00E63CC6">
        <w:instrText>ADDIN CSL_CITATION { "citationItems" : [ { "id" : "ITEM-1", "itemData" : { "ISBN" : "9781107034709", "author" : [ { "dropping-particle" : "", "family" : "Welzel", "given" : "Christian", "non-dropping-particle" : "", "parse-names" : false, "suffix" : "" } ], "id" : "ITEM-1", "issued" : { "date-parts" : [ [ "2013" ] ] }, "publisher" : "Cambridge University Press", "publisher-place" : "Cambridge", "title" : "Freedom Rising Human Empowerment and the Quest for Emancipation", "type" : "book" }, "uris" : [ "http://www.mendeley.com/documents/?uuid=a04e4a97-3944-4d8e-ba77-b044563d9c7e" ] } ], "mendeley" : { "formattedCitation" : "(Welzel, 2013)", "manualFormatting" : "(2013)", "plainTextFormattedCitation" : "(Welzel, 2013)", "previouslyFormattedCitation" : "(Welzel, 2013)" }, "properties" : { "noteIndex" : 0 }, "schema" : "https://github.com/citation-style-language/schema/raw/master/csl-citation.json" }</w:instrText>
      </w:r>
      <w:r w:rsidR="001C4297">
        <w:fldChar w:fldCharType="separate"/>
      </w:r>
      <w:r w:rsidR="001C4297" w:rsidRPr="001C4297">
        <w:rPr>
          <w:noProof/>
        </w:rPr>
        <w:t>(2013)</w:t>
      </w:r>
      <w:r w:rsidR="001C4297">
        <w:fldChar w:fldCharType="end"/>
      </w:r>
      <w:r w:rsidR="00BB6629">
        <w:t xml:space="preserve"> and </w:t>
      </w:r>
      <w:r w:rsidR="00BB6629">
        <w:fldChar w:fldCharType="begin" w:fldLock="1"/>
      </w:r>
      <w:r w:rsidR="00E63CC6">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"mendeley" : { "formattedCitation" : "(Cho, 2015)", "plainTextFormattedCitation" : "(Cho, 2015)", "previouslyFormattedCitation" : "(Cho, 2015)" }, "properties" : { "noteIndex" : 0 }, "schema" : "https://github.com/citation-style-language/schema/raw/master/csl-citation.json" }</w:instrText>
      </w:r>
      <w:r w:rsidR="00BB6629">
        <w:fldChar w:fldCharType="separate"/>
      </w:r>
      <w:r w:rsidR="00E63CC6" w:rsidRPr="00E63CC6">
        <w:rPr>
          <w:noProof/>
        </w:rPr>
        <w:t>(Cho, 2015)</w:t>
      </w:r>
      <w:r w:rsidR="00BB6629">
        <w:fldChar w:fldCharType="end"/>
      </w:r>
      <w:r w:rsidRPr="00DB2734">
        <w:t>. In general these studies have ‘tested’ how close</w:t>
      </w:r>
      <w:r w:rsidR="0009240D">
        <w:t>ly</w:t>
      </w:r>
      <w:r w:rsidRPr="00DB2734">
        <w:t xml:space="preserve"> citizens’ understandings of democracy match up to liberal democracy</w:t>
      </w:r>
      <w:r w:rsidR="00180A17">
        <w:t>. A</w:t>
      </w:r>
      <w:r w:rsidR="00BB6629">
        <w:t>s Cho (20145, p.255) put it,</w:t>
      </w:r>
    </w:p>
    <w:p w14:paraId="78EB6E8E" w14:textId="61BC4E98" w:rsidR="00BB6629" w:rsidRPr="00BB6629" w:rsidRDefault="00BB6629" w:rsidP="00BB6629">
      <w:pPr>
        <w:pStyle w:val="Quote"/>
      </w:pPr>
      <w:r w:rsidRPr="00BB6629">
        <w:t>“…little is known about the breadth, depth and distribution of democratic enlightenment among the mass citizenries of democratic and non-democratic countries in the world today or about major forces shaping their democratic enlightenment.”</w:t>
      </w:r>
    </w:p>
    <w:p w14:paraId="78582722" w14:textId="357E899A" w:rsidR="00CF455B" w:rsidRPr="00DB2734" w:rsidRDefault="00CF455B" w:rsidP="00EE48E8">
      <w:pPr>
        <w:rPr>
          <w:noProof/>
        </w:rPr>
      </w:pPr>
      <w:r w:rsidRPr="00DB2734">
        <w:t xml:space="preserve">Dalton </w:t>
      </w:r>
      <w:r w:rsidR="00803848">
        <w:t>et al</w:t>
      </w:r>
      <w:r>
        <w:t>.</w:t>
      </w:r>
      <w:r w:rsidR="0009240D">
        <w:t>’s</w:t>
      </w:r>
      <w:r w:rsidR="001C4297" w:rsidRPr="001C4297">
        <w:t xml:space="preserve"> </w:t>
      </w:r>
      <w:r w:rsidR="001C4297">
        <w:fldChar w:fldCharType="begin" w:fldLock="1"/>
      </w:r>
      <w:r w:rsidR="00E63CC6">
        <w:instrText>ADDIN CSL_CITATION { "citationItems" : [ { "id" : "ITEM-1", "itemData" : { "author" : [ { "dropping-particle" : "", "family" : "Dalton", "given" : "R", "non-dropping-particle" : "", "parse-names" : false, "suffix" : "" }, { "dropping-particle" : "", "family" : "Shin", "given" : "D C", "non-dropping-particle" : "", "parse-names" : false, "suffix" : "" }, { "dropping-particle" : "", "family" : "Jou", "given" : "W", "non-dropping-particle" : "", "parse-names" : false, "suffix" : "" } ], "container-title" : "How People View Democracy", "editor" : [ { "dropping-particle" : "", "family" : "Diamond", "given" : "L", "non-dropping-particle" : "", "parse-names" : false, "suffix" : "" }, { "dropping-particle" : "", "family" : "Plattner", "given" : "MF", "non-dropping-particle" : "", "parse-names" : false, "suffix" : "" } ], "id" : "ITEM-1", "issued" : { "date-parts" : [ [ "2008" ] ] }, "page" : "1-15", "publisher" : "The Johns Hopkins University Press", "publisher-place" : "Baltimore", "title" : "How People Understand Democracy", "type" : "chapter" }, "locator" : "9", "uris" : [ "http://www.mendeley.com/documents/?uuid=9f17365d-198f-4e11-8f1a-52431e9abff9" ] } ], "mendeley" : { "formattedCitation" : "(Dalton, Shin and Jou, 2008, p. 9)", "manualFormatting" : "(2008, p.9)", "plainTextFormattedCitation" : "(Dalton, Shin and Jou, 2008, p. 9)", "previouslyFormattedCitation" : "(Dalton, Shin and Jou, 2008, p. 9)" }, "properties" : { "noteIndex" : 0 }, "schema" : "https://github.com/citation-style-language/schema/raw/master/csl-citation.json" }</w:instrText>
      </w:r>
      <w:r w:rsidR="001C4297">
        <w:fldChar w:fldCharType="separate"/>
      </w:r>
      <w:r w:rsidR="001C4297" w:rsidRPr="001C4297">
        <w:rPr>
          <w:noProof/>
        </w:rPr>
        <w:t>(2008, p.9)</w:t>
      </w:r>
      <w:r w:rsidR="001C4297">
        <w:fldChar w:fldCharType="end"/>
      </w:r>
      <w:r w:rsidR="0009240D">
        <w:t xml:space="preserve"> conclusion</w:t>
      </w:r>
      <w:r w:rsidR="001C4297">
        <w:t xml:space="preserve"> </w:t>
      </w:r>
      <w:r w:rsidRPr="00DB2734">
        <w:rPr>
          <w:i/>
        </w:rPr>
        <w:t xml:space="preserve"> </w:t>
      </w:r>
      <w:r w:rsidRPr="00DB2734">
        <w:t>is relatively optimistic: “the identification of democracy with greater freedom and liberty has broadly diffused across the globe.” However, the othe</w:t>
      </w:r>
      <w:r w:rsidR="00F47674">
        <w:t>r studies are more cautious.</w:t>
      </w:r>
      <w:r w:rsidRPr="00DB2734">
        <w:t xml:space="preserve"> </w:t>
      </w:r>
      <w:r w:rsidR="00F47674">
        <w:t xml:space="preserve">For instance, </w:t>
      </w:r>
      <w:r w:rsidRPr="00DB2734">
        <w:t xml:space="preserve">Norris </w:t>
      </w:r>
      <w:r w:rsidR="001C4297">
        <w:fldChar w:fldCharType="begin" w:fldLock="1"/>
      </w:r>
      <w:r w:rsidR="00E63CC6">
        <w:instrText>ADDIN CSL_CITATION { "citationItems" : [ { "id" : "ITEM-1", "itemData" : { "author" : [ { "dropping-particle" : "", "family" : "Norris", "given" : "P", "non-dropping-particle" : "", "parse-names" : false, "suffix" : "" } ], "id" : "ITEM-1", "issued" : { "date-parts" : [ [ "2011" ] ] }, "publisher" : "Cambridge University Press", "publisher-place" : "Cambridge", "title" : "Democratic Deficit - Critical Citizens Revisited", "type" : "book" }, "locator" : "167-168", "uris" : [ "http://www.mendeley.com/documents/?uuid=767d7bfd-72a9-4ffe-ba7a-ed7860204ebd" ] } ], "mendeley" : { "formattedCitation" : "(Norris, 2011, pp. 167\u2013168)", "manualFormatting" : "(2011, pp.167\u2013168)", "plainTextFormattedCitation" : "(Norris, 2011, pp. 167\u2013168)", "previouslyFormattedCitation" : "(Norris, 2011, pp. 167\u2013168)" }, "properties" : { "noteIndex" : 0 }, "schema" : "https://github.com/citation-style-language/schema/raw/master/csl-citation.json" }</w:instrText>
      </w:r>
      <w:r w:rsidR="001C4297">
        <w:fldChar w:fldCharType="separate"/>
      </w:r>
      <w:r w:rsidR="001C4297" w:rsidRPr="001C4297">
        <w:rPr>
          <w:noProof/>
        </w:rPr>
        <w:t>(2011, pp.167–168)</w:t>
      </w:r>
      <w:r w:rsidR="001C4297">
        <w:fldChar w:fldCharType="end"/>
      </w:r>
      <w:r w:rsidR="001C4297">
        <w:t xml:space="preserve"> </w:t>
      </w:r>
      <w:r w:rsidR="00F47674">
        <w:t>argued</w:t>
      </w:r>
      <w:r w:rsidRPr="00DB2734">
        <w:t xml:space="preserve"> that whilst aspirations for democracy are widespread, in countries with limited experience of democracy this “should </w:t>
      </w:r>
      <w:r w:rsidRPr="00DB2734">
        <w:rPr>
          <w:i/>
          <w:iCs/>
        </w:rPr>
        <w:t>not</w:t>
      </w:r>
      <w:r w:rsidRPr="00DB2734">
        <w:t xml:space="preserve"> be taken to mean that people necessarily yearn deeply for democratic procedural reforms, or indeed that citizens have the capacity to draw a bright line between democracy and governance.”</w:t>
      </w:r>
    </w:p>
    <w:p w14:paraId="68E2480C" w14:textId="16F5E4B5" w:rsidR="00CF455B" w:rsidRPr="00DB2734" w:rsidRDefault="00CF455B" w:rsidP="00EE48E8">
      <w:r w:rsidRPr="00DB2734">
        <w:t xml:space="preserve">This caution is apparent in studies at the regional and national level, which present much more guarded results for liberal democratic understanding, using analytical approaches which are less focused on testing understanding against liberal conceptions, and more interested in exploratory analysis. In Mexico </w:t>
      </w:r>
      <w:r>
        <w:fldChar w:fldCharType="begin" w:fldLock="1"/>
      </w:r>
      <w:r w:rsidR="00E63CC6">
        <w:instrText>ADDIN CSL_CITATION { "citationItems" : [ { "id" : "ITEM-1", "itemData" : { "DOI" : "10.1111/j.1475-6765.2007.00708.x", "ISSN" : "0304-4130", "author" : [ { "dropping-particle" : "", "family" : "Schedler", "given" : "Andreas", "non-dropping-particle" : "", "parse-names" : false, "suffix" : "" }, { "dropping-particle" : "", "family" : "Sarsfield", "given" : "Rodolfo", "non-dropping-particle" : "", "parse-names" : false, "suffix" : "" } ], "container-title" : "European Journal of Political Research", "id" : "ITEM-1", "issue" : "5", "issued" : { "date-parts" : [ [ "2007", "8" ] ] }, "page" : "637-659", "title" : "Democrats with adjectives: Linking direct and indirect measures of democratic support", "type" : "article-journal", "volume" : "46" }, "uris" : [ "http://www.mendeley.com/documents/?uuid=a78fe851-821a-4d65-8f7f-3beda8b72034" ] } ], "mendeley" : { "formattedCitation" : "(Schedler and Sarsfield, 2007)", "plainTextFormattedCitation" : "(Schedler and Sarsfield, 2007)", "previouslyFormattedCitation" : "(Schedler and Sarsfield, 2007)" }, "properties" : { "noteIndex" : 0 }, "schema" : "https://github.com/citation-style-language/schema/raw/master/csl-citation.json" }</w:instrText>
      </w:r>
      <w:r>
        <w:fldChar w:fldCharType="separate"/>
      </w:r>
      <w:r w:rsidR="00E63CC6" w:rsidRPr="00E63CC6">
        <w:rPr>
          <w:noProof/>
        </w:rPr>
        <w:t>(Schedler and Sarsfield, 2007)</w:t>
      </w:r>
      <w:r>
        <w:fldChar w:fldCharType="end"/>
      </w:r>
      <w:r w:rsidRPr="00DB2734">
        <w:t xml:space="preserve">, Chile </w:t>
      </w:r>
      <w:r>
        <w:fldChar w:fldCharType="begin" w:fldLock="1"/>
      </w:r>
      <w:r w:rsidR="00E63CC6">
        <w:instrText>ADDIN CSL_CITATION { "citationItems" : [ { "id" : "ITEM-1", "itemData" : { "DOI" : "10.1177/1065912910370692", "ISSN" : "1065-9129", "author" : [ { "dropping-particle" : "", "family" : "Carlin", "given" : "R. E.", "non-dropping-particle" : "", "parse-names" : false, "suffix" : "" } ], "container-title" : "Political Research Quarterly", "id" : "ITEM-1", "issue" : "3", "issued" : { "date-parts" : [ [ "2011", "8", "25" ] ] }, "page" : "668-687", "title" : "Distrusting Democrats and Political Participation in New Democracies: Lessons from Chile", "type" : "article-journal", "volume" : "64" }, "uris" : [ "http://www.mendeley.com/documents/?uuid=bac16b50-4029-4495-b219-02db19ce3a95" ] } ], "mendeley" : { "formattedCitation" : "(Carlin, 2011)", "plainTextFormattedCitation" : "(Carlin, 2011)", "previouslyFormattedCitation" : "(Carlin, 2011)" }, "properties" : { "noteIndex" : 0 }, "schema" : "https://github.com/citation-style-language/schema/raw/master/csl-citation.json" }</w:instrText>
      </w:r>
      <w:r>
        <w:fldChar w:fldCharType="separate"/>
      </w:r>
      <w:r w:rsidR="00E63CC6" w:rsidRPr="00E63CC6">
        <w:rPr>
          <w:noProof/>
        </w:rPr>
        <w:t>(Carlin, 2011)</w:t>
      </w:r>
      <w:r>
        <w:fldChar w:fldCharType="end"/>
      </w:r>
      <w:r w:rsidRPr="00DB2734">
        <w:t xml:space="preserve"> and across Latin America in general</w:t>
      </w:r>
      <w:r>
        <w:t xml:space="preserve"> </w:t>
      </w:r>
      <w:r>
        <w:fldChar w:fldCharType="begin" w:fldLock="1"/>
      </w:r>
      <w:r w:rsidR="00A720F0">
        <w:instrText>ADDIN CSL_CITATION { "citationItems" : [ { "id" : "ITEM-1", "itemData" : { "DOI" : "10.1111/j.1548-2456.2012.00166.x", "ISSN" : "1531426X", "author" : [ { "dropping-particle" : "", "family" : "Canache", "given" : "Damarys", "non-dropping-particle" : "", "parse-names" : false, "suffix" : "" } ], "container-title" : "Latin American Politics and Society", "id" : "ITEM-1", "issue" : "3", "issued" : { "date-parts" : [ [ "2012", "9", "11" ] ] }, "page" : "95-122", "title" : "The Meanings of Democracy in Venezuela: Citizen Perceptions and Structural Change", "type" : "article-journal", "volume" : "54" }, "uris" : [ "http://www.mendeley.com/documents/?uuid=c4b55165-36a1-4199-b7b8-9bf153610793" ] } ], "mendeley" : { "formattedCitation" : "(Damarys Canache, 2012)", "manualFormatting" : "(Canache, 2012)", "plainTextFormattedCitation" : "(Damarys Canache, 2012)", "previouslyFormattedCitation" : "(Damarys Canache, 2012)" }, "properties" : { "noteIndex" : 0 }, "schema" : "https://github.com/citation-style-language/schema/raw/master/csl-citation.json" }</w:instrText>
      </w:r>
      <w:r>
        <w:fldChar w:fldCharType="separate"/>
      </w:r>
      <w:r w:rsidR="00E63CC6" w:rsidRPr="00E63CC6">
        <w:rPr>
          <w:noProof/>
        </w:rPr>
        <w:t>(Canache, 2012)</w:t>
      </w:r>
      <w:r>
        <w:fldChar w:fldCharType="end"/>
      </w:r>
      <w:r w:rsidRPr="00DB2734">
        <w:t xml:space="preserve">, quantitative studies </w:t>
      </w:r>
      <w:r w:rsidR="00F47674">
        <w:t xml:space="preserve">have </w:t>
      </w:r>
      <w:r w:rsidRPr="00DB2734">
        <w:t>show</w:t>
      </w:r>
      <w:r w:rsidR="00F47674">
        <w:t>n</w:t>
      </w:r>
      <w:r w:rsidRPr="00DB2734">
        <w:t xml:space="preserve"> that whilst the majority of citizens support democracy, a majority </w:t>
      </w:r>
      <w:r w:rsidRPr="00F47674">
        <w:rPr>
          <w:i/>
        </w:rPr>
        <w:t>also</w:t>
      </w:r>
      <w:r w:rsidRPr="00DB2734">
        <w:t xml:space="preserve"> hold value sets that do not meet conventional liberal democratic criteria, for instance by agreeing to the exclusion of homosexual or indigenous people from politics. </w:t>
      </w:r>
    </w:p>
    <w:p w14:paraId="4BF2E893" w14:textId="51CCF8E0" w:rsidR="00CF455B" w:rsidRPr="00DB2734" w:rsidRDefault="00CF455B" w:rsidP="00EE48E8">
      <w:r>
        <w:fldChar w:fldCharType="begin" w:fldLock="1"/>
      </w:r>
      <w:r w:rsidR="00E63CC6">
        <w:instrText>ADDIN CSL_CITATION { "citationItems" : [ { "id" : "ITEM-1", "itemData" : { "DOI" : "10.1080/13510347.2011.563113", "ISSN" : "1351-0347", "abstract" : "Measuring support for democracy in societies where democratic institutions do not exist or do not function well is a challenge faced by many researchers around the world. In societies moving either toward or away from democracy, the very meaning of \u2018democracy\u2019 is often in question and institutions and practices that go by the label of \u2018democratic\u2019 may vary widely from accepted norms. As a result, respondents are likely to interpret survey questions on democratic concepts in unpredictable ways. This article examines some of the ways respondents in non-democratic or imperfectly democratic countries may misinterpret the meaning of survey questions and consequently how their answers may mislead researchers. Previous research has focused on problems with abstract concepts like \u2018democracy\u2019. Evidence presented here \u2013 from interviews with Russians \u2013 shows that the problem is broader and covers more kinds of questions than previously thought. A strong potential for miscommunication also exists with more concrete questions about institutions and values, forced choices that encourage respondents to change the meaning of questions, and questions about trust in institutions.", "author" : [ { "dropping-particle" : "", "family" : "Carnaghan", "given" : "Ellen", "non-dropping-particle" : "", "parse-names" : false, "suffix" : "" } ], "container-title" : "Democratization", "id" : "ITEM-1", "issue" : "3", "issued" : { "date-parts" : [ [ "2011" ] ] }, "page" : "682-706", "title" : "The difficulty of measuring support for democracy in a changing society: evidence from Russia", "type" : "article-journal", "volume" : "18" }, "uris" : [ "http://www.mendeley.com/documents/?uuid=a2617336-dfba-4a10-ba8f-8a52d212e595" ] } ], "mendeley" : { "formattedCitation" : "(Carnaghan, 2011)", "manualFormatting" : "Carnaghan (2011)", "plainTextFormattedCitation" : "(Carnaghan, 2011)", "previouslyFormattedCitation" : "(Carnaghan, 2011)" }, "properties" : { "noteIndex" : 0 }, "schema" : "https://github.com/citation-style-language/schema/raw/master/csl-citation.json" }</w:instrText>
      </w:r>
      <w:r>
        <w:fldChar w:fldCharType="separate"/>
      </w:r>
      <w:r w:rsidRPr="00BB447C">
        <w:rPr>
          <w:noProof/>
        </w:rPr>
        <w:t xml:space="preserve">Carnaghan </w:t>
      </w:r>
      <w:r>
        <w:rPr>
          <w:noProof/>
        </w:rPr>
        <w:t>(</w:t>
      </w:r>
      <w:r w:rsidRPr="00BB447C">
        <w:rPr>
          <w:noProof/>
        </w:rPr>
        <w:t>2011)</w:t>
      </w:r>
      <w:r>
        <w:fldChar w:fldCharType="end"/>
      </w:r>
      <w:r w:rsidRPr="00DB2734">
        <w:t xml:space="preserve"> examine</w:t>
      </w:r>
      <w:r w:rsidR="0009240D">
        <w:t>d</w:t>
      </w:r>
      <w:r w:rsidRPr="00DB2734">
        <w:t xml:space="preserve"> understandings of democracy in Russia, combining survey and interview answers.  The results from the study </w:t>
      </w:r>
      <w:r w:rsidR="00F47674">
        <w:t>strongly suggest that</w:t>
      </w:r>
      <w:r w:rsidRPr="00DB2734">
        <w:t xml:space="preserve"> respondents think in very different ways</w:t>
      </w:r>
      <w:r w:rsidR="0009240D">
        <w:t xml:space="preserve"> from each other</w:t>
      </w:r>
      <w:r w:rsidRPr="00DB2734">
        <w:t xml:space="preserve"> about the same abstract term, such as “democracy” or “freedom”. As </w:t>
      </w:r>
      <w:r>
        <w:fldChar w:fldCharType="begin" w:fldLock="1"/>
      </w:r>
      <w:r w:rsidR="00E63CC6">
        <w:instrText>ADDIN CSL_CITATION { "citationItems" : [ { "id" : "ITEM-1", "itemData" : { "DOI" : "10.1080/13510347.2011.563113", "ISSN" : "1351-0347", "abstract" : "Measuring support for democracy in societies where democratic institutions do not exist or do not function well is a challenge faced by many researchers around the world. In societies moving either toward or away from democracy, the very meaning of \u2018democracy\u2019 is often in question and institutions and practices that go by the label of \u2018democratic\u2019 may vary widely from accepted norms. As a result, respondents are likely to interpret survey questions on democratic concepts in unpredictable ways. This article examines some of the ways respondents in non-democratic or imperfectly democratic countries may misinterpret the meaning of survey questions and consequently how their answers may mislead researchers. Previous research has focused on problems with abstract concepts like \u2018democracy\u2019. Evidence presented here \u2013 from interviews with Russians \u2013 shows that the problem is broader and covers more kinds of questions than previously thought. A strong potential for miscommunication also exists with more concrete questions about institutions and values, forced choices that encourage respondents to change the meaning of questions, and questions about trust in institutions.", "author" : [ { "dropping-particle" : "", "family" : "Carnaghan", "given" : "Ellen", "non-dropping-particle" : "", "parse-names" : false, "suffix" : "" } ], "container-title" : "Democratization", "id" : "ITEM-1", "issue" : "3", "issued" : { "date-parts" : [ [ "2011" ] ] }, "page" : "682-706", "title" : "The difficulty of measuring support for democracy in a changing society: evidence from Russia", "type" : "article-journal", "volume" : "18" }, "uris" : [ "http://www.mendeley.com/documents/?uuid=a2617336-dfba-4a10-ba8f-8a52d212e595" ] } ], "mendeley" : { "formattedCitation" : "(Carnaghan, 2011)", "manualFormatting" : "Carnaghan (2011, p.685)", "plainTextFormattedCitation" : "(Carnaghan, 2011)", "previouslyFormattedCitation" : "(Carnaghan, 2011)" }, "properties" : { "noteIndex" : 0 }, "schema" : "https://github.com/citation-style-language/schema/raw/master/csl-citation.json" }</w:instrText>
      </w:r>
      <w:r>
        <w:fldChar w:fldCharType="separate"/>
      </w:r>
      <w:r w:rsidRPr="00BB447C">
        <w:rPr>
          <w:noProof/>
        </w:rPr>
        <w:t xml:space="preserve">Carnaghan </w:t>
      </w:r>
      <w:r>
        <w:rPr>
          <w:noProof/>
        </w:rPr>
        <w:t>(</w:t>
      </w:r>
      <w:r w:rsidRPr="00BB447C">
        <w:rPr>
          <w:noProof/>
        </w:rPr>
        <w:t>2011, p.685)</w:t>
      </w:r>
      <w:r>
        <w:fldChar w:fldCharType="end"/>
      </w:r>
      <w:r w:rsidR="00F47674">
        <w:t xml:space="preserve"> noted</w:t>
      </w:r>
      <w:r w:rsidRPr="00DB2734">
        <w:t>, ‘citizens may not be well schooled in the niceties of democratic theory</w:t>
      </w:r>
      <w:r>
        <w:t xml:space="preserve">’. The conclusion of </w:t>
      </w:r>
      <w:r w:rsidR="00F47674">
        <w:t>her</w:t>
      </w:r>
      <w:r>
        <w:t xml:space="preserve"> study wa</w:t>
      </w:r>
      <w:r w:rsidRPr="00DB2734">
        <w:t xml:space="preserve">s even more cautious than the </w:t>
      </w:r>
      <w:r w:rsidR="00F47674">
        <w:t>those undertaken in Latin America</w:t>
      </w:r>
      <w:r w:rsidRPr="00DB2734">
        <w:t>: ‘</w:t>
      </w:r>
      <w:r w:rsidRPr="00DB2734">
        <w:rPr>
          <w:color w:val="231F20"/>
          <w:lang w:eastAsia="zh-CN"/>
        </w:rPr>
        <w:t xml:space="preserve">not only can we not be sure that respondents mean what </w:t>
      </w:r>
      <w:r w:rsidRPr="00DB2734">
        <w:rPr>
          <w:i/>
          <w:iCs/>
          <w:color w:val="231F20"/>
          <w:lang w:eastAsia="zh-CN"/>
        </w:rPr>
        <w:t>researchers</w:t>
      </w:r>
      <w:r w:rsidRPr="00DB2734">
        <w:rPr>
          <w:color w:val="231F20"/>
          <w:lang w:eastAsia="zh-CN"/>
        </w:rPr>
        <w:t xml:space="preserve"> mean when they talk about democracy, we cannot even be sure that they mean what </w:t>
      </w:r>
      <w:r w:rsidRPr="00DB2734">
        <w:rPr>
          <w:i/>
          <w:iCs/>
          <w:color w:val="231F20"/>
          <w:lang w:eastAsia="zh-CN"/>
        </w:rPr>
        <w:t>they say</w:t>
      </w:r>
      <w:r w:rsidRPr="00DB2734">
        <w:rPr>
          <w:color w:val="231F20"/>
          <w:lang w:eastAsia="zh-CN"/>
        </w:rPr>
        <w:t xml:space="preserve"> they mean’</w:t>
      </w:r>
      <w:r w:rsidRPr="00DB2734">
        <w:t xml:space="preserve"> </w:t>
      </w:r>
      <w:r>
        <w:t>(</w:t>
      </w:r>
      <w:r w:rsidR="00170FB9">
        <w:t>i</w:t>
      </w:r>
      <w:r w:rsidRPr="00170FB9">
        <w:t>bid</w:t>
      </w:r>
      <w:r>
        <w:t>, p.</w:t>
      </w:r>
      <w:r w:rsidRPr="00DB2734">
        <w:t>690-692).</w:t>
      </w:r>
    </w:p>
    <w:p w14:paraId="40D11EAD" w14:textId="4673D8C4" w:rsidR="00CF455B" w:rsidRDefault="00CF455B" w:rsidP="00EE48E8">
      <w:pPr>
        <w:rPr>
          <w:rFonts w:cstheme="majorBidi"/>
          <w:bCs/>
        </w:rPr>
      </w:pPr>
      <w:r w:rsidRPr="00DB2734">
        <w:rPr>
          <w:rFonts w:cstheme="majorBidi"/>
        </w:rPr>
        <w:t xml:space="preserve">In the conclusion to her examination of the substantive meaning of democracy for </w:t>
      </w:r>
      <w:r w:rsidR="0009240D">
        <w:rPr>
          <w:rFonts w:cstheme="majorBidi"/>
        </w:rPr>
        <w:t xml:space="preserve">Latin American </w:t>
      </w:r>
      <w:r w:rsidRPr="00DB2734">
        <w:rPr>
          <w:rFonts w:cstheme="majorBidi"/>
        </w:rPr>
        <w:t xml:space="preserve">citizens, </w:t>
      </w:r>
      <w:r>
        <w:rPr>
          <w:rFonts w:cstheme="majorBidi"/>
        </w:rPr>
        <w:fldChar w:fldCharType="begin" w:fldLock="1"/>
      </w:r>
      <w:r w:rsidR="00E63CC6">
        <w:rPr>
          <w:rFonts w:cstheme="majorBidi"/>
        </w:rPr>
        <w:instrText>ADDIN CSL_CITATION { "citationItems" : [ { "id" : "ITEM-1", "itemData" : { "DOI" : "10.1111/j.1548-2456.2012.00166.x", "ISSN" : "1531426X", "author" : [ { "dropping-particle" : "", "family" : "Canache", "given" : "Damarys", "non-dropping-particle" : "", "parse-names" : false, "suffix" : "" } ], "container-title" : "Latin American Politics and Society", "id" : "ITEM-1", "issue" : "3", "issued" : { "date-parts" : [ [ "2012", "9", "11" ] ] }, "page" : "95-122", "title" : "The Meanings of Democracy in Venezuela: Citizen Perceptions and Structural Change", "type" : "article-journal", "volume" : "54" }, "locator" : "1150", "uris" : [ "http://www.mendeley.com/documents/?uuid=c4b55165-36a1-4199-b7b8-9bf153610793" ] } ], "mendeley" : { "formattedCitation" : "(Damarys Canache, 2012, p. 1150)", "manualFormatting" : "Canache (2012, p.1150)", "plainTextFormattedCitation" : "(Damarys Canache, 2012, p. 1150)", "previouslyFormattedCitation" : "(Damarys Canache, 2012, p. 1150)" }, "properties" : { "noteIndex" : 0 }, "schema" : "https://github.com/citation-style-language/schema/raw/master/csl-citation.json" }</w:instrText>
      </w:r>
      <w:r>
        <w:rPr>
          <w:rFonts w:cstheme="majorBidi"/>
        </w:rPr>
        <w:fldChar w:fldCharType="separate"/>
      </w:r>
      <w:r w:rsidRPr="00BB447C">
        <w:rPr>
          <w:rFonts w:cstheme="majorBidi"/>
          <w:noProof/>
        </w:rPr>
        <w:t xml:space="preserve">Canache </w:t>
      </w:r>
      <w:r>
        <w:rPr>
          <w:rFonts w:cstheme="majorBidi"/>
          <w:noProof/>
        </w:rPr>
        <w:t>(</w:t>
      </w:r>
      <w:r w:rsidRPr="00BB447C">
        <w:rPr>
          <w:rFonts w:cstheme="majorBidi"/>
          <w:noProof/>
        </w:rPr>
        <w:t>2012, p.1150)</w:t>
      </w:r>
      <w:r>
        <w:rPr>
          <w:rFonts w:cstheme="majorBidi"/>
        </w:rPr>
        <w:fldChar w:fldCharType="end"/>
      </w:r>
      <w:r w:rsidRPr="00DB2734">
        <w:rPr>
          <w:rFonts w:cstheme="majorBidi"/>
        </w:rPr>
        <w:t xml:space="preserve"> </w:t>
      </w:r>
      <w:r>
        <w:rPr>
          <w:rFonts w:cstheme="majorBidi"/>
        </w:rPr>
        <w:t>argued</w:t>
      </w:r>
      <w:r w:rsidRPr="00DB2734">
        <w:rPr>
          <w:rFonts w:cstheme="majorBidi"/>
        </w:rPr>
        <w:t xml:space="preserve"> </w:t>
      </w:r>
      <w:r w:rsidR="00DA3039">
        <w:rPr>
          <w:rFonts w:cstheme="majorBidi"/>
        </w:rPr>
        <w:t xml:space="preserve">strongly </w:t>
      </w:r>
      <w:r w:rsidRPr="00DB2734">
        <w:rPr>
          <w:rFonts w:cstheme="majorBidi"/>
        </w:rPr>
        <w:t xml:space="preserve">that we would be “well advised to step back and ask more fundamental questions regarding what citizens think democracy </w:t>
      </w:r>
      <w:r w:rsidRPr="00DB2734">
        <w:rPr>
          <w:rFonts w:cstheme="majorBidi"/>
          <w:iCs/>
        </w:rPr>
        <w:t>is</w:t>
      </w:r>
      <w:r w:rsidRPr="00DB2734">
        <w:rPr>
          <w:rFonts w:cstheme="majorBidi"/>
        </w:rPr>
        <w:t>”</w:t>
      </w:r>
      <w:r>
        <w:rPr>
          <w:rFonts w:cstheme="majorBidi"/>
        </w:rPr>
        <w:t xml:space="preserve">. She </w:t>
      </w:r>
      <w:r w:rsidR="00F47674">
        <w:rPr>
          <w:rFonts w:cstheme="majorBidi"/>
        </w:rPr>
        <w:t>suggested that</w:t>
      </w:r>
      <w:r w:rsidRPr="00DB2734">
        <w:rPr>
          <w:rFonts w:cstheme="majorBidi"/>
        </w:rPr>
        <w:t xml:space="preserve"> by focussing </w:t>
      </w:r>
      <w:r w:rsidR="00F47674">
        <w:rPr>
          <w:rFonts w:cstheme="majorBidi"/>
        </w:rPr>
        <w:t xml:space="preserve">primarily </w:t>
      </w:r>
      <w:r w:rsidRPr="00DB2734">
        <w:rPr>
          <w:rFonts w:cstheme="majorBidi"/>
        </w:rPr>
        <w:t xml:space="preserve">on </w:t>
      </w:r>
      <w:r w:rsidRPr="00DB2734">
        <w:rPr>
          <w:rFonts w:cstheme="majorBidi"/>
          <w:i/>
        </w:rPr>
        <w:t>support</w:t>
      </w:r>
      <w:r w:rsidR="00F47674">
        <w:rPr>
          <w:rFonts w:cstheme="majorBidi"/>
        </w:rPr>
        <w:t xml:space="preserve"> for democracy</w:t>
      </w:r>
      <w:r w:rsidRPr="00DB2734">
        <w:rPr>
          <w:rFonts w:cstheme="majorBidi"/>
        </w:rPr>
        <w:t xml:space="preserve"> research in this field has </w:t>
      </w:r>
      <w:r w:rsidR="00DA3039" w:rsidRPr="00DB2734">
        <w:rPr>
          <w:rFonts w:cstheme="majorBidi"/>
        </w:rPr>
        <w:t xml:space="preserve">so far </w:t>
      </w:r>
      <w:r w:rsidRPr="00DB2734">
        <w:rPr>
          <w:rFonts w:cstheme="majorBidi"/>
        </w:rPr>
        <w:t xml:space="preserve">put ‘the cart before the horse’.  </w:t>
      </w:r>
      <w:r>
        <w:rPr>
          <w:rFonts w:cstheme="majorBidi"/>
        </w:rPr>
        <w:t>In their study using Mexican survey data</w:t>
      </w:r>
      <w:r w:rsidRPr="00DB2734">
        <w:rPr>
          <w:rFonts w:cstheme="majorBidi"/>
        </w:rPr>
        <w:t xml:space="preserve">, </w:t>
      </w:r>
      <w:r>
        <w:rPr>
          <w:rFonts w:cstheme="majorBidi"/>
        </w:rPr>
        <w:fldChar w:fldCharType="begin" w:fldLock="1"/>
      </w:r>
      <w:r w:rsidR="00E63CC6">
        <w:rPr>
          <w:rFonts w:cstheme="majorBidi"/>
        </w:rPr>
        <w:instrText>ADDIN CSL_CITATION { "citationItems" : [ { "id" : "ITEM-1", "itemData" : { "DOI" : "10.1111/j.1475-6765.2007.00708.x", "ISSN" : "0304-4130", "author" : [ { "dropping-particle" : "", "family" : "Schedler", "given" : "Andreas", "non-dropping-particle" : "", "parse-names" : false, "suffix" : "" }, { "dropping-particle" : "", "family" : "Sarsfield", "given" : "Rodolfo", "non-dropping-particle" : "", "parse-names" : false, "suffix" : "" } ], "container-title" : "European Journal of Political Research", "id" : "ITEM-1", "issue" : "5", "issued" : { "date-parts" : [ [ "2007", "8" ] ] }, "page" : "637-659", "title" : "Democrats with adjectives: Linking direct and indirect measures of democratic support", "type" : "article-journal", "volume" : "46" }, "uris" : [ "http://www.mendeley.com/documents/?uuid=a78fe851-821a-4d65-8f7f-3beda8b72034" ] } ], "mendeley" : { "formattedCitation" : "(Schedler and Sarsfield, 2007)", "manualFormatting" : "Schedler and Sarsfield (2007, p.654)", "plainTextFormattedCitation" : "(Schedler and Sarsfield, 2007)", "previouslyFormattedCitation" : "(Schedler and Sarsfield, 2007)" }, "properties" : { "noteIndex" : 0 }, "schema" : "https://github.com/citation-style-language/schema/raw/master/csl-citation.json" }</w:instrText>
      </w:r>
      <w:r>
        <w:rPr>
          <w:rFonts w:cstheme="majorBidi"/>
        </w:rPr>
        <w:fldChar w:fldCharType="separate"/>
      </w:r>
      <w:r>
        <w:rPr>
          <w:rFonts w:cstheme="majorBidi"/>
          <w:noProof/>
        </w:rPr>
        <w:t>Schedler and</w:t>
      </w:r>
      <w:r w:rsidRPr="00BB447C">
        <w:rPr>
          <w:rFonts w:cstheme="majorBidi"/>
          <w:noProof/>
        </w:rPr>
        <w:t xml:space="preserve"> Sarsfield </w:t>
      </w:r>
      <w:r>
        <w:rPr>
          <w:rFonts w:cstheme="majorBidi"/>
          <w:noProof/>
        </w:rPr>
        <w:t>(</w:t>
      </w:r>
      <w:r w:rsidRPr="00BB447C">
        <w:rPr>
          <w:rFonts w:cstheme="majorBidi"/>
          <w:noProof/>
        </w:rPr>
        <w:t>2007, p.654)</w:t>
      </w:r>
      <w:r>
        <w:rPr>
          <w:rFonts w:cstheme="majorBidi"/>
        </w:rPr>
        <w:fldChar w:fldCharType="end"/>
      </w:r>
      <w:r>
        <w:rPr>
          <w:rFonts w:cstheme="majorBidi"/>
        </w:rPr>
        <w:t xml:space="preserve"> ca</w:t>
      </w:r>
      <w:r w:rsidRPr="00DB2734">
        <w:rPr>
          <w:rFonts w:cstheme="majorBidi"/>
        </w:rPr>
        <w:t xml:space="preserve">me to </w:t>
      </w:r>
      <w:r>
        <w:rPr>
          <w:rFonts w:cstheme="majorBidi"/>
        </w:rPr>
        <w:t>a similar</w:t>
      </w:r>
      <w:r w:rsidRPr="00DB2734">
        <w:rPr>
          <w:rFonts w:cstheme="majorBidi"/>
        </w:rPr>
        <w:t xml:space="preserve"> conclusion</w:t>
      </w:r>
      <w:r w:rsidR="00F47674">
        <w:rPr>
          <w:rFonts w:cstheme="majorBidi"/>
        </w:rPr>
        <w:t>:</w:t>
      </w:r>
      <w:r w:rsidRPr="00DB2734">
        <w:rPr>
          <w:rFonts w:cstheme="majorBidi"/>
        </w:rPr>
        <w:t xml:space="preserve"> </w:t>
      </w:r>
      <w:r w:rsidRPr="00DB2734">
        <w:rPr>
          <w:rFonts w:cstheme="majorBidi"/>
          <w:bCs/>
        </w:rPr>
        <w:t>“Rather than resigning ourselves to the meaninglessness of overt democratic support, we should strive to uncover its structure of meaning by reading it in the context of individual attitudes towards more specific components of liberal democracy – be they conceptual, institutional or normative.”</w:t>
      </w:r>
    </w:p>
    <w:p w14:paraId="74D7B2CD" w14:textId="38D44B4E" w:rsidR="00846DB1" w:rsidRDefault="00910EBD" w:rsidP="00910EBD">
      <w:r>
        <w:t xml:space="preserve">Finally, in a study using survey data from Finland, </w:t>
      </w:r>
      <w:r>
        <w:fldChar w:fldCharType="begin" w:fldLock="1"/>
      </w:r>
      <w:r w:rsidR="00E63CC6">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and Christensen (2014, p.234)", "plainTextFormattedCitation" : "(Bengtsson and Christensen, 2014)", "previouslyFormattedCitation" : "(Bengtsson and Christensen, 2014)" }, "properties" : { "noteIndex" : 0 }, "schema" : "https://github.com/citation-style-language/schema/raw/master/csl-citation.json" }</w:instrText>
      </w:r>
      <w:r>
        <w:fldChar w:fldCharType="separate"/>
      </w:r>
      <w:r>
        <w:rPr>
          <w:noProof/>
        </w:rPr>
        <w:t>Bengtsson and</w:t>
      </w:r>
      <w:r w:rsidRPr="00910EBD">
        <w:rPr>
          <w:noProof/>
        </w:rPr>
        <w:t xml:space="preserve"> Christensen </w:t>
      </w:r>
      <w:r>
        <w:rPr>
          <w:noProof/>
        </w:rPr>
        <w:t>(</w:t>
      </w:r>
      <w:r w:rsidRPr="00910EBD">
        <w:rPr>
          <w:noProof/>
        </w:rPr>
        <w:t>2014</w:t>
      </w:r>
      <w:r>
        <w:rPr>
          <w:noProof/>
        </w:rPr>
        <w:t>, p.234</w:t>
      </w:r>
      <w:r w:rsidRPr="00910EBD">
        <w:rPr>
          <w:noProof/>
        </w:rPr>
        <w:t>)</w:t>
      </w:r>
      <w:r>
        <w:fldChar w:fldCharType="end"/>
      </w:r>
      <w:r>
        <w:t xml:space="preserve"> follow this developing thread of literature looking at what democracy means to people, and they ask the next, logical question of citizens: “</w:t>
      </w:r>
      <w:r w:rsidRPr="00910EBD">
        <w:t>Do they act in accordance with their beliefs or are they largely irrelevant for predicting behaviour?</w:t>
      </w:r>
      <w:r>
        <w:t>” Their findings suggest that they do. In their conclusion they argue that Finland is something of a ‘most likely’ case to find such patterns which means that, ”R</w:t>
      </w:r>
      <w:r w:rsidRPr="00D2533E">
        <w:t>esearch from other contexts is therefore necessary to</w:t>
      </w:r>
      <w:r>
        <w:t xml:space="preserve"> establish how well the conclu</w:t>
      </w:r>
      <w:r w:rsidRPr="00D2533E">
        <w:t>sions dra</w:t>
      </w:r>
      <w:r>
        <w:t xml:space="preserve">wn here apply to other settings” (ibid, p.251). </w:t>
      </w:r>
    </w:p>
    <w:p w14:paraId="4090CC29" w14:textId="040944D2" w:rsidR="00A431CB" w:rsidRDefault="00846DB1" w:rsidP="00A431CB">
      <w:r>
        <w:t>T</w:t>
      </w:r>
      <w:r w:rsidR="00910EBD">
        <w:t xml:space="preserve">his </w:t>
      </w:r>
      <w:r>
        <w:t xml:space="preserve">is what this </w:t>
      </w:r>
      <w:r w:rsidR="00910EBD">
        <w:t>thesis aims to do.</w:t>
      </w:r>
      <w:r>
        <w:t xml:space="preserve"> </w:t>
      </w:r>
      <w:r w:rsidR="00A431CB">
        <w:t>The overarching approach is best summed up</w:t>
      </w:r>
      <w:r w:rsidR="006E46C8">
        <w:t xml:space="preserve"> by</w:t>
      </w:r>
      <w:r w:rsidR="00A431CB">
        <w:t xml:space="preserve"> the further research paths outlined by Schedler and Sarsfield (2007, p.654) who suggest the following three areas of interest to move the field forward:</w:t>
      </w:r>
    </w:p>
    <w:p w14:paraId="0DF50BC0" w14:textId="28010418" w:rsidR="00A431CB" w:rsidRDefault="00A431CB" w:rsidP="00A431CB">
      <w:pPr>
        <w:pStyle w:val="ListParagraph"/>
        <w:numPr>
          <w:ilvl w:val="0"/>
          <w:numId w:val="2"/>
        </w:numPr>
      </w:pPr>
      <w:r>
        <w:t xml:space="preserve">Drawing out fuller </w:t>
      </w:r>
      <w:r w:rsidRPr="00A431CB">
        <w:rPr>
          <w:i/>
        </w:rPr>
        <w:t>portraits</w:t>
      </w:r>
      <w:r>
        <w:t xml:space="preserve"> of citizens’ democratic ideals</w:t>
      </w:r>
    </w:p>
    <w:p w14:paraId="0CD089D6" w14:textId="0A2F329B" w:rsidR="00A431CB" w:rsidRDefault="00A431CB" w:rsidP="00A431CB">
      <w:pPr>
        <w:pStyle w:val="ListParagraph"/>
        <w:numPr>
          <w:ilvl w:val="0"/>
          <w:numId w:val="2"/>
        </w:numPr>
      </w:pPr>
      <w:r>
        <w:t xml:space="preserve">Exploring the </w:t>
      </w:r>
      <w:r w:rsidRPr="00A431CB">
        <w:rPr>
          <w:i/>
        </w:rPr>
        <w:t>origins</w:t>
      </w:r>
      <w:r>
        <w:t xml:space="preserve"> of different attitudinal profiles</w:t>
      </w:r>
    </w:p>
    <w:p w14:paraId="6220C0B4" w14:textId="65782DC9" w:rsidR="00A431CB" w:rsidRDefault="00A431CB" w:rsidP="00EE48E8">
      <w:pPr>
        <w:pStyle w:val="ListParagraph"/>
        <w:numPr>
          <w:ilvl w:val="0"/>
          <w:numId w:val="2"/>
        </w:numPr>
      </w:pPr>
      <w:r>
        <w:t xml:space="preserve">Studying the </w:t>
      </w:r>
      <w:r w:rsidRPr="00A431CB">
        <w:rPr>
          <w:i/>
        </w:rPr>
        <w:t>consequences</w:t>
      </w:r>
      <w:r>
        <w:t xml:space="preserve"> </w:t>
      </w:r>
      <w:r w:rsidR="006E46C8">
        <w:t>of</w:t>
      </w:r>
      <w:r>
        <w:t xml:space="preserve"> </w:t>
      </w:r>
      <w:r w:rsidR="006E46C8">
        <w:t>these ideological profiles</w:t>
      </w:r>
    </w:p>
    <w:p w14:paraId="3192B36E" w14:textId="76FC67D5" w:rsidR="00CF455B" w:rsidRPr="00846DB1" w:rsidRDefault="00CF455B" w:rsidP="00EE48E8">
      <w:r w:rsidRPr="00DB2734">
        <w:t xml:space="preserve">These calls for a new approach to examining citizens’ attitudes towards democracy underpin </w:t>
      </w:r>
      <w:r w:rsidR="00846DB1">
        <w:t>my</w:t>
      </w:r>
      <w:r w:rsidRPr="00DB2734">
        <w:t xml:space="preserve"> aims and objectives. </w:t>
      </w:r>
      <w:r w:rsidR="00DA3039" w:rsidRPr="00DB2734">
        <w:rPr>
          <w:rFonts w:cstheme="majorBidi"/>
        </w:rPr>
        <w:t>Th</w:t>
      </w:r>
      <w:r w:rsidR="00DA3039">
        <w:rPr>
          <w:rFonts w:cstheme="majorBidi"/>
        </w:rPr>
        <w:t>e</w:t>
      </w:r>
      <w:r w:rsidR="00DA3039" w:rsidRPr="00DB2734">
        <w:rPr>
          <w:rFonts w:cstheme="majorBidi"/>
        </w:rPr>
        <w:t xml:space="preserve"> </w:t>
      </w:r>
      <w:r w:rsidRPr="00DB2734">
        <w:rPr>
          <w:rFonts w:cstheme="majorBidi"/>
        </w:rPr>
        <w:t xml:space="preserve">thesis </w:t>
      </w:r>
      <w:r w:rsidR="00DA3039">
        <w:rPr>
          <w:rFonts w:cstheme="majorBidi"/>
        </w:rPr>
        <w:t>studies</w:t>
      </w:r>
      <w:r w:rsidRPr="00DB2734">
        <w:rPr>
          <w:rFonts w:cstheme="majorBidi"/>
        </w:rPr>
        <w:t xml:space="preserve"> attitudes towards democracy, but more specifically, how people </w:t>
      </w:r>
      <w:r w:rsidRPr="00846DB1">
        <w:rPr>
          <w:rFonts w:cstheme="majorBidi"/>
          <w:i/>
        </w:rPr>
        <w:t>understand</w:t>
      </w:r>
      <w:r w:rsidRPr="00DB2734">
        <w:rPr>
          <w:rFonts w:cstheme="majorBidi"/>
        </w:rPr>
        <w:t xml:space="preserve"> democracy. It asks the question: ‘how do people define democracy in different parts of the world?’ It seeks to extend the literature on democratic understanding at the global level, taking into account </w:t>
      </w:r>
      <w:r w:rsidR="00DA3039">
        <w:rPr>
          <w:rFonts w:cstheme="majorBidi"/>
        </w:rPr>
        <w:t xml:space="preserve">the calls for caution reflected in </w:t>
      </w:r>
      <w:r w:rsidRPr="00DB2734">
        <w:rPr>
          <w:rFonts w:cstheme="majorBidi"/>
        </w:rPr>
        <w:t>the regional and national level</w:t>
      </w:r>
      <w:r w:rsidR="00DA3039" w:rsidRPr="00DA3039">
        <w:rPr>
          <w:rFonts w:cstheme="majorBidi"/>
        </w:rPr>
        <w:t xml:space="preserve"> </w:t>
      </w:r>
      <w:r w:rsidR="00DA3039">
        <w:rPr>
          <w:rFonts w:cstheme="majorBidi"/>
        </w:rPr>
        <w:t>studies discussed above</w:t>
      </w:r>
      <w:r w:rsidRPr="00DB2734">
        <w:rPr>
          <w:rFonts w:cstheme="majorBidi"/>
        </w:rPr>
        <w:t>.</w:t>
      </w:r>
      <w:r w:rsidR="00672BC7">
        <w:rPr>
          <w:rFonts w:cstheme="majorBidi"/>
        </w:rPr>
        <w:t xml:space="preserve"> I</w:t>
      </w:r>
      <w:r w:rsidRPr="00DB2734">
        <w:rPr>
          <w:rFonts w:cstheme="majorBidi"/>
        </w:rPr>
        <w:t>t takes a further analytical step by looking at related questions such as</w:t>
      </w:r>
      <w:r w:rsidR="00DA3039">
        <w:rPr>
          <w:rFonts w:cstheme="majorBidi"/>
        </w:rPr>
        <w:t>:</w:t>
      </w:r>
      <w:r w:rsidRPr="00DB2734">
        <w:rPr>
          <w:rFonts w:cstheme="majorBidi"/>
        </w:rPr>
        <w:t xml:space="preserve"> ‘can we explain why certain people think</w:t>
      </w:r>
      <w:r w:rsidR="00F47674">
        <w:rPr>
          <w:rFonts w:cstheme="majorBidi"/>
        </w:rPr>
        <w:t xml:space="preserve"> of democracy in certain ways?’</w:t>
      </w:r>
      <w:r w:rsidR="00BC7E07">
        <w:rPr>
          <w:rFonts w:cstheme="majorBidi"/>
        </w:rPr>
        <w:t xml:space="preserve"> and</w:t>
      </w:r>
      <w:r w:rsidR="00A431CB">
        <w:rPr>
          <w:rFonts w:cstheme="majorBidi"/>
        </w:rPr>
        <w:t xml:space="preserve"> then</w:t>
      </w:r>
      <w:r w:rsidR="00BC7E07">
        <w:rPr>
          <w:rFonts w:cstheme="majorBidi"/>
        </w:rPr>
        <w:t>,</w:t>
      </w:r>
      <w:r w:rsidRPr="00DB2734">
        <w:rPr>
          <w:rFonts w:cstheme="majorBidi"/>
        </w:rPr>
        <w:t xml:space="preserve"> ‘does a person’s definition of democracy </w:t>
      </w:r>
      <w:r w:rsidR="00DA3039">
        <w:rPr>
          <w:rFonts w:cstheme="majorBidi"/>
        </w:rPr>
        <w:t>a</w:t>
      </w:r>
      <w:r w:rsidR="00DA3039" w:rsidRPr="00DB2734">
        <w:rPr>
          <w:rFonts w:cstheme="majorBidi"/>
        </w:rPr>
        <w:t xml:space="preserve">ffect </w:t>
      </w:r>
      <w:r w:rsidR="00BC7E07">
        <w:rPr>
          <w:rFonts w:cstheme="majorBidi"/>
        </w:rPr>
        <w:t>their political behaviour?’</w:t>
      </w:r>
    </w:p>
    <w:p w14:paraId="55B2815D" w14:textId="3B83EC36" w:rsidR="00D1659F" w:rsidRPr="00DB2734" w:rsidRDefault="00CF455B" w:rsidP="00EE48E8">
      <w:pPr>
        <w:rPr>
          <w:rFonts w:cstheme="majorBidi"/>
        </w:rPr>
      </w:pPr>
      <w:r w:rsidRPr="00DB2734">
        <w:rPr>
          <w:rFonts w:cstheme="majorBidi"/>
        </w:rPr>
        <w:t>The following section details these aims and objectives in full.</w:t>
      </w:r>
    </w:p>
    <w:p w14:paraId="178D4D39" w14:textId="77777777" w:rsidR="00CF455B" w:rsidRPr="00577217" w:rsidRDefault="00CF455B" w:rsidP="00577217">
      <w:pPr>
        <w:pStyle w:val="Heading2"/>
      </w:pPr>
      <w:bookmarkStart w:id="17" w:name="_Toc441069012"/>
      <w:bookmarkStart w:id="18" w:name="_Toc441069157"/>
      <w:bookmarkStart w:id="19" w:name="_Toc494034204"/>
      <w:r w:rsidRPr="00577217">
        <w:t>1.4 Aims and Objectives</w:t>
      </w:r>
      <w:bookmarkEnd w:id="17"/>
      <w:bookmarkEnd w:id="18"/>
      <w:bookmarkEnd w:id="19"/>
    </w:p>
    <w:p w14:paraId="22D84D4A" w14:textId="0F42E216" w:rsidR="00CF455B" w:rsidRPr="00DB2734" w:rsidRDefault="00334A78" w:rsidP="00EE48E8">
      <w:r>
        <w:t>The three inter</w:t>
      </w:r>
      <w:r w:rsidR="00CF455B" w:rsidRPr="00DB2734">
        <w:t>linked</w:t>
      </w:r>
      <w:r>
        <w:t xml:space="preserve"> and overarching</w:t>
      </w:r>
      <w:r w:rsidR="00CF455B" w:rsidRPr="00DB2734">
        <w:t xml:space="preserve"> aims of this thesis are to:</w:t>
      </w:r>
    </w:p>
    <w:p w14:paraId="5F19D198" w14:textId="216C7238" w:rsidR="00CF455B" w:rsidRPr="00780A24" w:rsidRDefault="006E46C8" w:rsidP="002032DF">
      <w:pPr>
        <w:pStyle w:val="ListParagraph"/>
        <w:numPr>
          <w:ilvl w:val="0"/>
          <w:numId w:val="14"/>
        </w:numPr>
      </w:pPr>
      <w:r>
        <w:t>Take an exploratory approach to p</w:t>
      </w:r>
      <w:r w:rsidR="00CF455B" w:rsidRPr="00DB2734">
        <w:t>roduce dimensions of citizen understandings of democracy</w:t>
      </w:r>
    </w:p>
    <w:p w14:paraId="7C8A9985" w14:textId="77777777" w:rsidR="00CF455B" w:rsidRPr="00BB47ED" w:rsidRDefault="00CF455B" w:rsidP="002032DF">
      <w:pPr>
        <w:pStyle w:val="ListParagraph"/>
        <w:numPr>
          <w:ilvl w:val="0"/>
          <w:numId w:val="14"/>
        </w:numPr>
      </w:pPr>
      <w:r w:rsidRPr="00DB2734">
        <w:t xml:space="preserve">Outline what individual characteristics, and what national contexts, explain these dimensions of understanding </w:t>
      </w:r>
    </w:p>
    <w:p w14:paraId="6C307355" w14:textId="77777777" w:rsidR="00CF455B" w:rsidRPr="00DB2734" w:rsidRDefault="00CF455B" w:rsidP="002032DF">
      <w:pPr>
        <w:pStyle w:val="ListParagraph"/>
        <w:numPr>
          <w:ilvl w:val="0"/>
          <w:numId w:val="14"/>
        </w:numPr>
      </w:pPr>
      <w:r w:rsidRPr="00DB2734">
        <w:t>Examine what impact these understandings have on political participation</w:t>
      </w:r>
    </w:p>
    <w:p w14:paraId="19C57300" w14:textId="7E24613F" w:rsidR="00CF455B" w:rsidRPr="00DB2734" w:rsidRDefault="00CF455B" w:rsidP="00EE48E8">
      <w:r w:rsidRPr="00DB2734">
        <w:t xml:space="preserve">These three aims feed into each other, so that each builds on the findings and results of the previous. In order to achieve these </w:t>
      </w:r>
      <w:r w:rsidR="006E46C8" w:rsidRPr="00DB2734">
        <w:t>objectives,</w:t>
      </w:r>
      <w:r w:rsidRPr="00DB2734">
        <w:t xml:space="preserve"> I have identified research objectives within each one.</w:t>
      </w:r>
    </w:p>
    <w:p w14:paraId="46D988DD" w14:textId="77777777" w:rsidR="00CF455B" w:rsidRPr="00DB2734" w:rsidRDefault="00CF455B" w:rsidP="00EE48E8">
      <w:pPr>
        <w:rPr>
          <w:i/>
          <w:iCs/>
        </w:rPr>
      </w:pPr>
      <w:r w:rsidRPr="00DB2734">
        <w:rPr>
          <w:i/>
          <w:iCs/>
        </w:rPr>
        <w:t>1: Understanding Democracy – From the Citizens’ Point of View</w:t>
      </w:r>
    </w:p>
    <w:p w14:paraId="2264532A" w14:textId="31193C16" w:rsidR="00CF455B" w:rsidRPr="00DB2734" w:rsidRDefault="00CF455B" w:rsidP="00EE48E8">
      <w:r w:rsidRPr="00DB2734">
        <w:t>The first step</w:t>
      </w:r>
      <w:r w:rsidR="00334A78">
        <w:t xml:space="preserve"> taken in this thesis</w:t>
      </w:r>
      <w:r w:rsidRPr="00DB2734">
        <w:t xml:space="preserve"> is to address the gap in the literature when it comes to examining what citizens themselves think democracy is. </w:t>
      </w:r>
      <w:r w:rsidR="00E925C5">
        <w:t>I</w:t>
      </w:r>
      <w:r w:rsidRPr="00DB2734">
        <w:t xml:space="preserve"> then identif</w:t>
      </w:r>
      <w:r w:rsidR="00334A78">
        <w:t>y</w:t>
      </w:r>
      <w:r w:rsidRPr="00DB2734">
        <w:t xml:space="preserve"> the </w:t>
      </w:r>
      <w:r w:rsidR="00E925C5">
        <w:t xml:space="preserve">appropriate </w:t>
      </w:r>
      <w:r w:rsidRPr="00DB2734">
        <w:t xml:space="preserve">data and methods </w:t>
      </w:r>
      <w:r w:rsidR="00E925C5">
        <w:t>to</w:t>
      </w:r>
      <w:r w:rsidRPr="00DB2734">
        <w:t xml:space="preserve"> help shed more light on this area, before producing new dimensions of democratic understanding that are based on the opinions of citizens. Accordingly, the research objectives for this aim are:</w:t>
      </w:r>
    </w:p>
    <w:p w14:paraId="7DD733AB" w14:textId="75EE24A1" w:rsidR="00CF455B" w:rsidRPr="00DB2734" w:rsidRDefault="00E925C5" w:rsidP="002032DF">
      <w:pPr>
        <w:pStyle w:val="ListParagraph"/>
        <w:numPr>
          <w:ilvl w:val="1"/>
          <w:numId w:val="15"/>
        </w:numPr>
      </w:pPr>
      <w:r>
        <w:t>To d</w:t>
      </w:r>
      <w:r w:rsidR="00CF455B" w:rsidRPr="00DB2734">
        <w:t>etail the motivation behind this study: that measurements of democratic support have become meaningless when we do not know how the term ‘democracy’ is understood</w:t>
      </w:r>
      <w:r>
        <w:t>;</w:t>
      </w:r>
    </w:p>
    <w:p w14:paraId="43E616EA" w14:textId="4ECBBB5C" w:rsidR="00CF455B" w:rsidRPr="00DB2734" w:rsidRDefault="00E925C5" w:rsidP="002032DF">
      <w:pPr>
        <w:pStyle w:val="ListParagraph"/>
        <w:numPr>
          <w:ilvl w:val="1"/>
          <w:numId w:val="15"/>
        </w:numPr>
      </w:pPr>
      <w:r>
        <w:t>To i</w:t>
      </w:r>
      <w:r w:rsidR="00CF455B" w:rsidRPr="00DB2734">
        <w:t xml:space="preserve">nvestigate the development of theoretical </w:t>
      </w:r>
      <w:r w:rsidR="001E3FD2">
        <w:t>conceptualis</w:t>
      </w:r>
      <w:r w:rsidR="00CF455B" w:rsidRPr="00DB2734">
        <w:t>ations of democracy, to outline what role the knowled</w:t>
      </w:r>
      <w:r w:rsidR="00334A78">
        <w:t>ge and support of citizens play</w:t>
      </w:r>
      <w:r w:rsidR="00CF455B" w:rsidRPr="00DB2734">
        <w:t xml:space="preserve"> in a democratic regime</w:t>
      </w:r>
      <w:r>
        <w:t>;</w:t>
      </w:r>
    </w:p>
    <w:p w14:paraId="6D09E925" w14:textId="6568FF8D" w:rsidR="00CF455B" w:rsidRPr="00DB2734" w:rsidRDefault="00E925C5" w:rsidP="002032DF">
      <w:pPr>
        <w:pStyle w:val="ListParagraph"/>
        <w:numPr>
          <w:ilvl w:val="1"/>
          <w:numId w:val="15"/>
        </w:numPr>
      </w:pPr>
      <w:r>
        <w:t>To p</w:t>
      </w:r>
      <w:r w:rsidR="00CF455B" w:rsidRPr="00DB2734">
        <w:t>roduce a literature review to identify contemporary studies that have started to examine citizen understandings of democracy</w:t>
      </w:r>
      <w:r>
        <w:t>;</w:t>
      </w:r>
    </w:p>
    <w:p w14:paraId="30421DFD" w14:textId="42DB07F9" w:rsidR="00CF455B" w:rsidRPr="00DB2734" w:rsidRDefault="00E925C5" w:rsidP="002032DF">
      <w:pPr>
        <w:pStyle w:val="ListParagraph"/>
        <w:numPr>
          <w:ilvl w:val="1"/>
          <w:numId w:val="15"/>
        </w:numPr>
      </w:pPr>
      <w:r>
        <w:t>To u</w:t>
      </w:r>
      <w:r w:rsidR="00CF455B" w:rsidRPr="00DB2734">
        <w:t xml:space="preserve">se the literature in </w:t>
      </w:r>
      <w:r w:rsidR="00BC7E07">
        <w:t>objectives 1</w:t>
      </w:r>
      <w:r w:rsidR="00CF455B" w:rsidRPr="00DB2734">
        <w:t>.</w:t>
      </w:r>
      <w:r w:rsidR="00BC7E07">
        <w:t>1 – 1</w:t>
      </w:r>
      <w:r w:rsidR="00CF455B" w:rsidRPr="00DB2734">
        <w:t>.3 to identify the most appropriate data and methodological approach for producing my own dimensions of democratic understanding</w:t>
      </w:r>
      <w:r>
        <w:t>;</w:t>
      </w:r>
    </w:p>
    <w:p w14:paraId="1D9060A3" w14:textId="77777777" w:rsidR="00BC7E07" w:rsidRDefault="00E925C5" w:rsidP="002032DF">
      <w:pPr>
        <w:pStyle w:val="ListParagraph"/>
        <w:numPr>
          <w:ilvl w:val="1"/>
          <w:numId w:val="15"/>
        </w:numPr>
      </w:pPr>
      <w:r>
        <w:t>To e</w:t>
      </w:r>
      <w:r w:rsidR="00CF455B" w:rsidRPr="00DB2734">
        <w:t>xamine what theoretical expectations are borne out in the descriptive data</w:t>
      </w:r>
      <w:r w:rsidR="00487D0E">
        <w:t>; and</w:t>
      </w:r>
    </w:p>
    <w:p w14:paraId="595A5064" w14:textId="46D81572" w:rsidR="00CF455B" w:rsidRPr="00DB2734" w:rsidRDefault="00CF455B" w:rsidP="002032DF">
      <w:pPr>
        <w:pStyle w:val="ListParagraph"/>
        <w:numPr>
          <w:ilvl w:val="1"/>
          <w:numId w:val="15"/>
        </w:numPr>
      </w:pPr>
      <w:r w:rsidRPr="00DB2734">
        <w:t xml:space="preserve">Using the data, </w:t>
      </w:r>
      <w:r w:rsidR="00487D0E">
        <w:t xml:space="preserve">to </w:t>
      </w:r>
      <w:r w:rsidRPr="00DB2734">
        <w:t>produce a framework of how citizens themselves understand democracy</w:t>
      </w:r>
      <w:r w:rsidR="00487D0E">
        <w:t>.</w:t>
      </w:r>
    </w:p>
    <w:p w14:paraId="78CAE843" w14:textId="77777777" w:rsidR="00CF455B" w:rsidRPr="00DB2734" w:rsidRDefault="00CF455B" w:rsidP="00EE48E8">
      <w:pPr>
        <w:rPr>
          <w:i/>
          <w:iCs/>
        </w:rPr>
      </w:pPr>
      <w:r w:rsidRPr="00DB2734">
        <w:rPr>
          <w:i/>
          <w:iCs/>
        </w:rPr>
        <w:t>2: Explaining Different Understandings of Democracy</w:t>
      </w:r>
    </w:p>
    <w:p w14:paraId="1B3D4DAD" w14:textId="3A278826" w:rsidR="00CF455B" w:rsidRPr="00DB2734" w:rsidRDefault="00334A78" w:rsidP="00EE48E8">
      <w:r>
        <w:t>In t</w:t>
      </w:r>
      <w:r w:rsidR="00CF455B" w:rsidRPr="00DB2734">
        <w:t xml:space="preserve">he second step </w:t>
      </w:r>
      <w:r>
        <w:t xml:space="preserve">I </w:t>
      </w:r>
      <w:r w:rsidR="00F568E2">
        <w:t>examine</w:t>
      </w:r>
      <w:r w:rsidR="00F568E2" w:rsidRPr="00DB2734">
        <w:t xml:space="preserve"> </w:t>
      </w:r>
      <w:r w:rsidR="00CF455B" w:rsidRPr="00DB2734">
        <w:t>wh</w:t>
      </w:r>
      <w:r w:rsidR="00F568E2">
        <w:t>ich</w:t>
      </w:r>
      <w:r w:rsidR="00CF455B" w:rsidRPr="00DB2734">
        <w:t xml:space="preserve"> individual and contextual variables can explain the different understandings of democracy outlined in part one. The explanatory variables will draw on theoretical approaches outlined </w:t>
      </w:r>
      <w:r w:rsidR="00BC7E07">
        <w:t>by objectives</w:t>
      </w:r>
      <w:r w:rsidR="00CF455B" w:rsidRPr="00DB2734">
        <w:t xml:space="preserve"> </w:t>
      </w:r>
      <w:r w:rsidR="00BC7E07">
        <w:t>1</w:t>
      </w:r>
      <w:r w:rsidR="00CF455B" w:rsidRPr="00DB2734">
        <w:t>.</w:t>
      </w:r>
      <w:r w:rsidR="00BC7E07">
        <w:t>1 – 1</w:t>
      </w:r>
      <w:r w:rsidR="00CF455B" w:rsidRPr="00DB2734">
        <w:t>.3. In this section, the different components of the framework of understanding will be the dependent variable in the analysis. Accordingly, the research objectives of this section are:</w:t>
      </w:r>
    </w:p>
    <w:p w14:paraId="19D998BA" w14:textId="5AC7AB5B" w:rsidR="00CF455B" w:rsidRPr="00DB2734" w:rsidRDefault="00CF455B" w:rsidP="00EE48E8">
      <w:r w:rsidRPr="00DB2734">
        <w:t>2.1 With reference to theoretical expectations, analyse the individual variables that explain different understanding of democracy</w:t>
      </w:r>
      <w:r w:rsidR="003E4479">
        <w:t xml:space="preserve">; and </w:t>
      </w:r>
    </w:p>
    <w:p w14:paraId="4BC4D7DC" w14:textId="63FF18BA" w:rsidR="00CF455B" w:rsidRPr="00DB2734" w:rsidRDefault="00CF455B" w:rsidP="00EE48E8">
      <w:r w:rsidRPr="00DB2734">
        <w:t>2.2 With references to theoretical expectations, analyse the contextual variables that explain different understandings of democracy</w:t>
      </w:r>
      <w:r w:rsidR="003E4479">
        <w:t>.</w:t>
      </w:r>
    </w:p>
    <w:p w14:paraId="5999E6EA" w14:textId="0D7FE649" w:rsidR="00CF455B" w:rsidRPr="00DB2734" w:rsidRDefault="00CF455B" w:rsidP="00EE48E8">
      <w:pPr>
        <w:rPr>
          <w:i/>
          <w:iCs/>
        </w:rPr>
      </w:pPr>
      <w:r w:rsidRPr="00DB2734">
        <w:rPr>
          <w:i/>
          <w:iCs/>
        </w:rPr>
        <w:t xml:space="preserve">3: </w:t>
      </w:r>
      <w:r w:rsidR="00BC7E07">
        <w:rPr>
          <w:i/>
          <w:iCs/>
        </w:rPr>
        <w:t>Examining what</w:t>
      </w:r>
      <w:r w:rsidRPr="00DB2734">
        <w:rPr>
          <w:i/>
          <w:iCs/>
        </w:rPr>
        <w:t xml:space="preserve"> </w:t>
      </w:r>
      <w:r w:rsidR="00BC7E07">
        <w:rPr>
          <w:i/>
          <w:iCs/>
        </w:rPr>
        <w:t>affects dimensions of democratic understanding have</w:t>
      </w:r>
    </w:p>
    <w:p w14:paraId="003C909A" w14:textId="141305AF" w:rsidR="00CF455B" w:rsidRPr="00DB2734" w:rsidRDefault="00CF455B" w:rsidP="00EE48E8">
      <w:r w:rsidRPr="00DB2734">
        <w:t>The last step provides the ‘so what?’ aspect of this thesis. Beyond an academic interest in whether citizens are thinking different things when they say they support the idea of ‘democracy’</w:t>
      </w:r>
      <w:r w:rsidR="009F3FE2">
        <w:t>,</w:t>
      </w:r>
      <w:r w:rsidRPr="00DB2734">
        <w:t xml:space="preserve"> it is crucial to see if these understandings affect the</w:t>
      </w:r>
      <w:r w:rsidR="009F3FE2">
        <w:t>ir</w:t>
      </w:r>
      <w:r w:rsidRPr="00DB2734">
        <w:t xml:space="preserve"> political behaviour. This thesis will look at elements of non-institutionalised</w:t>
      </w:r>
      <w:r>
        <w:t>, informal</w:t>
      </w:r>
      <w:r w:rsidRPr="00DB2734">
        <w:t xml:space="preserve"> political behaviour.</w:t>
      </w:r>
      <w:r w:rsidR="00A3190F">
        <w:t xml:space="preserve"> The reason for this is outlined in later chapters, however, the main rationale is that these behaviours are more widely available to citizens (in theory at least), compared to institutional democratic participation such as voting, which is not.</w:t>
      </w:r>
      <w:r w:rsidRPr="00DB2734">
        <w:t xml:space="preserve"> In this section, the different components of democratic understanding will be independent variables in the analysis: I want to see what explanatory power they might have.</w:t>
      </w:r>
      <w:r w:rsidR="004D28DF">
        <w:t xml:space="preserve"> Accordingly, the research objectives are:</w:t>
      </w:r>
    </w:p>
    <w:p w14:paraId="2E842582" w14:textId="123A4794" w:rsidR="00CF455B" w:rsidRPr="00DB2734" w:rsidRDefault="00CF455B" w:rsidP="00EE48E8">
      <w:r w:rsidRPr="00DB2734">
        <w:t xml:space="preserve">3.1 </w:t>
      </w:r>
      <w:r w:rsidR="004D28DF">
        <w:t>To d</w:t>
      </w:r>
      <w:r w:rsidRPr="00DB2734">
        <w:t>etermine what impact the understanding components have on non-institutionalised</w:t>
      </w:r>
      <w:r>
        <w:t>, informal political participation</w:t>
      </w:r>
      <w:r w:rsidR="004D28DF">
        <w:t xml:space="preserve">; </w:t>
      </w:r>
    </w:p>
    <w:p w14:paraId="1E9FC399" w14:textId="6C54626D" w:rsidR="00CF455B" w:rsidRPr="00DB2734" w:rsidRDefault="00CF455B" w:rsidP="00EE48E8">
      <w:r w:rsidRPr="00DB2734">
        <w:t xml:space="preserve">3.2 </w:t>
      </w:r>
      <w:r w:rsidR="004D28DF">
        <w:t>To c</w:t>
      </w:r>
      <w:r w:rsidR="004D28DF" w:rsidRPr="00DB2734">
        <w:t xml:space="preserve">ompare </w:t>
      </w:r>
      <w:r w:rsidRPr="00DB2734">
        <w:t>this impact with that of other predominant theories in the field</w:t>
      </w:r>
      <w:r w:rsidR="004D28DF">
        <w:t>; and</w:t>
      </w:r>
    </w:p>
    <w:p w14:paraId="25C5F7EF" w14:textId="7FF2F852" w:rsidR="00D1659F" w:rsidRDefault="00CF455B" w:rsidP="00D1659F">
      <w:r w:rsidRPr="00DB2734">
        <w:t xml:space="preserve">3.3 </w:t>
      </w:r>
      <w:r w:rsidR="004D28DF">
        <w:t>To e</w:t>
      </w:r>
      <w:r w:rsidR="004D28DF" w:rsidRPr="00DB2734">
        <w:t xml:space="preserve">valuate </w:t>
      </w:r>
      <w:r w:rsidRPr="00DB2734">
        <w:t>the success of the approach, and outline potential further research in this area</w:t>
      </w:r>
      <w:r w:rsidR="004D28DF">
        <w:t>.</w:t>
      </w:r>
      <w:bookmarkStart w:id="20" w:name="_Toc441069013"/>
      <w:bookmarkStart w:id="21" w:name="_Toc441069158"/>
    </w:p>
    <w:p w14:paraId="3D44DE00" w14:textId="77777777" w:rsidR="00CF455B" w:rsidRPr="00577217" w:rsidRDefault="00CF455B" w:rsidP="00577217">
      <w:pPr>
        <w:pStyle w:val="Heading2"/>
      </w:pPr>
      <w:bookmarkStart w:id="22" w:name="_Toc494034205"/>
      <w:r w:rsidRPr="00577217">
        <w:t>1.5 Chapter Outline</w:t>
      </w:r>
      <w:bookmarkEnd w:id="20"/>
      <w:bookmarkEnd w:id="21"/>
      <w:bookmarkEnd w:id="22"/>
    </w:p>
    <w:p w14:paraId="3C19BC81" w14:textId="36C55F12" w:rsidR="00D1659F" w:rsidRPr="00DB2734" w:rsidRDefault="00CF455B" w:rsidP="00EE48E8">
      <w:r w:rsidRPr="00DB2734">
        <w:t>After this introduction chapter, the following structure of the thesis is as follows:</w:t>
      </w:r>
    </w:p>
    <w:tbl>
      <w:tblPr>
        <w:tblW w:w="0" w:type="auto"/>
        <w:tblLook w:val="04A0" w:firstRow="1" w:lastRow="0" w:firstColumn="1" w:lastColumn="0" w:noHBand="0" w:noVBand="1"/>
      </w:tblPr>
      <w:tblGrid>
        <w:gridCol w:w="1852"/>
        <w:gridCol w:w="5243"/>
        <w:gridCol w:w="1574"/>
      </w:tblGrid>
      <w:tr w:rsidR="00CF455B" w:rsidRPr="00A80C68" w14:paraId="0F357EFF" w14:textId="77777777" w:rsidTr="00D640CD">
        <w:tc>
          <w:tcPr>
            <w:tcW w:w="1951" w:type="dxa"/>
            <w:tcBorders>
              <w:bottom w:val="single" w:sz="4" w:space="0" w:color="auto"/>
              <w:right w:val="single" w:sz="4" w:space="0" w:color="auto"/>
            </w:tcBorders>
          </w:tcPr>
          <w:p w14:paraId="6A963D54" w14:textId="77777777" w:rsidR="00CF455B" w:rsidRPr="00A80C68" w:rsidRDefault="00CF455B" w:rsidP="00A80C68">
            <w:pPr>
              <w:spacing w:before="100" w:beforeAutospacing="1" w:line="240" w:lineRule="auto"/>
              <w:rPr>
                <w:rFonts w:cs="Segoe UI"/>
                <w:b/>
                <w:sz w:val="20"/>
                <w:szCs w:val="20"/>
              </w:rPr>
            </w:pPr>
          </w:p>
        </w:tc>
        <w:tc>
          <w:tcPr>
            <w:tcW w:w="5670" w:type="dxa"/>
            <w:tcBorders>
              <w:left w:val="single" w:sz="4" w:space="0" w:color="auto"/>
              <w:bottom w:val="single" w:sz="4" w:space="0" w:color="auto"/>
            </w:tcBorders>
          </w:tcPr>
          <w:p w14:paraId="20BBB5AE"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w:t>
            </w:r>
          </w:p>
        </w:tc>
        <w:tc>
          <w:tcPr>
            <w:tcW w:w="1621" w:type="dxa"/>
            <w:tcBorders>
              <w:bottom w:val="single" w:sz="4" w:space="0" w:color="auto"/>
            </w:tcBorders>
          </w:tcPr>
          <w:p w14:paraId="5C3598D8" w14:textId="77777777" w:rsidR="00CF455B" w:rsidRPr="00D640CD" w:rsidRDefault="00CF455B" w:rsidP="00A80C68">
            <w:pPr>
              <w:spacing w:before="100" w:beforeAutospacing="1" w:line="240" w:lineRule="auto"/>
              <w:rPr>
                <w:rFonts w:cs="Segoe UI"/>
                <w:b/>
                <w:szCs w:val="24"/>
              </w:rPr>
            </w:pPr>
            <w:r w:rsidRPr="00D640CD">
              <w:rPr>
                <w:rFonts w:cs="Segoe UI"/>
                <w:b/>
                <w:szCs w:val="24"/>
              </w:rPr>
              <w:t>Objective</w:t>
            </w:r>
          </w:p>
        </w:tc>
      </w:tr>
      <w:tr w:rsidR="00CF455B" w:rsidRPr="00A80C68" w14:paraId="37A9AC85" w14:textId="77777777" w:rsidTr="00D640CD">
        <w:tc>
          <w:tcPr>
            <w:tcW w:w="1951" w:type="dxa"/>
            <w:tcBorders>
              <w:top w:val="single" w:sz="4" w:space="0" w:color="auto"/>
              <w:right w:val="single" w:sz="4" w:space="0" w:color="auto"/>
            </w:tcBorders>
          </w:tcPr>
          <w:p w14:paraId="1255BF07"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 1</w:t>
            </w:r>
          </w:p>
        </w:tc>
        <w:tc>
          <w:tcPr>
            <w:tcW w:w="5670" w:type="dxa"/>
            <w:tcBorders>
              <w:top w:val="single" w:sz="4" w:space="0" w:color="auto"/>
              <w:left w:val="single" w:sz="4" w:space="0" w:color="auto"/>
            </w:tcBorders>
          </w:tcPr>
          <w:p w14:paraId="7E8E2078" w14:textId="77777777" w:rsidR="00CF455B" w:rsidRPr="00D640CD" w:rsidRDefault="00CF455B" w:rsidP="00A80C68">
            <w:pPr>
              <w:spacing w:before="100" w:beforeAutospacing="1" w:line="240" w:lineRule="auto"/>
              <w:rPr>
                <w:rFonts w:cs="Segoe UI"/>
              </w:rPr>
            </w:pPr>
            <w:r w:rsidRPr="00D640CD">
              <w:rPr>
                <w:rFonts w:cs="Segoe UI"/>
              </w:rPr>
              <w:t>Introduction</w:t>
            </w:r>
          </w:p>
        </w:tc>
        <w:tc>
          <w:tcPr>
            <w:tcW w:w="1621" w:type="dxa"/>
            <w:tcBorders>
              <w:top w:val="single" w:sz="4" w:space="0" w:color="auto"/>
            </w:tcBorders>
          </w:tcPr>
          <w:p w14:paraId="2D808CE3" w14:textId="77777777" w:rsidR="00CF455B" w:rsidRPr="00D640CD" w:rsidRDefault="00CF455B" w:rsidP="00A80C68">
            <w:pPr>
              <w:spacing w:before="100" w:beforeAutospacing="1" w:line="240" w:lineRule="auto"/>
              <w:rPr>
                <w:rFonts w:cs="Segoe UI"/>
              </w:rPr>
            </w:pPr>
          </w:p>
        </w:tc>
      </w:tr>
      <w:tr w:rsidR="00CF455B" w:rsidRPr="00A80C68" w14:paraId="5900157C" w14:textId="77777777" w:rsidTr="00D640CD">
        <w:tc>
          <w:tcPr>
            <w:tcW w:w="1951" w:type="dxa"/>
            <w:tcBorders>
              <w:right w:val="single" w:sz="4" w:space="0" w:color="auto"/>
            </w:tcBorders>
          </w:tcPr>
          <w:p w14:paraId="034C2BCF" w14:textId="77777777" w:rsidR="00CF455B" w:rsidRPr="00D640CD" w:rsidRDefault="00CF455B" w:rsidP="00A80C68">
            <w:pPr>
              <w:spacing w:before="100" w:beforeAutospacing="1" w:line="240" w:lineRule="auto"/>
              <w:rPr>
                <w:rFonts w:cs="Segoe UI"/>
                <w:b/>
                <w:i/>
                <w:szCs w:val="24"/>
              </w:rPr>
            </w:pPr>
          </w:p>
        </w:tc>
        <w:tc>
          <w:tcPr>
            <w:tcW w:w="5670" w:type="dxa"/>
            <w:tcBorders>
              <w:left w:val="single" w:sz="4" w:space="0" w:color="auto"/>
            </w:tcBorders>
          </w:tcPr>
          <w:p w14:paraId="1C394E3D" w14:textId="77777777" w:rsidR="00CF455B" w:rsidRPr="00D640CD" w:rsidRDefault="00CF455B" w:rsidP="00A80C68">
            <w:pPr>
              <w:spacing w:before="100" w:beforeAutospacing="1" w:line="240" w:lineRule="auto"/>
              <w:rPr>
                <w:rFonts w:cs="Segoe UI"/>
                <w:i/>
              </w:rPr>
            </w:pPr>
          </w:p>
        </w:tc>
        <w:tc>
          <w:tcPr>
            <w:tcW w:w="1621" w:type="dxa"/>
          </w:tcPr>
          <w:p w14:paraId="5D7B29D1" w14:textId="77777777" w:rsidR="00CF455B" w:rsidRPr="00D640CD" w:rsidRDefault="00CF455B" w:rsidP="00A80C68">
            <w:pPr>
              <w:spacing w:before="100" w:beforeAutospacing="1" w:line="240" w:lineRule="auto"/>
              <w:rPr>
                <w:rFonts w:cs="Segoe UI"/>
              </w:rPr>
            </w:pPr>
          </w:p>
        </w:tc>
      </w:tr>
      <w:tr w:rsidR="00CF455B" w:rsidRPr="00A80C68" w14:paraId="4C35DAF6" w14:textId="77777777" w:rsidTr="00D640CD">
        <w:tc>
          <w:tcPr>
            <w:tcW w:w="1951" w:type="dxa"/>
            <w:tcBorders>
              <w:right w:val="single" w:sz="4" w:space="0" w:color="auto"/>
            </w:tcBorders>
            <w:shd w:val="clear" w:color="auto" w:fill="F2F2F2" w:themeFill="background1" w:themeFillShade="F2"/>
          </w:tcPr>
          <w:p w14:paraId="734518BA" w14:textId="77777777" w:rsidR="00CF455B" w:rsidRPr="00D640CD" w:rsidRDefault="00CF455B" w:rsidP="00A80C68">
            <w:pPr>
              <w:spacing w:before="100" w:beforeAutospacing="1" w:line="240" w:lineRule="auto"/>
              <w:rPr>
                <w:rFonts w:cs="Segoe UI"/>
                <w:b/>
                <w:i/>
                <w:szCs w:val="24"/>
              </w:rPr>
            </w:pPr>
            <w:r w:rsidRPr="00D640CD">
              <w:rPr>
                <w:rFonts w:cs="Segoe UI"/>
                <w:b/>
                <w:i/>
                <w:szCs w:val="24"/>
              </w:rPr>
              <w:t>Step 1</w:t>
            </w:r>
          </w:p>
        </w:tc>
        <w:tc>
          <w:tcPr>
            <w:tcW w:w="5670" w:type="dxa"/>
            <w:tcBorders>
              <w:left w:val="single" w:sz="4" w:space="0" w:color="auto"/>
            </w:tcBorders>
            <w:shd w:val="clear" w:color="auto" w:fill="F2F2F2" w:themeFill="background1" w:themeFillShade="F2"/>
          </w:tcPr>
          <w:p w14:paraId="3CD279E0" w14:textId="77777777" w:rsidR="00CF455B" w:rsidRPr="00D640CD" w:rsidRDefault="00CF455B" w:rsidP="00A80C68">
            <w:pPr>
              <w:spacing w:before="100" w:beforeAutospacing="1" w:line="240" w:lineRule="auto"/>
              <w:rPr>
                <w:rFonts w:cs="Segoe UI"/>
                <w:i/>
              </w:rPr>
            </w:pPr>
          </w:p>
        </w:tc>
        <w:tc>
          <w:tcPr>
            <w:tcW w:w="1621" w:type="dxa"/>
            <w:shd w:val="clear" w:color="auto" w:fill="F2F2F2" w:themeFill="background1" w:themeFillShade="F2"/>
          </w:tcPr>
          <w:p w14:paraId="719A6C33" w14:textId="77777777" w:rsidR="00CF455B" w:rsidRPr="00D640CD" w:rsidRDefault="00CF455B" w:rsidP="00A80C68">
            <w:pPr>
              <w:spacing w:before="100" w:beforeAutospacing="1" w:line="240" w:lineRule="auto"/>
              <w:rPr>
                <w:rFonts w:cs="Segoe UI"/>
              </w:rPr>
            </w:pPr>
          </w:p>
        </w:tc>
      </w:tr>
      <w:tr w:rsidR="00CF455B" w:rsidRPr="00A80C68" w14:paraId="0AD3DD5D" w14:textId="77777777" w:rsidTr="00D640CD">
        <w:tc>
          <w:tcPr>
            <w:tcW w:w="1951" w:type="dxa"/>
            <w:tcBorders>
              <w:right w:val="single" w:sz="4" w:space="0" w:color="auto"/>
            </w:tcBorders>
            <w:shd w:val="clear" w:color="auto" w:fill="F2F2F2" w:themeFill="background1" w:themeFillShade="F2"/>
          </w:tcPr>
          <w:p w14:paraId="491DE1B7"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 2</w:t>
            </w:r>
          </w:p>
        </w:tc>
        <w:tc>
          <w:tcPr>
            <w:tcW w:w="5670" w:type="dxa"/>
            <w:tcBorders>
              <w:left w:val="single" w:sz="4" w:space="0" w:color="auto"/>
            </w:tcBorders>
            <w:shd w:val="clear" w:color="auto" w:fill="F2F2F2" w:themeFill="background1" w:themeFillShade="F2"/>
          </w:tcPr>
          <w:p w14:paraId="1A68F4DC" w14:textId="77777777" w:rsidR="00CF455B" w:rsidRPr="00D640CD" w:rsidRDefault="00CF455B" w:rsidP="00A80C68">
            <w:pPr>
              <w:spacing w:before="100" w:beforeAutospacing="1" w:line="240" w:lineRule="auto"/>
              <w:rPr>
                <w:rFonts w:cs="Segoe UI"/>
              </w:rPr>
            </w:pPr>
            <w:r w:rsidRPr="00D640CD">
              <w:rPr>
                <w:rFonts w:cs="Segoe UI"/>
              </w:rPr>
              <w:t>Literature Review</w:t>
            </w:r>
          </w:p>
        </w:tc>
        <w:tc>
          <w:tcPr>
            <w:tcW w:w="1621" w:type="dxa"/>
            <w:shd w:val="clear" w:color="auto" w:fill="F2F2F2" w:themeFill="background1" w:themeFillShade="F2"/>
          </w:tcPr>
          <w:p w14:paraId="47866B6C" w14:textId="77777777" w:rsidR="00CF455B" w:rsidRPr="00D640CD" w:rsidRDefault="00CF455B" w:rsidP="00A80C68">
            <w:pPr>
              <w:spacing w:before="100" w:beforeAutospacing="1" w:line="240" w:lineRule="auto"/>
              <w:rPr>
                <w:rFonts w:cs="Segoe UI"/>
              </w:rPr>
            </w:pPr>
            <w:r w:rsidRPr="00D640CD">
              <w:rPr>
                <w:rFonts w:cs="Segoe UI"/>
              </w:rPr>
              <w:t>1.1, 1.2 &amp; 1.3</w:t>
            </w:r>
          </w:p>
        </w:tc>
      </w:tr>
      <w:tr w:rsidR="00CF455B" w:rsidRPr="00A80C68" w14:paraId="59C1DD2F" w14:textId="77777777" w:rsidTr="00D640CD">
        <w:tc>
          <w:tcPr>
            <w:tcW w:w="1951" w:type="dxa"/>
            <w:tcBorders>
              <w:right w:val="single" w:sz="4" w:space="0" w:color="auto"/>
            </w:tcBorders>
            <w:shd w:val="clear" w:color="auto" w:fill="F2F2F2" w:themeFill="background1" w:themeFillShade="F2"/>
          </w:tcPr>
          <w:p w14:paraId="7CDFE510"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 3</w:t>
            </w:r>
          </w:p>
        </w:tc>
        <w:tc>
          <w:tcPr>
            <w:tcW w:w="5670" w:type="dxa"/>
            <w:tcBorders>
              <w:left w:val="single" w:sz="4" w:space="0" w:color="auto"/>
            </w:tcBorders>
            <w:shd w:val="clear" w:color="auto" w:fill="F2F2F2" w:themeFill="background1" w:themeFillShade="F2"/>
          </w:tcPr>
          <w:p w14:paraId="3463A46E" w14:textId="77777777" w:rsidR="00CF455B" w:rsidRPr="00D640CD" w:rsidRDefault="00CF455B" w:rsidP="00A80C68">
            <w:pPr>
              <w:spacing w:before="100" w:beforeAutospacing="1" w:line="240" w:lineRule="auto"/>
              <w:rPr>
                <w:rFonts w:cs="Segoe UI"/>
              </w:rPr>
            </w:pPr>
            <w:r w:rsidRPr="00D640CD">
              <w:rPr>
                <w:rFonts w:cs="Segoe UI"/>
              </w:rPr>
              <w:t>Data and Descriptive Statistics</w:t>
            </w:r>
          </w:p>
        </w:tc>
        <w:tc>
          <w:tcPr>
            <w:tcW w:w="1621" w:type="dxa"/>
            <w:shd w:val="clear" w:color="auto" w:fill="F2F2F2" w:themeFill="background1" w:themeFillShade="F2"/>
          </w:tcPr>
          <w:p w14:paraId="6DA7CF1F" w14:textId="77777777" w:rsidR="00CF455B" w:rsidRPr="00D640CD" w:rsidRDefault="00CF455B" w:rsidP="00A80C68">
            <w:pPr>
              <w:spacing w:before="100" w:beforeAutospacing="1" w:line="240" w:lineRule="auto"/>
              <w:rPr>
                <w:rFonts w:cs="Segoe UI"/>
              </w:rPr>
            </w:pPr>
            <w:r w:rsidRPr="00D640CD">
              <w:rPr>
                <w:rFonts w:cs="Segoe UI"/>
              </w:rPr>
              <w:t>1.4 &amp; 1.5</w:t>
            </w:r>
          </w:p>
        </w:tc>
      </w:tr>
      <w:tr w:rsidR="00CF455B" w:rsidRPr="00A80C68" w14:paraId="0041493F" w14:textId="77777777" w:rsidTr="00D640CD">
        <w:tc>
          <w:tcPr>
            <w:tcW w:w="1951" w:type="dxa"/>
            <w:tcBorders>
              <w:right w:val="single" w:sz="4" w:space="0" w:color="auto"/>
            </w:tcBorders>
            <w:shd w:val="clear" w:color="auto" w:fill="F2F2F2" w:themeFill="background1" w:themeFillShade="F2"/>
          </w:tcPr>
          <w:p w14:paraId="7D4F36E7"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 4</w:t>
            </w:r>
          </w:p>
        </w:tc>
        <w:tc>
          <w:tcPr>
            <w:tcW w:w="5670" w:type="dxa"/>
            <w:tcBorders>
              <w:left w:val="single" w:sz="4" w:space="0" w:color="auto"/>
            </w:tcBorders>
            <w:shd w:val="clear" w:color="auto" w:fill="F2F2F2" w:themeFill="background1" w:themeFillShade="F2"/>
          </w:tcPr>
          <w:p w14:paraId="62FA2C29" w14:textId="77777777" w:rsidR="00CF455B" w:rsidRPr="00D640CD" w:rsidRDefault="00CF455B" w:rsidP="00A80C68">
            <w:pPr>
              <w:spacing w:before="100" w:beforeAutospacing="1" w:line="240" w:lineRule="auto"/>
              <w:rPr>
                <w:rFonts w:cs="Segoe UI"/>
              </w:rPr>
            </w:pPr>
            <w:r w:rsidRPr="00D640CD">
              <w:rPr>
                <w:rFonts w:cs="Segoe UI"/>
              </w:rPr>
              <w:t>Dimensions of Democratic Understanding</w:t>
            </w:r>
          </w:p>
        </w:tc>
        <w:tc>
          <w:tcPr>
            <w:tcW w:w="1621" w:type="dxa"/>
            <w:shd w:val="clear" w:color="auto" w:fill="F2F2F2" w:themeFill="background1" w:themeFillShade="F2"/>
          </w:tcPr>
          <w:p w14:paraId="327CFEA2" w14:textId="77777777" w:rsidR="00CF455B" w:rsidRPr="00D640CD" w:rsidRDefault="00CF455B" w:rsidP="00A80C68">
            <w:pPr>
              <w:spacing w:before="100" w:beforeAutospacing="1" w:line="240" w:lineRule="auto"/>
              <w:rPr>
                <w:rFonts w:cs="Segoe UI"/>
              </w:rPr>
            </w:pPr>
            <w:r w:rsidRPr="00D640CD">
              <w:rPr>
                <w:rFonts w:cs="Segoe UI"/>
              </w:rPr>
              <w:t>1.6</w:t>
            </w:r>
          </w:p>
        </w:tc>
      </w:tr>
      <w:tr w:rsidR="00CF455B" w:rsidRPr="00A80C68" w14:paraId="41E7A35B" w14:textId="77777777" w:rsidTr="00D640CD">
        <w:tc>
          <w:tcPr>
            <w:tcW w:w="1951" w:type="dxa"/>
            <w:tcBorders>
              <w:right w:val="single" w:sz="4" w:space="0" w:color="auto"/>
            </w:tcBorders>
            <w:shd w:val="clear" w:color="auto" w:fill="F2F2F2" w:themeFill="background1" w:themeFillShade="F2"/>
          </w:tcPr>
          <w:p w14:paraId="63A3B8CC" w14:textId="77777777" w:rsidR="00CF455B" w:rsidRPr="00D640CD" w:rsidRDefault="00CF455B" w:rsidP="00A80C68">
            <w:pPr>
              <w:spacing w:before="100" w:beforeAutospacing="1" w:line="240" w:lineRule="auto"/>
              <w:rPr>
                <w:rFonts w:cs="Segoe UI"/>
                <w:b/>
                <w:i/>
                <w:szCs w:val="24"/>
              </w:rPr>
            </w:pPr>
          </w:p>
        </w:tc>
        <w:tc>
          <w:tcPr>
            <w:tcW w:w="5670" w:type="dxa"/>
            <w:tcBorders>
              <w:left w:val="single" w:sz="4" w:space="0" w:color="auto"/>
            </w:tcBorders>
            <w:shd w:val="clear" w:color="auto" w:fill="F2F2F2" w:themeFill="background1" w:themeFillShade="F2"/>
          </w:tcPr>
          <w:p w14:paraId="1AF54BD2" w14:textId="77777777" w:rsidR="00CF455B" w:rsidRPr="00D640CD" w:rsidRDefault="00CF455B" w:rsidP="00A80C68">
            <w:pPr>
              <w:spacing w:before="100" w:beforeAutospacing="1" w:line="240" w:lineRule="auto"/>
              <w:rPr>
                <w:rFonts w:cs="Segoe UI"/>
              </w:rPr>
            </w:pPr>
          </w:p>
        </w:tc>
        <w:tc>
          <w:tcPr>
            <w:tcW w:w="1621" w:type="dxa"/>
            <w:shd w:val="clear" w:color="auto" w:fill="F2F2F2" w:themeFill="background1" w:themeFillShade="F2"/>
          </w:tcPr>
          <w:p w14:paraId="4F6A73C1" w14:textId="77777777" w:rsidR="00CF455B" w:rsidRPr="00D640CD" w:rsidRDefault="00CF455B" w:rsidP="00A80C68">
            <w:pPr>
              <w:spacing w:before="100" w:beforeAutospacing="1" w:line="240" w:lineRule="auto"/>
              <w:rPr>
                <w:rFonts w:cs="Segoe UI"/>
              </w:rPr>
            </w:pPr>
          </w:p>
        </w:tc>
      </w:tr>
      <w:tr w:rsidR="00CF455B" w:rsidRPr="00A80C68" w14:paraId="4E70193B" w14:textId="77777777" w:rsidTr="00D640CD">
        <w:tc>
          <w:tcPr>
            <w:tcW w:w="1951" w:type="dxa"/>
            <w:tcBorders>
              <w:right w:val="single" w:sz="4" w:space="0" w:color="auto"/>
            </w:tcBorders>
          </w:tcPr>
          <w:p w14:paraId="6E72B7A4" w14:textId="77777777" w:rsidR="00CF455B" w:rsidRPr="00D640CD" w:rsidRDefault="00CF455B" w:rsidP="00A80C68">
            <w:pPr>
              <w:spacing w:before="100" w:beforeAutospacing="1" w:line="240" w:lineRule="auto"/>
              <w:rPr>
                <w:rFonts w:cs="Segoe UI"/>
                <w:b/>
                <w:i/>
                <w:szCs w:val="24"/>
              </w:rPr>
            </w:pPr>
            <w:r w:rsidRPr="00D640CD">
              <w:rPr>
                <w:rFonts w:cs="Segoe UI"/>
                <w:b/>
                <w:i/>
                <w:szCs w:val="24"/>
              </w:rPr>
              <w:t>Step 2</w:t>
            </w:r>
          </w:p>
        </w:tc>
        <w:tc>
          <w:tcPr>
            <w:tcW w:w="5670" w:type="dxa"/>
            <w:tcBorders>
              <w:left w:val="single" w:sz="4" w:space="0" w:color="auto"/>
            </w:tcBorders>
          </w:tcPr>
          <w:p w14:paraId="41FC09C3" w14:textId="77777777" w:rsidR="00CF455B" w:rsidRPr="00D640CD" w:rsidRDefault="00CF455B" w:rsidP="00A80C68">
            <w:pPr>
              <w:spacing w:before="100" w:beforeAutospacing="1" w:line="240" w:lineRule="auto"/>
              <w:rPr>
                <w:rFonts w:cs="Segoe UI"/>
              </w:rPr>
            </w:pPr>
          </w:p>
        </w:tc>
        <w:tc>
          <w:tcPr>
            <w:tcW w:w="1621" w:type="dxa"/>
          </w:tcPr>
          <w:p w14:paraId="7D0F48FD" w14:textId="77777777" w:rsidR="00CF455B" w:rsidRPr="00D640CD" w:rsidRDefault="00CF455B" w:rsidP="00A80C68">
            <w:pPr>
              <w:spacing w:before="100" w:beforeAutospacing="1" w:line="240" w:lineRule="auto"/>
              <w:rPr>
                <w:rFonts w:cs="Segoe UI"/>
              </w:rPr>
            </w:pPr>
          </w:p>
        </w:tc>
      </w:tr>
      <w:tr w:rsidR="00CF455B" w:rsidRPr="00A80C68" w14:paraId="47854FD5" w14:textId="77777777" w:rsidTr="00D640CD">
        <w:tc>
          <w:tcPr>
            <w:tcW w:w="1951" w:type="dxa"/>
            <w:tcBorders>
              <w:right w:val="single" w:sz="4" w:space="0" w:color="auto"/>
            </w:tcBorders>
          </w:tcPr>
          <w:p w14:paraId="3D84C812"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 5</w:t>
            </w:r>
          </w:p>
        </w:tc>
        <w:tc>
          <w:tcPr>
            <w:tcW w:w="5670" w:type="dxa"/>
            <w:tcBorders>
              <w:left w:val="single" w:sz="4" w:space="0" w:color="auto"/>
            </w:tcBorders>
          </w:tcPr>
          <w:p w14:paraId="29FC3A00" w14:textId="77777777" w:rsidR="00CF455B" w:rsidRPr="00D640CD" w:rsidRDefault="00CF455B" w:rsidP="00A80C68">
            <w:pPr>
              <w:spacing w:before="100" w:beforeAutospacing="1" w:line="240" w:lineRule="auto"/>
              <w:rPr>
                <w:rFonts w:cs="Segoe UI"/>
              </w:rPr>
            </w:pPr>
            <w:r w:rsidRPr="00D640CD">
              <w:rPr>
                <w:rFonts w:cs="Segoe UI"/>
              </w:rPr>
              <w:t xml:space="preserve">Explaining Difference Understandings of Democracy </w:t>
            </w:r>
          </w:p>
        </w:tc>
        <w:tc>
          <w:tcPr>
            <w:tcW w:w="1621" w:type="dxa"/>
          </w:tcPr>
          <w:p w14:paraId="4C49D536" w14:textId="77777777" w:rsidR="00CF455B" w:rsidRPr="00D640CD" w:rsidRDefault="00CF455B" w:rsidP="00A80C68">
            <w:pPr>
              <w:spacing w:before="100" w:beforeAutospacing="1" w:line="240" w:lineRule="auto"/>
              <w:rPr>
                <w:rFonts w:cs="Segoe UI"/>
              </w:rPr>
            </w:pPr>
            <w:r w:rsidRPr="00D640CD">
              <w:rPr>
                <w:rFonts w:cs="Segoe UI"/>
              </w:rPr>
              <w:t>2.1 &amp; 2.2</w:t>
            </w:r>
          </w:p>
        </w:tc>
      </w:tr>
      <w:tr w:rsidR="00CF455B" w:rsidRPr="00A80C68" w14:paraId="417C414E" w14:textId="77777777" w:rsidTr="00D640CD">
        <w:tc>
          <w:tcPr>
            <w:tcW w:w="1951" w:type="dxa"/>
            <w:tcBorders>
              <w:right w:val="single" w:sz="4" w:space="0" w:color="auto"/>
            </w:tcBorders>
          </w:tcPr>
          <w:p w14:paraId="605488B3" w14:textId="77777777" w:rsidR="00CF455B" w:rsidRPr="00D640CD" w:rsidRDefault="00CF455B" w:rsidP="00A80C68">
            <w:pPr>
              <w:spacing w:before="100" w:beforeAutospacing="1" w:line="240" w:lineRule="auto"/>
              <w:rPr>
                <w:rFonts w:cs="Segoe UI"/>
                <w:b/>
                <w:i/>
                <w:szCs w:val="24"/>
              </w:rPr>
            </w:pPr>
          </w:p>
        </w:tc>
        <w:tc>
          <w:tcPr>
            <w:tcW w:w="5670" w:type="dxa"/>
            <w:tcBorders>
              <w:left w:val="single" w:sz="4" w:space="0" w:color="auto"/>
            </w:tcBorders>
          </w:tcPr>
          <w:p w14:paraId="260D3191" w14:textId="77777777" w:rsidR="00CF455B" w:rsidRPr="00D640CD" w:rsidRDefault="00CF455B" w:rsidP="00A80C68">
            <w:pPr>
              <w:spacing w:before="100" w:beforeAutospacing="1" w:line="240" w:lineRule="auto"/>
              <w:rPr>
                <w:rFonts w:cs="Segoe UI"/>
              </w:rPr>
            </w:pPr>
          </w:p>
        </w:tc>
        <w:tc>
          <w:tcPr>
            <w:tcW w:w="1621" w:type="dxa"/>
          </w:tcPr>
          <w:p w14:paraId="633348C9" w14:textId="77777777" w:rsidR="00CF455B" w:rsidRPr="00D640CD" w:rsidRDefault="00CF455B" w:rsidP="00A80C68">
            <w:pPr>
              <w:spacing w:before="100" w:beforeAutospacing="1" w:line="240" w:lineRule="auto"/>
              <w:rPr>
                <w:rFonts w:cs="Segoe UI"/>
              </w:rPr>
            </w:pPr>
          </w:p>
        </w:tc>
      </w:tr>
      <w:tr w:rsidR="00CF455B" w:rsidRPr="00A80C68" w14:paraId="676FED15" w14:textId="77777777" w:rsidTr="00D640CD">
        <w:tc>
          <w:tcPr>
            <w:tcW w:w="1951" w:type="dxa"/>
            <w:tcBorders>
              <w:right w:val="single" w:sz="4" w:space="0" w:color="auto"/>
            </w:tcBorders>
            <w:shd w:val="clear" w:color="auto" w:fill="F2F2F2" w:themeFill="background1" w:themeFillShade="F2"/>
          </w:tcPr>
          <w:p w14:paraId="56E21198" w14:textId="77777777" w:rsidR="00CF455B" w:rsidRPr="00D640CD" w:rsidRDefault="00CF455B" w:rsidP="00A80C68">
            <w:pPr>
              <w:spacing w:before="100" w:beforeAutospacing="1" w:line="240" w:lineRule="auto"/>
              <w:rPr>
                <w:rFonts w:cs="Segoe UI"/>
                <w:b/>
                <w:i/>
                <w:szCs w:val="24"/>
              </w:rPr>
            </w:pPr>
            <w:r w:rsidRPr="00D640CD">
              <w:rPr>
                <w:rFonts w:cs="Segoe UI"/>
                <w:b/>
                <w:i/>
                <w:szCs w:val="24"/>
              </w:rPr>
              <w:t>Step 3</w:t>
            </w:r>
          </w:p>
        </w:tc>
        <w:tc>
          <w:tcPr>
            <w:tcW w:w="5670" w:type="dxa"/>
            <w:tcBorders>
              <w:left w:val="single" w:sz="4" w:space="0" w:color="auto"/>
            </w:tcBorders>
            <w:shd w:val="clear" w:color="auto" w:fill="F2F2F2" w:themeFill="background1" w:themeFillShade="F2"/>
          </w:tcPr>
          <w:p w14:paraId="39C9E044" w14:textId="77777777" w:rsidR="00CF455B" w:rsidRPr="00D640CD" w:rsidRDefault="00CF455B" w:rsidP="00A80C68">
            <w:pPr>
              <w:spacing w:before="100" w:beforeAutospacing="1" w:line="240" w:lineRule="auto"/>
              <w:rPr>
                <w:rFonts w:cs="Segoe UI"/>
              </w:rPr>
            </w:pPr>
          </w:p>
        </w:tc>
        <w:tc>
          <w:tcPr>
            <w:tcW w:w="1621" w:type="dxa"/>
            <w:shd w:val="clear" w:color="auto" w:fill="F2F2F2" w:themeFill="background1" w:themeFillShade="F2"/>
          </w:tcPr>
          <w:p w14:paraId="10AD67B3" w14:textId="77777777" w:rsidR="00CF455B" w:rsidRPr="00D640CD" w:rsidRDefault="00CF455B" w:rsidP="00A80C68">
            <w:pPr>
              <w:spacing w:before="100" w:beforeAutospacing="1" w:line="240" w:lineRule="auto"/>
              <w:rPr>
                <w:rFonts w:cs="Segoe UI"/>
              </w:rPr>
            </w:pPr>
          </w:p>
        </w:tc>
      </w:tr>
      <w:tr w:rsidR="00CF455B" w:rsidRPr="00A80C68" w14:paraId="1E71BD52" w14:textId="77777777" w:rsidTr="00D640CD">
        <w:tc>
          <w:tcPr>
            <w:tcW w:w="1951" w:type="dxa"/>
            <w:tcBorders>
              <w:right w:val="single" w:sz="4" w:space="0" w:color="auto"/>
            </w:tcBorders>
            <w:shd w:val="clear" w:color="auto" w:fill="F2F2F2" w:themeFill="background1" w:themeFillShade="F2"/>
          </w:tcPr>
          <w:p w14:paraId="4BE71B2A"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 6</w:t>
            </w:r>
          </w:p>
        </w:tc>
        <w:tc>
          <w:tcPr>
            <w:tcW w:w="5670" w:type="dxa"/>
            <w:tcBorders>
              <w:left w:val="single" w:sz="4" w:space="0" w:color="auto"/>
            </w:tcBorders>
            <w:shd w:val="clear" w:color="auto" w:fill="F2F2F2" w:themeFill="background1" w:themeFillShade="F2"/>
          </w:tcPr>
          <w:p w14:paraId="7C0A009B" w14:textId="77777777" w:rsidR="00CF455B" w:rsidRPr="00D640CD" w:rsidRDefault="00CF455B" w:rsidP="00A80C68">
            <w:pPr>
              <w:spacing w:before="100" w:beforeAutospacing="1" w:line="240" w:lineRule="auto"/>
              <w:rPr>
                <w:rFonts w:cs="Segoe UI"/>
              </w:rPr>
            </w:pPr>
            <w:r w:rsidRPr="00D640CD">
              <w:rPr>
                <w:rFonts w:cs="Segoe UI"/>
              </w:rPr>
              <w:t>Understandings of Democracy and Political Participation</w:t>
            </w:r>
          </w:p>
        </w:tc>
        <w:tc>
          <w:tcPr>
            <w:tcW w:w="1621" w:type="dxa"/>
            <w:shd w:val="clear" w:color="auto" w:fill="F2F2F2" w:themeFill="background1" w:themeFillShade="F2"/>
          </w:tcPr>
          <w:p w14:paraId="26C63F29" w14:textId="77777777" w:rsidR="00CF455B" w:rsidRPr="00D640CD" w:rsidRDefault="00CF455B" w:rsidP="00A80C68">
            <w:pPr>
              <w:spacing w:before="100" w:beforeAutospacing="1" w:line="240" w:lineRule="auto"/>
              <w:rPr>
                <w:rFonts w:cs="Segoe UI"/>
              </w:rPr>
            </w:pPr>
            <w:r w:rsidRPr="00D640CD">
              <w:rPr>
                <w:rFonts w:cs="Segoe UI"/>
              </w:rPr>
              <w:t>3.1 &amp; 3.2</w:t>
            </w:r>
          </w:p>
        </w:tc>
      </w:tr>
      <w:tr w:rsidR="00CF455B" w:rsidRPr="00A80C68" w14:paraId="6D475FD9" w14:textId="77777777" w:rsidTr="00D640CD">
        <w:tc>
          <w:tcPr>
            <w:tcW w:w="1951" w:type="dxa"/>
            <w:tcBorders>
              <w:right w:val="single" w:sz="4" w:space="0" w:color="auto"/>
            </w:tcBorders>
            <w:shd w:val="clear" w:color="auto" w:fill="F2F2F2" w:themeFill="background1" w:themeFillShade="F2"/>
          </w:tcPr>
          <w:p w14:paraId="0C78B9D3" w14:textId="77777777" w:rsidR="00CF455B" w:rsidRPr="00D640CD" w:rsidRDefault="00CF455B" w:rsidP="00A80C68">
            <w:pPr>
              <w:spacing w:before="100" w:beforeAutospacing="1" w:line="240" w:lineRule="auto"/>
              <w:rPr>
                <w:rFonts w:cs="Segoe UI"/>
                <w:b/>
                <w:szCs w:val="24"/>
              </w:rPr>
            </w:pPr>
          </w:p>
        </w:tc>
        <w:tc>
          <w:tcPr>
            <w:tcW w:w="5670" w:type="dxa"/>
            <w:tcBorders>
              <w:left w:val="single" w:sz="4" w:space="0" w:color="auto"/>
            </w:tcBorders>
            <w:shd w:val="clear" w:color="auto" w:fill="F2F2F2" w:themeFill="background1" w:themeFillShade="F2"/>
          </w:tcPr>
          <w:p w14:paraId="0E7D8EA0" w14:textId="77777777" w:rsidR="00CF455B" w:rsidRPr="00D640CD" w:rsidRDefault="00CF455B" w:rsidP="00A80C68">
            <w:pPr>
              <w:spacing w:before="100" w:beforeAutospacing="1" w:line="240" w:lineRule="auto"/>
              <w:rPr>
                <w:rFonts w:cs="Segoe UI"/>
              </w:rPr>
            </w:pPr>
          </w:p>
        </w:tc>
        <w:tc>
          <w:tcPr>
            <w:tcW w:w="1621" w:type="dxa"/>
            <w:shd w:val="clear" w:color="auto" w:fill="F2F2F2" w:themeFill="background1" w:themeFillShade="F2"/>
          </w:tcPr>
          <w:p w14:paraId="01D541BB" w14:textId="77777777" w:rsidR="00CF455B" w:rsidRPr="00D640CD" w:rsidRDefault="00CF455B" w:rsidP="00A80C68">
            <w:pPr>
              <w:spacing w:before="100" w:beforeAutospacing="1" w:line="240" w:lineRule="auto"/>
              <w:rPr>
                <w:rFonts w:cs="Segoe UI"/>
              </w:rPr>
            </w:pPr>
          </w:p>
        </w:tc>
      </w:tr>
      <w:tr w:rsidR="00CF455B" w:rsidRPr="00A80C68" w14:paraId="54D7803D" w14:textId="77777777" w:rsidTr="00D640CD">
        <w:tc>
          <w:tcPr>
            <w:tcW w:w="1951" w:type="dxa"/>
            <w:tcBorders>
              <w:bottom w:val="single" w:sz="4" w:space="0" w:color="auto"/>
              <w:right w:val="single" w:sz="4" w:space="0" w:color="auto"/>
            </w:tcBorders>
          </w:tcPr>
          <w:p w14:paraId="6634FB86" w14:textId="77777777" w:rsidR="00CF455B" w:rsidRPr="00D640CD" w:rsidRDefault="00CF455B" w:rsidP="00A80C68">
            <w:pPr>
              <w:spacing w:before="100" w:beforeAutospacing="1" w:line="240" w:lineRule="auto"/>
              <w:rPr>
                <w:rFonts w:cs="Segoe UI"/>
                <w:b/>
                <w:szCs w:val="24"/>
              </w:rPr>
            </w:pPr>
            <w:r w:rsidRPr="00D640CD">
              <w:rPr>
                <w:rFonts w:cs="Segoe UI"/>
                <w:b/>
                <w:szCs w:val="24"/>
              </w:rPr>
              <w:t>Chapter 7</w:t>
            </w:r>
          </w:p>
        </w:tc>
        <w:tc>
          <w:tcPr>
            <w:tcW w:w="5670" w:type="dxa"/>
            <w:tcBorders>
              <w:left w:val="single" w:sz="4" w:space="0" w:color="auto"/>
              <w:bottom w:val="single" w:sz="4" w:space="0" w:color="auto"/>
            </w:tcBorders>
          </w:tcPr>
          <w:p w14:paraId="19A21F9F" w14:textId="77777777" w:rsidR="00CF455B" w:rsidRPr="00D640CD" w:rsidRDefault="00CF455B" w:rsidP="00A80C68">
            <w:pPr>
              <w:spacing w:before="100" w:beforeAutospacing="1" w:line="240" w:lineRule="auto"/>
              <w:rPr>
                <w:rFonts w:cs="Segoe UI"/>
              </w:rPr>
            </w:pPr>
            <w:r w:rsidRPr="00D640CD">
              <w:rPr>
                <w:rFonts w:cs="Segoe UI"/>
              </w:rPr>
              <w:t>Conclusion</w:t>
            </w:r>
          </w:p>
        </w:tc>
        <w:tc>
          <w:tcPr>
            <w:tcW w:w="1621" w:type="dxa"/>
            <w:tcBorders>
              <w:bottom w:val="single" w:sz="4" w:space="0" w:color="auto"/>
            </w:tcBorders>
          </w:tcPr>
          <w:p w14:paraId="7BA3C55D" w14:textId="77777777" w:rsidR="00CF455B" w:rsidRPr="00D640CD" w:rsidRDefault="00CF455B" w:rsidP="00A80C68">
            <w:pPr>
              <w:spacing w:before="100" w:beforeAutospacing="1" w:line="240" w:lineRule="auto"/>
              <w:rPr>
                <w:rFonts w:cs="Segoe UI"/>
              </w:rPr>
            </w:pPr>
            <w:r w:rsidRPr="00D640CD">
              <w:rPr>
                <w:rFonts w:cs="Segoe UI"/>
              </w:rPr>
              <w:t>3.3</w:t>
            </w:r>
          </w:p>
        </w:tc>
      </w:tr>
    </w:tbl>
    <w:p w14:paraId="4CDD07CF" w14:textId="77777777" w:rsidR="00D1659F" w:rsidRDefault="00D1659F" w:rsidP="00EE48E8"/>
    <w:p w14:paraId="6A5F7CF3" w14:textId="70701DAB" w:rsidR="00CF455B" w:rsidRDefault="00CF455B" w:rsidP="00EE48E8">
      <w:r>
        <w:t>Before outlin</w:t>
      </w:r>
      <w:r w:rsidR="00334A78">
        <w:t>ing the chapters in more detail I will just provide a short</w:t>
      </w:r>
      <w:r>
        <w:t xml:space="preserve"> note on </w:t>
      </w:r>
      <w:r w:rsidRPr="00334A78">
        <w:rPr>
          <w:i/>
        </w:rPr>
        <w:t>methods</w:t>
      </w:r>
      <w:r>
        <w:t>. It is noticeable in this table there is no distinct ‘Methods’ chapter in this thesis. This was a conscious choice driven by the step structure. It is important that these chapters build on the chapter before them and inform the chapter after. Each step of the analysis requires a different statistical approach; princip</w:t>
      </w:r>
      <w:r w:rsidR="009B042D">
        <w:t>a</w:t>
      </w:r>
      <w:r>
        <w:t>l components analysis (Chapter 4), multilevel regression modelling (Chapter 5) and logistic multilevel regression modelling (Chapter 6). Accordingly, instead of discussing these approaches in isolation in a chapter of their own, they are discussed in direct relevance to the analysis being undertaken with</w:t>
      </w:r>
      <w:r w:rsidR="00334A78">
        <w:t>in</w:t>
      </w:r>
      <w:r>
        <w:t xml:space="preserve"> </w:t>
      </w:r>
      <w:r w:rsidR="00B110BD">
        <w:t xml:space="preserve">the </w:t>
      </w:r>
      <w:r>
        <w:t xml:space="preserve">chapter </w:t>
      </w:r>
      <w:r w:rsidR="00334A78">
        <w:t>in</w:t>
      </w:r>
      <w:r w:rsidR="00B110BD">
        <w:t xml:space="preserve"> which </w:t>
      </w:r>
      <w:r w:rsidR="000D2F92">
        <w:t>they are used;</w:t>
      </w:r>
      <w:r>
        <w:t xml:space="preserve"> the methods discussion becomes a part of the overall analysis within </w:t>
      </w:r>
      <w:r w:rsidR="00B110BD">
        <w:t xml:space="preserve">each </w:t>
      </w:r>
      <w:r>
        <w:t>chapter.</w:t>
      </w:r>
      <w:r w:rsidR="00CB0798">
        <w:t xml:space="preserve"> The choice of a quantitative approach is discussed in Chapter 3.</w:t>
      </w:r>
    </w:p>
    <w:p w14:paraId="739AF011" w14:textId="7D0367F7" w:rsidR="00800F77" w:rsidRDefault="00D640CD" w:rsidP="00EE48E8">
      <w:r>
        <w:t xml:space="preserve">Chapter </w:t>
      </w:r>
      <w:r w:rsidR="00FB0E2E">
        <w:t>2</w:t>
      </w:r>
      <w:r>
        <w:t xml:space="preserve">, the </w:t>
      </w:r>
      <w:r w:rsidR="00800F77">
        <w:t xml:space="preserve">Literature Review, examines the role that ‘the people’ are expected to play across a broad range of theoretical understandings of </w:t>
      </w:r>
      <w:r w:rsidR="00FB0E2E">
        <w:t>democracy, from thin, mechanistic</w:t>
      </w:r>
      <w:r w:rsidR="00800F77">
        <w:t xml:space="preserve"> approaches through to thick, deliberative approaches. It notes the importance of notions of civic culture and political support, before identifying the issue with much research, in that when it measures the degree to which citizens support democracy, it presupposes a shared understanding of democracy. The discussion then moves </w:t>
      </w:r>
      <w:r w:rsidR="00FB0E2E">
        <w:t>to</w:t>
      </w:r>
      <w:r w:rsidR="00800F77">
        <w:t xml:space="preserve"> look at the recent and emerging studies which </w:t>
      </w:r>
      <w:r w:rsidR="006E46C8">
        <w:t>have taken a conceptual step back</w:t>
      </w:r>
      <w:r w:rsidR="00800F77">
        <w:t xml:space="preserve"> in order to look at understandings of democracy. I focus on studies </w:t>
      </w:r>
      <w:r w:rsidR="006E46C8">
        <w:t>at different scales of analysis</w:t>
      </w:r>
      <w:r w:rsidR="00800F77">
        <w:t xml:space="preserve"> and conclude by suggesting that the exploratory approaches of lower-level studies could be applied to global examinations, and</w:t>
      </w:r>
      <w:r w:rsidR="006E46C8">
        <w:t xml:space="preserve"> that</w:t>
      </w:r>
      <w:r w:rsidR="00800F77">
        <w:t>, not only do we need to examine and outline different understandings of democracy, but we need to test them to see if they themselves can help explain levels of political participation.</w:t>
      </w:r>
    </w:p>
    <w:p w14:paraId="6C49597B" w14:textId="2729222A" w:rsidR="00CF455B" w:rsidRDefault="00800F77" w:rsidP="00EE48E8">
      <w:r>
        <w:t xml:space="preserve">In Chapter 3, I outline my </w:t>
      </w:r>
      <w:r w:rsidR="00FB0E2E">
        <w:t xml:space="preserve">analytical </w:t>
      </w:r>
      <w:r>
        <w:t xml:space="preserve">approach using </w:t>
      </w:r>
      <w:r w:rsidR="00825A27">
        <w:t xml:space="preserve">quantitative </w:t>
      </w:r>
      <w:r>
        <w:t xml:space="preserve">secondary </w:t>
      </w:r>
      <w:r w:rsidR="00CF455B">
        <w:t>data analysis</w:t>
      </w:r>
      <w:r w:rsidR="00B17AB3">
        <w:t>,</w:t>
      </w:r>
      <w:r>
        <w:t xml:space="preserve"> showing how survey data is the best way to examine this research proposal, and </w:t>
      </w:r>
      <w:r w:rsidR="001F3124">
        <w:t>I also discuss</w:t>
      </w:r>
      <w:r>
        <w:t xml:space="preserve"> my choice of data</w:t>
      </w:r>
      <w:r w:rsidR="00CF455B">
        <w:t>.</w:t>
      </w:r>
      <w:r w:rsidR="001F3124">
        <w:t xml:space="preserve"> I link the questions on democracy which are available to me to the theory, drawing from the Literature Review. I then outline some of the basic patterns and results </w:t>
      </w:r>
      <w:r w:rsidR="00FB0E2E">
        <w:t>from the survey data</w:t>
      </w:r>
      <w:r w:rsidR="001F3124">
        <w:t xml:space="preserve"> – showing how some results are unexpected, and arguing that to best get a handle on this data, </w:t>
      </w:r>
      <w:r w:rsidR="00FB0E2E">
        <w:t>I</w:t>
      </w:r>
      <w:r w:rsidR="001F3124">
        <w:t xml:space="preserve"> should take an exploratory</w:t>
      </w:r>
      <w:r w:rsidR="00FB0E2E">
        <w:t xml:space="preserve"> approach.</w:t>
      </w:r>
    </w:p>
    <w:p w14:paraId="6B273E39" w14:textId="14F8EE6D" w:rsidR="001F3124" w:rsidRDefault="001F3124" w:rsidP="00EE48E8">
      <w:r>
        <w:t xml:space="preserve">In Chapter 4 I outline the statistical technique of principal components analysis which allows me to draw out dimensions of understanding (as opposed to building </w:t>
      </w:r>
      <w:r w:rsidR="00FB0E2E">
        <w:t>clusters</w:t>
      </w:r>
      <w:r>
        <w:t xml:space="preserve"> or running a sort of ‘civics test’ on the data). I then outline the results of the analysis, showing how two components are present in the data. I discuss these two components, which I term </w:t>
      </w:r>
      <w:r w:rsidRPr="00FB0E2E">
        <w:rPr>
          <w:i/>
        </w:rPr>
        <w:t>compound</w:t>
      </w:r>
      <w:r>
        <w:t xml:space="preserve"> and </w:t>
      </w:r>
      <w:r w:rsidRPr="00FB0E2E">
        <w:rPr>
          <w:i/>
        </w:rPr>
        <w:t>authoritarian</w:t>
      </w:r>
      <w:r>
        <w:t xml:space="preserve"> understandings, and demonstrate what patterns of understandings can be seen across countries.</w:t>
      </w:r>
    </w:p>
    <w:p w14:paraId="1CA067E5" w14:textId="77777777" w:rsidR="004927C1" w:rsidRDefault="004927C1" w:rsidP="00EE48E8">
      <w:r>
        <w:t>In Chapter 5</w:t>
      </w:r>
      <w:r w:rsidR="001F3124">
        <w:t xml:space="preserve"> I look at these two und</w:t>
      </w:r>
      <w:r>
        <w:t>erstandings in much more detail</w:t>
      </w:r>
      <w:r w:rsidR="001F3124">
        <w:t xml:space="preserve"> using multilevel regression analysis. I test numerous theoretical frameworks in a bid to see which best helps </w:t>
      </w:r>
      <w:r>
        <w:t>explain</w:t>
      </w:r>
      <w:r w:rsidR="001F3124">
        <w:t xml:space="preserve"> the individual and contextual factors which explain these two dimensions. The results show that</w:t>
      </w:r>
      <w:r>
        <w:t xml:space="preserve"> a wide array of approaches are significant, including modernization, social capital and political knowledge.</w:t>
      </w:r>
    </w:p>
    <w:p w14:paraId="77199069" w14:textId="2DA76D3F" w:rsidR="004927C1" w:rsidRDefault="004927C1" w:rsidP="00EE48E8">
      <w:r>
        <w:t>In Chapter 6, the final analytical chapter, these two citizen conceptualisations of democracy are put to work themselves, to see if they help explain non-institutionalised political participation. I compare the conceptualisations alongside other long-standing approaches in the participation literature including grievance theory and cognitive engagement theory. I also examine if the understandings of democracy have an effect above and beyond support for democracy. The results show that the conceptualisations do have a significant and consistent effect: the compound understanding boosts the likelihood of a citizen participating, whereas the authoritarian understanding diminishes it.</w:t>
      </w:r>
    </w:p>
    <w:p w14:paraId="0B16D964" w14:textId="440D9010" w:rsidR="004927C1" w:rsidRDefault="004927C1" w:rsidP="00EE48E8">
      <w:r>
        <w:t xml:space="preserve">Finally, in Chapter 7 I conclude. In this chapter I bring together all the previous analysis and talk through my </w:t>
      </w:r>
      <w:r w:rsidR="00FB0E2E">
        <w:t>findings</w:t>
      </w:r>
      <w:r>
        <w:t xml:space="preserve"> in relation to the aims and </w:t>
      </w:r>
      <w:r w:rsidR="00FB0E2E">
        <w:t>objectives</w:t>
      </w:r>
      <w:r>
        <w:t xml:space="preserve"> I outlined in the introduction. I also </w:t>
      </w:r>
      <w:r w:rsidR="00FB0E2E">
        <w:t xml:space="preserve">describe the limitations of the thesis, and show how these limitations can be the prompt for further research. </w:t>
      </w:r>
    </w:p>
    <w:p w14:paraId="304E4ED6" w14:textId="77777777" w:rsidR="00CF455B" w:rsidRDefault="00CF455B">
      <w:pPr>
        <w:rPr>
          <w:rFonts w:asciiTheme="majorHAnsi" w:eastAsiaTheme="majorEastAsia" w:hAnsiTheme="majorHAnsi" w:cstheme="majorBidi"/>
          <w:color w:val="365F91" w:themeColor="accent1" w:themeShade="BF"/>
          <w:sz w:val="32"/>
          <w:szCs w:val="32"/>
        </w:rPr>
      </w:pPr>
      <w:r>
        <w:br w:type="page"/>
      </w:r>
    </w:p>
    <w:p w14:paraId="47334567" w14:textId="77777777" w:rsidR="00CF455B" w:rsidRPr="00930BF5" w:rsidRDefault="00CF455B" w:rsidP="00A549D2">
      <w:pPr>
        <w:pStyle w:val="Heading1"/>
      </w:pPr>
      <w:bookmarkStart w:id="23" w:name="_Toc441069014"/>
      <w:bookmarkStart w:id="24" w:name="_Toc441069159"/>
      <w:bookmarkStart w:id="25" w:name="_Toc494034206"/>
      <w:r w:rsidRPr="00EB4929">
        <w:t>Literature</w:t>
      </w:r>
      <w:r w:rsidRPr="00930BF5">
        <w:t xml:space="preserve"> Review</w:t>
      </w:r>
      <w:bookmarkEnd w:id="23"/>
      <w:bookmarkEnd w:id="24"/>
      <w:bookmarkEnd w:id="25"/>
    </w:p>
    <w:p w14:paraId="152AD780" w14:textId="77777777" w:rsidR="0021364D" w:rsidRDefault="0021364D" w:rsidP="0021364D">
      <w:pPr>
        <w:pStyle w:val="Quote"/>
        <w:rPr>
          <w:b/>
          <w:sz w:val="20"/>
          <w:szCs w:val="20"/>
        </w:rPr>
      </w:pPr>
    </w:p>
    <w:p w14:paraId="14FA5C35" w14:textId="2C635A77" w:rsidR="00CF455B" w:rsidRPr="0021364D" w:rsidRDefault="00CF455B" w:rsidP="0021364D">
      <w:pPr>
        <w:pStyle w:val="Quote"/>
        <w:rPr>
          <w:b/>
          <w:sz w:val="20"/>
          <w:szCs w:val="20"/>
        </w:rPr>
      </w:pPr>
      <w:r w:rsidRPr="0021364D">
        <w:rPr>
          <w:b/>
          <w:sz w:val="20"/>
          <w:szCs w:val="20"/>
        </w:rPr>
        <w:t xml:space="preserve">“Democracy carefully guards her secrets” John Keane </w:t>
      </w:r>
      <w:r w:rsidR="006B6D29" w:rsidRPr="0021364D">
        <w:rPr>
          <w:b/>
          <w:sz w:val="20"/>
          <w:szCs w:val="20"/>
        </w:rPr>
        <w:fldChar w:fldCharType="begin" w:fldLock="1"/>
      </w:r>
      <w:r w:rsidR="00E63CC6">
        <w:rPr>
          <w:b/>
          <w:sz w:val="20"/>
          <w:szCs w:val="20"/>
        </w:rPr>
        <w:instrText>ADDIN CSL_CITATION { "citationItems" : [ { "id" : "ITEM-1", "itemData" : { "author" : [ { "dropping-particle" : "", "family" : "Keane", "given" : "John", "non-dropping-particle" : "", "parse-names" : false, "suffix" : "" } ], "id" : "ITEM-1", "issued" : { "date-parts" : [ [ "2009" ] ] }, "publisher" : "Simon &amp; Schuster", "publisher-place" : "London", "title" : "The Life and Death of Democracy", "type" : "book" }, "locator" : "x", "uris" : [ "http://www.mendeley.com/documents/?uuid=82d862a3-078c-4bdd-9c48-6dd18a0d4464" ] } ], "mendeley" : { "formattedCitation" : "(Keane, 2009, p. x)", "manualFormatting" : "(2009, p.x)", "plainTextFormattedCitation" : "(Keane, 2009, p. x)", "previouslyFormattedCitation" : "(Keane, 2009, p. x)" }, "properties" : { "noteIndex" : 0 }, "schema" : "https://github.com/citation-style-language/schema/raw/master/csl-citation.json" }</w:instrText>
      </w:r>
      <w:r w:rsidR="006B6D29" w:rsidRPr="0021364D">
        <w:rPr>
          <w:b/>
          <w:sz w:val="20"/>
          <w:szCs w:val="20"/>
        </w:rPr>
        <w:fldChar w:fldCharType="separate"/>
      </w:r>
      <w:r w:rsidR="006B6D29" w:rsidRPr="0021364D">
        <w:rPr>
          <w:b/>
          <w:noProof/>
          <w:sz w:val="20"/>
          <w:szCs w:val="20"/>
        </w:rPr>
        <w:t>(2009, p.x)</w:t>
      </w:r>
      <w:r w:rsidR="006B6D29" w:rsidRPr="0021364D">
        <w:rPr>
          <w:b/>
          <w:sz w:val="20"/>
          <w:szCs w:val="20"/>
        </w:rPr>
        <w:fldChar w:fldCharType="end"/>
      </w:r>
    </w:p>
    <w:p w14:paraId="279A0A17" w14:textId="77777777" w:rsidR="0021364D" w:rsidRDefault="0021364D" w:rsidP="00EE48E8"/>
    <w:p w14:paraId="63B02449" w14:textId="19A20453" w:rsidR="00CF455B" w:rsidRPr="00930BF5" w:rsidRDefault="00CF455B" w:rsidP="00EE48E8">
      <w:r w:rsidRPr="00930BF5">
        <w:t xml:space="preserve">The history of democratic theory spans thousands of years and every corner of the globe. Most texts discussing this development tend to be quite long; for instance, two academic works which broke into mainstream bookshops, Francis Fukuyama’s </w:t>
      </w:r>
      <w:r w:rsidR="008C7873">
        <w:fldChar w:fldCharType="begin" w:fldLock="1"/>
      </w:r>
      <w:r w:rsidR="00E63CC6">
        <w:instrText>ADDIN CSL_CITATION { "citationItems" : [ { "id" : "ITEM-1", "itemData" : { "author" : [ { "dropping-particle" : "", "family" : "Fukuyama", "given" : "F", "non-dropping-particle" : "", "parse-names" : false, "suffix" : "" } ], "id" : "ITEM-1", "issued" : { "date-parts" : [ [ "1992" ] ] }, "publisher" : "Hamish Hamilton", "publisher-place" : "London", "title" : "The End of History and the Last Man", "type" : "book" }, "uris" : [ "http://www.mendeley.com/documents/?uuid=c82efe32-6b4e-4950-b2c0-3fcbc9418f06" ] } ], "mendeley" : { "formattedCitation" : "(Fukuyama, 1992)", "manualFormatting" : "(1992)", "plainTextFormattedCitation" : "(Fukuyama, 1992)", "previouslyFormattedCitation" : "(Fukuyama, 1992)" }, "properties" : { "noteIndex" : 0 }, "schema" : "https://github.com/citation-style-language/schema/raw/master/csl-citation.json" }</w:instrText>
      </w:r>
      <w:r w:rsidR="008C7873">
        <w:fldChar w:fldCharType="separate"/>
      </w:r>
      <w:r w:rsidR="008C7873" w:rsidRPr="008C7873">
        <w:rPr>
          <w:noProof/>
        </w:rPr>
        <w:t>(1992)</w:t>
      </w:r>
      <w:r w:rsidR="008C7873">
        <w:fldChar w:fldCharType="end"/>
      </w:r>
      <w:r w:rsidRPr="00930BF5">
        <w:t xml:space="preserve"> </w:t>
      </w:r>
      <w:r w:rsidRPr="00930BF5">
        <w:rPr>
          <w:i/>
          <w:iCs/>
        </w:rPr>
        <w:t xml:space="preserve">The End of History </w:t>
      </w:r>
      <w:r w:rsidR="008C7873">
        <w:t xml:space="preserve">and John Keane’s </w:t>
      </w:r>
      <w:r w:rsidR="008C7873">
        <w:fldChar w:fldCharType="begin" w:fldLock="1"/>
      </w:r>
      <w:r w:rsidR="00E63CC6">
        <w:instrText>ADDIN CSL_CITATION { "citationItems" : [ { "id" : "ITEM-1", "itemData" : { "author" : [ { "dropping-particle" : "", "family" : "Keane", "given" : "John", "non-dropping-particle" : "", "parse-names" : false, "suffix" : "" } ], "id" : "ITEM-1", "issued" : { "date-parts" : [ [ "2009" ] ] }, "publisher" : "Simon &amp; Schuster", "publisher-place" : "London", "title" : "The Life and Death of Democracy", "type" : "book" }, "uris" : [ "http://www.mendeley.com/documents/?uuid=82d862a3-078c-4bdd-9c48-6dd18a0d4464" ] } ], "mendeley" : { "formattedCitation" : "(Keane, 2009)", "manualFormatting" : "(2009)", "plainTextFormattedCitation" : "(Keane, 2009)", "previouslyFormattedCitation" : "(Keane, 2009)" }, "properties" : { "noteIndex" : 0 }, "schema" : "https://github.com/citation-style-language/schema/raw/master/csl-citation.json" }</w:instrText>
      </w:r>
      <w:r w:rsidR="008C7873">
        <w:fldChar w:fldCharType="separate"/>
      </w:r>
      <w:r w:rsidR="008C7873" w:rsidRPr="008C7873">
        <w:rPr>
          <w:noProof/>
        </w:rPr>
        <w:t>(2009)</w:t>
      </w:r>
      <w:r w:rsidR="008C7873">
        <w:fldChar w:fldCharType="end"/>
      </w:r>
      <w:r w:rsidRPr="00930BF5">
        <w:t xml:space="preserve"> </w:t>
      </w:r>
      <w:r w:rsidRPr="00930BF5">
        <w:rPr>
          <w:i/>
          <w:iCs/>
        </w:rPr>
        <w:t>The Life and Death of Democracy</w:t>
      </w:r>
      <w:r w:rsidRPr="00930BF5">
        <w:t>,</w:t>
      </w:r>
      <w:r w:rsidRPr="00930BF5">
        <w:rPr>
          <w:i/>
          <w:iCs/>
        </w:rPr>
        <w:t xml:space="preserve"> </w:t>
      </w:r>
      <w:r w:rsidRPr="00930BF5">
        <w:t xml:space="preserve">are over 400 and 900 pages, respectively. </w:t>
      </w:r>
      <w:r w:rsidR="00962767">
        <w:t xml:space="preserve">In comparison </w:t>
      </w:r>
      <w:r w:rsidRPr="00930BF5">
        <w:t>my literature review provide</w:t>
      </w:r>
      <w:r w:rsidR="00962767">
        <w:t>s</w:t>
      </w:r>
      <w:r w:rsidRPr="00930BF5">
        <w:t xml:space="preserve"> </w:t>
      </w:r>
      <w:r w:rsidR="00B72356">
        <w:t xml:space="preserve">only a </w:t>
      </w:r>
      <w:r w:rsidR="00B72356" w:rsidRPr="00930BF5">
        <w:t>basic overview</w:t>
      </w:r>
      <w:r w:rsidR="00B72356">
        <w:t xml:space="preserve"> of</w:t>
      </w:r>
      <w:r w:rsidRPr="00930BF5">
        <w:t xml:space="preserve"> the historical development of democ</w:t>
      </w:r>
      <w:r w:rsidR="00D25056">
        <w:t>racy</w:t>
      </w:r>
      <w:r w:rsidRPr="00930BF5">
        <w:t xml:space="preserve">. This historical overview of democracy through the ages forms the shorter and introductory part of the literature review, which is followed by the more substantial </w:t>
      </w:r>
      <w:r w:rsidR="00B72356">
        <w:t xml:space="preserve">material in </w:t>
      </w:r>
      <w:r w:rsidRPr="00930BF5">
        <w:t>parts two through four.</w:t>
      </w:r>
    </w:p>
    <w:p w14:paraId="776CE5D9" w14:textId="469606D6" w:rsidR="00CF455B" w:rsidRPr="00930BF5" w:rsidRDefault="00CF455B" w:rsidP="00EE48E8">
      <w:r w:rsidRPr="00930BF5">
        <w:t>Part two discusses the most influential academic theories about democracy with a specific aim throughout to focus on one element in particular: the role given to citizens</w:t>
      </w:r>
      <w:r w:rsidR="00C11935">
        <w:t xml:space="preserve"> or, ‘the people’</w:t>
      </w:r>
      <w:r w:rsidRPr="00930BF5">
        <w:t>. Informed by the historical overview, I focus on the most important theoretical developments since W</w:t>
      </w:r>
      <w:r w:rsidR="00B72356">
        <w:t xml:space="preserve">orld </w:t>
      </w:r>
      <w:r w:rsidRPr="00930BF5">
        <w:t>W</w:t>
      </w:r>
      <w:r w:rsidR="00B72356">
        <w:t xml:space="preserve">ar </w:t>
      </w:r>
      <w:r w:rsidRPr="00930BF5">
        <w:t xml:space="preserve">2. My approach is to look </w:t>
      </w:r>
      <w:r w:rsidR="00B72356" w:rsidRPr="00930BF5">
        <w:t>a</w:t>
      </w:r>
      <w:r w:rsidR="00B72356">
        <w:t>t</w:t>
      </w:r>
      <w:r w:rsidR="00B72356" w:rsidRPr="00930BF5">
        <w:t xml:space="preserve"> </w:t>
      </w:r>
      <w:r w:rsidRPr="00930BF5">
        <w:t xml:space="preserve">theories of </w:t>
      </w:r>
      <w:r w:rsidRPr="00930BF5">
        <w:rPr>
          <w:i/>
        </w:rPr>
        <w:t xml:space="preserve">democracy </w:t>
      </w:r>
      <w:r w:rsidRPr="00930BF5">
        <w:t xml:space="preserve">and theories of </w:t>
      </w:r>
      <w:r w:rsidRPr="00930BF5">
        <w:rPr>
          <w:i/>
        </w:rPr>
        <w:t>democratization</w:t>
      </w:r>
      <w:r w:rsidRPr="00930BF5">
        <w:t xml:space="preserve">: that is, what democracy is and </w:t>
      </w:r>
      <w:r>
        <w:t>how democracy comes to be. This delineation is not perfect</w:t>
      </w:r>
      <w:r w:rsidRPr="00930BF5">
        <w:t xml:space="preserve">, but </w:t>
      </w:r>
      <w:r>
        <w:t>it</w:t>
      </w:r>
      <w:r w:rsidRPr="00930BF5">
        <w:t xml:space="preserve"> provide</w:t>
      </w:r>
      <w:r>
        <w:t>s</w:t>
      </w:r>
      <w:r w:rsidRPr="00930BF5">
        <w:t xml:space="preserve"> a structure to follow which raises the most important points I wish to cover, and, whilst these areas of study overlap, in particular with the former informing the latter, in </w:t>
      </w:r>
      <w:r>
        <w:t xml:space="preserve">other </w:t>
      </w:r>
      <w:r w:rsidRPr="00930BF5">
        <w:t>ways</w:t>
      </w:r>
      <w:r>
        <w:t xml:space="preserve"> they have developed as relatively distinct bloc</w:t>
      </w:r>
      <w:r w:rsidRPr="00930BF5">
        <w:t xml:space="preserve">s of research. </w:t>
      </w:r>
    </w:p>
    <w:p w14:paraId="27BAB42A" w14:textId="7DE00EC3" w:rsidR="00CF455B" w:rsidRPr="00930BF5" w:rsidRDefault="00CF455B" w:rsidP="00EE48E8">
      <w:r w:rsidRPr="00930BF5">
        <w:t xml:space="preserve">In terms of the first </w:t>
      </w:r>
      <w:r>
        <w:t>half,</w:t>
      </w:r>
      <w:r w:rsidRPr="00930BF5">
        <w:t xml:space="preserve"> on theories</w:t>
      </w:r>
      <w:r>
        <w:t xml:space="preserve"> of democracy, Minkenburg</w:t>
      </w:r>
      <w:r w:rsidR="00A376E6">
        <w:t xml:space="preserve"> </w:t>
      </w:r>
      <w:r w:rsidR="00A376E6">
        <w:fldChar w:fldCharType="begin" w:fldLock="1"/>
      </w:r>
      <w:r w:rsidR="00E63CC6">
        <w:instrText>ADDIN CSL_CITATION { "citationItems" : [ { "id" : "ITEM-1", "itemData" : { "DOI" : "10.1080/13691830701432731", "ISBN" : "1369183070", "ISSN" : "1369-183X", "author" : [ { "dropping-particle" : "", "family" : "Minkenberg", "given" : "Michael", "non-dropping-particle" : "", "parse-names" : false, "suffix" : "" } ], "container-title" : "Journal of Ethnic and Migration Studies", "id" : "ITEM-1", "issue" : "6", "issued" : { "date-parts" : [ [ "2007", "8" ] ] }, "page" : "887-909", "title" : "Democracy and Religion: Theoretical and Empirical Observations on the Relationship between Christianity, Islam and Liberal Democracy", "type" : "article-journal", "volume" : "33" }, "locator" : "890", "uris" : [ "http://www.mendeley.com/documents/?uuid=f58f2153-b453-42e1-b7e0-21009e97e300" ] } ], "mendeley" : { "formattedCitation" : "(Minkenberg, 2007, p. 890)", "manualFormatting" : "(2007, p.890)", "plainTextFormattedCitation" : "(Minkenberg, 2007, p. 890)", "previouslyFormattedCitation" : "(Minkenberg, 2007, p. 890)" }, "properties" : { "noteIndex" : 0 }, "schema" : "https://github.com/citation-style-language/schema/raw/master/csl-citation.json" }</w:instrText>
      </w:r>
      <w:r w:rsidR="00A376E6">
        <w:fldChar w:fldCharType="separate"/>
      </w:r>
      <w:r w:rsidR="00A376E6" w:rsidRPr="00A376E6">
        <w:rPr>
          <w:noProof/>
        </w:rPr>
        <w:t>(2007, p.890)</w:t>
      </w:r>
      <w:r w:rsidR="00A376E6">
        <w:fldChar w:fldCharType="end"/>
      </w:r>
      <w:r w:rsidR="00A376E6">
        <w:t xml:space="preserve"> </w:t>
      </w:r>
      <w:r w:rsidRPr="00930BF5">
        <w:t>provides a useful categorisation of the literature:</w:t>
      </w:r>
    </w:p>
    <w:p w14:paraId="409E6C53" w14:textId="77777777" w:rsidR="00CF455B" w:rsidRPr="00930BF5" w:rsidRDefault="00CF455B" w:rsidP="00EE48E8">
      <w:pPr>
        <w:pStyle w:val="Quote"/>
      </w:pPr>
      <w:r w:rsidRPr="00930BF5">
        <w:t>“Democratic theory can generally be dichotomised as normative theory, which argues what democracy ‘essentially’ is or should be and which discusses its normative presuppositions, and empirical theory, which does not aim to uncover an ‘essential’ core of democracy but discusses the functioning of democracy and its (empirically testable) prerequisites.”</w:t>
      </w:r>
    </w:p>
    <w:p w14:paraId="18AE876B" w14:textId="77777777" w:rsidR="00CF455B" w:rsidRPr="00930BF5" w:rsidRDefault="00CF455B" w:rsidP="00EE48E8">
      <w:r>
        <w:t>A</w:t>
      </w:r>
      <w:r w:rsidRPr="00930BF5">
        <w:t>lthough not absolute</w:t>
      </w:r>
      <w:r>
        <w:t>,</w:t>
      </w:r>
      <w:r w:rsidRPr="00930BF5">
        <w:t xml:space="preserve"> </w:t>
      </w:r>
      <w:r>
        <w:t>t</w:t>
      </w:r>
      <w:r w:rsidRPr="00930BF5">
        <w:t>his cate</w:t>
      </w:r>
      <w:r>
        <w:t>gorisation of theory is helpful</w:t>
      </w:r>
      <w:r w:rsidRPr="00930BF5">
        <w:t xml:space="preserve">. Importantly, even the most empirical of analyses cannot operate in a vacuum – the choice of which prerequisites and functioning elements of democracy to test and measure are informed by the arguments laid out by normative theory. </w:t>
      </w:r>
      <w:r>
        <w:t>However, m</w:t>
      </w:r>
      <w:r w:rsidRPr="00930BF5">
        <w:t xml:space="preserve">y review bears Minkenburg’s distinctions </w:t>
      </w:r>
      <w:r>
        <w:t xml:space="preserve">strongly </w:t>
      </w:r>
      <w:r w:rsidRPr="00930BF5">
        <w:t>in mind, and the discussion runs from the more empirical and theoretically ‘thinner’ approaches to democratic theory through to the deeper and ‘thick</w:t>
      </w:r>
      <w:r>
        <w:t>er’ more normative approaches</w:t>
      </w:r>
      <w:r w:rsidRPr="00930BF5">
        <w:t xml:space="preserve"> </w:t>
      </w:r>
      <w:r>
        <w:t>(</w:t>
      </w:r>
      <w:r w:rsidRPr="00930BF5">
        <w:t>although</w:t>
      </w:r>
      <w:r>
        <w:t>, as a final caveat,</w:t>
      </w:r>
      <w:r w:rsidRPr="00930BF5">
        <w:t xml:space="preserve"> this should not be seen as a </w:t>
      </w:r>
      <w:r>
        <w:t xml:space="preserve">simple </w:t>
      </w:r>
      <w:r w:rsidRPr="00930BF5">
        <w:t>continuum</w:t>
      </w:r>
      <w:r>
        <w:t>)</w:t>
      </w:r>
      <w:r w:rsidRPr="00930BF5">
        <w:t>.</w:t>
      </w:r>
    </w:p>
    <w:p w14:paraId="7A8DD07C" w14:textId="6BCFE25F" w:rsidR="00CF455B" w:rsidRPr="00930BF5" w:rsidRDefault="00CF455B" w:rsidP="00EE48E8">
      <w:r w:rsidRPr="00930BF5">
        <w:t xml:space="preserve">For the second </w:t>
      </w:r>
      <w:r>
        <w:t>half of part two</w:t>
      </w:r>
      <w:r w:rsidRPr="00930BF5">
        <w:t xml:space="preserve">, </w:t>
      </w:r>
      <w:r w:rsidR="00091B8C">
        <w:t>where</w:t>
      </w:r>
      <w:r w:rsidRPr="00930BF5">
        <w:t xml:space="preserve"> the </w:t>
      </w:r>
      <w:r w:rsidR="00091B8C" w:rsidRPr="00930BF5">
        <w:t>focus</w:t>
      </w:r>
      <w:r w:rsidR="00091B8C">
        <w:t xml:space="preserve"> is </w:t>
      </w:r>
      <w:r w:rsidRPr="00930BF5">
        <w:t xml:space="preserve">on democratization, a two-fold divide in the theory is </w:t>
      </w:r>
      <w:r w:rsidR="00091B8C" w:rsidRPr="00930BF5">
        <w:t xml:space="preserve">once again </w:t>
      </w:r>
      <w:r w:rsidRPr="00930BF5">
        <w:t>helpful</w:t>
      </w:r>
      <w:r w:rsidR="00091B8C">
        <w:t>. It is this time</w:t>
      </w:r>
      <w:r w:rsidR="00091B8C" w:rsidRPr="00930BF5">
        <w:t xml:space="preserve"> </w:t>
      </w:r>
      <w:r w:rsidRPr="00930BF5">
        <w:t xml:space="preserve">provided by Przeworski </w:t>
      </w:r>
      <w:r w:rsidR="00E15C04">
        <w:fldChar w:fldCharType="begin" w:fldLock="1"/>
      </w:r>
      <w:r w:rsidR="00E63CC6">
        <w:instrText>ADDIN CSL_CITATION { "citationItems" : [ { "id" : "ITEM-1", "itemData" : { "author" : [ { "dropping-particle" : "", "family" : "Przeworski", "given" : "A", "non-dropping-particle" : "", "parse-names" : false, "suffix" : "" } ], "container-title" : "Transitions from Authoritarian Rule: Comparative Perspectives", "editor" : [ { "dropping-particle" : "", "family" : "O'Donnell", "given" : "G", "non-dropping-particle" : "", "parse-names" : false, "suffix" : "" }, { "dropping-particle" : "", "family" : "Schmitter", "given" : "Philippe C", "non-dropping-particle" : "", "parse-names" : false, "suffix" : "" }, { "dropping-particle" : "", "family" : "Whitehead", "given" : "L", "non-dropping-particle" : "", "parse-names" : false, "suffix" : "" } ], "id" : "ITEM-1", "issued" : { "date-parts" : [ [ "1986" ] ] }, "page" : "47-63", "publisher" : "John Hopkins University Press", "publisher-place" : "London", "title" : "Some Problems in the Study of Transitions to Democracy", "type" : "chapter" }, "uris" : [ "http://www.mendeley.com/documents/?uuid=3c2b1825-5bef-496b-b669-72159d7623a5" ] } ], "mendeley" : { "formattedCitation" : "(Przeworski, 1986)", "manualFormatting" : "(1986)", "plainTextFormattedCitation" : "(Przeworski, 1986)", "previouslyFormattedCitation" : "(Przeworski, 1986)" }, "properties" : { "noteIndex" : 0 }, "schema" : "https://github.com/citation-style-language/schema/raw/master/csl-citation.json" }</w:instrText>
      </w:r>
      <w:r w:rsidR="00E15C04">
        <w:fldChar w:fldCharType="separate"/>
      </w:r>
      <w:r w:rsidR="00E15C04" w:rsidRPr="00E15C04">
        <w:rPr>
          <w:noProof/>
        </w:rPr>
        <w:t>(1986)</w:t>
      </w:r>
      <w:r w:rsidR="00E15C04">
        <w:fldChar w:fldCharType="end"/>
      </w:r>
      <w:r w:rsidRPr="00930BF5">
        <w:t xml:space="preserve"> who makes the observation that studies </w:t>
      </w:r>
      <w:r w:rsidR="00091B8C" w:rsidRPr="00930BF5">
        <w:t>o</w:t>
      </w:r>
      <w:r w:rsidR="00091B8C">
        <w:t>f</w:t>
      </w:r>
      <w:r w:rsidR="00091B8C" w:rsidRPr="00930BF5">
        <w:t xml:space="preserve"> </w:t>
      </w:r>
      <w:r w:rsidRPr="00930BF5">
        <w:t>regime change fall into two broad categories: those which focus on structures (macro), and those which focus on individuals (agential). Once again, this distinction is not absolute, and since Przeworsk</w:t>
      </w:r>
      <w:r>
        <w:t>i made the observation</w:t>
      </w:r>
      <w:r w:rsidR="00091B8C">
        <w:t>,</w:t>
      </w:r>
      <w:r>
        <w:t xml:space="preserve"> there have</w:t>
      </w:r>
      <w:r w:rsidRPr="00930BF5">
        <w:t xml:space="preserve"> been a number of </w:t>
      </w:r>
      <w:r>
        <w:t>studies</w:t>
      </w:r>
      <w:r w:rsidRPr="00930BF5">
        <w:t xml:space="preserve"> which have attempted to bridge the divide betwee</w:t>
      </w:r>
      <w:r w:rsidR="00C87F37">
        <w:t xml:space="preserve">n these two, including his own </w:t>
      </w:r>
      <w:r w:rsidR="00C87F37">
        <w:fldChar w:fldCharType="begin" w:fldLock="1"/>
      </w:r>
      <w:r w:rsidR="00E63CC6">
        <w:instrText>ADDIN CSL_CITATION { "citationItems" : [ { "id" : "ITEM-1", "itemData" : { "author" : [ { "dropping-particle" : "", "family" : "Przeworski", "given" : "Adam", "non-dropping-particle" : "", "parse-names" : false, "suffix" : "" }, { "dropping-particle" : "", "family" : "Limongi", "given" : "Fernando", "non-dropping-particle" : "", "parse-names" : false, "suffix" : "" } ], "container-title" : "Democracy's Victory and Crisis", "editor" : [ { "dropping-particle" : "", "family" : "Hadenius", "given" : "Axel", "non-dropping-particle" : "", "parse-names" : false, "suffix" : "" } ], "id" : "ITEM-1", "issued" : { "date-parts" : [ [ "1997" ] ] }, "page" : "163-194", "publisher" : "Cambridge University Press", "publisher-place" : "Cambridge", "title" : "Development and Democracy", "type" : "chapter" }, "uris" : [ "http://www.mendeley.com/documents/?uuid=53826b41-9932-4d63-a4ea-cfa2f21ee14c" ] } ], "mendeley" : { "formattedCitation" : "(Przeworski and Limongi, 1997)", "manualFormatting" : "(Przeworski &amp; Limongi 1997, see also", "plainTextFormattedCitation" : "(Przeworski and Limongi, 1997)", "previouslyFormattedCitation" : "(Przeworski and Limongi, 1997)" }, "properties" : { "noteIndex" : 0 }, "schema" : "https://github.com/citation-style-language/schema/raw/master/csl-citation.json" }</w:instrText>
      </w:r>
      <w:r w:rsidR="00C87F37">
        <w:fldChar w:fldCharType="separate"/>
      </w:r>
      <w:r w:rsidR="00C87F37" w:rsidRPr="00C87F37">
        <w:rPr>
          <w:noProof/>
        </w:rPr>
        <w:t>(Przeworski &amp; Limongi 1997</w:t>
      </w:r>
      <w:r w:rsidR="00C87F37">
        <w:rPr>
          <w:noProof/>
        </w:rPr>
        <w:t>, see also</w:t>
      </w:r>
      <w:r w:rsidR="00C87F37">
        <w:fldChar w:fldCharType="end"/>
      </w:r>
      <w:r w:rsidRPr="00930BF5">
        <w:t xml:space="preserve"> </w:t>
      </w:r>
      <w:r w:rsidR="00017BD2">
        <w:fldChar w:fldCharType="begin" w:fldLock="1"/>
      </w:r>
      <w:r w:rsidR="00E63CC6">
        <w:instrText>ADDIN CSL_CITATION { "citationItems" : [ { "id" : "ITEM-1", "itemData" : { "author" : [ { "dropping-particle" : "", "family" : "Linz", "given" : "JJ", "non-dropping-particle" : "", "parse-names" : false, "suffix" : "" }, { "dropping-particle" : "", "family" : "Stepan", "given" : "A", "non-dropping-particle" : "", "parse-names" : false, "suffix" : "" } ], "container-title" : "Journal of Democracy", "id" : "ITEM-1", "issue" : "2", "issued" : { "date-parts" : [ [ "1996" ] ] }, "page" : "14-33", "title" : "Towards Consolidated Democracies", "type" : "article-journal", "volume" : "7" }, "uris" : [ "http://www.mendeley.com/documents/?uuid=1f496e20-0c54-4030-9afe-46c3418b85e1" ] } ], "mendeley" : { "formattedCitation" : "(Linz and Stepan, 1996)", "manualFormatting" : "Linz &amp; Stepan 1996,", "plainTextFormattedCitation" : "(Linz and Stepan, 1996)", "previouslyFormattedCitation" : "(Linz and Stepan, 1996)" }, "properties" : { "noteIndex" : 0 }, "schema" : "https://github.com/citation-style-language/schema/raw/master/csl-citation.json" }</w:instrText>
      </w:r>
      <w:r w:rsidR="00017BD2">
        <w:fldChar w:fldCharType="separate"/>
      </w:r>
      <w:r w:rsidR="00017BD2" w:rsidRPr="005A6C8C">
        <w:rPr>
          <w:noProof/>
        </w:rPr>
        <w:t>Linz &amp; Stepan 1996</w:t>
      </w:r>
      <w:r w:rsidR="00C87F37">
        <w:rPr>
          <w:noProof/>
        </w:rPr>
        <w:t>,</w:t>
      </w:r>
      <w:r w:rsidR="00017BD2">
        <w:fldChar w:fldCharType="end"/>
      </w:r>
      <w:r w:rsidR="00C87F37">
        <w:t xml:space="preserve"> and Diamond 1999</w:t>
      </w:r>
      <w:r w:rsidRPr="00930BF5">
        <w:t xml:space="preserve">). This work often </w:t>
      </w:r>
      <w:r>
        <w:t>feeds into an area of research</w:t>
      </w:r>
      <w:r w:rsidRPr="00930BF5">
        <w:t xml:space="preserve"> </w:t>
      </w:r>
      <w:r>
        <w:t>classed</w:t>
      </w:r>
      <w:r w:rsidRPr="00930BF5">
        <w:t xml:space="preserve"> as ‘consolidation studies’ </w:t>
      </w:r>
      <w:r>
        <w:t xml:space="preserve">which </w:t>
      </w:r>
      <w:r w:rsidRPr="00930BF5">
        <w:t xml:space="preserve">focuses on the survival of democratic regimes from a convergence of structural and agential </w:t>
      </w:r>
      <w:r>
        <w:t xml:space="preserve">perspectives </w:t>
      </w:r>
      <w:r w:rsidR="005A6C8C">
        <w:fldChar w:fldCharType="begin" w:fldLock="1"/>
      </w:r>
      <w:r w:rsidR="00E63CC6">
        <w:instrText>ADDIN CSL_CITATION { "citationItems" : [ { "id" : "ITEM-1", "itemData" : { "author" : [ { "dropping-particle" : "", "family" : "Grugel", "given" : "J", "non-dropping-particle" : "", "parse-names" : false, "suffix" : "" } ], "container-title" : "Government and Opposition", "id" : "ITEM-1", "issue" : "2", "issued" : { "date-parts" : [ [ "2003" ] ] }, "page" : "238-264", "title" : "Democratization Studies: Citizenship, Globalization and Governance", "type" : "article-journal", "volume" : "38" }, "locator" : "242-243", "uris" : [ "http://www.mendeley.com/documents/?uuid=7cbcb31e-51f8-4a98-bb79-4b21a924a330" ] } ], "mendeley" : { "formattedCitation" : "(Grugel, 2003, pp. 242\u2013243)", "plainTextFormattedCitation" : "(Grugel, 2003, pp. 242\u2013243)", "previouslyFormattedCitation" : "(Grugel, 2003, pp. 242\u2013243)" }, "properties" : { "noteIndex" : 0 }, "schema" : "https://github.com/citation-style-language/schema/raw/master/csl-citation.json" }</w:instrText>
      </w:r>
      <w:r w:rsidR="005A6C8C">
        <w:fldChar w:fldCharType="separate"/>
      </w:r>
      <w:r w:rsidR="00E63CC6" w:rsidRPr="00E63CC6">
        <w:rPr>
          <w:noProof/>
        </w:rPr>
        <w:t>(Grugel, 2003, pp. 242–243)</w:t>
      </w:r>
      <w:r w:rsidR="005A6C8C">
        <w:fldChar w:fldCharType="end"/>
      </w:r>
      <w:r w:rsidRPr="00930BF5">
        <w:t>. A discussion of this field of study concludes this section.</w:t>
      </w:r>
    </w:p>
    <w:p w14:paraId="2D84233A" w14:textId="5B9445D7" w:rsidR="00CF455B" w:rsidRDefault="00CF455B" w:rsidP="00EE48E8">
      <w:r>
        <w:t>These two sections demonstrate that different approaches ascribe different roles to citizens</w:t>
      </w:r>
      <w:r w:rsidR="0087781F">
        <w:t>.</w:t>
      </w:r>
      <w:r>
        <w:t xml:space="preserve"> </w:t>
      </w:r>
      <w:r w:rsidR="0087781F">
        <w:t>H</w:t>
      </w:r>
      <w:r>
        <w:t>owever, there are common ideas</w:t>
      </w:r>
      <w:r w:rsidR="0087781F">
        <w:t xml:space="preserve"> and themes regarding the nature of democracy across all of these studies. There is broad agreement </w:t>
      </w:r>
      <w:r>
        <w:t>that</w:t>
      </w:r>
      <w:r w:rsidR="0087781F">
        <w:t>:</w:t>
      </w:r>
      <w:r>
        <w:t xml:space="preserve"> 1) t</w:t>
      </w:r>
      <w:r w:rsidRPr="00930BF5">
        <w:t xml:space="preserve">here must be some level of political knowledge amongst </w:t>
      </w:r>
      <w:r>
        <w:t>citizens in a democracy</w:t>
      </w:r>
      <w:r w:rsidR="0087781F">
        <w:t>;</w:t>
      </w:r>
      <w:r>
        <w:t xml:space="preserve"> 2) c</w:t>
      </w:r>
      <w:r w:rsidRPr="00930BF5">
        <w:t>itizens must provide some degree of political support to a democratic</w:t>
      </w:r>
      <w:r>
        <w:t xml:space="preserve"> system</w:t>
      </w:r>
      <w:r w:rsidR="0087781F">
        <w:t>;</w:t>
      </w:r>
      <w:r w:rsidRPr="00930BF5">
        <w:t xml:space="preserve"> </w:t>
      </w:r>
      <w:r>
        <w:t>and</w:t>
      </w:r>
      <w:r w:rsidRPr="00930BF5">
        <w:t xml:space="preserve"> </w:t>
      </w:r>
      <w:r>
        <w:t>3) c</w:t>
      </w:r>
      <w:r w:rsidRPr="00930BF5">
        <w:t>itizens must participate in a</w:t>
      </w:r>
      <w:r>
        <w:t xml:space="preserve"> democratic system in some way.</w:t>
      </w:r>
    </w:p>
    <w:p w14:paraId="41483D6A" w14:textId="5A70D6BB" w:rsidR="00CF455B" w:rsidRDefault="00CF455B" w:rsidP="00EE48E8">
      <w:r>
        <w:t>This paves the way for the focus of p</w:t>
      </w:r>
      <w:r w:rsidRPr="00930BF5">
        <w:t xml:space="preserve">art three of this literature </w:t>
      </w:r>
      <w:r w:rsidR="0087781F" w:rsidRPr="00930BF5">
        <w:t>review</w:t>
      </w:r>
      <w:r w:rsidR="0087781F">
        <w:t>,</w:t>
      </w:r>
      <w:r w:rsidR="0087781F" w:rsidRPr="00930BF5">
        <w:t xml:space="preserve"> </w:t>
      </w:r>
      <w:r>
        <w:t xml:space="preserve">which </w:t>
      </w:r>
      <w:r w:rsidRPr="00930BF5">
        <w:t xml:space="preserve">draws out </w:t>
      </w:r>
      <w:r>
        <w:t>the</w:t>
      </w:r>
      <w:r w:rsidRPr="00930BF5">
        <w:t>s</w:t>
      </w:r>
      <w:r>
        <w:t>e</w:t>
      </w:r>
      <w:r w:rsidRPr="00930BF5">
        <w:t xml:space="preserve"> issues in more detail by </w:t>
      </w:r>
      <w:r>
        <w:t>discussing the</w:t>
      </w:r>
      <w:r w:rsidRPr="00930BF5">
        <w:t xml:space="preserve"> literature concerning political support and civic culture.</w:t>
      </w:r>
      <w:r>
        <w:t xml:space="preserve"> This literature point</w:t>
      </w:r>
      <w:r w:rsidR="00962767">
        <w:t>s</w:t>
      </w:r>
      <w:r>
        <w:t xml:space="preserve"> towards the notion that </w:t>
      </w:r>
      <w:r w:rsidR="0087781F">
        <w:t>citizen’s support for democracy (idea 2 above</w:t>
      </w:r>
      <w:r w:rsidRPr="00930BF5">
        <w:t xml:space="preserve">) and </w:t>
      </w:r>
      <w:r w:rsidR="00D25056">
        <w:t>the ex</w:t>
      </w:r>
      <w:r w:rsidR="0087781F">
        <w:t xml:space="preserve">tent to which they participate (idea </w:t>
      </w:r>
      <w:r w:rsidRPr="00930BF5">
        <w:t xml:space="preserve">3) are dependent to some degree on </w:t>
      </w:r>
      <w:r w:rsidR="0087781F">
        <w:t>their level of political knowledge (</w:t>
      </w:r>
      <w:r>
        <w:t>idea</w:t>
      </w:r>
      <w:r w:rsidRPr="00930BF5">
        <w:t xml:space="preserve"> 1).</w:t>
      </w:r>
      <w:r>
        <w:t xml:space="preserve"> Furthermore, </w:t>
      </w:r>
      <w:r w:rsidR="00FE33EF">
        <w:t>the</w:t>
      </w:r>
      <w:r>
        <w:t xml:space="preserve"> discuss</w:t>
      </w:r>
      <w:r w:rsidR="0087781F">
        <w:t>ion</w:t>
      </w:r>
      <w:r>
        <w:t xml:space="preserve"> builds on this to </w:t>
      </w:r>
      <w:r w:rsidR="0087781F">
        <w:t>make</w:t>
      </w:r>
      <w:r>
        <w:t xml:space="preserve"> three more substantive points that ultimately inform the purpose of this thesis. These points are:</w:t>
      </w:r>
    </w:p>
    <w:p w14:paraId="0B68E114" w14:textId="7F4E2D72" w:rsidR="00CF455B" w:rsidRPr="00D25056" w:rsidRDefault="00CF455B" w:rsidP="002032DF">
      <w:pPr>
        <w:pStyle w:val="ListParagraph"/>
        <w:numPr>
          <w:ilvl w:val="0"/>
          <w:numId w:val="13"/>
        </w:numPr>
        <w:rPr>
          <w:rFonts w:eastAsiaTheme="majorEastAsia"/>
          <w:bCs/>
          <w:szCs w:val="24"/>
        </w:rPr>
      </w:pPr>
      <w:r w:rsidRPr="00D25056">
        <w:rPr>
          <w:bCs/>
          <w:szCs w:val="24"/>
        </w:rPr>
        <w:t>To effectively support democracy, citizens must be knowledgeable of democracy</w:t>
      </w:r>
      <w:r w:rsidR="0087781F" w:rsidRPr="00D25056">
        <w:rPr>
          <w:bCs/>
          <w:szCs w:val="24"/>
        </w:rPr>
        <w:t>;</w:t>
      </w:r>
    </w:p>
    <w:p w14:paraId="518F8060" w14:textId="7532743C" w:rsidR="00CF455B" w:rsidRPr="00D25056" w:rsidRDefault="00CF455B" w:rsidP="002032DF">
      <w:pPr>
        <w:pStyle w:val="ListParagraph"/>
        <w:numPr>
          <w:ilvl w:val="0"/>
          <w:numId w:val="13"/>
        </w:numPr>
        <w:rPr>
          <w:iCs/>
          <w:szCs w:val="24"/>
        </w:rPr>
      </w:pPr>
      <w:r w:rsidRPr="00D25056">
        <w:rPr>
          <w:bCs/>
          <w:iCs/>
          <w:szCs w:val="24"/>
        </w:rPr>
        <w:t xml:space="preserve">Examinations of citizen support for democracy frequently </w:t>
      </w:r>
      <w:r w:rsidRPr="00D25056">
        <w:rPr>
          <w:bCs/>
          <w:i/>
          <w:szCs w:val="24"/>
        </w:rPr>
        <w:t>assume</w:t>
      </w:r>
      <w:r w:rsidRPr="00D25056">
        <w:rPr>
          <w:bCs/>
          <w:iCs/>
          <w:szCs w:val="24"/>
        </w:rPr>
        <w:t xml:space="preserve"> a shared understanding of democracy</w:t>
      </w:r>
      <w:r w:rsidR="0087781F" w:rsidRPr="00D25056">
        <w:rPr>
          <w:bCs/>
          <w:iCs/>
          <w:szCs w:val="24"/>
        </w:rPr>
        <w:t>; and</w:t>
      </w:r>
    </w:p>
    <w:p w14:paraId="093CC0FD" w14:textId="77777777" w:rsidR="00CF455B" w:rsidRPr="00D25056" w:rsidRDefault="00CF455B" w:rsidP="002032DF">
      <w:pPr>
        <w:pStyle w:val="ListParagraph"/>
        <w:numPr>
          <w:ilvl w:val="0"/>
          <w:numId w:val="13"/>
        </w:numPr>
        <w:rPr>
          <w:rFonts w:eastAsia="Times New Roman"/>
          <w:iCs/>
          <w:szCs w:val="24"/>
        </w:rPr>
      </w:pPr>
      <w:r w:rsidRPr="00D25056">
        <w:rPr>
          <w:rFonts w:eastAsia="Times New Roman"/>
          <w:bCs/>
          <w:iCs/>
          <w:szCs w:val="24"/>
        </w:rPr>
        <w:t xml:space="preserve">Reported levels of support for democracy have a limited theoretical ability to explain political behaviour </w:t>
      </w:r>
    </w:p>
    <w:p w14:paraId="7AC462C7" w14:textId="3400A5C1" w:rsidR="00CF455B" w:rsidRDefault="00CF455B" w:rsidP="00EE48E8">
      <w:r>
        <w:t>And herein lies the problem</w:t>
      </w:r>
      <w:r w:rsidR="0087781F">
        <w:t>.</w:t>
      </w:r>
      <w:r w:rsidRPr="00930BF5">
        <w:t xml:space="preserve"> </w:t>
      </w:r>
      <w:r w:rsidR="0087781F">
        <w:t>M</w:t>
      </w:r>
      <w:r w:rsidRPr="00930BF5">
        <w:t xml:space="preserve">uch of the theoretical focus </w:t>
      </w:r>
      <w:r>
        <w:t>examines how citizens keep up-to-</w:t>
      </w:r>
      <w:r w:rsidRPr="00930BF5">
        <w:t xml:space="preserve">date with political goings-on or have factual knowledge of their government. There is much less focus on </w:t>
      </w:r>
      <w:r w:rsidR="0087781F" w:rsidRPr="00930BF5">
        <w:t>citizens</w:t>
      </w:r>
      <w:r w:rsidR="0087781F">
        <w:t>’</w:t>
      </w:r>
      <w:r w:rsidR="0087781F" w:rsidRPr="00930BF5">
        <w:t xml:space="preserve"> </w:t>
      </w:r>
      <w:r w:rsidRPr="00930BF5">
        <w:t xml:space="preserve">knowledge or </w:t>
      </w:r>
      <w:r w:rsidR="001E3FD2">
        <w:t>conceptualis</w:t>
      </w:r>
      <w:r>
        <w:t>ation</w:t>
      </w:r>
      <w:r w:rsidR="0087781F">
        <w:t>s</w:t>
      </w:r>
      <w:r w:rsidRPr="00930BF5">
        <w:t xml:space="preserve"> about what democracy </w:t>
      </w:r>
      <w:r w:rsidRPr="003F0C21">
        <w:rPr>
          <w:i/>
        </w:rPr>
        <w:t>itself</w:t>
      </w:r>
      <w:r w:rsidRPr="00930BF5">
        <w:t xml:space="preserve"> actually means.</w:t>
      </w:r>
      <w:r>
        <w:t xml:space="preserve"> This is the point of the final part of this literature review which </w:t>
      </w:r>
      <w:r w:rsidRPr="00930BF5">
        <w:t xml:space="preserve">looks </w:t>
      </w:r>
      <w:r>
        <w:t xml:space="preserve">specifically </w:t>
      </w:r>
      <w:r w:rsidRPr="00930BF5">
        <w:t xml:space="preserve">at </w:t>
      </w:r>
      <w:r>
        <w:t>those</w:t>
      </w:r>
      <w:r w:rsidRPr="00930BF5">
        <w:t xml:space="preserve"> studies </w:t>
      </w:r>
      <w:r>
        <w:t xml:space="preserve">which </w:t>
      </w:r>
      <w:r w:rsidRPr="001E7615">
        <w:rPr>
          <w:i/>
        </w:rPr>
        <w:t>have</w:t>
      </w:r>
      <w:r w:rsidR="00D25056">
        <w:t xml:space="preserve"> addressed this issue of</w:t>
      </w:r>
      <w:r w:rsidR="0087781F">
        <w:t xml:space="preserve"> the public </w:t>
      </w:r>
      <w:r w:rsidRPr="00930BF5">
        <w:t>understanding of democracy, focusing predominantly on literature from the last decade. My discussion tackles the literature in terms of scale by looking at global, regional and national level studies in turn. I conclude by placing my thesis within this body of research and, with reference to the aims and</w:t>
      </w:r>
      <w:r w:rsidR="0073718B">
        <w:t xml:space="preserve"> objectives outline in Chapter 1</w:t>
      </w:r>
      <w:r w:rsidRPr="00930BF5">
        <w:t xml:space="preserve">, discussing how my research adds to existing debates in this field. </w:t>
      </w:r>
    </w:p>
    <w:p w14:paraId="5B0E6753" w14:textId="77777777" w:rsidR="00CF455B" w:rsidRDefault="00CF455B" w:rsidP="00EE48E8">
      <w:r>
        <w:t>Overall then, the literature review is structured as follows:</w:t>
      </w:r>
    </w:p>
    <w:p w14:paraId="529EBEE2" w14:textId="77777777" w:rsidR="00CF455B" w:rsidRDefault="00EE48E8" w:rsidP="00EE48E8">
      <w:pPr>
        <w:ind w:firstLine="720"/>
      </w:pPr>
      <w:r>
        <w:t xml:space="preserve">2.1 </w:t>
      </w:r>
      <w:r w:rsidR="00CF455B">
        <w:t>Democracy through the ages</w:t>
      </w:r>
    </w:p>
    <w:p w14:paraId="2F0DB4E0" w14:textId="77777777" w:rsidR="00CF455B" w:rsidRDefault="00EE48E8" w:rsidP="00EE48E8">
      <w:pPr>
        <w:ind w:firstLine="720"/>
      </w:pPr>
      <w:r>
        <w:t xml:space="preserve">2.2 </w:t>
      </w:r>
      <w:r w:rsidR="00CF455B" w:rsidRPr="00DC73F7">
        <w:t>Theoretical Approaches</w:t>
      </w:r>
    </w:p>
    <w:p w14:paraId="3BE0C7DF" w14:textId="77777777" w:rsidR="00CF455B" w:rsidRDefault="00EE48E8" w:rsidP="00EE48E8">
      <w:pPr>
        <w:ind w:firstLine="720"/>
      </w:pPr>
      <w:r>
        <w:t xml:space="preserve">2.3 </w:t>
      </w:r>
      <w:r w:rsidR="00CF455B" w:rsidRPr="00DC73F7">
        <w:t>People and Democracy: Political Support and Civic Culture</w:t>
      </w:r>
    </w:p>
    <w:p w14:paraId="39608F54" w14:textId="14A10F51" w:rsidR="00CF455B" w:rsidRDefault="00EE48E8" w:rsidP="00EE48E8">
      <w:pPr>
        <w:ind w:firstLine="720"/>
      </w:pPr>
      <w:r>
        <w:t xml:space="preserve">2.4 </w:t>
      </w:r>
      <w:r w:rsidR="00CF455B" w:rsidRPr="00DC73F7">
        <w:t xml:space="preserve">Citizen </w:t>
      </w:r>
      <w:r w:rsidR="001E3FD2">
        <w:t>Conceptualis</w:t>
      </w:r>
      <w:r w:rsidR="00CF455B" w:rsidRPr="00DC73F7">
        <w:t>ations of Democracy</w:t>
      </w:r>
    </w:p>
    <w:p w14:paraId="486750C6" w14:textId="77777777" w:rsidR="00CF455B" w:rsidRPr="00DC73F7" w:rsidRDefault="00EE48E8" w:rsidP="00EE48E8">
      <w:pPr>
        <w:ind w:firstLine="720"/>
      </w:pPr>
      <w:r>
        <w:t xml:space="preserve">2.5 </w:t>
      </w:r>
      <w:r w:rsidR="00CF455B" w:rsidRPr="00DC73F7">
        <w:t>Conclusions and Research Agenda</w:t>
      </w:r>
    </w:p>
    <w:p w14:paraId="3E928BCE" w14:textId="77777777" w:rsidR="00CF455B" w:rsidRPr="00577217" w:rsidRDefault="00CF455B" w:rsidP="00577217">
      <w:pPr>
        <w:pStyle w:val="Heading2"/>
      </w:pPr>
      <w:bookmarkStart w:id="26" w:name="_Toc439170197"/>
      <w:bookmarkStart w:id="27" w:name="_Toc441069015"/>
      <w:bookmarkStart w:id="28" w:name="_Toc441069160"/>
      <w:bookmarkStart w:id="29" w:name="_Toc494034207"/>
      <w:r w:rsidRPr="00577217">
        <w:t>2.1 Democracy through the Ages</w:t>
      </w:r>
      <w:bookmarkEnd w:id="26"/>
      <w:bookmarkEnd w:id="27"/>
      <w:bookmarkEnd w:id="28"/>
      <w:bookmarkEnd w:id="29"/>
    </w:p>
    <w:p w14:paraId="170A2971" w14:textId="780C3818" w:rsidR="00CF455B" w:rsidRPr="00930BF5" w:rsidRDefault="00CF455B" w:rsidP="00EE48E8">
      <w:r w:rsidRPr="00930BF5">
        <w:t xml:space="preserve">The origins </w:t>
      </w:r>
      <w:r>
        <w:t>of democracy as a political concept and</w:t>
      </w:r>
      <w:r w:rsidRPr="00930BF5">
        <w:t xml:space="preserve"> system are lost in time. A prevalent view is that democracy was developed by the ancient Athenians. However, Kean (2009: x) notes that the roots of the idea can be traced back to the Mycenaean period, seven to ten centuries before the Greeks, whilst Sen</w:t>
      </w:r>
      <w:r w:rsidR="005A6C8C">
        <w:t xml:space="preserve"> </w:t>
      </w:r>
      <w:r w:rsidR="005A6C8C">
        <w:fldChar w:fldCharType="begin" w:fldLock="1"/>
      </w:r>
      <w:r w:rsidR="00E63CC6">
        <w:instrText>ADDIN CSL_CITATION { "citationItems" : [ { "id" : "ITEM-1", "itemData" : { "author" : [ { "dropping-particle" : "", "family" : "Sen", "given" : "Amartya", "non-dropping-particle" : "", "parse-names" : false, "suffix" : "" } ], "container-title" : "Journal of Democracy", "id" : "ITEM-1", "issue" : "3", "issued" : { "date-parts" : [ [ "1999" ] ] }, "page" : "3-17", "title" : "Democracy as universal value", "type" : "article-journal", "volume" : "10" }, "uris" : [ "http://www.mendeley.com/documents/?uuid=c7793ef7-2675-4d4d-b6c3-9bdf0492e749" ] } ], "mendeley" : { "formattedCitation" : "(Sen, 1999)", "manualFormatting" : "(1999)", "plainTextFormattedCitation" : "(Sen, 1999)", "previouslyFormattedCitation" : "(Sen, 1999)" }, "properties" : { "noteIndex" : 0 }, "schema" : "https://github.com/citation-style-language/schema/raw/master/csl-citation.json" }</w:instrText>
      </w:r>
      <w:r w:rsidR="005A6C8C">
        <w:fldChar w:fldCharType="separate"/>
      </w:r>
      <w:r w:rsidR="005A6C8C" w:rsidRPr="005A6C8C">
        <w:rPr>
          <w:noProof/>
        </w:rPr>
        <w:t>(1999)</w:t>
      </w:r>
      <w:r w:rsidR="005A6C8C">
        <w:fldChar w:fldCharType="end"/>
      </w:r>
      <w:r w:rsidRPr="00930BF5">
        <w:t xml:space="preserve"> points to early signs of democratic ideals, particularly the notion of public discussion, across the ancient world</w:t>
      </w:r>
      <w:r w:rsidR="000C1BF2">
        <w:t>, with important antecedents in (among</w:t>
      </w:r>
      <w:r w:rsidR="00FE33EF">
        <w:t>st</w:t>
      </w:r>
      <w:r w:rsidR="000C1BF2">
        <w:t xml:space="preserve"> others) ancient Indian civilisations</w:t>
      </w:r>
      <w:r w:rsidR="00FE33EF">
        <w:t>.</w:t>
      </w:r>
    </w:p>
    <w:p w14:paraId="01DCB311" w14:textId="031D01A7" w:rsidR="006858A4" w:rsidRDefault="00CF455B" w:rsidP="00EE48E8">
      <w:r w:rsidRPr="00930BF5">
        <w:t xml:space="preserve">Regardless of whether Athens was the birthplace of democracy, it </w:t>
      </w:r>
      <w:r w:rsidRPr="00FE33EF">
        <w:rPr>
          <w:i/>
        </w:rPr>
        <w:t>was</w:t>
      </w:r>
      <w:r w:rsidRPr="00930BF5">
        <w:t xml:space="preserve"> unique </w:t>
      </w:r>
      <w:r w:rsidR="000C1BF2" w:rsidRPr="00930BF5">
        <w:t>i</w:t>
      </w:r>
      <w:r w:rsidR="000C1BF2">
        <w:t>n</w:t>
      </w:r>
      <w:r w:rsidR="000C1BF2" w:rsidRPr="00930BF5">
        <w:t xml:space="preserve"> </w:t>
      </w:r>
      <w:r w:rsidRPr="00930BF5">
        <w:t xml:space="preserve">terms of its contribution towards </w:t>
      </w:r>
      <w:r w:rsidR="005A6C8C">
        <w:t xml:space="preserve">the idea of democracy </w:t>
      </w:r>
      <w:r w:rsidR="005A6C8C">
        <w:fldChar w:fldCharType="begin" w:fldLock="1"/>
      </w:r>
      <w:r w:rsidR="00E63CC6">
        <w:instrText>ADDIN CSL_CITATION { "citationItems" : [ { "id" : "ITEM-1", "itemData" : { "author" : [ { "dropping-particle" : "", "family" : "Sen", "given" : "Amartya", "non-dropping-particle" : "", "parse-names" : false, "suffix" : "" } ], "container-title" : "Journal of Democracy", "id" : "ITEM-1", "issue" : "3", "issued" : { "date-parts" : [ [ "1999" ] ] }, "page" : "3-17", "title" : "Democracy as universal value", "type" : "article-journal", "volume" : "10" }, "uris" : [ "http://www.mendeley.com/documents/?uuid=c7793ef7-2675-4d4d-b6c3-9bdf0492e749" ] } ], "mendeley" : { "formattedCitation" : "(Sen, 1999)", "plainTextFormattedCitation" : "(Sen, 1999)", "previouslyFormattedCitation" : "(Sen, 1999)" }, "properties" : { "noteIndex" : 0 }, "schema" : "https://github.com/citation-style-language/schema/raw/master/csl-citation.json" }</w:instrText>
      </w:r>
      <w:r w:rsidR="005A6C8C">
        <w:fldChar w:fldCharType="separate"/>
      </w:r>
      <w:r w:rsidR="00E63CC6" w:rsidRPr="00E63CC6">
        <w:rPr>
          <w:noProof/>
        </w:rPr>
        <w:t>(Sen, 1999)</w:t>
      </w:r>
      <w:r w:rsidR="005A6C8C">
        <w:fldChar w:fldCharType="end"/>
      </w:r>
      <w:r w:rsidRPr="00930BF5">
        <w:t xml:space="preserve">. The system used by the Athenians functioned at the level of the city, or </w:t>
      </w:r>
      <w:r w:rsidRPr="00930BF5">
        <w:rPr>
          <w:i/>
          <w:iCs/>
        </w:rPr>
        <w:t>polis</w:t>
      </w:r>
      <w:r w:rsidRPr="00930BF5">
        <w:t xml:space="preserve">. Participation in the system required </w:t>
      </w:r>
      <w:r w:rsidR="000C1BF2">
        <w:t>one</w:t>
      </w:r>
      <w:r w:rsidR="000C1BF2" w:rsidRPr="00930BF5">
        <w:t xml:space="preserve"> </w:t>
      </w:r>
      <w:r w:rsidRPr="00930BF5">
        <w:t xml:space="preserve">to be a citizen, and citizenship was limited to men, usually </w:t>
      </w:r>
      <w:r>
        <w:t xml:space="preserve">only </w:t>
      </w:r>
      <w:r w:rsidRPr="00930BF5">
        <w:t>those with some wealth. The Athenian origins of democratic theory were concerned with “direct participation, political equa</w:t>
      </w:r>
      <w:r w:rsidR="005A6C8C">
        <w:t xml:space="preserve">lity, and popular sovereignty” </w:t>
      </w:r>
      <w:r w:rsidR="005A6C8C">
        <w:fldChar w:fldCharType="begin" w:fldLock="1"/>
      </w:r>
      <w:r w:rsidR="00E63CC6">
        <w:instrText>ADDIN CSL_CITATION { "citationItems" : [ { "id" : "ITEM-1", "itemData" : { "DOI" : "10.1111/0004-5608.00112", "abstract" : "We examine the relationship between the temporal and spatial aspects of democratic diffusion in the world system since 1946. We find strong and consistent evidence of temporal clustering of democratic and autocratic trends, as well as strong spatial association (or autocorrelation) of democratization. The analysis uses an exploratory data approach in a longitudinal framework to understand global and regional trends in changes in authority structures. Our work reveals discrete changes in regimes that run counter to the dominant aggregate trends of democratic waves or sequences, demonstrating how the ebb and flow of democracy varies among the world's regions. We conclude that further analysis of the process of regime change from autocracy to democracy, as well as reversals, should start from a \u0093domain-specific\u0094 position that dis-aggregates the globe into its regional mosaics.", "author" : [ { "dropping-particle" : "", "family" : "O'Loughlin", "given" : "John", "non-dropping-particle" : "", "parse-names" : false, "suffix" : "" }, { "dropping-particle" : "", "family" : "Ward", "given" : "Michael D", "non-dropping-particle" : "", "parse-names" : false, "suffix" : "" }, { "dropping-particle" : "", "family" : "Lofdahl", "given" : "Corey L", "non-dropping-particle" : "", "parse-names" : false, "suffix" : "" }, { "dropping-particle" : "", "family" : "Cohen", "given" : "Jordin S", "non-dropping-particle" : "", "parse-names" : false, "suffix" : "" }, { "dropping-particle" : "", "family" : "Brown", "given" : "David S", "non-dropping-particle" : "", "parse-names" : false, "suffix" : "" }, { "dropping-particle" : "", "family" : "Reilly", "given" : "David", "non-dropping-particle" : "", "parse-names" : false, "suffix" : "" }, { "dropping-particle" : "", "family" : "Gleditsch", "given" : "Kristian S", "non-dropping-particle" : "", "parse-names" : false, "suffix" : "" }, { "dropping-particle" : "", "family" : "Shin", "given" : "Michael", "non-dropping-particle" : "", "parse-names" : false, "suffix" : "" } ], "container-title" : "Annals of the Association of American Geographers", "id" : "ITEM-1", "issue" : "4", "issued" : { "date-parts" : [ [ "1998" ] ] }, "note" : "(private-note)Kep point of paper is that democracy and it's spread has geographic elements to it, ie. external contagion effects from both neighbors experiencing similar transistions/reversals, to the role of policy promotion from outside forces, such as the US or Japan. Useful section on the growth and spread of democracy which outlines key theories and trends in studies of democracy see notes", "page" : "545-574", "publisher" : "Routledge", "title" : "The Diffusion of Democracy, 1946-\u00961994", "type" : "article-journal", "volume" : "88" }, "locator" : "546", "uris" : [ "http://www.mendeley.com/documents/?uuid=cd152e7e-4bf2-4236-8ab2-988d4064bd27" ] } ], "mendeley" : { "formattedCitation" : "(John O\u2019Loughlin &lt;i&gt;et al.&lt;/i&gt;, 1998, p. 546)", "plainTextFormattedCitation" : "(John O\u2019Loughlin et al., 1998, p. 546)", "previouslyFormattedCitation" : "(John O\u2019Loughlin &lt;i&gt;et al.&lt;/i&gt;, 1998, p. 546)" }, "properties" : { "noteIndex" : 0 }, "schema" : "https://github.com/citation-style-language/schema/raw/master/csl-citation.json" }</w:instrText>
      </w:r>
      <w:r w:rsidR="005A6C8C">
        <w:fldChar w:fldCharType="separate"/>
      </w:r>
      <w:r w:rsidR="00E63CC6" w:rsidRPr="00E63CC6">
        <w:rPr>
          <w:noProof/>
        </w:rPr>
        <w:t xml:space="preserve">(John O’Loughlin </w:t>
      </w:r>
      <w:r w:rsidR="00E63CC6" w:rsidRPr="00E63CC6">
        <w:rPr>
          <w:i/>
          <w:noProof/>
        </w:rPr>
        <w:t>et al.</w:t>
      </w:r>
      <w:r w:rsidR="00E63CC6" w:rsidRPr="00E63CC6">
        <w:rPr>
          <w:noProof/>
        </w:rPr>
        <w:t>, 1998, p. 546)</w:t>
      </w:r>
      <w:r w:rsidR="005A6C8C">
        <w:fldChar w:fldCharType="end"/>
      </w:r>
      <w:r w:rsidR="005A6C8C">
        <w:t xml:space="preserve">. </w:t>
      </w:r>
      <w:r w:rsidRPr="00930BF5">
        <w:t>Aristotle summed this up as ‘popular power’, or as it is commonly thought of today</w:t>
      </w:r>
      <w:r w:rsidR="00153B6B">
        <w:t xml:space="preserve"> following Lincoln’s portrayal in his Gettysburg address:</w:t>
      </w:r>
      <w:r w:rsidRPr="00930BF5">
        <w:t xml:space="preserve"> government of the people, by the pe</w:t>
      </w:r>
      <w:r>
        <w:t>ople, for the people</w:t>
      </w:r>
      <w:r w:rsidR="006858A4">
        <w:t xml:space="preserve"> </w:t>
      </w:r>
      <w:r w:rsidR="006858A4">
        <w:fldChar w:fldCharType="begin" w:fldLock="1"/>
      </w:r>
      <w:r w:rsidR="00E63CC6">
        <w:instrText>ADDIN CSL_CITATION { "citationItems" : [ { "id" : "ITEM-1", "itemData" : { "author" : [ { "dropping-particle" : "", "family" : "Ake", "given" : "C", "non-dropping-particle" : "", "parse-names" : false, "suffix" : "" } ], "container-title" : "Democracy's Victory and Crisis", "editor" : [ { "dropping-particle" : "", "family" : "Hadenius", "given" : "A", "non-dropping-particle" : "", "parse-names" : false, "suffix" : "" } ], "id" : "ITEM-1", "issued" : { "date-parts" : [ [ "1997" ] ] }, "page" : "282-297", "publisher" : "Cambridge University Press", "publisher-place" : "Cambridge", "title" : "Dangerous liaisons: the interface of globalization and democracy", "type" : "chapter" }, "locator" : "282", "uris" : [ "http://www.mendeley.com/documents/?uuid=71e34895-780a-4aef-8dc8-2fbbe702b55f" ] } ], "mendeley" : { "formattedCitation" : "(Ake, 1997, p. 282)", "manualFormatting" : "(Lincoln 1883, see Ake 1997, p.282)", "plainTextFormattedCitation" : "(Ake, 1997, p. 282)", "previouslyFormattedCitation" : "(Ake, 1997, p. 282)" }, "properties" : { "noteIndex" : 0 }, "schema" : "https://github.com/citation-style-language/schema/raw/master/csl-citation.json" }</w:instrText>
      </w:r>
      <w:r w:rsidR="006858A4">
        <w:fldChar w:fldCharType="separate"/>
      </w:r>
      <w:r w:rsidR="006858A4" w:rsidRPr="006858A4">
        <w:rPr>
          <w:noProof/>
        </w:rPr>
        <w:t>(</w:t>
      </w:r>
      <w:r w:rsidR="00265BF5">
        <w:rPr>
          <w:noProof/>
        </w:rPr>
        <w:t xml:space="preserve">Lincoln 1883, see </w:t>
      </w:r>
      <w:r w:rsidR="006858A4" w:rsidRPr="006858A4">
        <w:rPr>
          <w:noProof/>
        </w:rPr>
        <w:t>Ake 1997, p.282)</w:t>
      </w:r>
      <w:r w:rsidR="006858A4">
        <w:fldChar w:fldCharType="end"/>
      </w:r>
      <w:r w:rsidR="006858A4">
        <w:t xml:space="preserve">. </w:t>
      </w:r>
    </w:p>
    <w:p w14:paraId="7BE49217" w14:textId="0E4165A5" w:rsidR="00CF455B" w:rsidRPr="00930BF5" w:rsidRDefault="00CF455B" w:rsidP="00EE48E8">
      <w:r>
        <w:t xml:space="preserve">Sen </w:t>
      </w:r>
      <w:r w:rsidR="005A607C">
        <w:fldChar w:fldCharType="begin" w:fldLock="1"/>
      </w:r>
      <w:r w:rsidR="00E63CC6">
        <w:instrText>ADDIN CSL_CITATION { "citationItems" : [ { "id" : "ITEM-1", "itemData" : { "author" : [ { "dropping-particle" : "", "family" : "Sen", "given" : "Amartya", "non-dropping-particle" : "", "parse-names" : false, "suffix" : "" } ], "container-title" : "Journal of Democracy", "id" : "ITEM-1", "issue" : "3", "issued" : { "date-parts" : [ [ "1999" ] ] }, "page" : "3-17", "title" : "Democracy as universal value", "type" : "article-journal", "volume" : "10" }, "locator" : "329ff", "uris" : [ "http://www.mendeley.com/documents/?uuid=c7793ef7-2675-4d4d-b6c3-9bdf0492e749" ] } ], "mendeley" : { "formattedCitation" : "(Sen, 1999, p. 329ff)", "manualFormatting" : "(1999, p.329ff)", "plainTextFormattedCitation" : "(Sen, 1999, p. 329ff)", "previouslyFormattedCitation" : "(Sen, 1999, p. 329ff)" }, "properties" : { "noteIndex" : 0 }, "schema" : "https://github.com/citation-style-language/schema/raw/master/csl-citation.json" }</w:instrText>
      </w:r>
      <w:r w:rsidR="005A607C">
        <w:fldChar w:fldCharType="separate"/>
      </w:r>
      <w:r w:rsidR="005A607C" w:rsidRPr="005A607C">
        <w:rPr>
          <w:noProof/>
        </w:rPr>
        <w:t>(1999, p.329ff)</w:t>
      </w:r>
      <w:r w:rsidR="005A607C">
        <w:fldChar w:fldCharType="end"/>
      </w:r>
      <w:r w:rsidR="005A607C">
        <w:t xml:space="preserve"> </w:t>
      </w:r>
      <w:r w:rsidRPr="00930BF5">
        <w:t xml:space="preserve">argues that whilst the informal elements of democracy </w:t>
      </w:r>
      <w:r>
        <w:t>have</w:t>
      </w:r>
      <w:r w:rsidRPr="00930BF5">
        <w:t xml:space="preserve"> a longer history, it was in Athens that we can most clearly see the origins of the formal institutional procedures of democracy, such as balloting.</w:t>
      </w:r>
    </w:p>
    <w:p w14:paraId="0AC5657C" w14:textId="546D7193" w:rsidR="00CF455B" w:rsidRPr="00930BF5" w:rsidRDefault="00CF455B" w:rsidP="00EE48E8">
      <w:r w:rsidRPr="00930BF5">
        <w:t xml:space="preserve">However, this flourishing of the democratic idea was not to last. It was by no means agreed that such democratic practices were effective, or even legitimate. Some of the greatest minds of the time were suspicious of the ideas inherent within democratic theory. In fact, </w:t>
      </w:r>
      <w:r>
        <w:t>“</w:t>
      </w:r>
      <w:r w:rsidR="00E60F02" w:rsidRPr="00930BF5">
        <w:t xml:space="preserve">from Ancient Greece to the present day </w:t>
      </w:r>
      <w:r w:rsidR="00E60F02">
        <w:t xml:space="preserve">the </w:t>
      </w:r>
      <w:r w:rsidRPr="00930BF5">
        <w:t>majority of political thinkers, have been highly critical of the t</w:t>
      </w:r>
      <w:r>
        <w:t>heory and practice of democracy”</w:t>
      </w:r>
      <w:r w:rsidR="00E60F02">
        <w:t xml:space="preserve"> </w:t>
      </w:r>
      <w:r w:rsidR="00E60F02">
        <w:fldChar w:fldCharType="begin" w:fldLock="1"/>
      </w:r>
      <w:r w:rsidR="00E63CC6">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"locator" : "1", "uris" : [ "http://www.mendeley.com/documents/?uuid=24227599-5f98-4d3e-a622-4ec6675a17ba" ] } ], "mendeley" : { "formattedCitation" : "(Held, 1998, p. 1)", "plainTextFormattedCitation" : "(Held, 1998, p. 1)", "previouslyFormattedCitation" : "(Held, 1998, p. 1)" }, "properties" : { "noteIndex" : 0 }, "schema" : "https://github.com/citation-style-language/schema/raw/master/csl-citation.json" }</w:instrText>
      </w:r>
      <w:r w:rsidR="00E60F02">
        <w:fldChar w:fldCharType="separate"/>
      </w:r>
      <w:r w:rsidR="00E63CC6" w:rsidRPr="00E63CC6">
        <w:rPr>
          <w:noProof/>
        </w:rPr>
        <w:t>(Held, 1998, p. 1)</w:t>
      </w:r>
      <w:r w:rsidR="00E60F02">
        <w:fldChar w:fldCharType="end"/>
      </w:r>
      <w:r w:rsidRPr="00930BF5">
        <w:t>. Aristotle himself was gravely concerned with the concept, particularly the possibility that participation c</w:t>
      </w:r>
      <w:r>
        <w:t>ould be broadened to all people</w:t>
      </w:r>
      <w:r w:rsidR="00540C90">
        <w:t>, and the subsequent idea that</w:t>
      </w:r>
      <w:r w:rsidR="007E46C9">
        <w:t xml:space="preserve"> majorities </w:t>
      </w:r>
      <w:r w:rsidR="00540C90">
        <w:t>could</w:t>
      </w:r>
      <w:r w:rsidR="007E46C9">
        <w:t xml:space="preserve"> overrule the law, resulting in demagoguery (see </w:t>
      </w:r>
      <w:r w:rsidR="007E46C9">
        <w:rPr>
          <w:i/>
        </w:rPr>
        <w:t xml:space="preserve">Politics, </w:t>
      </w:r>
      <w:r w:rsidR="007E46C9">
        <w:t xml:space="preserve">Book Four Part IV and V in particular in </w:t>
      </w:r>
      <w:r w:rsidR="00540C90">
        <w:fldChar w:fldCharType="begin" w:fldLock="1"/>
      </w:r>
      <w:r w:rsidR="00E63CC6">
        <w:instrText>ADDIN CSL_CITATION { "citationItems" : [ { "id" : "ITEM-1", "itemData" : { "author" : [ { "dropping-particle" : "", "family" : "Jowett (trans.)", "given" : "Benjamin", "non-dropping-particle" : "", "parse-names" : false, "suffix" : "" } ], "id" : "ITEM-1", "issued" : { "date-parts" : [ [ "1999" ] ] }, "publisher" : "Batoche Books", "publisher-place" : "Online", "title" : "Politics [Aristotle]", "type" : "book" }, "uris" : [ "http://www.mendeley.com/documents/?uuid=58430de7-44b5-4a50-892a-eb4742df69d3" ] } ], "mendeley" : { "formattedCitation" : "(Jowett (trans.), 1999)", "manualFormatting" : "Jowett [trans.] 1999, pp.84-89)", "plainTextFormattedCitation" : "(Jowett (trans.), 1999)", "previouslyFormattedCitation" : "(Jowett (trans.), 1999)" }, "properties" : { "noteIndex" : 0 }, "schema" : "https://github.com/citation-style-language/schema/raw/master/csl-citation.json" }</w:instrText>
      </w:r>
      <w:r w:rsidR="00540C90">
        <w:fldChar w:fldCharType="separate"/>
      </w:r>
      <w:r w:rsidR="00540C90">
        <w:rPr>
          <w:noProof/>
        </w:rPr>
        <w:t>Jowett [trans.]</w:t>
      </w:r>
      <w:r w:rsidR="00540C90" w:rsidRPr="00540C90">
        <w:rPr>
          <w:noProof/>
        </w:rPr>
        <w:t xml:space="preserve"> 1999</w:t>
      </w:r>
      <w:r w:rsidR="00540C90">
        <w:rPr>
          <w:noProof/>
        </w:rPr>
        <w:t>, pp.84-89</w:t>
      </w:r>
      <w:r w:rsidR="00540C90" w:rsidRPr="00540C90">
        <w:rPr>
          <w:noProof/>
        </w:rPr>
        <w:t>)</w:t>
      </w:r>
      <w:r w:rsidR="00540C90">
        <w:fldChar w:fldCharType="end"/>
      </w:r>
      <w:r w:rsidR="0016434C">
        <w:t>.</w:t>
      </w:r>
      <w:r w:rsidRPr="00930BF5">
        <w:t xml:space="preserve"> </w:t>
      </w:r>
      <w:r w:rsidR="0016434C">
        <w:t>H</w:t>
      </w:r>
      <w:r>
        <w:t>e</w:t>
      </w:r>
      <w:r w:rsidRPr="00930BF5">
        <w:t xml:space="preserve"> argued that, realistically, the best possible constitution </w:t>
      </w:r>
      <w:r>
        <w:t>involves</w:t>
      </w:r>
      <w:r w:rsidRPr="00930BF5">
        <w:t xml:space="preserve"> a mixture of oligarchy and democracy in a society in which the middle classes predominate, either in the sense of being more numerous than the rich and poor, or at least numerous enough to keep </w:t>
      </w:r>
      <w:r>
        <w:t xml:space="preserve">a balance of power </w:t>
      </w:r>
      <w:r w:rsidR="00E314A5">
        <w:fldChar w:fldCharType="begin" w:fldLock="1"/>
      </w:r>
      <w:r w:rsidR="00E63CC6">
        <w:instrText>ADDIN CSL_CITATION { "citationItems" : [ { "id" : "ITEM-1", "itemData" : { "author" : [ { "dropping-particle" : "", "family" : "Almond", "given" : "Gabriel A", "non-dropping-particle" : "", "parse-names" : false, "suffix" : "" } ], "container-title" : "The Civic Culture Revisited", "editor" : [ { "dropping-particle" : "", "family" : "Almond", "given" : "Gabriel A", "non-dropping-particle" : "", "parse-names" : false, "suffix" : "" }, { "dropping-particle" : "", "family" : "Verba", "given" : "S", "non-dropping-particle" : "", "parse-names" : false, "suffix" : "" } ], "id" : "ITEM-1", "issued" : { "date-parts" : [ [ "1980" ] ] }, "page" : "1-37", "publisher" : "SAGE Publications", "publisher-place" : "London", "title" : "The Intellectual History of the Civic Culture Concept", "type" : "chapter" }, "uris" : [ "http://www.mendeley.com/documents/?uuid=3b6de735-936b-45a1-9365-fdb96b5ef051" ] } ], "mendeley" : { "formattedCitation" : "(Almond, 1980)", "manualFormatting" : "(Almond 1980, p.17)", "plainTextFormattedCitation" : "(Almond, 1980)", "previouslyFormattedCitation" : "(Almond, 1980)" }, "properties" : { "noteIndex" : 0 }, "schema" : "https://github.com/citation-style-language/schema/raw/master/csl-citation.json" }</w:instrText>
      </w:r>
      <w:r w:rsidR="00E314A5">
        <w:fldChar w:fldCharType="separate"/>
      </w:r>
      <w:r w:rsidR="00E314A5" w:rsidRPr="00E314A5">
        <w:rPr>
          <w:noProof/>
        </w:rPr>
        <w:t>(Almond 1980</w:t>
      </w:r>
      <w:r w:rsidR="00E314A5">
        <w:rPr>
          <w:noProof/>
        </w:rPr>
        <w:t>, p.17</w:t>
      </w:r>
      <w:r w:rsidR="00E314A5" w:rsidRPr="00E314A5">
        <w:rPr>
          <w:noProof/>
        </w:rPr>
        <w:t>)</w:t>
      </w:r>
      <w:r w:rsidR="00E314A5">
        <w:fldChar w:fldCharType="end"/>
      </w:r>
      <w:r w:rsidR="00E314A5">
        <w:t>.</w:t>
      </w:r>
      <w:r w:rsidRPr="00930BF5">
        <w:t xml:space="preserve"> His mentor, Plato, argued that philosophers should be kings</w:t>
      </w:r>
      <w:r w:rsidR="00292280">
        <w:t xml:space="preserve"> </w:t>
      </w:r>
      <w:r w:rsidR="00292280">
        <w:fldChar w:fldCharType="begin" w:fldLock="1"/>
      </w:r>
      <w:r w:rsidR="00E63CC6">
        <w:instrText>ADDIN CSL_CITATION { "citationItems" : [ { "id" : "ITEM-1", "itemData" : { "author" : [ { "dropping-particle" : "", "family" : "Reeve", "given" : "C.D.C", "non-dropping-particle" : "", "parse-names" : false, "suffix" : "" } ], "id" : "ITEM-1", "issued" : { "date-parts" : [ [ "1988" ] ] }, "publisher" : "Princeton University Press", "publisher-place" : "Princeton", "title" : "Philosopher-Kings", "type" : "book" }, "uris" : [ "http://www.mendeley.com/documents/?uuid=c9f78793-9e2c-47aa-a34e-f4dfc45a7ad4" ] }, { "id" : "ITEM-2", "itemData" : { "author" : [ { "dropping-particle" : "", "family" : "Plato", "given" : "", "non-dropping-particle" : "", "parse-names" : false, "suffix" : "" } ], "id" : "ITEM-2", "issued" : { "date-parts" : [ [ "1763" ] ] }, "publisher" : "Glasgow University", "publisher-place" : "Glasgow", "title" : "The Republic of Plato in Ten Books (translated by H. Spens, D.D.)", "type" : "book" }, "uris" : [ "http://www.mendeley.com/documents/?uuid=54cc839d-a275-4e24-9c72-35decd59706f" ] } ], "mendeley" : { "formattedCitation" : "(Plato, 1763; Reeve, 1988)", "manualFormatting" : "(see Reeve 1988; Plato 1763, Book V)", "plainTextFormattedCitation" : "(Plato, 1763; Reeve, 1988)", "previouslyFormattedCitation" : "(Plato, 1763; Reeve, 1988)" }, "properties" : { "noteIndex" : 0 }, "schema" : "https://github.com/citation-style-language/schema/raw/master/csl-citation.json" }</w:instrText>
      </w:r>
      <w:r w:rsidR="00292280">
        <w:fldChar w:fldCharType="separate"/>
      </w:r>
      <w:r w:rsidR="00292280" w:rsidRPr="00292280">
        <w:rPr>
          <w:noProof/>
        </w:rPr>
        <w:t>(</w:t>
      </w:r>
      <w:r w:rsidR="00292280">
        <w:rPr>
          <w:noProof/>
        </w:rPr>
        <w:t xml:space="preserve">see </w:t>
      </w:r>
      <w:r w:rsidR="00292280" w:rsidRPr="00292280">
        <w:rPr>
          <w:noProof/>
        </w:rPr>
        <w:t>Reeve 1988; Plato 1763</w:t>
      </w:r>
      <w:r w:rsidR="00292280">
        <w:rPr>
          <w:noProof/>
        </w:rPr>
        <w:t xml:space="preserve">, Book </w:t>
      </w:r>
      <w:r w:rsidR="00292280" w:rsidRPr="00292280">
        <w:rPr>
          <w:i/>
          <w:noProof/>
        </w:rPr>
        <w:t>V</w:t>
      </w:r>
      <w:r w:rsidR="00292280" w:rsidRPr="00292280">
        <w:rPr>
          <w:noProof/>
        </w:rPr>
        <w:t>)</w:t>
      </w:r>
      <w:r w:rsidR="00292280">
        <w:fldChar w:fldCharType="end"/>
      </w:r>
      <w:r w:rsidRPr="00930BF5">
        <w:t xml:space="preserve">. </w:t>
      </w:r>
      <w:r w:rsidR="004A089C">
        <w:t xml:space="preserve">Ancient </w:t>
      </w:r>
      <w:r w:rsidRPr="00930BF5">
        <w:t xml:space="preserve">Athenian democracy </w:t>
      </w:r>
      <w:r>
        <w:t xml:space="preserve">itself </w:t>
      </w:r>
      <w:r w:rsidRPr="00930BF5">
        <w:t xml:space="preserve">succumbed to totalitarianism and suppression on a number of occasions, and </w:t>
      </w:r>
      <w:r w:rsidR="00F62330">
        <w:t xml:space="preserve">ultimately </w:t>
      </w:r>
      <w:r w:rsidRPr="00930BF5">
        <w:t xml:space="preserve">did not survive </w:t>
      </w:r>
      <w:r>
        <w:t>invasion by</w:t>
      </w:r>
      <w:r w:rsidRPr="00930BF5">
        <w:t xml:space="preserve"> the Roman Empire</w:t>
      </w:r>
      <w:r>
        <w:t>.</w:t>
      </w:r>
    </w:p>
    <w:p w14:paraId="51D2F387" w14:textId="3D758EC4" w:rsidR="00CF455B" w:rsidRPr="00930BF5" w:rsidRDefault="00CF455B" w:rsidP="00EE48E8">
      <w:r w:rsidRPr="00930BF5">
        <w:t>Aristotle’s work was rediscovered in the Middle Ages. At this time the pejorative aspects of democracy wer</w:t>
      </w:r>
      <w:r w:rsidR="00C475AA">
        <w:t xml:space="preserve">e initially the most focused on and it democracy was, as Held </w:t>
      </w:r>
      <w:r w:rsidR="00C475AA">
        <w:fldChar w:fldCharType="begin" w:fldLock="1"/>
      </w:r>
      <w:r w:rsidR="00E63CC6">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"locator" : "33", "uris" : [ "http://www.mendeley.com/documents/?uuid=24227599-5f98-4d3e-a622-4ec6675a17ba" ] } ], "mendeley" : { "formattedCitation" : "(Held, 1998, p. 33)", "manualFormatting" : "(2006, p.33)", "plainTextFormattedCitation" : "(Held, 1998, p. 33)", "previouslyFormattedCitation" : "(Held, 1998, p. 33)" }, "properties" : { "noteIndex" : 0 }, "schema" : "https://github.com/citation-style-language/schema/raw/master/csl-citation.json" }</w:instrText>
      </w:r>
      <w:r w:rsidR="00C475AA">
        <w:fldChar w:fldCharType="separate"/>
      </w:r>
      <w:r w:rsidR="00C475AA" w:rsidRPr="00950B93">
        <w:rPr>
          <w:noProof/>
        </w:rPr>
        <w:t>(2006, p.33)</w:t>
      </w:r>
      <w:r w:rsidR="00C475AA">
        <w:fldChar w:fldCharType="end"/>
      </w:r>
      <w:r w:rsidR="00C475AA">
        <w:t xml:space="preserve"> puts it, predominantly understood as</w:t>
      </w:r>
      <w:r w:rsidRPr="00930BF5">
        <w:t>:</w:t>
      </w:r>
    </w:p>
    <w:p w14:paraId="24D565B3" w14:textId="77777777" w:rsidR="00CF455B" w:rsidRPr="00930BF5" w:rsidRDefault="00CF455B" w:rsidP="00EE48E8">
      <w:pPr>
        <w:pStyle w:val="Quote"/>
      </w:pPr>
      <w:r w:rsidRPr="00930BF5">
        <w:t>“…government conducted for the benefit of the poor rather than the public interest; and a form of power (to anticipate later nineteenth-century sceptics of democratic government) in which the “common people” can become tyrannical, threatening to level all social distinctions and privileges.”</w:t>
      </w:r>
    </w:p>
    <w:p w14:paraId="29AB4DD5" w14:textId="77777777" w:rsidR="00CF455B" w:rsidRPr="00930BF5" w:rsidRDefault="00CF455B" w:rsidP="00EE48E8">
      <w:r w:rsidRPr="00930BF5">
        <w:t>Accordingly, the idea of democracy sat particularly badly with the notion of the divine rights of kings; the idea that the monarch had legitimacy to rule because they were doing so with the will of God. For the ruling classes especially, the idea of mass political participation and political equality was not a pleasant one.</w:t>
      </w:r>
    </w:p>
    <w:p w14:paraId="2BD5BAFF" w14:textId="2E67829D" w:rsidR="00CF455B" w:rsidRPr="00930BF5" w:rsidRDefault="00CF455B" w:rsidP="00EE48E8">
      <w:r>
        <w:t xml:space="preserve">However, the Reformation and the Enlightenment saw the further development of </w:t>
      </w:r>
      <w:r w:rsidR="00B166E6">
        <w:t xml:space="preserve">liberal </w:t>
      </w:r>
      <w:r>
        <w:t>ideas which</w:t>
      </w:r>
      <w:r w:rsidR="00B166E6">
        <w:t xml:space="preserve"> later</w:t>
      </w:r>
      <w:r>
        <w:t xml:space="preserve"> came to be bound up with </w:t>
      </w:r>
      <w:r w:rsidR="00B166E6">
        <w:t xml:space="preserve">the notion of </w:t>
      </w:r>
      <w:r>
        <w:t>liberal democracy, including a focus on individualism and rationality and the separation of the church from the state. D</w:t>
      </w:r>
      <w:r w:rsidRPr="00930BF5">
        <w:t>uring the Fr</w:t>
      </w:r>
      <w:r>
        <w:t>ench Revolution (1789-1799) some of these ideas were dramatically realised when</w:t>
      </w:r>
      <w:r w:rsidRPr="00930BF5">
        <w:t xml:space="preserve">, after a popular vote in the new assembly, King Louis XVI was beheaded in 1793. The Revolution sought to bring about egalitarian democracy through the notion of </w:t>
      </w:r>
      <w:r w:rsidRPr="00930BF5">
        <w:rPr>
          <w:i/>
          <w:iCs/>
        </w:rPr>
        <w:t>popular</w:t>
      </w:r>
      <w:r w:rsidRPr="00930BF5">
        <w:t xml:space="preserve"> sovereignty, sweeping away </w:t>
      </w:r>
      <w:r w:rsidRPr="00930BF5">
        <w:rPr>
          <w:i/>
          <w:iCs/>
        </w:rPr>
        <w:t>royal</w:t>
      </w:r>
      <w:r w:rsidRPr="00930BF5">
        <w:t xml:space="preserve"> sovereignty and the link between governmental authority and inherited privilege</w:t>
      </w:r>
      <w:r w:rsidR="00814BF5">
        <w:t xml:space="preserve"> </w:t>
      </w:r>
      <w:r w:rsidR="00814BF5">
        <w:fldChar w:fldCharType="begin" w:fldLock="1"/>
      </w:r>
      <w:r w:rsidR="00E63CC6">
        <w:instrText>ADDIN CSL_CITATION { "citationItems" : [ { "id" : "ITEM-1", "itemData" : { "author" : [ { "dropping-particle" : "", "family" : "Hyd\u00e9n", "given" : "G", "non-dropping-particle" : "", "parse-names" : false, "suffix" : "" } ], "container-title" : "Democracy's Victory and Crisis", "editor" : [ { "dropping-particle" : "", "family" : "Hadenius", "given" : "Axel", "non-dropping-particle" : "", "parse-names" : false, "suffix" : "" } ], "id" : "ITEM-1", "issued" : { "date-parts" : [ [ "1997" ] ] }, "page" : "242-262", "publisher" : "Cambridge University Press", "publisher-place" : "Cambridge", "title" : "Democracy and Administration", "type" : "chapter" }, "locator" : "243", "uris" : [ "http://www.mendeley.com/documents/?uuid=78e0da4c-275e-47fb-91ed-ea6a6b35e012" ] } ], "mendeley" : { "formattedCitation" : "(Hyd\u00e9n, 1997, p. 243)", "plainTextFormattedCitation" : "(Hyd\u00e9n, 1997, p. 243)", "previouslyFormattedCitation" : "(Hyd\u00e9n, 1997, p. 243)" }, "properties" : { "noteIndex" : 0 }, "schema" : "https://github.com/citation-style-language/schema/raw/master/csl-citation.json" }</w:instrText>
      </w:r>
      <w:r w:rsidR="00814BF5">
        <w:fldChar w:fldCharType="separate"/>
      </w:r>
      <w:r w:rsidR="00E63CC6" w:rsidRPr="00E63CC6">
        <w:rPr>
          <w:noProof/>
        </w:rPr>
        <w:t>(Hydén, 1997, p. 243)</w:t>
      </w:r>
      <w:r w:rsidR="00814BF5">
        <w:fldChar w:fldCharType="end"/>
      </w:r>
      <w:r w:rsidRPr="00930BF5">
        <w:t xml:space="preserve">. In other words, the people should own the state, not any monarchy. Such radical ideas horrified other European elites who realised they had a lot to lose from </w:t>
      </w:r>
      <w:r>
        <w:t>this</w:t>
      </w:r>
      <w:r w:rsidRPr="00930BF5">
        <w:t xml:space="preserve"> collective interpretation of democracy</w:t>
      </w:r>
      <w:r w:rsidR="00814BF5">
        <w:t xml:space="preserve"> </w:t>
      </w:r>
      <w:r w:rsidR="00814BF5">
        <w:fldChar w:fldCharType="begin" w:fldLock="1"/>
      </w:r>
      <w:r w:rsidR="00E63CC6">
        <w:instrText>ADDIN CSL_CITATION { "citationItems" : [ { "id" : "ITEM-1", "itemData" : { "author" : [ { "dropping-particle" : "", "family" : "Ake", "given" : "C", "non-dropping-particle" : "", "parse-names" : false, "suffix" : "" } ], "container-title" : "Democracy's Victory and Crisis", "editor" : [ { "dropping-particle" : "", "family" : "Hadenius", "given" : "A", "non-dropping-particle" : "", "parse-names" : false, "suffix" : "" } ], "id" : "ITEM-1", "issued" : { "date-parts" : [ [ "1997" ] ] }, "page" : "282-297", "publisher" : "Cambridge University Press", "publisher-place" : "Cambridge", "title" : "Dangerous liaisons: the interface of globalization and democracy", "type" : "chapter" }, "locator" : "283", "uris" : [ "http://www.mendeley.com/documents/?uuid=71e34895-780a-4aef-8dc8-2fbbe702b55f" ] } ], "mendeley" : { "formattedCitation" : "(Ake, 1997, p. 283)", "plainTextFormattedCitation" : "(Ake, 1997, p. 283)", "previouslyFormattedCitation" : "(Ake, 1997, p. 283)" }, "properties" : { "noteIndex" : 0 }, "schema" : "https://github.com/citation-style-language/schema/raw/master/csl-citation.json" }</w:instrText>
      </w:r>
      <w:r w:rsidR="00814BF5">
        <w:fldChar w:fldCharType="separate"/>
      </w:r>
      <w:r w:rsidR="00E63CC6" w:rsidRPr="00E63CC6">
        <w:rPr>
          <w:noProof/>
        </w:rPr>
        <w:t>(Ake, 1997, p. 283)</w:t>
      </w:r>
      <w:r w:rsidR="00814BF5">
        <w:fldChar w:fldCharType="end"/>
      </w:r>
      <w:r w:rsidR="00814BF5">
        <w:t>.</w:t>
      </w:r>
    </w:p>
    <w:p w14:paraId="4173A194" w14:textId="3A316D49" w:rsidR="00CF455B" w:rsidRPr="00930BF5" w:rsidRDefault="00CF455B" w:rsidP="00EE48E8">
      <w:r w:rsidRPr="00930BF5">
        <w:t xml:space="preserve">The French Revolution itself was inspired in part by the American Revolution (1765-1783) during which the American colonies broke away from the British Empire. Fifty years later, it was a study of the system of governance in </w:t>
      </w:r>
      <w:r w:rsidR="00591FD3">
        <w:t xml:space="preserve">the </w:t>
      </w:r>
      <w:r w:rsidRPr="00930BF5">
        <w:t>post-Revolution</w:t>
      </w:r>
      <w:r w:rsidR="00591FD3">
        <w:t>ary</w:t>
      </w:r>
      <w:r w:rsidRPr="00930BF5">
        <w:t xml:space="preserve"> United States by a Frenchman, Alexis de Tocqueville</w:t>
      </w:r>
      <w:r w:rsidR="00814BF5">
        <w:t xml:space="preserve"> </w:t>
      </w:r>
      <w:r w:rsidR="00814BF5">
        <w:fldChar w:fldCharType="begin" w:fldLock="1"/>
      </w:r>
      <w:r w:rsidR="00E63CC6">
        <w:instrText>ADDIN CSL_CITATION { "citationItems" : [ { "id" : "ITEM-1", "itemData" : { "author" : [ { "dropping-particle" : "", "family" : "Tocqueville", "given" : "Alexis", "non-dropping-particle" : "de", "parse-names" : false, "suffix" : "" } ], "id" : "ITEM-1", "issued" : { "date-parts" : [ [ "1998" ] ] }, "publisher" : "Wordworth Editions", "publisher-place" : "Ware", "title" : "Democracy in America", "type" : "book" }, "uris" : [ "http://www.mendeley.com/documents/?uuid=7e461c90-43fd-4a15-bc5e-0366046b59e5" ] } ], "mendeley" : { "formattedCitation" : "(de Tocqueville, 1998)", "manualFormatting" : "(1998 [1835])", "plainTextFormattedCitation" : "(de Tocqueville, 1998)", "previouslyFormattedCitation" : "(de Tocqueville, 1998)" }, "properties" : { "noteIndex" : 0 }, "schema" : "https://github.com/citation-style-language/schema/raw/master/csl-citation.json" }</w:instrText>
      </w:r>
      <w:r w:rsidR="00814BF5">
        <w:fldChar w:fldCharType="separate"/>
      </w:r>
      <w:r w:rsidR="00814BF5" w:rsidRPr="00814BF5">
        <w:rPr>
          <w:noProof/>
        </w:rPr>
        <w:t>(1998</w:t>
      </w:r>
      <w:r w:rsidR="00814BF5">
        <w:rPr>
          <w:noProof/>
        </w:rPr>
        <w:t xml:space="preserve"> [1835]</w:t>
      </w:r>
      <w:r w:rsidR="00814BF5" w:rsidRPr="00814BF5">
        <w:rPr>
          <w:noProof/>
        </w:rPr>
        <w:t>)</w:t>
      </w:r>
      <w:r w:rsidR="00814BF5">
        <w:fldChar w:fldCharType="end"/>
      </w:r>
      <w:r w:rsidRPr="00930BF5">
        <w:t xml:space="preserve">, which helped cement the popularity of </w:t>
      </w:r>
      <w:r w:rsidRPr="00930BF5">
        <w:rPr>
          <w:i/>
          <w:iCs/>
        </w:rPr>
        <w:t>representative</w:t>
      </w:r>
      <w:r w:rsidRPr="00930BF5">
        <w:t xml:space="preserve"> theories of democracy. Instead of the more direct engagement of citizens in the classic Athenian system, in a representative democracy elections allowed citizens to vote for a representative to take their ideas forward to the government. Although an individual had less power in a representative democracy compared to a direct one, Tocqueville was particularly impressed with the Americans’ propensity for civic association, such as town hall debates</w:t>
      </w:r>
      <w:r w:rsidR="00B166E6">
        <w:t xml:space="preserve"> which strengthened the connection between citizen and representative</w:t>
      </w:r>
      <w:r w:rsidRPr="00930BF5">
        <w:t>, leading him to argue that norms and networks of civic engagement powerfully influence the performance of social institutions</w:t>
      </w:r>
      <w:r w:rsidR="002B03FA">
        <w:t>,</w:t>
      </w:r>
      <w:r w:rsidRPr="00930BF5">
        <w:t xml:space="preserve"> an idea that shapes contemporary theories of </w:t>
      </w:r>
      <w:r w:rsidRPr="00930BF5">
        <w:rPr>
          <w:i/>
          <w:iCs/>
        </w:rPr>
        <w:t xml:space="preserve">social capital </w:t>
      </w:r>
      <w:r w:rsidR="00780123">
        <w:fldChar w:fldCharType="begin" w:fldLock="1"/>
      </w:r>
      <w:r w:rsidR="00E63CC6">
        <w:instrText>ADDIN CSL_CITATION { "citationItems" : [ { "id" : "ITEM-1", "itemData" : { "author" : [ { "dropping-particle" : "", "family" : "Putnam", "given" : "Robert D", "non-dropping-particle" : "", "parse-names" : false, "suffix" : "" } ], "container-title" : "Journal of Democracy", "id" : "ITEM-1", "issue" : "1", "issued" : { "date-parts" : [ [ "1995" ] ] }, "page" : "67-78", "title" : "Bowling Alone: America's Declining Social Capital", "type" : "article-journal", "volume" : "6" }, "uris" : [ "http://www.mendeley.com/documents/?uuid=2ec14bef-d02f-4f64-8180-440f642c3717" ] } ], "mendeley" : { "formattedCitation" : "(Putnam, 1995)", "plainTextFormattedCitation" : "(Putnam, 1995)", "previouslyFormattedCitation" : "(Putnam, 1995)" }, "properties" : { "noteIndex" : 0 }, "schema" : "https://github.com/citation-style-language/schema/raw/master/csl-citation.json" }</w:instrText>
      </w:r>
      <w:r w:rsidR="00780123">
        <w:fldChar w:fldCharType="separate"/>
      </w:r>
      <w:r w:rsidR="00E63CC6" w:rsidRPr="00E63CC6">
        <w:rPr>
          <w:noProof/>
        </w:rPr>
        <w:t>(Putnam, 1995)</w:t>
      </w:r>
      <w:r w:rsidR="00780123">
        <w:fldChar w:fldCharType="end"/>
      </w:r>
      <w:r w:rsidR="00780123">
        <w:t>.</w:t>
      </w:r>
    </w:p>
    <w:p w14:paraId="0C0A758C" w14:textId="03257020" w:rsidR="00CF455B" w:rsidRPr="00930BF5" w:rsidRDefault="00CF455B" w:rsidP="00EE48E8">
      <w:pPr>
        <w:rPr>
          <w:color w:val="000000"/>
        </w:rPr>
      </w:pPr>
      <w:r w:rsidRPr="00930BF5">
        <w:rPr>
          <w:color w:val="000000"/>
        </w:rPr>
        <w:t xml:space="preserve">In the mid-1800s the ideas of British philosopher – and Member of Parliament – John Stuart Mill </w:t>
      </w:r>
      <w:r w:rsidR="00780123">
        <w:rPr>
          <w:color w:val="000000"/>
        </w:rPr>
        <w:fldChar w:fldCharType="begin" w:fldLock="1"/>
      </w:r>
      <w:r w:rsidR="00E63CC6">
        <w:rPr>
          <w:color w:val="000000"/>
        </w:rPr>
        <w:instrText>ADDIN CSL_CITATION { "citationItems" : [ { "id" : "ITEM-1", "itemData" : { "author" : [ { "dropping-particle" : "", "family" : "Mill", "given" : "John Stuart", "non-dropping-particle" : "", "parse-names" : false, "suffix" : "" } ], "edition" : "Second", "id" : "ITEM-1", "issued" : { "date-parts" : [ [ "1863" ] ] }, "publisher" : "Ticknor &amp; Fields", "publisher-place" : "Boston", "title" : "On Liberty", "type" : "book" }, "uris" : [ "http://www.mendeley.com/documents/?uuid=1b3d6a39-5d62-4011-9f23-bcc32a3e5c15" ] }, { "id" : "ITEM-2", "itemData" : { "author" : [ { "dropping-particle" : "", "family" : "Mill", "given" : "John Stuart", "non-dropping-particle" : "", "parse-names" : false, "suffix" : "" } ], "edition" : "2001", "id" : "ITEM-2", "issued" : { "date-parts" : [ [ "1861" ] ] }, "publisher" : "Electric Book Company", "publisher-place" : "London", "title" : "Considerations On Representative Government", "type" : "book" }, "uris" : [ "http://www.mendeley.com/documents/?uuid=fba36272-a136-46ed-8cec-82ff1091ba1e" ] } ], "mendeley" : { "formattedCitation" : "(Mill, 1861, 1863)", "manualFormatting" : "(1863; 1861)", "plainTextFormattedCitation" : "(Mill, 1861, 1863)", "previouslyFormattedCitation" : "(Mill, 1861, 1863)" }, "properties" : { "noteIndex" : 0 }, "schema" : "https://github.com/citation-style-language/schema/raw/master/csl-citation.json" }</w:instrText>
      </w:r>
      <w:r w:rsidR="00780123">
        <w:rPr>
          <w:color w:val="000000"/>
        </w:rPr>
        <w:fldChar w:fldCharType="separate"/>
      </w:r>
      <w:r w:rsidR="00780123" w:rsidRPr="00780123">
        <w:rPr>
          <w:noProof/>
          <w:color w:val="000000"/>
        </w:rPr>
        <w:t>(1863; 1861)</w:t>
      </w:r>
      <w:r w:rsidR="00780123">
        <w:rPr>
          <w:color w:val="000000"/>
        </w:rPr>
        <w:fldChar w:fldCharType="end"/>
      </w:r>
      <w:r w:rsidRPr="00930BF5">
        <w:rPr>
          <w:color w:val="000000"/>
        </w:rPr>
        <w:t xml:space="preserve"> were critical in outlining and developing some of the more central mechanisms of representative democracy</w:t>
      </w:r>
      <w:r>
        <w:rPr>
          <w:color w:val="000000"/>
        </w:rPr>
        <w:t>, which also become increasingly intertwined with the ‘liberal’ model</w:t>
      </w:r>
      <w:r w:rsidRPr="00930BF5">
        <w:rPr>
          <w:color w:val="000000"/>
        </w:rPr>
        <w:t xml:space="preserve">. </w:t>
      </w:r>
      <w:r w:rsidR="00075D56">
        <w:rPr>
          <w:color w:val="000000"/>
        </w:rPr>
        <w:t>For the following part I draw on</w:t>
      </w:r>
      <w:r w:rsidRPr="00930BF5">
        <w:rPr>
          <w:color w:val="000000"/>
        </w:rPr>
        <w:t xml:space="preserve"> Held’s </w:t>
      </w:r>
      <w:r w:rsidR="00780123">
        <w:rPr>
          <w:color w:val="000000"/>
        </w:rPr>
        <w:fldChar w:fldCharType="begin" w:fldLock="1"/>
      </w:r>
      <w:r w:rsidR="00E63CC6">
        <w:rPr>
          <w:color w:val="000000"/>
        </w:rPr>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"locator" : "98-120", "uris" : [ "http://www.mendeley.com/documents/?uuid=24227599-5f98-4d3e-a622-4ec6675a17ba" ] } ], "mendeley" : { "formattedCitation" : "(Held, 1998, pp. 98\u2013120)", "manualFormatting" : "(1998, pp.98\u2013120)", "plainTextFormattedCitation" : "(Held, 1998, pp. 98\u2013120)", "previouslyFormattedCitation" : "(Held, 1998, pp. 98\u2013120)" }, "properties" : { "noteIndex" : 0 }, "schema" : "https://github.com/citation-style-language/schema/raw/master/csl-citation.json" }</w:instrText>
      </w:r>
      <w:r w:rsidR="00780123">
        <w:rPr>
          <w:color w:val="000000"/>
        </w:rPr>
        <w:fldChar w:fldCharType="separate"/>
      </w:r>
      <w:r w:rsidR="00780123" w:rsidRPr="00780123">
        <w:rPr>
          <w:noProof/>
          <w:color w:val="000000"/>
        </w:rPr>
        <w:t>(1998, pp.98–120)</w:t>
      </w:r>
      <w:r w:rsidR="00780123">
        <w:rPr>
          <w:color w:val="000000"/>
        </w:rPr>
        <w:fldChar w:fldCharType="end"/>
      </w:r>
      <w:r w:rsidRPr="00930BF5">
        <w:rPr>
          <w:color w:val="000000"/>
        </w:rPr>
        <w:t xml:space="preserve"> </w:t>
      </w:r>
      <w:r w:rsidR="00B166E6">
        <w:rPr>
          <w:color w:val="000000"/>
        </w:rPr>
        <w:t xml:space="preserve">comprehensive </w:t>
      </w:r>
      <w:r w:rsidRPr="00930BF5">
        <w:rPr>
          <w:color w:val="000000"/>
        </w:rPr>
        <w:t xml:space="preserve">discussion of the philosopher’s influence, </w:t>
      </w:r>
      <w:r w:rsidR="00075D56">
        <w:rPr>
          <w:color w:val="000000"/>
        </w:rPr>
        <w:t>where he outlines how</w:t>
      </w:r>
      <w:r w:rsidRPr="00930BF5">
        <w:rPr>
          <w:color w:val="000000"/>
        </w:rPr>
        <w:t xml:space="preserve"> Mill argued there was no desirable alternative to representative democracy for both practical and theoretical reasons. Practically, direct democracy was simply not possible in the modern, much larger states of the nineteenth century</w:t>
      </w:r>
      <w:r w:rsidR="00B166E6">
        <w:rPr>
          <w:color w:val="000000"/>
        </w:rPr>
        <w:t>, compared to the Athenian city-state model</w:t>
      </w:r>
      <w:r w:rsidRPr="00930BF5">
        <w:rPr>
          <w:color w:val="000000"/>
        </w:rPr>
        <w:t>:</w:t>
      </w:r>
    </w:p>
    <w:p w14:paraId="084C39FB" w14:textId="4CC0DBA8" w:rsidR="00CF455B" w:rsidRPr="00930BF5" w:rsidRDefault="00CF455B" w:rsidP="00EE48E8">
      <w:pPr>
        <w:pStyle w:val="Quote"/>
      </w:pPr>
      <w:r w:rsidRPr="00930BF5">
        <w:t>“According to Mill, the ancient Greek idea of the polis could not be sustained in modern society. The notion of self-government or government by open meeting is, he held (in accord with the liberal tradition as a whole), pure folly for any community exceeding a small town</w:t>
      </w:r>
      <w:r w:rsidR="00780123">
        <w:t xml:space="preserve">.” </w:t>
      </w:r>
      <w:r w:rsidR="00780123" w:rsidRPr="00780123">
        <w:fldChar w:fldCharType="begin" w:fldLock="1"/>
      </w:r>
      <w:r w:rsidR="00E63CC6">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"locator" : "107", "uris" : [ "http://www.mendeley.com/documents/?uuid=24227599-5f98-4d3e-a622-4ec6675a17ba" ] } ], "mendeley" : { "formattedCitation" : "(Held, 1998, p. 107)", "plainTextFormattedCitation" : "(Held, 1998, p. 107)", "previouslyFormattedCitation" : "(Held, 1998, p. 107)" }, "properties" : { "noteIndex" : 0 }, "schema" : "https://github.com/citation-style-language/schema/raw/master/csl-citation.json" }</w:instrText>
      </w:r>
      <w:r w:rsidR="00780123" w:rsidRPr="00780123">
        <w:fldChar w:fldCharType="separate"/>
      </w:r>
      <w:r w:rsidR="00E63CC6" w:rsidRPr="00E63CC6">
        <w:rPr>
          <w:i w:val="0"/>
          <w:noProof/>
        </w:rPr>
        <w:t>(Held, 1998, p. 107)</w:t>
      </w:r>
      <w:r w:rsidR="00780123" w:rsidRPr="00780123">
        <w:fldChar w:fldCharType="end"/>
      </w:r>
    </w:p>
    <w:p w14:paraId="6F58F58C" w14:textId="1B21A890" w:rsidR="00CF455B" w:rsidRPr="00930BF5" w:rsidRDefault="0035418F" w:rsidP="00EE48E8">
      <w:r>
        <w:t xml:space="preserve">Mill </w:t>
      </w:r>
      <w:r w:rsidR="00672BC7">
        <w:t>further</w:t>
      </w:r>
      <w:r w:rsidR="005E1E91">
        <w:t xml:space="preserve"> </w:t>
      </w:r>
      <w:r>
        <w:t xml:space="preserve">argued </w:t>
      </w:r>
      <w:r w:rsidR="00075D56">
        <w:t>that</w:t>
      </w:r>
      <w:r>
        <w:t xml:space="preserve"> from a t</w:t>
      </w:r>
      <w:r w:rsidR="00CF455B" w:rsidRPr="00930BF5">
        <w:t>h</w:t>
      </w:r>
      <w:r>
        <w:t xml:space="preserve">eoretical perspective </w:t>
      </w:r>
      <w:r w:rsidR="00CF455B" w:rsidRPr="00930BF5">
        <w:t>a representative democracy has distinct advantages to other systems</w:t>
      </w:r>
      <w:r>
        <w:t>. As Held summarises</w:t>
      </w:r>
      <w:r w:rsidR="00075D56">
        <w:t>, this system uniquely</w:t>
      </w:r>
      <w:r w:rsidR="00CF455B" w:rsidRPr="00930BF5">
        <w:t xml:space="preserve">: </w:t>
      </w:r>
    </w:p>
    <w:p w14:paraId="42D0F1DF" w14:textId="51BEA6AD" w:rsidR="00CF455B" w:rsidRPr="00930BF5" w:rsidRDefault="00075D56" w:rsidP="00EE48E8">
      <w:pPr>
        <w:pStyle w:val="Quote"/>
      </w:pPr>
      <w:r>
        <w:t>“…</w:t>
      </w:r>
      <w:r w:rsidR="00CF455B" w:rsidRPr="00930BF5">
        <w:t>provides the mechanism whereby central powers can be watched and controlled; it establishes a forum (parliament) to act as a watchdog of liberty and centre of reason and debate; and it harness</w:t>
      </w:r>
      <w:r w:rsidR="00FE33EF">
        <w:t>es</w:t>
      </w:r>
      <w:r w:rsidR="00CF455B" w:rsidRPr="00930BF5">
        <w:t>, through electoral competition, leadership qualities with intellect for the maximum benefit of all</w:t>
      </w:r>
      <w:r w:rsidR="00780123">
        <w:t>.</w:t>
      </w:r>
      <w:r w:rsidR="00474B60">
        <w:t>”</w:t>
      </w:r>
      <w:r w:rsidR="00FE33EF">
        <w:t xml:space="preserve"> </w:t>
      </w:r>
      <w:r w:rsidR="00780123" w:rsidRPr="00780123">
        <w:fldChar w:fldCharType="begin" w:fldLock="1"/>
      </w:r>
      <w:r w:rsidR="00E63CC6">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"locator" : "108", "uris" : [ "http://www.mendeley.com/documents/?uuid=24227599-5f98-4d3e-a622-4ec6675a17ba" ] } ], "mendeley" : { "formattedCitation" : "(Held, 1998, p. 108)", "plainTextFormattedCitation" : "(Held, 1998, p. 108)", "previouslyFormattedCitation" : "(Held, 1998, p. 108)" }, "properties" : { "noteIndex" : 0 }, "schema" : "https://github.com/citation-style-language/schema/raw/master/csl-citation.json" }</w:instrText>
      </w:r>
      <w:r w:rsidR="00780123" w:rsidRPr="00780123">
        <w:fldChar w:fldCharType="separate"/>
      </w:r>
      <w:r w:rsidR="00E63CC6" w:rsidRPr="00E63CC6">
        <w:rPr>
          <w:i w:val="0"/>
          <w:noProof/>
        </w:rPr>
        <w:t>(Held, 1998, p. 108)</w:t>
      </w:r>
      <w:r w:rsidR="00780123" w:rsidRPr="00780123">
        <w:fldChar w:fldCharType="end"/>
      </w:r>
    </w:p>
    <w:p w14:paraId="64DBD525" w14:textId="6D7E3D7D" w:rsidR="00CF455B" w:rsidRDefault="00CF455B" w:rsidP="00EE48E8">
      <w:r w:rsidRPr="00930BF5">
        <w:t xml:space="preserve">However, key to the effectiveness of this form of representative democracy is a precarious balance between the influence of citizens on government and government being allowed to </w:t>
      </w:r>
      <w:r>
        <w:t>‘</w:t>
      </w:r>
      <w:r w:rsidRPr="00930BF5">
        <w:t>get things done</w:t>
      </w:r>
      <w:r>
        <w:t>’</w:t>
      </w:r>
      <w:r w:rsidRPr="00930BF5">
        <w:t>. The intricate and complex system of checks and balance</w:t>
      </w:r>
      <w:r>
        <w:t>s in the American constitution</w:t>
      </w:r>
      <w:r w:rsidRPr="00930BF5">
        <w:t xml:space="preserve"> represent</w:t>
      </w:r>
      <w:r>
        <w:t>s</w:t>
      </w:r>
      <w:r w:rsidRPr="00930BF5">
        <w:t xml:space="preserve"> an underlying fear of there being any future rule by a ‘King George’ and, as a state, the US was founded on a mistrust of government </w:t>
      </w:r>
      <w:r w:rsidR="00780123">
        <w:fldChar w:fldCharType="begin" w:fldLock="1"/>
      </w:r>
      <w:r w:rsidR="00E63CC6">
        <w:instrText>ADDIN CSL_CITATION { "citationItems" : [ { "id" : "ITEM-1", "itemData" : { "author" : [ { "dropping-particle" : "", "family" : "Nye", "given" : "Joseph S", "non-dropping-particle" : "", "parse-names" : false, "suffix" : "" } ], "container-title" : "Why People Don't Trust Government", "editor" : [ { "dropping-particle" : "", "family" : "Nye", "given" : "Joseph S", "non-dropping-particle" : "", "parse-names" : false, "suffix" : "" } ], "id" : "ITEM-1", "issued" : { "date-parts" : [ [ "1997" ] ] }, "page" : "1-18", "publisher" : "Havard University Press", "publisher-place" : "Havard", "title" : "Introduction", "type" : "chapter" }, "locator" : "2", "uris" : [ "http://www.mendeley.com/documents/?uuid=7707383f-ea7f-4621-a86e-32a4baac8174" ] } ], "mendeley" : { "formattedCitation" : "(Nye, 1997, p. 2)", "plainTextFormattedCitation" : "(Nye, 1997, p. 2)", "previouslyFormattedCitation" : "(Nye, 1997, p. 2)" }, "properties" : { "noteIndex" : 0 }, "schema" : "https://github.com/citation-style-language/schema/raw/master/csl-citation.json" }</w:instrText>
      </w:r>
      <w:r w:rsidR="00780123">
        <w:fldChar w:fldCharType="separate"/>
      </w:r>
      <w:r w:rsidR="00E63CC6" w:rsidRPr="00E63CC6">
        <w:rPr>
          <w:noProof/>
        </w:rPr>
        <w:t>(Nye, 1997, p. 2)</w:t>
      </w:r>
      <w:r w:rsidR="00780123">
        <w:fldChar w:fldCharType="end"/>
      </w:r>
      <w:r w:rsidR="00780123">
        <w:t>.</w:t>
      </w:r>
      <w:r w:rsidRPr="00930BF5">
        <w:t xml:space="preserve"> </w:t>
      </w:r>
      <w:r>
        <w:t>Indeed, for Mill, government intervention should be minimal and stripped back and its overriding and basic aim</w:t>
      </w:r>
      <w:r w:rsidR="00DB0A3D">
        <w:t xml:space="preserve"> should be</w:t>
      </w:r>
      <w:r>
        <w:t xml:space="preserve"> to protect the liberty of</w:t>
      </w:r>
      <w:r w:rsidR="00075D56">
        <w:t xml:space="preserve"> the individual and little else: ‘That the only purpose for which power can be rightfully exercised over any member of a civilized community, against his will, is to prevent harm against others</w:t>
      </w:r>
      <w:r w:rsidR="00FE33EF">
        <w:t>’</w:t>
      </w:r>
      <w:r w:rsidR="00075D56">
        <w:t xml:space="preserve"> </w:t>
      </w:r>
      <w:r w:rsidR="00075D56">
        <w:fldChar w:fldCharType="begin" w:fldLock="1"/>
      </w:r>
      <w:r w:rsidR="00E63CC6">
        <w:instrText>ADDIN CSL_CITATION { "citationItems" : [ { "id" : "ITEM-1", "itemData" : { "author" : [ { "dropping-particle" : "", "family" : "Mill", "given" : "John Stuart", "non-dropping-particle" : "", "parse-names" : false, "suffix" : "" } ], "edition" : "Second", "id" : "ITEM-1", "issued" : { "date-parts" : [ [ "1863" ] ] }, "publisher" : "Ticknor &amp; Fields", "publisher-place" : "Boston", "title" : "On Liberty", "type" : "book" }, "locator" : "24", "uris" : [ "http://www.mendeley.com/documents/?uuid=1b3d6a39-5d62-4011-9f23-bcc32a3e5c15" ] } ], "mendeley" : { "formattedCitation" : "(Mill, 1863, p. 24)", "plainTextFormattedCitation" : "(Mill, 1863, p. 24)", "previouslyFormattedCitation" : "(Mill, 1863, p. 24)" }, "properties" : { "noteIndex" : 0 }, "schema" : "https://github.com/citation-style-language/schema/raw/master/csl-citation.json" }</w:instrText>
      </w:r>
      <w:r w:rsidR="00075D56">
        <w:fldChar w:fldCharType="separate"/>
      </w:r>
      <w:r w:rsidR="00E63CC6" w:rsidRPr="00E63CC6">
        <w:rPr>
          <w:noProof/>
        </w:rPr>
        <w:t>(Mill, 1863, p. 24)</w:t>
      </w:r>
      <w:r w:rsidR="00075D56">
        <w:fldChar w:fldCharType="end"/>
      </w:r>
      <w:r w:rsidR="00075D56">
        <w:t xml:space="preserve">. </w:t>
      </w:r>
      <w:r>
        <w:t>The realities of such an idea are enormously complex (for instance, how can we agree on what constitutes harm?) but the general principle is at the core of liberalism.</w:t>
      </w:r>
    </w:p>
    <w:p w14:paraId="608CE42D" w14:textId="2C0B8584" w:rsidR="00CF455B" w:rsidRDefault="00CF455B" w:rsidP="00EE48E8">
      <w:r>
        <w:t>At the same time however,</w:t>
      </w:r>
      <w:r w:rsidRPr="00930BF5">
        <w:t xml:space="preserve"> ‘mob rule’ or a ‘tyranny of the majority’</w:t>
      </w:r>
      <w:r>
        <w:t xml:space="preserve"> was seen as problematic</w:t>
      </w:r>
      <w:r w:rsidRPr="00930BF5">
        <w:t>. Mill, even as he argued strongly that democratic practices provided</w:t>
      </w:r>
      <w:r>
        <w:t xml:space="preserve"> the best form of government to uphold liberal ideals, also</w:t>
      </w:r>
      <w:r w:rsidRPr="00930BF5">
        <w:t xml:space="preserve"> “trusted extraordinarily little in the judgement of the electorate and elected” and thought that checks and balances were also required in the voting system, so that the masses would not subject the political order to “ignorance” </w:t>
      </w:r>
      <w:r w:rsidR="00780123">
        <w:fldChar w:fldCharType="begin" w:fldLock="1"/>
      </w:r>
      <w:r w:rsidR="00E63CC6">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"locator" : "108", "uris" : [ "http://www.mendeley.com/documents/?uuid=24227599-5f98-4d3e-a622-4ec6675a17ba" ] } ], "mendeley" : { "formattedCitation" : "(Held, 1998, p. 108)", "plainTextFormattedCitation" : "(Held, 1998, p. 108)", "previouslyFormattedCitation" : "(Held, 1998, p. 108)" }, "properties" : { "noteIndex" : 0 }, "schema" : "https://github.com/citation-style-language/schema/raw/master/csl-citation.json" }</w:instrText>
      </w:r>
      <w:r w:rsidR="00780123">
        <w:fldChar w:fldCharType="separate"/>
      </w:r>
      <w:r w:rsidR="00E63CC6" w:rsidRPr="00E63CC6">
        <w:rPr>
          <w:noProof/>
        </w:rPr>
        <w:t>(Held, 1998, p. 108)</w:t>
      </w:r>
      <w:r w:rsidR="00780123">
        <w:fldChar w:fldCharType="end"/>
      </w:r>
      <w:r w:rsidRPr="00930BF5">
        <w:t xml:space="preserve">. </w:t>
      </w:r>
      <w:r w:rsidR="00DF7874">
        <w:t xml:space="preserve">However, he also saw the extension of enfranchisement a way of help the ‘mental improvement’ of ‘manual labourers’ drawing from de Tocqueville’s suggestion that the engaged American Patriot  was a person of ‘cultivated intelligence’ </w:t>
      </w:r>
      <w:r w:rsidR="00DF7874">
        <w:fldChar w:fldCharType="begin" w:fldLock="1"/>
      </w:r>
      <w:r w:rsidR="00E63CC6">
        <w:instrText>ADDIN CSL_CITATION { "citationItems" : [ { "id" : "ITEM-1", "itemData" : { "author" : [ { "dropping-particle" : "", "family" : "Mill", "given" : "John Stuart", "non-dropping-particle" : "", "parse-names" : false, "suffix" : "" } ], "edition" : "2001", "id" : "ITEM-1", "issued" : { "date-parts" : [ [ "1861" ] ] }, "publisher" : "Electric Book Company", "publisher-place" : "London", "title" : "Considerations On Representative Government", "type" : "book" }, "locator" : "161", "uris" : [ "http://www.mendeley.com/documents/?uuid=fba36272-a136-46ed-8cec-82ff1091ba1e" ] } ], "mendeley" : { "formattedCitation" : "(Mill, 1861, p. 161)", "plainTextFormattedCitation" : "(Mill, 1861, p. 161)", "previouslyFormattedCitation" : "(Mill, 1861, p. 161)" }, "properties" : { "noteIndex" : 0 }, "schema" : "https://github.com/citation-style-language/schema/raw/master/csl-citation.json" }</w:instrText>
      </w:r>
      <w:r w:rsidR="00DF7874">
        <w:fldChar w:fldCharType="separate"/>
      </w:r>
      <w:r w:rsidR="00E63CC6" w:rsidRPr="00E63CC6">
        <w:rPr>
          <w:noProof/>
        </w:rPr>
        <w:t>(Mill, 1861, p. 161)</w:t>
      </w:r>
      <w:r w:rsidR="00DF7874">
        <w:fldChar w:fldCharType="end"/>
      </w:r>
      <w:r w:rsidR="00DF7874">
        <w:t>.</w:t>
      </w:r>
    </w:p>
    <w:p w14:paraId="75D4DC43" w14:textId="6C79A155" w:rsidR="004C0B25" w:rsidRDefault="00CF455B" w:rsidP="00EE48E8">
      <w:r>
        <w:t>Ultimately</w:t>
      </w:r>
      <w:r w:rsidR="001E02DA">
        <w:t>,</w:t>
      </w:r>
      <w:r>
        <w:t xml:space="preserve"> then, the most popular form of democracy, the liberal variant, worked on the twin premise that the system would protect individual freedom through democratic mechanisms, but these mechanisms would also restrict individual political want</w:t>
      </w:r>
      <w:r w:rsidR="001E02DA">
        <w:t>s</w:t>
      </w:r>
      <w:r w:rsidR="00FE33EF">
        <w:t xml:space="preserve"> from overwhelming the system</w:t>
      </w:r>
      <w:r>
        <w:t xml:space="preserve"> </w:t>
      </w:r>
      <w:r w:rsidR="00FE33EF">
        <w:t>by</w:t>
      </w:r>
      <w:r>
        <w:t xml:space="preserve"> having only periodic elections of representatives, and keeping decision-making relatively centralised. The details of this are discussed later, with a focus on the critical work of Dryzek</w:t>
      </w:r>
      <w:r w:rsidR="004C0B25">
        <w:t xml:space="preserve"> </w:t>
      </w:r>
      <w:r w:rsidR="004C0B25">
        <w:fldChar w:fldCharType="begin" w:fldLock="1"/>
      </w:r>
      <w:r w:rsidR="00E63CC6">
        <w:instrText>ADDIN CSL_CITATION { "citationItems" : [ { "id" : "ITEM-1", "itemData" : { "author" : [ { "dropping-particle" : "", "family" : "Dryzek", "given" : "John S", "non-dropping-particle" : "", "parse-names" : false, "suffix" : "" } ], "id" : "ITEM-1", "issued" : { "date-parts" : [ [ "2002" ] ] }, "publisher-place" : "Oxford University Press", "title" : "Deliberative Democracy and Beyond: Liberals, Critics, Contestations", "type" : "book" }, "uris" : [ "http://www.mendeley.com/documents/?uuid=2a5ee732-d663-4d3b-8c1d-680e3df857a8" ] }, { "id" : "ITEM-2", "itemData" : { "author" : [ { "dropping-particle" : "", "family" : "Dryzek", "given" : "John S", "non-dropping-particle" : "", "parse-names" : false, "suffix" : "" } ], "id" : "ITEM-2", "issued" : { "date-parts" : [ [ "2010" ] ] }, "publisher" : "Oxford University Press", "publisher-place" : "Oxford", "title" : "Foundations and Frontiers of Deoliberative Governance", "type" : "book" }, "uris" : [ "http://www.mendeley.com/documents/?uuid=00aab285-0afe-4d1a-b8fa-6c0d6d515395" ] } ], "mendeley" : { "formattedCitation" : "(Dryzek, 2002, 2010)", "manualFormatting" : "(2002; 2010)", "plainTextFormattedCitation" : "(Dryzek, 2002, 2010)", "previouslyFormattedCitation" : "(Dryzek, 2002, 2010)" }, "properties" : { "noteIndex" : 0 }, "schema" : "https://github.com/citation-style-language/schema/raw/master/csl-citation.json" }</w:instrText>
      </w:r>
      <w:r w:rsidR="004C0B25">
        <w:fldChar w:fldCharType="separate"/>
      </w:r>
      <w:r w:rsidR="004C0B25" w:rsidRPr="004C0B25">
        <w:rPr>
          <w:noProof/>
        </w:rPr>
        <w:t>(2002; 2010)</w:t>
      </w:r>
      <w:r w:rsidR="004C0B25">
        <w:fldChar w:fldCharType="end"/>
      </w:r>
      <w:r>
        <w:t xml:space="preserve"> and Satori</w:t>
      </w:r>
      <w:r w:rsidR="004C0B25">
        <w:t xml:space="preserve"> </w:t>
      </w:r>
      <w:r w:rsidR="004C0B25">
        <w:fldChar w:fldCharType="begin" w:fldLock="1"/>
      </w:r>
      <w:r w:rsidR="00E63CC6">
        <w:instrText>ADDIN CSL_CITATION { "citationItems" : [ { "id" : "ITEM-1", "itemData" : { "author" : [ { "dropping-particle" : "", "family" : "Satori", "given" : "Giovanni", "non-dropping-particle" : "", "parse-names" : false, "suffix" : "" } ], "id" : "ITEM-1", "issued" : { "date-parts" : [ [ "1987" ] ] }, "number-of-pages" : "1-253", "publisher" : "Chatham House Publishers", "publisher-place" : "New Jersey", "title" : "Theory of Democracy Revisited (Part One)", "type" : "book" }, "uris" : [ "http://www.mendeley.com/documents/?uuid=24cdfbf2-59fd-4fcb-b94d-aaf0a4d4ad17" ] }, { "id" : "ITEM-2", "itemData" : { "author" : [ { "dropping-particle" : "", "family" : "Satori", "given" : "Giovanni", "non-dropping-particle" : "", "parse-names" : false, "suffix" : "" } ], "id" : "ITEM-2", "issued" : { "date-parts" : [ [ "1987" ] ] }, "number-of-pages" : "257-542", "publisher" : "Chatham House Publishers", "publisher-place" : "New Jersey", "title" : "Theory of Democracy Revisited (Part Two)", "type" : "book" }, "uris" : [ "http://www.mendeley.com/documents/?uuid=1d898ac6-959c-429c-933e-81491cc3a1c9" ] } ], "mendeley" : { "formattedCitation" : "(Satori, 1987a, 1987b)", "manualFormatting" : "( 1987a; 1987b)", "plainTextFormattedCitation" : "(Satori, 1987a, 1987b)", "previouslyFormattedCitation" : "(Satori, 1987a, 1987b)" }, "properties" : { "noteIndex" : 0 }, "schema" : "https://github.com/citation-style-language/schema/raw/master/csl-citation.json" }</w:instrText>
      </w:r>
      <w:r w:rsidR="004C0B25">
        <w:fldChar w:fldCharType="separate"/>
      </w:r>
      <w:r w:rsidR="004C0B25" w:rsidRPr="004C0B25">
        <w:rPr>
          <w:noProof/>
        </w:rPr>
        <w:t>( 1987a; 1987b)</w:t>
      </w:r>
      <w:r w:rsidR="004C0B25">
        <w:fldChar w:fldCharType="end"/>
      </w:r>
      <w:r w:rsidR="004C0B25">
        <w:t>.</w:t>
      </w:r>
      <w:r w:rsidR="00266FE9">
        <w:t xml:space="preserve"> But now we can briefly sketch the development of liberal democracy as a political system across the world.</w:t>
      </w:r>
    </w:p>
    <w:p w14:paraId="181A763B" w14:textId="52D04FBE" w:rsidR="00CF455B" w:rsidRDefault="00266FE9" w:rsidP="00266FE9">
      <w:pPr>
        <w:pStyle w:val="Heading2"/>
      </w:pPr>
      <w:bookmarkStart w:id="30" w:name="_Toc452063027"/>
      <w:bookmarkStart w:id="31" w:name="_Toc452666026"/>
      <w:bookmarkStart w:id="32" w:name="_Toc494034208"/>
      <w:r>
        <w:t>Waves of Democracy</w:t>
      </w:r>
      <w:bookmarkEnd w:id="30"/>
      <w:bookmarkEnd w:id="31"/>
      <w:bookmarkEnd w:id="32"/>
    </w:p>
    <w:p w14:paraId="4A366DC8" w14:textId="20DD2AFD" w:rsidR="00CF455B" w:rsidRPr="002E4DFE" w:rsidRDefault="001C58C0" w:rsidP="00EE48E8">
      <w:r>
        <w:t>As a modern</w:t>
      </w:r>
      <w:r w:rsidR="00CF455B">
        <w:t xml:space="preserve"> politica</w:t>
      </w:r>
      <w:r>
        <w:t>l system in practice,</w:t>
      </w:r>
      <w:r w:rsidR="00CF455B">
        <w:t xml:space="preserve"> </w:t>
      </w:r>
      <w:r w:rsidR="00CF455B" w:rsidRPr="00930BF5">
        <w:rPr>
          <w:color w:val="000000"/>
        </w:rPr>
        <w:t>Huntington</w:t>
      </w:r>
      <w:r>
        <w:rPr>
          <w:color w:val="000000"/>
        </w:rPr>
        <w:t xml:space="preserve"> </w:t>
      </w:r>
      <w:r>
        <w:rPr>
          <w:color w:val="000000"/>
        </w:rPr>
        <w:fldChar w:fldCharType="begin" w:fldLock="1"/>
      </w:r>
      <w:r w:rsidR="00E63CC6">
        <w:rPr>
          <w:color w:val="000000"/>
        </w:rPr>
        <w:instrText>ADDIN CSL_CITATION { "citationItems" : [ { "id" : "ITEM-1", "itemData" : { "author" : [ { "dropping-particle" : "", "family" : "Huntington", "given" : "Samuel P", "non-dropping-particle" : "", "parse-names" : false, "suffix" : "" } ], "id" : "ITEM-1", "issued" : { "date-parts" : [ [ "1991" ] ] }, "publisher" : "University of Oklahoma Pres", "publisher-place" : "Oklahoma", "title" : "The Third Wave: Democratization in the Late Twentieth Century", "type" : "book" }, "uris" : [ "http://www.mendeley.com/documents/?uuid=6efc076c-bba4-4020-a618-e7a35b3da1f0" ] }, { "id" : "ITEM-2", "itemData" : { "author" : [ { "dropping-particle" : "", "family" : "Huntington", "given" : "Samuel P", "non-dropping-particle" : "", "parse-names" : false, "suffix" : "" } ], "container-title" : "Journal of Democracyracy", "id" : "ITEM-2", "issue" : "4", "issued" : { "date-parts" : [ [ "1997" ] ] }, "page" : "3-12", "title" : "After Twenty Years: The Future of the Third Wave", "type" : "article-journal", "volume" : "8" }, "uris" : [ "http://www.mendeley.com/documents/?uuid=e85004a9-41a0-478a-a1de-338ce23d27e6" ] } ], "mendeley" : { "formattedCitation" : "(Huntington, 1991, 1997)", "manualFormatting" : "(1991; 1997)", "plainTextFormattedCitation" : "(Huntington, 1991, 1997)", "previouslyFormattedCitation" : "(Huntington, 1991, 1997)" }, "properties" : { "noteIndex" : 0 }, "schema" : "https://github.com/citation-style-language/schema/raw/master/csl-citation.json" }</w:instrText>
      </w:r>
      <w:r>
        <w:rPr>
          <w:color w:val="000000"/>
        </w:rPr>
        <w:fldChar w:fldCharType="separate"/>
      </w:r>
      <w:r w:rsidRPr="001C58C0">
        <w:rPr>
          <w:noProof/>
          <w:color w:val="000000"/>
        </w:rPr>
        <w:t>(1991; 1997)</w:t>
      </w:r>
      <w:r>
        <w:rPr>
          <w:color w:val="000000"/>
        </w:rPr>
        <w:fldChar w:fldCharType="end"/>
      </w:r>
      <w:r w:rsidR="00CF455B" w:rsidRPr="00930BF5">
        <w:rPr>
          <w:color w:val="000000"/>
        </w:rPr>
        <w:t xml:space="preserve"> has outlined perhaps the most popular framework for looking at these developments in the spread of democracy by referring to them as ‘waves’ and ‘reverse waves’</w:t>
      </w:r>
      <w:r w:rsidR="00CF455B" w:rsidRPr="00930BF5">
        <w:t>:</w:t>
      </w:r>
    </w:p>
    <w:p w14:paraId="251E5BEA" w14:textId="63A970BA" w:rsidR="00CF455B" w:rsidRPr="00930BF5" w:rsidRDefault="00CF455B" w:rsidP="002032DF">
      <w:pPr>
        <w:pStyle w:val="ListParagraph"/>
        <w:numPr>
          <w:ilvl w:val="0"/>
          <w:numId w:val="1"/>
        </w:numPr>
      </w:pPr>
      <w:r w:rsidRPr="00EE48E8">
        <w:rPr>
          <w:b/>
          <w:bCs/>
        </w:rPr>
        <w:t>The first ‘wave’:</w:t>
      </w:r>
      <w:r w:rsidRPr="00930BF5">
        <w:t xml:space="preserve"> </w:t>
      </w:r>
      <w:r w:rsidR="005A4F32">
        <w:t xml:space="preserve">with roots in the American and French revolutions this wave </w:t>
      </w:r>
      <w:r w:rsidRPr="00930BF5">
        <w:t>began in the 1820s and ended in the 1920s. A total of 29 democratic countries functioned during this time.</w:t>
      </w:r>
    </w:p>
    <w:p w14:paraId="18B8D3B6" w14:textId="77777777" w:rsidR="00CF455B" w:rsidRPr="00930BF5" w:rsidRDefault="00CF455B" w:rsidP="002032DF">
      <w:pPr>
        <w:pStyle w:val="ListParagraph"/>
        <w:numPr>
          <w:ilvl w:val="0"/>
          <w:numId w:val="1"/>
        </w:numPr>
      </w:pPr>
      <w:r w:rsidRPr="00EE48E8">
        <w:rPr>
          <w:b/>
          <w:bCs/>
        </w:rPr>
        <w:t>The first ‘reverse wave’:</w:t>
      </w:r>
      <w:r w:rsidRPr="00930BF5">
        <w:t xml:space="preserve"> starting with Mussolini’s Fascist regime in Italy, a reverse trend began in 1922 and reduced the number of democracies to 12.</w:t>
      </w:r>
    </w:p>
    <w:p w14:paraId="059EAD56" w14:textId="77777777" w:rsidR="00CF455B" w:rsidRPr="00930BF5" w:rsidRDefault="00CF455B" w:rsidP="002032DF">
      <w:pPr>
        <w:pStyle w:val="ListParagraph"/>
        <w:numPr>
          <w:ilvl w:val="0"/>
          <w:numId w:val="1"/>
        </w:numPr>
      </w:pPr>
      <w:r w:rsidRPr="00EE48E8">
        <w:rPr>
          <w:b/>
          <w:bCs/>
        </w:rPr>
        <w:t xml:space="preserve">The second ‘wave’: </w:t>
      </w:r>
      <w:r w:rsidRPr="00EE48E8">
        <w:rPr>
          <w:bCs/>
        </w:rPr>
        <w:t xml:space="preserve">after the </w:t>
      </w:r>
      <w:r w:rsidRPr="00930BF5">
        <w:t>Second World War and largely driven by decolonisation, by the end of this wave in 1960 there were 36 democratic countries in the world.</w:t>
      </w:r>
    </w:p>
    <w:p w14:paraId="336C62E8" w14:textId="77777777" w:rsidR="00CF455B" w:rsidRPr="00930BF5" w:rsidRDefault="00CF455B" w:rsidP="002032DF">
      <w:pPr>
        <w:pStyle w:val="ListParagraph"/>
        <w:numPr>
          <w:ilvl w:val="0"/>
          <w:numId w:val="1"/>
        </w:numPr>
      </w:pPr>
      <w:r w:rsidRPr="00EE48E8">
        <w:rPr>
          <w:b/>
          <w:bCs/>
        </w:rPr>
        <w:t>The second ‘reverse wave’:</w:t>
      </w:r>
      <w:r w:rsidRPr="00930BF5">
        <w:t xml:space="preserve"> 6 democracies failed between 1960 and 1975 as some entered the Communist sphere and others succumbed to authoritarian takeovers.</w:t>
      </w:r>
    </w:p>
    <w:p w14:paraId="601B2DA1" w14:textId="77777777" w:rsidR="00CF455B" w:rsidRPr="00930BF5" w:rsidRDefault="00CF455B" w:rsidP="002032DF">
      <w:pPr>
        <w:pStyle w:val="ListParagraph"/>
        <w:numPr>
          <w:ilvl w:val="0"/>
          <w:numId w:val="1"/>
        </w:numPr>
      </w:pPr>
      <w:r w:rsidRPr="00EE48E8">
        <w:rPr>
          <w:b/>
          <w:bCs/>
        </w:rPr>
        <w:t>The third ‘wave’:</w:t>
      </w:r>
      <w:r w:rsidRPr="00930BF5">
        <w:t xml:space="preserve"> starting in the late 1980s, this wave primarily focusing on the former Communist bloc and the fall of the Berlin Wall. It also saw the emergence of new democracies in Latin America and in parts of South East Asia and Africa.</w:t>
      </w:r>
    </w:p>
    <w:p w14:paraId="0DB2610B" w14:textId="6C8E1A35" w:rsidR="00CF455B" w:rsidRPr="00930BF5" w:rsidRDefault="00CF455B" w:rsidP="002032DF">
      <w:pPr>
        <w:pStyle w:val="ListParagraph"/>
        <w:numPr>
          <w:ilvl w:val="0"/>
          <w:numId w:val="1"/>
        </w:numPr>
      </w:pPr>
      <w:r w:rsidRPr="00EE48E8">
        <w:rPr>
          <w:b/>
          <w:bCs/>
        </w:rPr>
        <w:t>The third ‘reverse wave’</w:t>
      </w:r>
      <w:r w:rsidRPr="00930BF5">
        <w:t xml:space="preserve">: a </w:t>
      </w:r>
      <w:r w:rsidR="00650247">
        <w:t>less clear</w:t>
      </w:r>
      <w:r w:rsidRPr="00930BF5">
        <w:t xml:space="preserve"> trend, but </w:t>
      </w:r>
      <w:r w:rsidR="00650247">
        <w:t>it has been suggested there was some democratic ‘backsliding’</w:t>
      </w:r>
      <w:r w:rsidRPr="00930BF5">
        <w:t xml:space="preserve"> beginning in the mid-1990s in countries such as Russia, Venezuela, Bolivia, Georgia and Thailand</w:t>
      </w:r>
      <w:r w:rsidR="00650247">
        <w:t xml:space="preserve"> </w:t>
      </w:r>
      <w:r w:rsidR="00650247">
        <w:fldChar w:fldCharType="begin" w:fldLock="1"/>
      </w:r>
      <w:r w:rsidR="00E63CC6">
        <w:instrText>ADDIN CSL_CITATION { "citationItems" : [ { "id" : "ITEM-1", "itemData" : { "author" : [ { "dropping-particle" : "", "family" : "Diamond", "given" : "Larry", "non-dropping-particle" : "", "parse-names" : false, "suffix" : "" } ], "container-title" : "The Kellog Institute for International Studies", "id" : "ITEM-1", "issue" : "March", "issued" : { "date-parts" : [ [ "1997" ] ] }, "title" : "Is the Third Wave of Democratization Over?", "type" : "article-journal", "volume" : "Paper #237" }, "uris" : [ "http://www.mendeley.com/documents/?uuid=2a4a18bf-2cdd-4905-b9d8-2055ebfd23da" ] }, { "id" : "ITEM-2", "itemData" : { "author" : [ { "dropping-particle" : "", "family" : "Diamond", "given" : "Larry", "non-dropping-particle" : "", "parse-names" : false, "suffix" : "" } ], "container-title" : "Foreign Affairs", "id" : "ITEM-2", "issue" : "2", "issued" : { "date-parts" : [ [ "2008" ] ] }, "page" : "36-48", "title" : "The Democratic Rollback", "type" : "article-journal", "volume" : "87" }, "uris" : [ "http://www.mendeley.com/documents/?uuid=6cf74acd-263b-405d-ab3a-748da98392f6" ] } ], "mendeley" : { "formattedCitation" : "(Diamond, 1997, 2008b)", "plainTextFormattedCitation" : "(Diamond, 1997, 2008b)", "previouslyFormattedCitation" : "(Diamond, 1997, 2008b)" }, "properties" : { "noteIndex" : 0 }, "schema" : "https://github.com/citation-style-language/schema/raw/master/csl-citation.json" }</w:instrText>
      </w:r>
      <w:r w:rsidR="00650247">
        <w:fldChar w:fldCharType="separate"/>
      </w:r>
      <w:r w:rsidR="00E63CC6" w:rsidRPr="00E63CC6">
        <w:rPr>
          <w:noProof/>
        </w:rPr>
        <w:t>(Diamond, 1997, 2008b)</w:t>
      </w:r>
      <w:r w:rsidR="00650247">
        <w:fldChar w:fldCharType="end"/>
      </w:r>
      <w:r w:rsidRPr="00930BF5">
        <w:t>.</w:t>
      </w:r>
    </w:p>
    <w:p w14:paraId="0F419786" w14:textId="4D386629" w:rsidR="00CF455B" w:rsidRPr="00930BF5" w:rsidRDefault="00CF455B" w:rsidP="002032DF">
      <w:pPr>
        <w:pStyle w:val="ListParagraph"/>
        <w:numPr>
          <w:ilvl w:val="0"/>
          <w:numId w:val="1"/>
        </w:numPr>
      </w:pPr>
      <w:r w:rsidRPr="00EE48E8">
        <w:rPr>
          <w:b/>
          <w:bCs/>
        </w:rPr>
        <w:t>The fourth wave(</w:t>
      </w:r>
      <w:r w:rsidRPr="00EE48E8">
        <w:rPr>
          <w:b/>
        </w:rPr>
        <w:t>?)</w:t>
      </w:r>
      <w:r w:rsidRPr="00930BF5">
        <w:t xml:space="preserve">: some </w:t>
      </w:r>
      <w:r w:rsidR="00650247">
        <w:t xml:space="preserve">analysis </w:t>
      </w:r>
      <w:r w:rsidR="00650247">
        <w:fldChar w:fldCharType="begin" w:fldLock="1"/>
      </w:r>
      <w:r w:rsidR="00E63CC6">
        <w:instrText>ADDIN CSL_CITATION { "citationItems" : [ { "id" : "ITEM-1", "itemData" : { "DOI" : "10.1080/15348423.2015.1116276", "ISSN" : "1534-8423", "author" : [ { "dropping-particle" : "", "family" : "Meltzer", "given" : "Kimberly", "non-dropping-particle" : "", "parse-names" : false, "suffix" : "" } ], "container-title" : "Journal of Media and Religion", "id" : "ITEM-1", "issue" : "4", "issued" : { "date-parts" : [ [ "2015" ] ] }, "page" : "245-247", "title" : "A Review of Democracy's Fourth Wave? Digital Media and the Arab Spring", "type" : "article-journal", "volume" : "14" }, "uris" : [ "http://www.mendeley.com/documents/?uuid=95fd55b8-2adb-4482-a082-2402e43c5efb" ] }, { "id" : "ITEM-2", "itemData" : { "author" : [ { "dropping-particle" : "", "family" : "Popescu", "given" : "Christian", "non-dropping-particle" : "", "parse-names" : false, "suffix" : "" } ], "container-title" : "The USV Annals of Economics and Public Administration", "id" : "ITEM-2", "issue" : "1", "issued" : { "date-parts" : [ [ "2012" ] ] }, "page" : "32-38", "title" : "Is There a Fourth Wave of Democracy or Not? An Evaluation of the Latest Theories", "type" : "article-journal", "volume" : "12" }, "uris" : [ "http://www.mendeley.com/documents/?uuid=b6455aae-22ef-4e8b-af6a-54d93e43e191" ] }, { "id" : "ITEM-3", "itemData" : { "author" : [ { "dropping-particle" : "", "family" : "Diamond", "given" : "Larry", "non-dropping-particle" : "", "parse-names" : false, "suffix" : "" } ], "container-title" : "Foreign Affairs", "id" : "ITEM-3", "issued" : { "date-parts" : [ [ "2011" ] ] }, "title" : "A Fourth Wave or False Start?", "type" : "article-journal", "volume" : "May" }, "uris" : [ "http://www.mendeley.com/documents/?uuid=6540db54-5b21-4ac3-973c-8a452d7bc38e" ] } ], "mendeley" : { "formattedCitation" : "(Diamond, 2011; Popescu, 2012; Meltzer, 2015)", "plainTextFormattedCitation" : "(Diamond, 2011; Popescu, 2012; Meltzer, 2015)", "previouslyFormattedCitation" : "(Diamond, 2011; Popescu, 2012; Meltzer, 2015)" }, "properties" : { "noteIndex" : 0 }, "schema" : "https://github.com/citation-style-language/schema/raw/master/csl-citation.json" }</w:instrText>
      </w:r>
      <w:r w:rsidR="00650247">
        <w:fldChar w:fldCharType="separate"/>
      </w:r>
      <w:r w:rsidR="00E63CC6" w:rsidRPr="00E63CC6">
        <w:rPr>
          <w:noProof/>
        </w:rPr>
        <w:t>(Diamond, 2011; Popescu, 2012; Meltzer, 2015)</w:t>
      </w:r>
      <w:r w:rsidR="00650247">
        <w:fldChar w:fldCharType="end"/>
      </w:r>
      <w:r w:rsidR="00650247">
        <w:t xml:space="preserve"> has</w:t>
      </w:r>
      <w:r w:rsidRPr="00930BF5">
        <w:t xml:space="preserve"> likened the mass protests of the Arab Spring that started in 2010 to a potential fourth wave of transitions. </w:t>
      </w:r>
    </w:p>
    <w:p w14:paraId="625EAFD1" w14:textId="5DA19D45" w:rsidR="00CF455B" w:rsidRDefault="000F696F" w:rsidP="00EE48E8">
      <w:r>
        <w:t>W</w:t>
      </w:r>
      <w:r w:rsidR="00CF455B" w:rsidRPr="00930BF5">
        <w:t xml:space="preserve">hilst the idea of democracy has a long history, it is during the twentieth century that democracy as a practiced political system </w:t>
      </w:r>
      <w:r w:rsidR="00CF455B">
        <w:t>has been</w:t>
      </w:r>
      <w:r w:rsidR="00CF455B" w:rsidRPr="00930BF5">
        <w:t xml:space="preserve"> most </w:t>
      </w:r>
      <w:r w:rsidR="00CF455B">
        <w:t>successful, even if this success ebbs and flows</w:t>
      </w:r>
      <w:r w:rsidR="00CF455B" w:rsidRPr="00930BF5">
        <w:t>.</w:t>
      </w:r>
      <w:r w:rsidR="000D2F92">
        <w:t xml:space="preserve"> T</w:t>
      </w:r>
      <w:r w:rsidR="00CF455B">
        <w:t>he following section on</w:t>
      </w:r>
      <w:r w:rsidR="00CF455B" w:rsidRPr="00930BF5">
        <w:t xml:space="preserve"> democratic theory, whilst occasionally drawing on some of the more classic works on democracy, takes it starting point as the end of the Second World War. During this time there was a rapid expansion of literature on democratic theory and democratization, particularly from the United States. A</w:t>
      </w:r>
      <w:r w:rsidR="00CC2203">
        <w:t>s Schmitter &amp; Karl</w:t>
      </w:r>
      <w:r w:rsidR="00CF455B">
        <w:t xml:space="preserve"> </w:t>
      </w:r>
      <w:r w:rsidR="00CC2203">
        <w:fldChar w:fldCharType="begin" w:fldLock="1"/>
      </w:r>
      <w:r w:rsidR="00E63CC6">
        <w:instrText>ADDIN CSL_CITATION { "citationItems" : [ { "id" : "ITEM-1", "itemData" : { "DOI" : "10.2307/2500331", "ISBN" : "00376779", "ISSN" : "00376779", "abstract" : "P. 175: difference between transition and consolidation. The authors make the hunch that the different world regions affected by the 3. wave of democratisation should be compared with each other. This is the starting article of a series of discussions with Valerie Bunce about the viability of inter-regional comparisons. P. 173: \"embryonic subdisciplines\"", "author" : [ { "dropping-particle" : "", "family" : "Schmitter", "given" : "Philippe C", "non-dropping-particle" : "", "parse-names" : false, "suffix" : "" }, { "dropping-particle" : "", "family" : "Karl", "given" : "Terry Lynn", "non-dropping-particle" : "", "parse-names" : false, "suffix" : "" } ], "container-title" : "Slavic Review", "id" : "ITEM-1", "issue" : "1", "issued" : { "date-parts" : [ [ "1994" ] ] }, "page" : "173-185", "title" : "The Conceptual Travels of Transitologists and Consolidologists: How Far to the East Should They Attempt to Go?", "type" : "article-journal", "volume" : "53" }, "locator" : "175", "uris" : [ "http://www.mendeley.com/documents/?uuid=6a934620-7bb0-449e-93e4-257769de311e" ] } ], "mendeley" : { "formattedCitation" : "(Schmitter and Karl, 1994, p. 175)", "manualFormatting" : "(1994, p.175)", "plainTextFormattedCitation" : "(Schmitter and Karl, 1994, p. 175)", "previouslyFormattedCitation" : "(Schmitter and Karl, 1994, p. 175)" }, "properties" : { "noteIndex" : 0 }, "schema" : "https://github.com/citation-style-language/schema/raw/master/csl-citation.json" }</w:instrText>
      </w:r>
      <w:r w:rsidR="00CC2203">
        <w:fldChar w:fldCharType="separate"/>
      </w:r>
      <w:r w:rsidR="00CC2203" w:rsidRPr="00CC2203">
        <w:rPr>
          <w:noProof/>
        </w:rPr>
        <w:t>(1994, p.175)</w:t>
      </w:r>
      <w:r w:rsidR="00CC2203">
        <w:fldChar w:fldCharType="end"/>
      </w:r>
      <w:r w:rsidR="00CC2203">
        <w:t xml:space="preserve"> </w:t>
      </w:r>
      <w:r w:rsidR="00CF455B">
        <w:t>put it: “It does not seem excessive to claim that American political science since World War II has been obsessed with the issue of ‘democratic stability’ in the face of class conflict, ideological polarization, Communist aggression, north-south tensions, and so forth.”</w:t>
      </w:r>
      <w:r w:rsidR="00F80BF9">
        <w:t xml:space="preserve"> This makes the explosion of literature and analytical approaches to democracy in this time a useful place to start.</w:t>
      </w:r>
    </w:p>
    <w:p w14:paraId="658BD158" w14:textId="759F68AB" w:rsidR="00CF455B" w:rsidRDefault="00CF455B" w:rsidP="00E223A2">
      <w:r>
        <w:t>The following section examines theoretical approaches to democracy, from ‘thin’ more stripped back understandings to much ‘thicker’ and complex understandings. Throughout, I draw attention to what role the citizen is given in these approaches.</w:t>
      </w:r>
    </w:p>
    <w:p w14:paraId="3FEB16CD" w14:textId="77777777" w:rsidR="00CF455B" w:rsidRPr="00577217" w:rsidRDefault="00CF455B" w:rsidP="00577217">
      <w:pPr>
        <w:pStyle w:val="Heading2"/>
      </w:pPr>
      <w:bookmarkStart w:id="33" w:name="_Toc439170198"/>
      <w:bookmarkStart w:id="34" w:name="_Toc441069016"/>
      <w:bookmarkStart w:id="35" w:name="_Toc441069161"/>
      <w:bookmarkStart w:id="36" w:name="_Toc494034209"/>
      <w:r w:rsidRPr="00577217">
        <w:t>2.</w:t>
      </w:r>
      <w:r w:rsidR="00B30671" w:rsidRPr="00577217">
        <w:t>2 Theoretical Approaches Towards</w:t>
      </w:r>
      <w:r w:rsidRPr="00577217">
        <w:t xml:space="preserve"> Democracy</w:t>
      </w:r>
      <w:bookmarkEnd w:id="33"/>
      <w:bookmarkEnd w:id="34"/>
      <w:bookmarkEnd w:id="35"/>
      <w:bookmarkEnd w:id="36"/>
    </w:p>
    <w:p w14:paraId="38D69DA6" w14:textId="3A45784E" w:rsidR="00CF455B" w:rsidRDefault="00CF455B" w:rsidP="00EE48E8">
      <w:r>
        <w:t>Section 2.1 demonstrated that democracy has a long history, but as a viable political system it exploded in popularity after WWII. However, just over ten years later</w:t>
      </w:r>
      <w:r w:rsidR="00CC2203">
        <w:t xml:space="preserve"> Gallie</w:t>
      </w:r>
      <w:r>
        <w:rPr>
          <w:iCs/>
        </w:rPr>
        <w:t xml:space="preserve"> </w:t>
      </w:r>
      <w:r w:rsidR="00CC2203">
        <w:rPr>
          <w:iCs/>
        </w:rPr>
        <w:fldChar w:fldCharType="begin" w:fldLock="1"/>
      </w:r>
      <w:r w:rsidR="00E63CC6">
        <w:rPr>
          <w:iCs/>
        </w:rPr>
        <w:instrText>ADDIN CSL_CITATION { "citationItems" : [ { "id" : "ITEM-1", "itemData" : { "DOI" : "10.1038/163346b0", "ISSN" : "0028-0836", "author" : [ { "dropping-particle" : "", "family" : "Rawlins", "given" : "F. I. G.", "non-dropping-particle" : "", "parse-names" : false, "suffix" : "" } ], "container-title" : "Nature", "id" : "ITEM-1", "issue" : "4140", "issued" : { "date-parts" : [ [ "1949" ] ] }, "page" : "346-346", "title" : "Proceedings of the Aristotelian Society", "type" : "article-journal", "volume" : "163" }, "locator" : "184", "uris" : [ "http://www.mendeley.com/documents/?uuid=d7cc0a8b-3d74-4dc1-94c2-3e02da9a0537" ] } ], "mendeley" : { "formattedCitation" : "(Rawlins, 1949, p. 184)", "manualFormatting" : "(1956, p.184)", "plainTextFormattedCitation" : "(Rawlins, 1949, p. 184)", "previouslyFormattedCitation" : "(Rawlins, 1949, p. 184)" }, "properties" : { "noteIndex" : 0 }, "schema" : "https://github.com/citation-style-language/schema/raw/master/csl-citation.json" }</w:instrText>
      </w:r>
      <w:r w:rsidR="00CC2203">
        <w:rPr>
          <w:iCs/>
        </w:rPr>
        <w:fldChar w:fldCharType="separate"/>
      </w:r>
      <w:r w:rsidR="00CC2203">
        <w:rPr>
          <w:iCs/>
          <w:noProof/>
        </w:rPr>
        <w:t>(1956</w:t>
      </w:r>
      <w:r w:rsidR="00CC2203" w:rsidRPr="00CC2203">
        <w:rPr>
          <w:iCs/>
          <w:noProof/>
        </w:rPr>
        <w:t>, p.184)</w:t>
      </w:r>
      <w:r w:rsidR="00CC2203">
        <w:rPr>
          <w:iCs/>
        </w:rPr>
        <w:fldChar w:fldCharType="end"/>
      </w:r>
      <w:r>
        <w:rPr>
          <w:iCs/>
        </w:rPr>
        <w:t xml:space="preserve"> described the</w:t>
      </w:r>
      <w:r w:rsidRPr="00B411FD">
        <w:rPr>
          <w:rFonts w:cstheme="majorBidi"/>
        </w:rPr>
        <w:t xml:space="preserve"> term ‘democracy’ as the essentially contested political concept </w:t>
      </w:r>
      <w:r>
        <w:rPr>
          <w:rFonts w:cstheme="majorBidi"/>
          <w:i/>
          <w:iCs/>
        </w:rPr>
        <w:t>par excellence</w:t>
      </w:r>
      <w:r>
        <w:rPr>
          <w:rFonts w:cstheme="majorBidi"/>
        </w:rPr>
        <w:t>.</w:t>
      </w:r>
      <w:r>
        <w:t xml:space="preserve"> Indeed it can be said that:</w:t>
      </w:r>
      <w:r w:rsidRPr="00930BF5">
        <w:t xml:space="preserve"> </w:t>
      </w:r>
      <w:r>
        <w:t>“</w:t>
      </w:r>
      <w:r w:rsidRPr="009F7D2F">
        <w:t>No clear definition has been articulated, though the concept has been with us for 2,500 years</w:t>
      </w:r>
      <w:r>
        <w:t xml:space="preserve">” </w:t>
      </w:r>
      <w:r w:rsidR="00CC2203">
        <w:fldChar w:fldCharType="begin" w:fldLock="1"/>
      </w:r>
      <w:r w:rsidR="00E63CC6">
        <w:instrText>ADDIN CSL_CITATION { "citationItems" : [ { "id" : "ITEM-1", "itemData" : { "author" : [ { "dropping-particle" : "", "family" : "Lagos", "given" : "Marta", "non-dropping-particle" : "", "parse-names" : false, "suffix" : "" } ], "container-title" : "International Journal of Public Opinion Research", "id" : "ITEM-1", "issue" : "4", "issued" : { "date-parts" : [ [ "2003" ] ] }, "page" : "471-487", "title" : "Support for and satisfaction with democracy", "type" : "article-journal", "volume" : "15" }, "locator" : "471", "uris" : [ "http://www.mendeley.com/documents/?uuid=60f2c5a3-1a6c-48d6-89e4-4077fc6a4a3c" ] } ], "mendeley" : { "formattedCitation" : "(Lagos, 2003, p. 471)", "plainTextFormattedCitation" : "(Lagos, 2003, p. 471)", "previouslyFormattedCitation" : "(Lagos, 2003, p. 471)" }, "properties" : { "noteIndex" : 0 }, "schema" : "https://github.com/citation-style-language/schema/raw/master/csl-citation.json" }</w:instrText>
      </w:r>
      <w:r w:rsidR="00CC2203">
        <w:fldChar w:fldCharType="separate"/>
      </w:r>
      <w:r w:rsidR="00E63CC6" w:rsidRPr="00E63CC6">
        <w:rPr>
          <w:noProof/>
        </w:rPr>
        <w:t>(Lagos, 2003, p. 471)</w:t>
      </w:r>
      <w:r w:rsidR="00CC2203">
        <w:fldChar w:fldCharType="end"/>
      </w:r>
      <w:r w:rsidR="00CC2203">
        <w:t>.</w:t>
      </w:r>
    </w:p>
    <w:p w14:paraId="55AA3123" w14:textId="4CA2CB5E" w:rsidR="00362ABB" w:rsidRDefault="00CF455B" w:rsidP="00EE48E8">
      <w:r w:rsidRPr="00930BF5">
        <w:t xml:space="preserve">This section addresses </w:t>
      </w:r>
      <w:r>
        <w:t>the plurality of democratic theories by</w:t>
      </w:r>
      <w:r w:rsidRPr="00930BF5">
        <w:t xml:space="preserve"> </w:t>
      </w:r>
      <w:r>
        <w:t>running through from</w:t>
      </w:r>
      <w:r w:rsidRPr="00930BF5">
        <w:t xml:space="preserve"> ‘thin’ </w:t>
      </w:r>
      <w:r>
        <w:t>to</w:t>
      </w:r>
      <w:r w:rsidRPr="00930BF5">
        <w:t xml:space="preserve"> ‘thick’ approaches</w:t>
      </w:r>
      <w:r w:rsidR="00362ABB">
        <w:t>. Thin approaches are minimalist in their framing of the required mechanisms of governance for a country to be consider a democracy – usually focusing on elections – whereas thick approaches are much deeper and see democracy as requiring far more citizen engagement, accountability</w:t>
      </w:r>
      <w:r w:rsidR="000F696F">
        <w:t>,</w:t>
      </w:r>
      <w:r w:rsidR="00362ABB">
        <w:t xml:space="preserve"> and deliberation. The fact there is such a wide spectrum of approaches to democracy and no academic consensus is clear. And if there is no shared view from the experts, we might then think to ask can we expect any shared view from the populace?</w:t>
      </w:r>
    </w:p>
    <w:p w14:paraId="1C6AC7B8" w14:textId="7902595A" w:rsidR="00CF455B" w:rsidRPr="00930BF5" w:rsidRDefault="00CF455B" w:rsidP="00EE48E8">
      <w:r w:rsidRPr="00930BF5">
        <w:t xml:space="preserve">Whilst this is not </w:t>
      </w:r>
      <w:r>
        <w:t xml:space="preserve">strictly </w:t>
      </w:r>
      <w:r w:rsidRPr="00930BF5">
        <w:t>a chronological approach, there is a general dev</w:t>
      </w:r>
      <w:r>
        <w:t>elopment of theory between the</w:t>
      </w:r>
      <w:r w:rsidRPr="00930BF5">
        <w:t xml:space="preserve"> two </w:t>
      </w:r>
      <w:r>
        <w:t>ends of this spectrum over time, from thin to thick</w:t>
      </w:r>
      <w:r w:rsidRPr="00930BF5">
        <w:t xml:space="preserve">. </w:t>
      </w:r>
      <w:r>
        <w:t>This section starts with electoral democracy, before moving onto polyarchy and liberal democracy. It then outlines feminist critiques of these approaches and shifts to address the impact of deliberative democratic theory</w:t>
      </w:r>
      <w:r w:rsidR="002F7275">
        <w:t xml:space="preserve"> and radical conceptualisations</w:t>
      </w:r>
      <w:r>
        <w:t>. Throughout, the</w:t>
      </w:r>
      <w:r w:rsidRPr="00930BF5">
        <w:t xml:space="preserve"> review will also examine </w:t>
      </w:r>
      <w:r>
        <w:t>the</w:t>
      </w:r>
      <w:r w:rsidRPr="00930BF5">
        <w:t xml:space="preserve"> role</w:t>
      </w:r>
      <w:r>
        <w:t xml:space="preserve"> that</w:t>
      </w:r>
      <w:r w:rsidRPr="00930BF5">
        <w:t xml:space="preserve"> citizens are theorised to have in these approaches. </w:t>
      </w:r>
    </w:p>
    <w:p w14:paraId="477C8C39" w14:textId="77777777" w:rsidR="00CF455B" w:rsidRPr="00E223A2" w:rsidRDefault="00CF455B" w:rsidP="00E223A2">
      <w:pPr>
        <w:pStyle w:val="Heading3"/>
      </w:pPr>
      <w:bookmarkStart w:id="37" w:name="_Toc441069162"/>
      <w:r w:rsidRPr="00E223A2">
        <w:t>Electoral Democracy</w:t>
      </w:r>
      <w:bookmarkEnd w:id="37"/>
    </w:p>
    <w:p w14:paraId="101C5142" w14:textId="77777777" w:rsidR="00CF455B" w:rsidRPr="00930BF5" w:rsidRDefault="00CF455B" w:rsidP="00EE48E8">
      <w:r w:rsidRPr="00930BF5">
        <w:t>Thin theoretical approaches are classified as such because they are concerned with minimalist interpretations of democracy that tend to focus on quite strictly mechanistic understandings of the idea. This means that if a couple of key institutional procedures exist in a system, such as voting and fair party competition, t</w:t>
      </w:r>
      <w:r>
        <w:t>hen a system can be classed as democratic</w:t>
      </w:r>
      <w:r w:rsidRPr="00930BF5">
        <w:t>. It is for this reason that such theoretical approaches are often called ‘procedural’ or ‘electoral’.</w:t>
      </w:r>
    </w:p>
    <w:p w14:paraId="4FCCEC88" w14:textId="6C5B3978" w:rsidR="00B10603" w:rsidRDefault="00CF455B" w:rsidP="00EE48E8">
      <w:r w:rsidRPr="00930BF5">
        <w:t xml:space="preserve">Democratic theory of this kind found its most important inspiration in the work of the Austrian-American economist Joseph Schumpeter </w:t>
      </w:r>
      <w:r w:rsidR="00586E08">
        <w:fldChar w:fldCharType="begin" w:fldLock="1"/>
      </w:r>
      <w:r w:rsidR="00E63CC6">
        <w:instrText>ADDIN CSL_CITATION { "citationItems" : [ { "id" : "ITEM-1", "itemData" : { "author" : [ { "dropping-particle" : "", "family" : "Grugel", "given" : "Jean", "non-dropping-particle" : "", "parse-names" : false, "suffix" : "" } ], "id" : "ITEM-1", "issued" : { "date-parts" : [ [ "2002" ] ] }, "publisher" : "Palgrave", "publisher-place" : "New York", "title" : "Democratization", "type" : "book" }, "locator" : "18", "uris" : [ "http://www.mendeley.com/documents/?uuid=a6831325-c9a5-4ceb-bfbe-dba212582374" ] } ], "mendeley" : { "formattedCitation" : "(Grugel, 2002, p. 18)", "manualFormatting" : "(see Grugel 2002, p.18)", "plainTextFormattedCitation" : "(Grugel, 2002, p. 18)", "previouslyFormattedCitation" : "(Grugel, 2002, p. 18)" }, "properties" : { "noteIndex" : 0 }, "schema" : "https://github.com/citation-style-language/schema/raw/master/csl-citation.json" }</w:instrText>
      </w:r>
      <w:r w:rsidR="00586E08">
        <w:fldChar w:fldCharType="separate"/>
      </w:r>
      <w:r w:rsidR="00586E08" w:rsidRPr="00586E08">
        <w:rPr>
          <w:noProof/>
        </w:rPr>
        <w:t>(</w:t>
      </w:r>
      <w:r w:rsidR="00586E08">
        <w:rPr>
          <w:noProof/>
        </w:rPr>
        <w:t xml:space="preserve">see </w:t>
      </w:r>
      <w:r w:rsidR="00586E08" w:rsidRPr="00586E08">
        <w:rPr>
          <w:noProof/>
        </w:rPr>
        <w:t>Grugel 2002, p.18)</w:t>
      </w:r>
      <w:r w:rsidR="00586E08">
        <w:fldChar w:fldCharType="end"/>
      </w:r>
      <w:r w:rsidRPr="00930BF5">
        <w:t>.</w:t>
      </w:r>
      <w:r>
        <w:t xml:space="preserve"> In the early 1940s</w:t>
      </w:r>
      <w:r w:rsidRPr="00930BF5">
        <w:t xml:space="preserve"> Schumpeter </w:t>
      </w:r>
      <w:r w:rsidR="00CA105A">
        <w:fldChar w:fldCharType="begin" w:fldLock="1"/>
      </w:r>
      <w:r w:rsidR="00E63CC6">
        <w:instrText>ADDIN CSL_CITATION { "citationItems" : [ { "id" : "ITEM-1", "itemData" : { "author" : [ { "dropping-particle" : "", "family" : "Schumpeter", "given" : "Joseph", "non-dropping-particle" : "", "parse-names" : false, "suffix" : "" } ], "id" : "ITEM-1", "issued" : { "date-parts" : [ [ "1942" ] ] }, "publisher" : "Harper", "publisher-place" : "New York", "title" : "Capitalism, Socialism and Democracy", "type" : "book" }, "uris" : [ "http://www.mendeley.com/documents/?uuid=c20f8803-0c19-4e99-8d2e-3d54269ba38a" ] } ], "mendeley" : { "formattedCitation" : "(Schumpeter, 1942)", "manualFormatting" : "(1942)", "plainTextFormattedCitation" : "(Schumpeter, 1942)", "previouslyFormattedCitation" : "(Schumpeter, 1942)" }, "properties" : { "noteIndex" : 0 }, "schema" : "https://github.com/citation-style-language/schema/raw/master/csl-citation.json" }</w:instrText>
      </w:r>
      <w:r w:rsidR="00CA105A">
        <w:fldChar w:fldCharType="separate"/>
      </w:r>
      <w:r w:rsidR="00CA105A" w:rsidRPr="00CA105A">
        <w:rPr>
          <w:noProof/>
        </w:rPr>
        <w:t>(1942)</w:t>
      </w:r>
      <w:r w:rsidR="00CA105A">
        <w:fldChar w:fldCharType="end"/>
      </w:r>
      <w:r w:rsidR="00CA105A">
        <w:t xml:space="preserve"> </w:t>
      </w:r>
      <w:r w:rsidRPr="00930BF5">
        <w:t>conceptualised democracy in strict mechanistic terms, outlining a narrow list of required political processes for a system to be considered democratic. The Schumpeterian approach is highly pragmatic, perhaps even cynical in the extent to which it allows any real power to be given to the people. He understood ‘the will of the people’ as a vague and unhelpful concept, and suggested there was no such thing as the ‘common good’ as understood by utilitarians. Instead, he focused almost purely on the need to institutionalise competition for political leadership, whilst not trusting the majorit</w:t>
      </w:r>
      <w:r w:rsidR="00C75C73">
        <w:t>y of citizens with any decision-</w:t>
      </w:r>
      <w:r w:rsidRPr="00930BF5">
        <w:t xml:space="preserve">making power </w:t>
      </w:r>
      <w:r w:rsidR="00586E08">
        <w:fldChar w:fldCharType="begin" w:fldLock="1"/>
      </w:r>
      <w:r w:rsidR="00E63CC6">
        <w:instrText>ADDIN CSL_CITATION { "citationItems" : [ { "id" : "ITEM-1", "itemData" : { "author" : [ { "dropping-particle" : "", "family" : "Grugel", "given" : "Jean", "non-dropping-particle" : "", "parse-names" : false, "suffix" : "" } ], "id" : "ITEM-1", "issued" : { "date-parts" : [ [ "2002" ] ] }, "publisher" : "Palgrave", "publisher-place" : "New York", "title" : "Democratization", "type" : "book" }, "locator" : "18", "uris" : [ "http://www.mendeley.com/documents/?uuid=a6831325-c9a5-4ceb-bfbe-dba212582374" ] } ], "mendeley" : { "formattedCitation" : "(Grugel, 2002, p. 18)", "plainTextFormattedCitation" : "(Grugel, 2002, p. 18)", "previouslyFormattedCitation" : "(Grugel, 2002, p. 18)" }, "properties" : { "noteIndex" : 0 }, "schema" : "https://github.com/citation-style-language/schema/raw/master/csl-citation.json" }</w:instrText>
      </w:r>
      <w:r w:rsidR="00586E08">
        <w:fldChar w:fldCharType="separate"/>
      </w:r>
      <w:r w:rsidR="00E63CC6" w:rsidRPr="00E63CC6">
        <w:rPr>
          <w:noProof/>
        </w:rPr>
        <w:t>(Grugel, 2002, p. 18)</w:t>
      </w:r>
      <w:r w:rsidR="00586E08">
        <w:fldChar w:fldCharType="end"/>
      </w:r>
      <w:r w:rsidRPr="00930BF5">
        <w:t xml:space="preserve">.  Accordingly, his oft-quoted definition describes democracy as a system ‘for arriving at political decisions in which individuals acquire the power to decide by means of a competitive struggle for the people’s votes’ </w:t>
      </w:r>
      <w:r w:rsidR="00CA105A">
        <w:fldChar w:fldCharType="begin" w:fldLock="1"/>
      </w:r>
      <w:r w:rsidR="00E63CC6">
        <w:instrText>ADDIN CSL_CITATION { "citationItems" : [ { "id" : "ITEM-1", "itemData" : { "author" : [ { "dropping-particle" : "", "family" : "Schumpeter", "given" : "Joseph", "non-dropping-particle" : "", "parse-names" : false, "suffix" : "" } ], "id" : "ITEM-1", "issued" : { "date-parts" : [ [ "1942" ] ] }, "publisher" : "Harper", "publisher-place" : "New York", "title" : "Capitalism, Socialism and Democracy", "type" : "book" }, "locator" : "269", "uris" : [ "http://www.mendeley.com/documents/?uuid=c20f8803-0c19-4e99-8d2e-3d54269ba38a" ] } ], "mendeley" : { "formattedCitation" : "(Schumpeter, 1942, p. 269)", "plainTextFormattedCitation" : "(Schumpeter, 1942, p. 269)", "previouslyFormattedCitation" : "(Schumpeter, 1942, p. 269)" }, "properties" : { "noteIndex" : 0 }, "schema" : "https://github.com/citation-style-language/schema/raw/master/csl-citation.json" }</w:instrText>
      </w:r>
      <w:r w:rsidR="00CA105A">
        <w:fldChar w:fldCharType="separate"/>
      </w:r>
      <w:r w:rsidR="00E63CC6" w:rsidRPr="00E63CC6">
        <w:rPr>
          <w:noProof/>
        </w:rPr>
        <w:t>(Schumpeter, 1942, p. 269)</w:t>
      </w:r>
      <w:r w:rsidR="00CA105A">
        <w:fldChar w:fldCharType="end"/>
      </w:r>
      <w:r w:rsidR="00CA105A">
        <w:t>.</w:t>
      </w:r>
    </w:p>
    <w:p w14:paraId="4B74D46A" w14:textId="578E9D5E" w:rsidR="00CF455B" w:rsidRPr="00930BF5" w:rsidRDefault="00CF455B" w:rsidP="00EE48E8">
      <w:r w:rsidRPr="00930BF5">
        <w:t xml:space="preserve">The usefulness of Schumpeter’s approach to democracy is that, with such an undemanding normative element, researchers can </w:t>
      </w:r>
      <w:r>
        <w:t xml:space="preserve">build quantitative and empirical analysis around </w:t>
      </w:r>
      <w:r w:rsidR="00C75C73">
        <w:t>the</w:t>
      </w:r>
      <w:r w:rsidRPr="00930BF5">
        <w:t xml:space="preserve"> theory: the simplicity of the definition lends itself to measurement and comparability across systems. Prompted by the Cold War, US academics in particular saw it as necessary to examine empirically what they considered existed in the </w:t>
      </w:r>
      <w:r>
        <w:t>‘</w:t>
      </w:r>
      <w:r w:rsidRPr="00930BF5">
        <w:t>real world</w:t>
      </w:r>
      <w:r>
        <w:t>’</w:t>
      </w:r>
      <w:r w:rsidRPr="00930BF5">
        <w:t xml:space="preserve">, developing scales and measurement frameworks that allowed not just researchers but also political leaders to judge and describe how democratic governments were. </w:t>
      </w:r>
    </w:p>
    <w:p w14:paraId="5C05BB8D" w14:textId="1F6F91BA" w:rsidR="00CF455B" w:rsidRPr="00930BF5" w:rsidRDefault="00CF455B" w:rsidP="00EE48E8">
      <w:r w:rsidRPr="00930BF5">
        <w:t xml:space="preserve">Accordingly, academic studies </w:t>
      </w:r>
      <w:r>
        <w:t>from</w:t>
      </w:r>
      <w:r w:rsidRPr="00930BF5">
        <w:t xml:space="preserve"> this time tended to distance themselves from philosophical and normative arguments about democratic ideals; asking </w:t>
      </w:r>
      <w:r w:rsidRPr="00930BF5">
        <w:rPr>
          <w:i/>
          <w:iCs/>
        </w:rPr>
        <w:t>how</w:t>
      </w:r>
      <w:r w:rsidRPr="00930BF5">
        <w:t xml:space="preserve"> effective certain procedural elements were became a more popular research question than trying to forward </w:t>
      </w:r>
      <w:r>
        <w:t xml:space="preserve">and expand </w:t>
      </w:r>
      <w:r w:rsidRPr="00930BF5">
        <w:t xml:space="preserve">the idea of what democracy could potentially offer citizens. This became a very popular approach for debates about democracy. However, as Pateman </w:t>
      </w:r>
      <w:r w:rsidR="007424E9">
        <w:fldChar w:fldCharType="begin" w:fldLock="1"/>
      </w:r>
      <w:r w:rsidR="00E63CC6">
        <w:instrText>ADDIN CSL_CITATION { "citationItems" : [ { "id" : "ITEM-1", "itemData" : { "author" : [ { "dropping-particle" : "", "family" : "Pateman", "given" : "Carole", "non-dropping-particle" : "", "parse-names" : false, "suffix" : "" } ], "id" : "ITEM-1", "issued" : { "date-parts" : [ [ "1970" ] ] }, "publisher" : "Cambridge University Press", "publisher-place" : "Cambridge", "title" : "Participation and Democratic Theory", "type" : "book" }, "locator" : "103", "uris" : [ "http://www.mendeley.com/documents/?uuid=545c653c-d525-42eb-8eee-38a13c6874e9" ] } ], "mendeley" : { "formattedCitation" : "(Pateman, 1970, p. 103)", "manualFormatting" : "(1970, p.103)", "plainTextFormattedCitation" : "(Pateman, 1970, p. 103)", "previouslyFormattedCitation" : "(Pateman, 1970, p. 103)" }, "properties" : { "noteIndex" : 0 }, "schema" : "https://github.com/citation-style-language/schema/raw/master/csl-citation.json" }</w:instrText>
      </w:r>
      <w:r w:rsidR="007424E9">
        <w:fldChar w:fldCharType="separate"/>
      </w:r>
      <w:r w:rsidR="007424E9" w:rsidRPr="007424E9">
        <w:rPr>
          <w:noProof/>
        </w:rPr>
        <w:t>(1970, p.103)</w:t>
      </w:r>
      <w:r w:rsidR="007424E9">
        <w:fldChar w:fldCharType="end"/>
      </w:r>
      <w:r w:rsidRPr="00930BF5">
        <w:t xml:space="preserve"> put it, this prevailing academic orthodoxy ‘prevented a proper understanding of the arguments of (some of) the earlier theorists of democracy about the central role of </w:t>
      </w:r>
      <w:r w:rsidRPr="00930BF5">
        <w:rPr>
          <w:i/>
        </w:rPr>
        <w:t>participation</w:t>
      </w:r>
      <w:r w:rsidRPr="00930BF5">
        <w:t xml:space="preserve"> in the theory of democracy [emphasis added].’ Indeed, Pateman </w:t>
      </w:r>
      <w:r w:rsidR="007424E9">
        <w:fldChar w:fldCharType="begin" w:fldLock="1"/>
      </w:r>
      <w:r w:rsidR="00E63CC6">
        <w:instrText>ADDIN CSL_CITATION { "citationItems" : [ { "id" : "ITEM-1", "itemData" : { "author" : [ { "dropping-particle" : "", "family" : "Pateman", "given" : "Carole", "non-dropping-particle" : "", "parse-names" : false, "suffix" : "" } ], "id" : "ITEM-1", "issued" : { "date-parts" : [ [ "1970" ] ] }, "publisher" : "Cambridge University Press", "publisher-place" : "Cambridge", "title" : "Participation and Democratic Theory", "type" : "book" }, "locator" : "104", "uris" : [ "http://www.mendeley.com/documents/?uuid=545c653c-d525-42eb-8eee-38a13c6874e9" ] } ], "mendeley" : { "formattedCitation" : "(Pateman, 1970, p. 104)", "manualFormatting" : "(1970, p.104)", "plainTextFormattedCitation" : "(Pateman, 1970, p. 104)", "previouslyFormattedCitation" : "(Pateman, 1970, p. 104)" }, "properties" : { "noteIndex" : 0 }, "schema" : "https://github.com/citation-style-language/schema/raw/master/csl-citation.json" }</w:instrText>
      </w:r>
      <w:r w:rsidR="007424E9">
        <w:fldChar w:fldCharType="separate"/>
      </w:r>
      <w:r w:rsidR="007424E9" w:rsidRPr="007424E9">
        <w:rPr>
          <w:noProof/>
        </w:rPr>
        <w:t>(1970, p.104)</w:t>
      </w:r>
      <w:r w:rsidR="007424E9">
        <w:fldChar w:fldCharType="end"/>
      </w:r>
      <w:r w:rsidRPr="00930BF5">
        <w:t xml:space="preserve"> is particularly scathing about this development, arguing that </w:t>
      </w:r>
      <w:r w:rsidR="005548AC">
        <w:t>it</w:t>
      </w:r>
      <w:r w:rsidR="005548AC" w:rsidRPr="00930BF5">
        <w:t xml:space="preserve"> </w:t>
      </w:r>
      <w:r w:rsidRPr="00930BF5">
        <w:t>has resulted:</w:t>
      </w:r>
    </w:p>
    <w:p w14:paraId="62F8F047" w14:textId="77777777" w:rsidR="00CF455B" w:rsidRPr="00930BF5" w:rsidRDefault="00CF455B" w:rsidP="00EE48E8">
      <w:pPr>
        <w:pStyle w:val="Quote"/>
      </w:pPr>
      <w:r w:rsidRPr="00930BF5">
        <w:t>“…in a ‘democratic theory’ that in many respects bears a strange resemblance to the anti-democratic arguments of the last century. No longer is democratic theory centred around the participation of ‘the people’, on the participation of the ordinary man, or the prime virtue of a democratic system seen as the development of politically relevant and necessary qualities in the ordinary individual; in the contemporary theory of democracy it is the participation of the minority elite that is crucial and the non-participation of the apathetic, ordinary man lacking in the feeling of political efficacy, that is regarded as the main bulwark against instability”.</w:t>
      </w:r>
    </w:p>
    <w:p w14:paraId="0326CEC1" w14:textId="71963876" w:rsidR="00CF455B" w:rsidRPr="00930BF5" w:rsidRDefault="00CF455B" w:rsidP="00EE48E8">
      <w:r w:rsidRPr="00930BF5">
        <w:t xml:space="preserve">Indeed, the Schumpeterian approach to conceptualising democracy has faced much criticism </w:t>
      </w:r>
      <w:r>
        <w:t xml:space="preserve">which </w:t>
      </w:r>
      <w:r w:rsidRPr="00930BF5">
        <w:t xml:space="preserve">is </w:t>
      </w:r>
      <w:r>
        <w:t>well</w:t>
      </w:r>
      <w:r w:rsidRPr="00930BF5">
        <w:t xml:space="preserve"> summed up by Diamond</w:t>
      </w:r>
      <w:r w:rsidR="007424E9">
        <w:t xml:space="preserve"> </w:t>
      </w:r>
      <w:r w:rsidR="007424E9">
        <w:fldChar w:fldCharType="begin" w:fldLock="1"/>
      </w:r>
      <w:r w:rsidR="00E63CC6">
        <w:instrText>ADDIN CSL_CITATION { "citationItems" : [ { "id" : "ITEM-1", "itemData" : { "author" : [ { "dropping-particle" : "", "family" : "Diamond", "given" : "L.", "non-dropping-particle" : "", "parse-names" : false, "suffix" : "" } ], "id" : "ITEM-1", "issued" : { "date-parts" : [ [ "1999" ] ] }, "publisher" : "John Hopkins University Press", "publisher-place" : "Baltimore", "title" : "Developing Democracy: Toward Consolidation", "type" : "book" }, "locator" : "284", "uris" : [ "http://www.mendeley.com/documents/?uuid=1992403d-171a-492b-bf27-199ac84abfad" ] } ], "mendeley" : { "formattedCitation" : "(Diamond, 1999, p. 284)", "manualFormatting" : "(1999, p.284)", "plainTextFormattedCitation" : "(Diamond, 1999, p. 284)", "previouslyFormattedCitation" : "(Diamond, 1999, p. 284)" }, "properties" : { "noteIndex" : 0 }, "schema" : "https://github.com/citation-style-language/schema/raw/master/csl-citation.json" }</w:instrText>
      </w:r>
      <w:r w:rsidR="007424E9">
        <w:fldChar w:fldCharType="separate"/>
      </w:r>
      <w:r w:rsidR="007424E9" w:rsidRPr="007424E9">
        <w:rPr>
          <w:noProof/>
        </w:rPr>
        <w:t>(1999, p.284)</w:t>
      </w:r>
      <w:r w:rsidR="007424E9">
        <w:fldChar w:fldCharType="end"/>
      </w:r>
      <w:r w:rsidR="007424E9">
        <w:t xml:space="preserve"> </w:t>
      </w:r>
      <w:r w:rsidRPr="00930BF5">
        <w:t>who argues that Schumpeter’s strict procedu</w:t>
      </w:r>
      <w:r>
        <w:t>ral definition of democracy is “</w:t>
      </w:r>
      <w:r w:rsidRPr="00930BF5">
        <w:t>as spare a notion of democracy as one could posit withou</w:t>
      </w:r>
      <w:r>
        <w:t>t draining the term of meaning”.</w:t>
      </w:r>
      <w:r w:rsidRPr="00930BF5">
        <w:t xml:space="preserve"> Citizens are considerably side-lined in this approach – they have next to no influence on government decision-making between elections – and </w:t>
      </w:r>
      <w:r>
        <w:t>the</w:t>
      </w:r>
      <w:r w:rsidRPr="00930BF5">
        <w:t xml:space="preserve"> focus on institutional mechanisms gives little space to examine ideas such as civil society. </w:t>
      </w:r>
      <w:r w:rsidR="005548AC">
        <w:t>A</w:t>
      </w:r>
      <w:r>
        <w:t xml:space="preserve"> famous quote from </w:t>
      </w:r>
      <w:r w:rsidRPr="00930BF5">
        <w:t>Rousseau (</w:t>
      </w:r>
      <w:r w:rsidR="00D97217">
        <w:fldChar w:fldCharType="begin" w:fldLock="1"/>
      </w:r>
      <w:r w:rsidR="00E63CC6">
        <w:instrText>ADDIN CSL_CITATION { "citationItems" : [ { "id" : "ITEM-1", "itemData" : { "author" : [ { "dropping-particle" : "", "family" : "Rousseau", "given" : "Jean Jacques", "non-dropping-particle" : "", "parse-names" : false, "suffix" : "" } ], "id" : "ITEM-1", "issued" : { "date-parts" : [ [ "2010" ] ] }, "publisher" : "Bartleby.com", "publisher-place" : "New York", "title" : "The Social Contract (or) Principles of Political Right", "type" : "book" }, "uris" : [ "http://www.mendeley.com/documents/?uuid=0c55820d-5391-4fb6-98c3-6100c0c41149" ] } ], "mendeley" : { "formattedCitation" : "(Rousseau, 2010)", "manualFormatting" : "2010 [1762]", "plainTextFormattedCitation" : "(Rousseau, 2010)", "previouslyFormattedCitation" : "(Rousseau, 2010)" }, "properties" : { "noteIndex" : 0 }, "schema" : "https://github.com/citation-style-language/schema/raw/master/csl-citation.json" }</w:instrText>
      </w:r>
      <w:r w:rsidR="00D97217">
        <w:fldChar w:fldCharType="separate"/>
      </w:r>
      <w:r w:rsidR="00D97217">
        <w:rPr>
          <w:noProof/>
        </w:rPr>
        <w:t>2010 [1762]</w:t>
      </w:r>
      <w:r w:rsidR="00D97217">
        <w:fldChar w:fldCharType="end"/>
      </w:r>
      <w:r w:rsidR="00D97217">
        <w:t>, Book 3. C</w:t>
      </w:r>
      <w:r w:rsidRPr="00930BF5">
        <w:t>hap</w:t>
      </w:r>
      <w:r w:rsidR="00D97217">
        <w:t>ter 15) put</w:t>
      </w:r>
      <w:r w:rsidRPr="00930BF5">
        <w:t xml:space="preserve"> it most dramatically: </w:t>
      </w:r>
    </w:p>
    <w:p w14:paraId="02D6785E" w14:textId="77777777" w:rsidR="00CF455B" w:rsidRPr="00930BF5" w:rsidRDefault="00CF455B" w:rsidP="00C62010">
      <w:pPr>
        <w:pStyle w:val="Quote"/>
      </w:pPr>
      <w:r w:rsidRPr="00930BF5">
        <w:t>“</w:t>
      </w:r>
      <w:r w:rsidRPr="00930BF5">
        <w:rPr>
          <w:shd w:val="clear" w:color="auto" w:fill="FFFFFF"/>
        </w:rPr>
        <w:t>The people of England regards itself as free; but it is grossly mistaken; it is free only during the election of members of parliament. As soon as they are elected, slavery overtakes it, and it is nothing</w:t>
      </w:r>
      <w:r w:rsidRPr="00930BF5">
        <w:t>.”</w:t>
      </w:r>
    </w:p>
    <w:p w14:paraId="57392FE2" w14:textId="3D72ADBA" w:rsidR="00672BC7" w:rsidRDefault="00CF455B" w:rsidP="000D2F92">
      <w:r w:rsidRPr="00930BF5">
        <w:t>This critique is, in fact, of representative democracy as a whole (as opposed to participatory democracy, see deliberative democracy below)</w:t>
      </w:r>
      <w:r w:rsidR="005548AC">
        <w:t>.</w:t>
      </w:r>
      <w:r w:rsidRPr="00930BF5">
        <w:t xml:space="preserve"> </w:t>
      </w:r>
      <w:r w:rsidR="005548AC">
        <w:t>H</w:t>
      </w:r>
      <w:r w:rsidRPr="00930BF5">
        <w:t xml:space="preserve">owever, it highlights how problematic the minimal and purely electoral approach to democracy </w:t>
      </w:r>
      <w:r>
        <w:t xml:space="preserve">is </w:t>
      </w:r>
      <w:r w:rsidRPr="00930BF5">
        <w:t xml:space="preserve">for anyone who wishes democracy to empower the people, and not simply select elites. </w:t>
      </w:r>
      <w:r>
        <w:t>To understand</w:t>
      </w:r>
      <w:r w:rsidRPr="00930BF5">
        <w:t xml:space="preserve"> democracy</w:t>
      </w:r>
      <w:r>
        <w:t xml:space="preserve"> in any substantive terms</w:t>
      </w:r>
      <w:r w:rsidRPr="00930BF5">
        <w:t xml:space="preserve">, participation is arguably </w:t>
      </w:r>
      <w:r>
        <w:t>crucial</w:t>
      </w:r>
      <w:r w:rsidRPr="00930BF5">
        <w:t xml:space="preserve">, and a wider theory of democracy than the electoral approach is needed </w:t>
      </w:r>
      <w:bookmarkStart w:id="38" w:name="_Toc441069163"/>
      <w:r w:rsidR="00C75C73">
        <w:t>to begin addressing this issue.</w:t>
      </w:r>
    </w:p>
    <w:p w14:paraId="03DDC064" w14:textId="77777777" w:rsidR="00CF455B" w:rsidRPr="00E223A2" w:rsidRDefault="00CF455B" w:rsidP="00E223A2">
      <w:pPr>
        <w:pStyle w:val="Heading3"/>
      </w:pPr>
      <w:r w:rsidRPr="00E223A2">
        <w:t>Polyarchy</w:t>
      </w:r>
      <w:bookmarkEnd w:id="38"/>
    </w:p>
    <w:p w14:paraId="6D2A616A" w14:textId="5787E74A" w:rsidR="00CF455B" w:rsidRPr="00930BF5" w:rsidRDefault="00CF455B" w:rsidP="00C62010">
      <w:r w:rsidRPr="00930BF5">
        <w:t xml:space="preserve">Counteracting Schumpeter’s minimalism, analysis by Dahl </w:t>
      </w:r>
      <w:r w:rsidR="00D51879">
        <w:fldChar w:fldCharType="begin" w:fldLock="1"/>
      </w:r>
      <w:r w:rsidR="00E63CC6">
        <w:instrText>ADDIN CSL_CITATION { "citationItems" : [ { "id" : "ITEM-1", "itemData" : { "author" : [ { "dropping-particle" : "", "family" : "Dahl", "given" : "Robert", "non-dropping-particle" : "", "parse-names" : false, "suffix" : "" } ], "id" : "ITEM-1", "issued" : { "date-parts" : [ [ "1956" ] ] }, "publisher" : "University of Chicago Press", "publisher-place" : "Chicago", "title" : "A Preface to Democratic Theory", "type" : "book" }, "uris" : [ "http://www.mendeley.com/documents/?uuid=592632ec-a89b-40cc-93e5-c53141b61341" ] }, { "id" : "ITEM-2", "itemData" : { "author" : [ { "dropping-particle" : "", "family" : "Dahl", "given" : "Robert", "non-dropping-particle" : "", "parse-names" : false, "suffix" : "" } ], "id" : "ITEM-2", "issued" : { "date-parts" : [ [ "1961" ] ] }, "publisher" : "Yale University Press", "publisher-place" : "Connecticut", "title" : "Who Governs?: Democracy and Power in An American City", "type" : "book" }, "uris" : [ "http://www.mendeley.com/documents/?uuid=6d5356ca-6b3b-434a-889f-f037e6b3ca29" ] }, { "id" : "ITEM-3", "itemData" : { "author" : [ { "dropping-particle" : "", "family" : "Dahl", "given" : "Robert", "non-dropping-particle" : "", "parse-names" : false, "suffix" : "" } ], "id" : "ITEM-3", "issued" : { "date-parts" : [ [ "1989" ] ] }, "publisher" : "Yale University Press", "publisher-place" : "Connecticut", "title" : "Democracy and Its Critics", "type" : "book" }, "uris" : [ "http://www.mendeley.com/documents/?uuid=d00ee7d0-6744-48a1-9ceb-5edb6d15207a" ] } ], "mendeley" : { "formattedCitation" : "(Dahl, 1956, 1961, 1989)", "manualFormatting" : "(1956; 1961; 1989)", "plainTextFormattedCitation" : "(Dahl, 1956, 1961, 1989)", "previouslyFormattedCitation" : "(Dahl, 1956, 1961, 1989)" }, "properties" : { "noteIndex" : 0 }, "schema" : "https://github.com/citation-style-language/schema/raw/master/csl-citation.json" }</w:instrText>
      </w:r>
      <w:r w:rsidR="00D51879">
        <w:fldChar w:fldCharType="separate"/>
      </w:r>
      <w:r w:rsidR="00D51879">
        <w:rPr>
          <w:noProof/>
        </w:rPr>
        <w:t xml:space="preserve">(1956; 1961; </w:t>
      </w:r>
      <w:r w:rsidR="00D51879" w:rsidRPr="00D51879">
        <w:rPr>
          <w:noProof/>
        </w:rPr>
        <w:t>1989)</w:t>
      </w:r>
      <w:r w:rsidR="00D51879">
        <w:fldChar w:fldCharType="end"/>
      </w:r>
      <w:r>
        <w:t>, predominantly</w:t>
      </w:r>
      <w:r w:rsidRPr="00930BF5">
        <w:t xml:space="preserve"> informed by his 1961 study of governance in New Haven, sought to expand and deepen conceptualisations of democracy. </w:t>
      </w:r>
      <w:r>
        <w:t>The</w:t>
      </w:r>
      <w:r w:rsidRPr="00930BF5">
        <w:t xml:space="preserve"> </w:t>
      </w:r>
      <w:r>
        <w:t xml:space="preserve">primary question </w:t>
      </w:r>
      <w:r w:rsidR="005548AC">
        <w:t xml:space="preserve">in </w:t>
      </w:r>
      <w:r w:rsidRPr="00930BF5">
        <w:t>his study was</w:t>
      </w:r>
      <w:r>
        <w:t>:</w:t>
      </w:r>
      <w:r w:rsidRPr="00930BF5">
        <w:t xml:space="preserve"> ‘given the undeniable inequalities in society, who actua</w:t>
      </w:r>
      <w:r>
        <w:t>l</w:t>
      </w:r>
      <w:r w:rsidRPr="00930BF5">
        <w:t>l</w:t>
      </w:r>
      <w:r>
        <w:t>y</w:t>
      </w:r>
      <w:r w:rsidRPr="00930BF5">
        <w:t xml:space="preserve"> governs in a democracy?’</w:t>
      </w:r>
      <w:r w:rsidR="00D51879">
        <w:t xml:space="preserve"> </w:t>
      </w:r>
      <w:r w:rsidR="00D51879">
        <w:fldChar w:fldCharType="begin" w:fldLock="1"/>
      </w:r>
      <w:r w:rsidR="00E63CC6">
        <w:instrText>ADDIN CSL_CITATION { "citationItems" : [ { "id" : "ITEM-1", "itemData" : { "author" : [ { "dropping-particle" : "", "family" : "Dahl", "given" : "Robert", "non-dropping-particle" : "", "parse-names" : false, "suffix" : "" } ], "id" : "ITEM-1", "issued" : { "date-parts" : [ [ "1961" ] ] }, "publisher" : "Yale University Press", "publisher-place" : "Connecticut", "title" : "Who Governs?: Democracy and Power in An American City", "type" : "book" }, "locator" : "4-5", "uris" : [ "http://www.mendeley.com/documents/?uuid=6d5356ca-6b3b-434a-889f-f037e6b3ca29" ] } ], "mendeley" : { "formattedCitation" : "(Dahl, 1961, pp. 4\u20135)", "plainTextFormattedCitation" : "(Dahl, 1961, pp. 4\u20135)", "previouslyFormattedCitation" : "(Dahl, 1961, pp. 4\u20135)" }, "properties" : { "noteIndex" : 0 }, "schema" : "https://github.com/citation-style-language/schema/raw/master/csl-citation.json" }</w:instrText>
      </w:r>
      <w:r w:rsidR="00D51879">
        <w:fldChar w:fldCharType="separate"/>
      </w:r>
      <w:r w:rsidR="00E63CC6" w:rsidRPr="00E63CC6">
        <w:rPr>
          <w:noProof/>
        </w:rPr>
        <w:t>(Dahl, 1961, pp. 4–5)</w:t>
      </w:r>
      <w:r w:rsidR="00D51879">
        <w:fldChar w:fldCharType="end"/>
      </w:r>
      <w:r w:rsidR="00D51879">
        <w:t>.</w:t>
      </w:r>
      <w:r w:rsidRPr="00930BF5">
        <w:t xml:space="preserve"> Dahl argues that democracy is an unobtainable ideal, and that the idea of </w:t>
      </w:r>
      <w:r w:rsidRPr="00930BF5">
        <w:rPr>
          <w:i/>
        </w:rPr>
        <w:t>polyarchy</w:t>
      </w:r>
      <w:r w:rsidRPr="00930BF5">
        <w:t xml:space="preserve"> is more useful for looking at systems of governance. With this idea, the government was not a closed and self-sufficient institution, but actually mediated between other powerful and vested interests. There are numerous centres of political power at play. The notion of polyarchy then has two broad dimensions</w:t>
      </w:r>
      <w:r w:rsidR="005548AC">
        <w:t>.</w:t>
      </w:r>
      <w:r w:rsidRPr="00930BF5">
        <w:t xml:space="preserve"> </w:t>
      </w:r>
      <w:r w:rsidR="005548AC">
        <w:t>T</w:t>
      </w:r>
      <w:r w:rsidRPr="00930BF5">
        <w:t>he first is the same as Schumpeter</w:t>
      </w:r>
      <w:r w:rsidR="005548AC">
        <w:t>’s core concept of democracy</w:t>
      </w:r>
      <w:r w:rsidRPr="00930BF5">
        <w:t>: contestation. However</w:t>
      </w:r>
      <w:r w:rsidR="00C75C73">
        <w:t>,</w:t>
      </w:r>
      <w:r w:rsidRPr="00930BF5">
        <w:t xml:space="preserve"> the second is considerably overlooked in</w:t>
      </w:r>
      <w:r>
        <w:t xml:space="preserve"> Schumpeter’s approach:</w:t>
      </w:r>
      <w:r w:rsidRPr="00930BF5">
        <w:t xml:space="preserve"> participation.</w:t>
      </w:r>
    </w:p>
    <w:p w14:paraId="46BE0048" w14:textId="6646C46D" w:rsidR="000D2F92" w:rsidRDefault="00CF455B" w:rsidP="000D2F92">
      <w:r w:rsidRPr="00930BF5">
        <w:t xml:space="preserve">As a system, Dahl argued that the criteria for a polyarchy includes voting equality, effective participation, enlightened understanding, control of the agenda and inclusion </w:t>
      </w:r>
      <w:r w:rsidR="00D51879">
        <w:fldChar w:fldCharType="begin" w:fldLock="1"/>
      </w:r>
      <w:r w:rsidR="00E63CC6">
        <w:instrText>ADDIN CSL_CITATION { "citationItems" : [ { "id" : "ITEM-1", "itemData" : { "author" : [ { "dropping-particle" : "", "family" : "Dahl", "given" : "Robert", "non-dropping-particle" : "", "parse-names" : false, "suffix" : "" } ], "id" : "ITEM-1", "issued" : { "date-parts" : [ [ "1989" ] ] }, "publisher" : "Yale University Press", "publisher-place" : "Connecticut", "title" : "Democracy and Its Critics", "type" : "book" }, "locator" : "222", "uris" : [ "http://www.mendeley.com/documents/?uuid=d00ee7d0-6744-48a1-9ceb-5edb6d15207a" ] } ], "mendeley" : { "formattedCitation" : "(Dahl, 1989, p. 222)", "plainTextFormattedCitation" : "(Dahl, 1989, p. 222)", "previouslyFormattedCitation" : "(Dahl, 1989, p. 222)" }, "properties" : { "noteIndex" : 0 }, "schema" : "https://github.com/citation-style-language/schema/raw/master/csl-citation.json" }</w:instrText>
      </w:r>
      <w:r w:rsidR="00D51879">
        <w:fldChar w:fldCharType="separate"/>
      </w:r>
      <w:r w:rsidR="00E63CC6" w:rsidRPr="00E63CC6">
        <w:rPr>
          <w:noProof/>
        </w:rPr>
        <w:t>(Dahl, 1989, p. 222)</w:t>
      </w:r>
      <w:r w:rsidR="00D51879">
        <w:fldChar w:fldCharType="end"/>
      </w:r>
      <w:r w:rsidRPr="00930BF5">
        <w:t xml:space="preserve">. Importantly for Dahl, these criteria were strongly linked to seven institutional mechanisms, as outlined in </w:t>
      </w:r>
      <w:r w:rsidR="0052133F">
        <w:t>Figure 2.1</w:t>
      </w:r>
      <w:r w:rsidRPr="00930BF5">
        <w:t>.</w:t>
      </w:r>
      <w:r w:rsidR="000D2F92" w:rsidRPr="000D2F92">
        <w:t xml:space="preserve"> </w:t>
      </w:r>
    </w:p>
    <w:p w14:paraId="61E64300" w14:textId="49633695" w:rsidR="00C75C73" w:rsidRDefault="000D2F92" w:rsidP="00C62010">
      <w:r w:rsidRPr="00930BF5">
        <w:t>It is clear that the citizen, and their participation, is much more important in Dahl’s notion of polyarchy</w:t>
      </w:r>
      <w:r>
        <w:t xml:space="preserve"> than in</w:t>
      </w:r>
      <w:r w:rsidRPr="00930BF5">
        <w:t xml:space="preserve"> Schumpeter’s electoral democracy. </w:t>
      </w:r>
      <w:r>
        <w:t>C</w:t>
      </w:r>
      <w:r w:rsidRPr="00930BF5">
        <w:t>itizen</w:t>
      </w:r>
      <w:r>
        <w:t>s</w:t>
      </w:r>
      <w:r w:rsidRPr="00930BF5">
        <w:t xml:space="preserve"> must have access to information that is not state-sanctioned, they must have freedom of expression, and they must be able to join association groups – the bedrock of civil society – without intrusion by the state. Furthermore, the ability to vote must be free, fair, equal</w:t>
      </w:r>
      <w:r w:rsidR="00C75C73">
        <w:t>,</w:t>
      </w:r>
      <w:r w:rsidRPr="00930BF5">
        <w:t xml:space="preserve"> and available to all. </w:t>
      </w:r>
    </w:p>
    <w:p w14:paraId="0DE81C57" w14:textId="70BB70E0" w:rsidR="00CF455B" w:rsidRDefault="000D2F92" w:rsidP="00C62010">
      <w:r w:rsidRPr="00930BF5">
        <w:t>These detail</w:t>
      </w:r>
      <w:r>
        <w:t>ed</w:t>
      </w:r>
      <w:r w:rsidRPr="00930BF5">
        <w:t xml:space="preserve"> criteria allowed modern polities to be differentiated from precursor systems of democratic governance such as that practiced in ancient Athens, or even 19</w:t>
      </w:r>
      <w:r w:rsidRPr="00930BF5">
        <w:rPr>
          <w:vertAlign w:val="superscript"/>
        </w:rPr>
        <w:t>th</w:t>
      </w:r>
      <w:r w:rsidRPr="00930BF5">
        <w:t xml:space="preserve"> century Britain. This shows a much more considerable rebalancing of power away from elites and towards the people: although by no means is thi</w:t>
      </w:r>
      <w:r>
        <w:t>s a full swing of the pendulum.</w:t>
      </w:r>
    </w:p>
    <w:p w14:paraId="04D42AC7" w14:textId="77777777" w:rsidR="000D2F92" w:rsidRDefault="000D2F92" w:rsidP="00C62010"/>
    <w:p w14:paraId="5A79CA9D" w14:textId="77777777" w:rsidR="000D2F92" w:rsidRDefault="000D2F92" w:rsidP="00C62010"/>
    <w:p w14:paraId="0D5EDD54" w14:textId="77777777" w:rsidR="000D2F92" w:rsidRDefault="000D2F92" w:rsidP="00C62010"/>
    <w:p w14:paraId="0B5D8F66" w14:textId="77777777" w:rsidR="000D2F92" w:rsidRDefault="000D2F92" w:rsidP="00C62010"/>
    <w:p w14:paraId="1F52F228" w14:textId="717BA57D" w:rsidR="000D2F92" w:rsidRDefault="000D2F92" w:rsidP="00C62010"/>
    <w:p w14:paraId="2F88AE1D" w14:textId="7996F3EA" w:rsidR="00C75C73" w:rsidRDefault="00C75C73" w:rsidP="00C62010"/>
    <w:p w14:paraId="2F184854" w14:textId="4FF91394" w:rsidR="00C75C73" w:rsidRDefault="00C75C73" w:rsidP="00C62010"/>
    <w:p w14:paraId="2170FB0C" w14:textId="008B9941" w:rsidR="00C75C73" w:rsidRDefault="00C75C73" w:rsidP="00C62010"/>
    <w:p w14:paraId="74EDF36E" w14:textId="61A86B64" w:rsidR="00C62010" w:rsidRPr="00994662" w:rsidRDefault="00722D2E" w:rsidP="00D51879">
      <w:pPr>
        <w:pStyle w:val="Caption"/>
        <w:rPr>
          <w:rFonts w:ascii="Segoe UI" w:hAnsi="Segoe UI" w:cs="Segoe UI"/>
          <w:i w:val="0"/>
        </w:rPr>
      </w:pPr>
      <w:bookmarkStart w:id="39" w:name="_Toc494687134"/>
      <w:r w:rsidRPr="00994662">
        <w:rPr>
          <w:rFonts w:ascii="Segoe UI" w:hAnsi="Segoe UI" w:cs="Segoe UI"/>
          <w:i w:val="0"/>
        </w:rPr>
        <w:t xml:space="preserve">Figure </w:t>
      </w:r>
      <w:r w:rsidR="00994662" w:rsidRPr="00994662">
        <w:rPr>
          <w:rFonts w:ascii="Segoe UI" w:hAnsi="Segoe UI" w:cs="Segoe UI"/>
          <w:i w:val="0"/>
        </w:rPr>
        <w:fldChar w:fldCharType="begin"/>
      </w:r>
      <w:r w:rsidR="00994662" w:rsidRPr="00994662">
        <w:rPr>
          <w:rFonts w:ascii="Segoe UI" w:hAnsi="Segoe UI" w:cs="Segoe UI"/>
          <w:i w:val="0"/>
        </w:rPr>
        <w:instrText xml:space="preserve"> STYLEREF 1 \s </w:instrText>
      </w:r>
      <w:r w:rsidR="00994662" w:rsidRPr="00994662">
        <w:rPr>
          <w:rFonts w:ascii="Segoe UI" w:hAnsi="Segoe UI" w:cs="Segoe UI"/>
          <w:i w:val="0"/>
        </w:rPr>
        <w:fldChar w:fldCharType="separate"/>
      </w:r>
      <w:r w:rsidR="00306E67" w:rsidRPr="00994662">
        <w:rPr>
          <w:rFonts w:ascii="Segoe UI" w:hAnsi="Segoe UI" w:cs="Segoe UI"/>
          <w:i w:val="0"/>
          <w:noProof/>
        </w:rPr>
        <w:t>2</w:t>
      </w:r>
      <w:r w:rsidR="00994662" w:rsidRPr="00994662">
        <w:rPr>
          <w:rFonts w:ascii="Segoe UI" w:hAnsi="Segoe UI" w:cs="Segoe UI"/>
          <w:i w:val="0"/>
          <w:noProof/>
        </w:rPr>
        <w:fldChar w:fldCharType="end"/>
      </w:r>
      <w:r w:rsidR="00D9151E" w:rsidRPr="00994662">
        <w:rPr>
          <w:rFonts w:ascii="Segoe UI" w:hAnsi="Segoe UI" w:cs="Segoe UI"/>
          <w:i w:val="0"/>
        </w:rPr>
        <w:t>:</w:t>
      </w:r>
      <w:r w:rsidR="00994662" w:rsidRPr="00994662">
        <w:rPr>
          <w:rFonts w:ascii="Segoe UI" w:hAnsi="Segoe UI" w:cs="Segoe UI"/>
          <w:i w:val="0"/>
        </w:rPr>
        <w:fldChar w:fldCharType="begin"/>
      </w:r>
      <w:r w:rsidR="00994662" w:rsidRPr="00994662">
        <w:rPr>
          <w:rFonts w:ascii="Segoe UI" w:hAnsi="Segoe UI" w:cs="Segoe UI"/>
          <w:i w:val="0"/>
        </w:rPr>
        <w:instrText xml:space="preserve"> SEQ Figure \* ARABIC \s 1 </w:instrText>
      </w:r>
      <w:r w:rsidR="00994662" w:rsidRPr="00994662">
        <w:rPr>
          <w:rFonts w:ascii="Segoe UI" w:hAnsi="Segoe UI" w:cs="Segoe UI"/>
          <w:i w:val="0"/>
        </w:rPr>
        <w:fldChar w:fldCharType="separate"/>
      </w:r>
      <w:r w:rsidR="00306E67" w:rsidRPr="00994662">
        <w:rPr>
          <w:rFonts w:ascii="Segoe UI" w:hAnsi="Segoe UI" w:cs="Segoe UI"/>
          <w:i w:val="0"/>
          <w:noProof/>
        </w:rPr>
        <w:t>1</w:t>
      </w:r>
      <w:r w:rsidR="00994662" w:rsidRPr="00994662">
        <w:rPr>
          <w:rFonts w:ascii="Segoe UI" w:hAnsi="Segoe UI" w:cs="Segoe UI"/>
          <w:i w:val="0"/>
          <w:noProof/>
        </w:rPr>
        <w:fldChar w:fldCharType="end"/>
      </w:r>
      <w:r w:rsidRPr="00994662">
        <w:rPr>
          <w:rFonts w:ascii="Segoe UI" w:hAnsi="Segoe UI" w:cs="Segoe UI"/>
          <w:i w:val="0"/>
        </w:rPr>
        <w:t xml:space="preserve"> </w:t>
      </w:r>
      <w:r w:rsidR="00994662">
        <w:rPr>
          <w:rFonts w:ascii="Segoe UI" w:hAnsi="Segoe UI" w:cs="Segoe UI"/>
          <w:i w:val="0"/>
        </w:rPr>
        <w:t>The role played by institutions as understood in the theory of p</w:t>
      </w:r>
      <w:r w:rsidRPr="00994662">
        <w:rPr>
          <w:rFonts w:ascii="Segoe UI" w:hAnsi="Segoe UI" w:cs="Segoe UI"/>
          <w:i w:val="0"/>
        </w:rPr>
        <w:t>olyarchy (from Dahl 1989, p.222)</w:t>
      </w:r>
      <w:bookmarkEnd w:id="39"/>
    </w:p>
    <w:p w14:paraId="591877BC" w14:textId="77777777" w:rsidR="00C75C73" w:rsidRPr="00C75C73" w:rsidRDefault="00C75C73" w:rsidP="00C75C73"/>
    <w:tbl>
      <w:tblPr>
        <w:tblW w:w="0" w:type="auto"/>
        <w:tblLook w:val="04A0" w:firstRow="1" w:lastRow="0" w:firstColumn="1" w:lastColumn="0" w:noHBand="0" w:noVBand="1"/>
      </w:tblPr>
      <w:tblGrid>
        <w:gridCol w:w="4333"/>
        <w:gridCol w:w="4336"/>
      </w:tblGrid>
      <w:tr w:rsidR="00CF455B" w:rsidRPr="00D51879" w14:paraId="4B89C451" w14:textId="77777777" w:rsidTr="008814DE">
        <w:tc>
          <w:tcPr>
            <w:tcW w:w="4508" w:type="dxa"/>
            <w:tcBorders>
              <w:bottom w:val="single" w:sz="4" w:space="0" w:color="auto"/>
            </w:tcBorders>
          </w:tcPr>
          <w:p w14:paraId="67A0C4CF" w14:textId="77777777" w:rsidR="00CF455B" w:rsidRPr="00D51879" w:rsidRDefault="00CF455B" w:rsidP="00D51879">
            <w:pPr>
              <w:spacing w:before="0" w:line="240" w:lineRule="auto"/>
              <w:rPr>
                <w:b/>
                <w:sz w:val="20"/>
                <w:szCs w:val="20"/>
              </w:rPr>
            </w:pPr>
            <w:r w:rsidRPr="00D51879">
              <w:rPr>
                <w:b/>
                <w:sz w:val="20"/>
                <w:szCs w:val="20"/>
              </w:rPr>
              <w:t>The following institutions…</w:t>
            </w:r>
          </w:p>
        </w:tc>
        <w:tc>
          <w:tcPr>
            <w:tcW w:w="4508" w:type="dxa"/>
            <w:tcBorders>
              <w:bottom w:val="single" w:sz="4" w:space="0" w:color="auto"/>
            </w:tcBorders>
          </w:tcPr>
          <w:p w14:paraId="1DAB3129" w14:textId="77777777" w:rsidR="00CF455B" w:rsidRPr="00D51879" w:rsidRDefault="00CF455B" w:rsidP="00D51879">
            <w:pPr>
              <w:spacing w:before="0" w:line="240" w:lineRule="auto"/>
              <w:rPr>
                <w:b/>
                <w:sz w:val="20"/>
                <w:szCs w:val="20"/>
              </w:rPr>
            </w:pPr>
            <w:r w:rsidRPr="00D51879">
              <w:rPr>
                <w:b/>
                <w:sz w:val="20"/>
                <w:szCs w:val="20"/>
              </w:rPr>
              <w:t>Are necessary to satisfy the following criteria…</w:t>
            </w:r>
          </w:p>
        </w:tc>
      </w:tr>
      <w:tr w:rsidR="00CF455B" w:rsidRPr="00D51879" w14:paraId="6C7A1258" w14:textId="77777777" w:rsidTr="008814DE">
        <w:tc>
          <w:tcPr>
            <w:tcW w:w="4508" w:type="dxa"/>
            <w:tcBorders>
              <w:top w:val="single" w:sz="4" w:space="0" w:color="auto"/>
            </w:tcBorders>
          </w:tcPr>
          <w:p w14:paraId="7F3D29C5" w14:textId="77777777" w:rsidR="00CF455B" w:rsidRPr="00D51879" w:rsidRDefault="00CF455B" w:rsidP="00D51879">
            <w:pPr>
              <w:spacing w:before="0" w:line="240" w:lineRule="auto"/>
              <w:rPr>
                <w:sz w:val="20"/>
                <w:szCs w:val="20"/>
              </w:rPr>
            </w:pPr>
            <w:r w:rsidRPr="00D51879">
              <w:rPr>
                <w:sz w:val="20"/>
                <w:szCs w:val="20"/>
              </w:rPr>
              <w:t>1. Elected officials</w:t>
            </w:r>
          </w:p>
        </w:tc>
        <w:tc>
          <w:tcPr>
            <w:tcW w:w="4508" w:type="dxa"/>
            <w:tcBorders>
              <w:top w:val="single" w:sz="4" w:space="0" w:color="auto"/>
            </w:tcBorders>
          </w:tcPr>
          <w:p w14:paraId="68785C4E" w14:textId="77777777" w:rsidR="00CF455B" w:rsidRPr="00D51879" w:rsidRDefault="00CF455B" w:rsidP="00D51879">
            <w:pPr>
              <w:spacing w:before="0" w:line="240" w:lineRule="auto"/>
              <w:rPr>
                <w:sz w:val="20"/>
                <w:szCs w:val="20"/>
              </w:rPr>
            </w:pPr>
          </w:p>
        </w:tc>
      </w:tr>
      <w:tr w:rsidR="00CF455B" w:rsidRPr="00D51879" w14:paraId="1814BE77" w14:textId="77777777" w:rsidTr="008814DE">
        <w:tc>
          <w:tcPr>
            <w:tcW w:w="4508" w:type="dxa"/>
          </w:tcPr>
          <w:p w14:paraId="221EBD65" w14:textId="77777777" w:rsidR="00CF455B" w:rsidRPr="00D51879" w:rsidRDefault="00CF455B" w:rsidP="00D51879">
            <w:pPr>
              <w:spacing w:before="0" w:line="240" w:lineRule="auto"/>
              <w:rPr>
                <w:sz w:val="20"/>
                <w:szCs w:val="20"/>
              </w:rPr>
            </w:pPr>
            <w:r w:rsidRPr="00D51879">
              <w:rPr>
                <w:sz w:val="20"/>
                <w:szCs w:val="20"/>
              </w:rPr>
              <w:t>2. Free and fair elections</w:t>
            </w:r>
          </w:p>
        </w:tc>
        <w:tc>
          <w:tcPr>
            <w:tcW w:w="4508" w:type="dxa"/>
          </w:tcPr>
          <w:p w14:paraId="10549640" w14:textId="77777777" w:rsidR="00CF455B" w:rsidRPr="00D51879" w:rsidRDefault="00CF455B" w:rsidP="00D51879">
            <w:pPr>
              <w:spacing w:before="0" w:line="240" w:lineRule="auto"/>
              <w:rPr>
                <w:sz w:val="20"/>
                <w:szCs w:val="20"/>
              </w:rPr>
            </w:pPr>
            <w:r w:rsidRPr="00D51879">
              <w:rPr>
                <w:sz w:val="20"/>
                <w:szCs w:val="20"/>
              </w:rPr>
              <w:t>I. Voting equality</w:t>
            </w:r>
          </w:p>
        </w:tc>
      </w:tr>
      <w:tr w:rsidR="00CF455B" w:rsidRPr="00D51879" w14:paraId="70DD8B74" w14:textId="77777777" w:rsidTr="008814DE">
        <w:tc>
          <w:tcPr>
            <w:tcW w:w="4508" w:type="dxa"/>
          </w:tcPr>
          <w:p w14:paraId="6EDB8AF5" w14:textId="77777777" w:rsidR="00CF455B" w:rsidRPr="00D51879" w:rsidRDefault="00CF455B" w:rsidP="00D51879">
            <w:pPr>
              <w:spacing w:before="0" w:line="240" w:lineRule="auto"/>
              <w:rPr>
                <w:sz w:val="20"/>
                <w:szCs w:val="20"/>
              </w:rPr>
            </w:pPr>
          </w:p>
        </w:tc>
        <w:tc>
          <w:tcPr>
            <w:tcW w:w="4508" w:type="dxa"/>
          </w:tcPr>
          <w:p w14:paraId="776ECDE4" w14:textId="77777777" w:rsidR="00CF455B" w:rsidRPr="00D51879" w:rsidRDefault="00CF455B" w:rsidP="00D51879">
            <w:pPr>
              <w:spacing w:before="0" w:line="240" w:lineRule="auto"/>
              <w:rPr>
                <w:sz w:val="20"/>
                <w:szCs w:val="20"/>
              </w:rPr>
            </w:pPr>
          </w:p>
        </w:tc>
      </w:tr>
      <w:tr w:rsidR="00CF455B" w:rsidRPr="00D51879" w14:paraId="79C23715" w14:textId="77777777" w:rsidTr="00505A0B">
        <w:tc>
          <w:tcPr>
            <w:tcW w:w="4508" w:type="dxa"/>
            <w:shd w:val="clear" w:color="auto" w:fill="F2F2F2" w:themeFill="background1" w:themeFillShade="F2"/>
          </w:tcPr>
          <w:p w14:paraId="7E3BC312" w14:textId="77777777" w:rsidR="00CF455B" w:rsidRPr="00D51879" w:rsidRDefault="00CF455B" w:rsidP="00D51879">
            <w:pPr>
              <w:spacing w:before="0" w:line="240" w:lineRule="auto"/>
              <w:rPr>
                <w:sz w:val="20"/>
                <w:szCs w:val="20"/>
              </w:rPr>
            </w:pPr>
            <w:r w:rsidRPr="00D51879">
              <w:rPr>
                <w:sz w:val="20"/>
                <w:szCs w:val="20"/>
              </w:rPr>
              <w:t>1. Elected officials</w:t>
            </w:r>
          </w:p>
        </w:tc>
        <w:tc>
          <w:tcPr>
            <w:tcW w:w="4508" w:type="dxa"/>
            <w:shd w:val="clear" w:color="auto" w:fill="F2F2F2" w:themeFill="background1" w:themeFillShade="F2"/>
          </w:tcPr>
          <w:p w14:paraId="55B772F6" w14:textId="77777777" w:rsidR="00CF455B" w:rsidRPr="00D51879" w:rsidRDefault="00CF455B" w:rsidP="00D51879">
            <w:pPr>
              <w:spacing w:before="0" w:line="240" w:lineRule="auto"/>
              <w:rPr>
                <w:sz w:val="20"/>
                <w:szCs w:val="20"/>
              </w:rPr>
            </w:pPr>
          </w:p>
        </w:tc>
      </w:tr>
      <w:tr w:rsidR="00CF455B" w:rsidRPr="00D51879" w14:paraId="7EA98495" w14:textId="77777777" w:rsidTr="00505A0B">
        <w:tc>
          <w:tcPr>
            <w:tcW w:w="4508" w:type="dxa"/>
            <w:shd w:val="clear" w:color="auto" w:fill="F2F2F2" w:themeFill="background1" w:themeFillShade="F2"/>
          </w:tcPr>
          <w:p w14:paraId="2AC81A2A" w14:textId="77777777" w:rsidR="00CF455B" w:rsidRPr="00D51879" w:rsidRDefault="00CF455B" w:rsidP="00D51879">
            <w:pPr>
              <w:spacing w:before="0" w:line="240" w:lineRule="auto"/>
              <w:rPr>
                <w:sz w:val="20"/>
                <w:szCs w:val="20"/>
              </w:rPr>
            </w:pPr>
            <w:r w:rsidRPr="00D51879">
              <w:rPr>
                <w:sz w:val="20"/>
                <w:szCs w:val="20"/>
              </w:rPr>
              <w:t xml:space="preserve">3. Inclusive suffrage  </w:t>
            </w:r>
          </w:p>
        </w:tc>
        <w:tc>
          <w:tcPr>
            <w:tcW w:w="4508" w:type="dxa"/>
            <w:shd w:val="clear" w:color="auto" w:fill="F2F2F2" w:themeFill="background1" w:themeFillShade="F2"/>
          </w:tcPr>
          <w:p w14:paraId="59A088B6" w14:textId="77777777" w:rsidR="00CF455B" w:rsidRPr="00D51879" w:rsidRDefault="00CF455B" w:rsidP="00D51879">
            <w:pPr>
              <w:spacing w:before="0" w:line="240" w:lineRule="auto"/>
              <w:rPr>
                <w:sz w:val="20"/>
                <w:szCs w:val="20"/>
              </w:rPr>
            </w:pPr>
          </w:p>
        </w:tc>
      </w:tr>
      <w:tr w:rsidR="00CF455B" w:rsidRPr="00D51879" w14:paraId="383C1222" w14:textId="77777777" w:rsidTr="00505A0B">
        <w:tc>
          <w:tcPr>
            <w:tcW w:w="4508" w:type="dxa"/>
            <w:shd w:val="clear" w:color="auto" w:fill="F2F2F2" w:themeFill="background1" w:themeFillShade="F2"/>
          </w:tcPr>
          <w:p w14:paraId="4850397F" w14:textId="77777777" w:rsidR="00CF455B" w:rsidRPr="00D51879" w:rsidRDefault="00CF455B" w:rsidP="00D51879">
            <w:pPr>
              <w:spacing w:before="0" w:line="240" w:lineRule="auto"/>
              <w:rPr>
                <w:sz w:val="20"/>
                <w:szCs w:val="20"/>
              </w:rPr>
            </w:pPr>
            <w:r w:rsidRPr="00D51879">
              <w:rPr>
                <w:sz w:val="20"/>
                <w:szCs w:val="20"/>
              </w:rPr>
              <w:t>4. Right to run for office</w:t>
            </w:r>
          </w:p>
        </w:tc>
        <w:tc>
          <w:tcPr>
            <w:tcW w:w="4508" w:type="dxa"/>
            <w:shd w:val="clear" w:color="auto" w:fill="F2F2F2" w:themeFill="background1" w:themeFillShade="F2"/>
          </w:tcPr>
          <w:p w14:paraId="48BA903B" w14:textId="77777777" w:rsidR="00CF455B" w:rsidRPr="00D51879" w:rsidRDefault="00CF455B" w:rsidP="00D51879">
            <w:pPr>
              <w:spacing w:before="0" w:line="240" w:lineRule="auto"/>
              <w:rPr>
                <w:sz w:val="20"/>
                <w:szCs w:val="20"/>
              </w:rPr>
            </w:pPr>
          </w:p>
        </w:tc>
      </w:tr>
      <w:tr w:rsidR="00CF455B" w:rsidRPr="00D51879" w14:paraId="0B1C6FBE" w14:textId="77777777" w:rsidTr="00505A0B">
        <w:tc>
          <w:tcPr>
            <w:tcW w:w="4508" w:type="dxa"/>
            <w:shd w:val="clear" w:color="auto" w:fill="F2F2F2" w:themeFill="background1" w:themeFillShade="F2"/>
          </w:tcPr>
          <w:p w14:paraId="73906F00" w14:textId="77777777" w:rsidR="00CF455B" w:rsidRPr="00D51879" w:rsidRDefault="00CF455B" w:rsidP="00D51879">
            <w:pPr>
              <w:spacing w:before="0" w:line="240" w:lineRule="auto"/>
              <w:rPr>
                <w:sz w:val="20"/>
                <w:szCs w:val="20"/>
              </w:rPr>
            </w:pPr>
            <w:r w:rsidRPr="00D51879">
              <w:rPr>
                <w:sz w:val="20"/>
                <w:szCs w:val="20"/>
              </w:rPr>
              <w:t>5. Freedom of expression</w:t>
            </w:r>
          </w:p>
        </w:tc>
        <w:tc>
          <w:tcPr>
            <w:tcW w:w="4508" w:type="dxa"/>
            <w:shd w:val="clear" w:color="auto" w:fill="F2F2F2" w:themeFill="background1" w:themeFillShade="F2"/>
          </w:tcPr>
          <w:p w14:paraId="06FF4C3D" w14:textId="77777777" w:rsidR="00CF455B" w:rsidRPr="00D51879" w:rsidRDefault="00CF455B" w:rsidP="00D51879">
            <w:pPr>
              <w:spacing w:before="0" w:line="240" w:lineRule="auto"/>
              <w:rPr>
                <w:sz w:val="20"/>
                <w:szCs w:val="20"/>
              </w:rPr>
            </w:pPr>
          </w:p>
        </w:tc>
      </w:tr>
      <w:tr w:rsidR="00CF455B" w:rsidRPr="00D51879" w14:paraId="0FEB8B3E" w14:textId="77777777" w:rsidTr="00505A0B">
        <w:tc>
          <w:tcPr>
            <w:tcW w:w="4508" w:type="dxa"/>
            <w:shd w:val="clear" w:color="auto" w:fill="F2F2F2" w:themeFill="background1" w:themeFillShade="F2"/>
          </w:tcPr>
          <w:p w14:paraId="5CF78C9C" w14:textId="77777777" w:rsidR="00CF455B" w:rsidRPr="00D51879" w:rsidRDefault="00CF455B" w:rsidP="00D51879">
            <w:pPr>
              <w:spacing w:before="0" w:line="240" w:lineRule="auto"/>
              <w:rPr>
                <w:sz w:val="20"/>
                <w:szCs w:val="20"/>
              </w:rPr>
            </w:pPr>
            <w:r w:rsidRPr="00D51879">
              <w:rPr>
                <w:sz w:val="20"/>
                <w:szCs w:val="20"/>
              </w:rPr>
              <w:t>6. Alternative information</w:t>
            </w:r>
          </w:p>
        </w:tc>
        <w:tc>
          <w:tcPr>
            <w:tcW w:w="4508" w:type="dxa"/>
            <w:shd w:val="clear" w:color="auto" w:fill="F2F2F2" w:themeFill="background1" w:themeFillShade="F2"/>
          </w:tcPr>
          <w:p w14:paraId="1FDA2C8B" w14:textId="77777777" w:rsidR="00CF455B" w:rsidRPr="00D51879" w:rsidRDefault="00CF455B" w:rsidP="00D51879">
            <w:pPr>
              <w:spacing w:before="0" w:line="240" w:lineRule="auto"/>
              <w:rPr>
                <w:sz w:val="20"/>
                <w:szCs w:val="20"/>
              </w:rPr>
            </w:pPr>
          </w:p>
        </w:tc>
      </w:tr>
      <w:tr w:rsidR="00CF455B" w:rsidRPr="00D51879" w14:paraId="5706BB21" w14:textId="77777777" w:rsidTr="00505A0B">
        <w:tc>
          <w:tcPr>
            <w:tcW w:w="4508" w:type="dxa"/>
            <w:shd w:val="clear" w:color="auto" w:fill="F2F2F2" w:themeFill="background1" w:themeFillShade="F2"/>
          </w:tcPr>
          <w:p w14:paraId="5A498C95" w14:textId="77777777" w:rsidR="00CF455B" w:rsidRPr="00D51879" w:rsidRDefault="00CF455B" w:rsidP="00D51879">
            <w:pPr>
              <w:spacing w:before="0" w:line="240" w:lineRule="auto"/>
              <w:rPr>
                <w:sz w:val="20"/>
                <w:szCs w:val="20"/>
              </w:rPr>
            </w:pPr>
            <w:r w:rsidRPr="00D51879">
              <w:rPr>
                <w:sz w:val="20"/>
                <w:szCs w:val="20"/>
              </w:rPr>
              <w:t>7. Associational autonomy</w:t>
            </w:r>
          </w:p>
        </w:tc>
        <w:tc>
          <w:tcPr>
            <w:tcW w:w="4508" w:type="dxa"/>
            <w:shd w:val="clear" w:color="auto" w:fill="F2F2F2" w:themeFill="background1" w:themeFillShade="F2"/>
          </w:tcPr>
          <w:p w14:paraId="52A31FC5" w14:textId="77777777" w:rsidR="00CF455B" w:rsidRPr="00D51879" w:rsidRDefault="00CF455B" w:rsidP="00D51879">
            <w:pPr>
              <w:spacing w:before="0" w:line="240" w:lineRule="auto"/>
              <w:rPr>
                <w:sz w:val="20"/>
                <w:szCs w:val="20"/>
              </w:rPr>
            </w:pPr>
            <w:r w:rsidRPr="00D51879">
              <w:rPr>
                <w:sz w:val="20"/>
                <w:szCs w:val="20"/>
              </w:rPr>
              <w:t>II. Effective participation</w:t>
            </w:r>
          </w:p>
        </w:tc>
      </w:tr>
      <w:tr w:rsidR="00CF455B" w:rsidRPr="00D51879" w14:paraId="34470A8C" w14:textId="77777777" w:rsidTr="00505A0B">
        <w:tc>
          <w:tcPr>
            <w:tcW w:w="4508" w:type="dxa"/>
            <w:shd w:val="clear" w:color="auto" w:fill="F2F2F2" w:themeFill="background1" w:themeFillShade="F2"/>
          </w:tcPr>
          <w:p w14:paraId="3845D6C7" w14:textId="77777777" w:rsidR="00CF455B" w:rsidRPr="00D51879" w:rsidRDefault="00CF455B" w:rsidP="00D51879">
            <w:pPr>
              <w:spacing w:before="0" w:line="240" w:lineRule="auto"/>
              <w:rPr>
                <w:sz w:val="20"/>
                <w:szCs w:val="20"/>
              </w:rPr>
            </w:pPr>
          </w:p>
        </w:tc>
        <w:tc>
          <w:tcPr>
            <w:tcW w:w="4508" w:type="dxa"/>
            <w:shd w:val="clear" w:color="auto" w:fill="F2F2F2" w:themeFill="background1" w:themeFillShade="F2"/>
          </w:tcPr>
          <w:p w14:paraId="6A4D5872" w14:textId="77777777" w:rsidR="00CF455B" w:rsidRPr="00D51879" w:rsidRDefault="00CF455B" w:rsidP="00D51879">
            <w:pPr>
              <w:spacing w:before="0" w:line="240" w:lineRule="auto"/>
              <w:rPr>
                <w:sz w:val="20"/>
                <w:szCs w:val="20"/>
              </w:rPr>
            </w:pPr>
          </w:p>
        </w:tc>
      </w:tr>
      <w:tr w:rsidR="00CF455B" w:rsidRPr="00D51879" w14:paraId="7835175F" w14:textId="77777777" w:rsidTr="008814DE">
        <w:tc>
          <w:tcPr>
            <w:tcW w:w="4508" w:type="dxa"/>
          </w:tcPr>
          <w:p w14:paraId="246C5D60" w14:textId="77777777" w:rsidR="00CF455B" w:rsidRPr="00D51879" w:rsidRDefault="00CF455B" w:rsidP="00D51879">
            <w:pPr>
              <w:spacing w:before="0" w:line="240" w:lineRule="auto"/>
              <w:rPr>
                <w:sz w:val="20"/>
                <w:szCs w:val="20"/>
              </w:rPr>
            </w:pPr>
            <w:r w:rsidRPr="00D51879">
              <w:rPr>
                <w:sz w:val="20"/>
                <w:szCs w:val="20"/>
              </w:rPr>
              <w:t>5. Freedom of expression</w:t>
            </w:r>
          </w:p>
        </w:tc>
        <w:tc>
          <w:tcPr>
            <w:tcW w:w="4508" w:type="dxa"/>
          </w:tcPr>
          <w:p w14:paraId="6C46EE69" w14:textId="77777777" w:rsidR="00CF455B" w:rsidRPr="00D51879" w:rsidRDefault="00CF455B" w:rsidP="00D51879">
            <w:pPr>
              <w:spacing w:before="0" w:line="240" w:lineRule="auto"/>
              <w:rPr>
                <w:sz w:val="20"/>
                <w:szCs w:val="20"/>
              </w:rPr>
            </w:pPr>
          </w:p>
        </w:tc>
      </w:tr>
      <w:tr w:rsidR="00CF455B" w:rsidRPr="00D51879" w14:paraId="34E0401B" w14:textId="77777777" w:rsidTr="008814DE">
        <w:tc>
          <w:tcPr>
            <w:tcW w:w="4508" w:type="dxa"/>
          </w:tcPr>
          <w:p w14:paraId="27CE80A3" w14:textId="77777777" w:rsidR="00CF455B" w:rsidRPr="00D51879" w:rsidRDefault="00CF455B" w:rsidP="00D51879">
            <w:pPr>
              <w:spacing w:before="0" w:line="240" w:lineRule="auto"/>
              <w:rPr>
                <w:sz w:val="20"/>
                <w:szCs w:val="20"/>
              </w:rPr>
            </w:pPr>
            <w:r w:rsidRPr="00D51879">
              <w:rPr>
                <w:sz w:val="20"/>
                <w:szCs w:val="20"/>
              </w:rPr>
              <w:t>6. Alternative information</w:t>
            </w:r>
          </w:p>
        </w:tc>
        <w:tc>
          <w:tcPr>
            <w:tcW w:w="4508" w:type="dxa"/>
          </w:tcPr>
          <w:p w14:paraId="3829C10F" w14:textId="77777777" w:rsidR="00CF455B" w:rsidRPr="00D51879" w:rsidRDefault="00CF455B" w:rsidP="00D51879">
            <w:pPr>
              <w:spacing w:before="0" w:line="240" w:lineRule="auto"/>
              <w:rPr>
                <w:sz w:val="20"/>
                <w:szCs w:val="20"/>
              </w:rPr>
            </w:pPr>
          </w:p>
        </w:tc>
      </w:tr>
      <w:tr w:rsidR="00CF455B" w:rsidRPr="00D51879" w14:paraId="7003259B" w14:textId="77777777" w:rsidTr="008814DE">
        <w:tc>
          <w:tcPr>
            <w:tcW w:w="4508" w:type="dxa"/>
          </w:tcPr>
          <w:p w14:paraId="1A08159E" w14:textId="77777777" w:rsidR="00CF455B" w:rsidRPr="00D51879" w:rsidRDefault="00CF455B" w:rsidP="00D51879">
            <w:pPr>
              <w:spacing w:before="0" w:line="240" w:lineRule="auto"/>
              <w:rPr>
                <w:sz w:val="20"/>
                <w:szCs w:val="20"/>
              </w:rPr>
            </w:pPr>
            <w:r w:rsidRPr="00D51879">
              <w:rPr>
                <w:sz w:val="20"/>
                <w:szCs w:val="20"/>
              </w:rPr>
              <w:t>7. Associational autonomy</w:t>
            </w:r>
          </w:p>
        </w:tc>
        <w:tc>
          <w:tcPr>
            <w:tcW w:w="4508" w:type="dxa"/>
          </w:tcPr>
          <w:p w14:paraId="4331FEA7" w14:textId="77777777" w:rsidR="00CF455B" w:rsidRPr="00D51879" w:rsidRDefault="00CF455B" w:rsidP="00D51879">
            <w:pPr>
              <w:spacing w:before="0" w:line="240" w:lineRule="auto"/>
              <w:rPr>
                <w:sz w:val="20"/>
                <w:szCs w:val="20"/>
              </w:rPr>
            </w:pPr>
            <w:r w:rsidRPr="00D51879">
              <w:rPr>
                <w:sz w:val="20"/>
                <w:szCs w:val="20"/>
              </w:rPr>
              <w:t>III. Enlightened understanding</w:t>
            </w:r>
          </w:p>
        </w:tc>
      </w:tr>
      <w:tr w:rsidR="00CF455B" w:rsidRPr="00D51879" w14:paraId="29EA8973" w14:textId="77777777" w:rsidTr="008814DE">
        <w:tc>
          <w:tcPr>
            <w:tcW w:w="4508" w:type="dxa"/>
          </w:tcPr>
          <w:p w14:paraId="43C69C73" w14:textId="77777777" w:rsidR="00CF455B" w:rsidRPr="00D51879" w:rsidRDefault="00CF455B" w:rsidP="00D51879">
            <w:pPr>
              <w:spacing w:before="0" w:line="240" w:lineRule="auto"/>
              <w:rPr>
                <w:sz w:val="20"/>
                <w:szCs w:val="20"/>
              </w:rPr>
            </w:pPr>
          </w:p>
        </w:tc>
        <w:tc>
          <w:tcPr>
            <w:tcW w:w="4508" w:type="dxa"/>
          </w:tcPr>
          <w:p w14:paraId="356CCC68" w14:textId="77777777" w:rsidR="00CF455B" w:rsidRPr="00D51879" w:rsidRDefault="00CF455B" w:rsidP="00D51879">
            <w:pPr>
              <w:spacing w:before="0" w:line="240" w:lineRule="auto"/>
              <w:rPr>
                <w:sz w:val="20"/>
                <w:szCs w:val="20"/>
              </w:rPr>
            </w:pPr>
          </w:p>
        </w:tc>
      </w:tr>
      <w:tr w:rsidR="00CF455B" w:rsidRPr="00D51879" w14:paraId="0D3E17D4" w14:textId="77777777" w:rsidTr="00505A0B">
        <w:tc>
          <w:tcPr>
            <w:tcW w:w="4508" w:type="dxa"/>
            <w:shd w:val="clear" w:color="auto" w:fill="F2F2F2" w:themeFill="background1" w:themeFillShade="F2"/>
          </w:tcPr>
          <w:p w14:paraId="25A7C830" w14:textId="77777777" w:rsidR="00CF455B" w:rsidRPr="00D51879" w:rsidRDefault="00CF455B" w:rsidP="00D51879">
            <w:pPr>
              <w:spacing w:before="0" w:line="240" w:lineRule="auto"/>
              <w:rPr>
                <w:sz w:val="20"/>
                <w:szCs w:val="20"/>
              </w:rPr>
            </w:pPr>
            <w:r w:rsidRPr="00D51879">
              <w:rPr>
                <w:sz w:val="20"/>
                <w:szCs w:val="20"/>
              </w:rPr>
              <w:t>1. Elected officials</w:t>
            </w:r>
          </w:p>
        </w:tc>
        <w:tc>
          <w:tcPr>
            <w:tcW w:w="4508" w:type="dxa"/>
            <w:shd w:val="clear" w:color="auto" w:fill="F2F2F2" w:themeFill="background1" w:themeFillShade="F2"/>
          </w:tcPr>
          <w:p w14:paraId="30B790E3" w14:textId="77777777" w:rsidR="00CF455B" w:rsidRPr="00D51879" w:rsidRDefault="00CF455B" w:rsidP="00D51879">
            <w:pPr>
              <w:spacing w:before="0" w:line="240" w:lineRule="auto"/>
              <w:rPr>
                <w:sz w:val="20"/>
                <w:szCs w:val="20"/>
              </w:rPr>
            </w:pPr>
          </w:p>
        </w:tc>
      </w:tr>
      <w:tr w:rsidR="00CF455B" w:rsidRPr="00D51879" w14:paraId="216D164C" w14:textId="77777777" w:rsidTr="00505A0B">
        <w:tc>
          <w:tcPr>
            <w:tcW w:w="4508" w:type="dxa"/>
            <w:shd w:val="clear" w:color="auto" w:fill="F2F2F2" w:themeFill="background1" w:themeFillShade="F2"/>
          </w:tcPr>
          <w:p w14:paraId="2224DECF" w14:textId="77777777" w:rsidR="00CF455B" w:rsidRPr="00D51879" w:rsidRDefault="00CF455B" w:rsidP="00D51879">
            <w:pPr>
              <w:spacing w:before="0" w:line="240" w:lineRule="auto"/>
              <w:rPr>
                <w:sz w:val="20"/>
                <w:szCs w:val="20"/>
              </w:rPr>
            </w:pPr>
            <w:r w:rsidRPr="00D51879">
              <w:rPr>
                <w:sz w:val="20"/>
                <w:szCs w:val="20"/>
              </w:rPr>
              <w:t>2. Free and fair elections</w:t>
            </w:r>
          </w:p>
        </w:tc>
        <w:tc>
          <w:tcPr>
            <w:tcW w:w="4508" w:type="dxa"/>
            <w:shd w:val="clear" w:color="auto" w:fill="F2F2F2" w:themeFill="background1" w:themeFillShade="F2"/>
          </w:tcPr>
          <w:p w14:paraId="7B8466EA" w14:textId="77777777" w:rsidR="00CF455B" w:rsidRPr="00D51879" w:rsidRDefault="00CF455B" w:rsidP="00D51879">
            <w:pPr>
              <w:spacing w:before="0" w:line="240" w:lineRule="auto"/>
              <w:rPr>
                <w:sz w:val="20"/>
                <w:szCs w:val="20"/>
              </w:rPr>
            </w:pPr>
          </w:p>
        </w:tc>
      </w:tr>
      <w:tr w:rsidR="00CF455B" w:rsidRPr="00D51879" w14:paraId="76B9BFAC" w14:textId="77777777" w:rsidTr="00505A0B">
        <w:tc>
          <w:tcPr>
            <w:tcW w:w="4508" w:type="dxa"/>
            <w:shd w:val="clear" w:color="auto" w:fill="F2F2F2" w:themeFill="background1" w:themeFillShade="F2"/>
          </w:tcPr>
          <w:p w14:paraId="70FD1BAD" w14:textId="77777777" w:rsidR="00CF455B" w:rsidRPr="00D51879" w:rsidRDefault="00CF455B" w:rsidP="00D51879">
            <w:pPr>
              <w:spacing w:before="0" w:line="240" w:lineRule="auto"/>
              <w:rPr>
                <w:sz w:val="20"/>
                <w:szCs w:val="20"/>
              </w:rPr>
            </w:pPr>
            <w:r w:rsidRPr="00D51879">
              <w:rPr>
                <w:sz w:val="20"/>
                <w:szCs w:val="20"/>
              </w:rPr>
              <w:t xml:space="preserve">3. Inclusive suffrage  </w:t>
            </w:r>
          </w:p>
        </w:tc>
        <w:tc>
          <w:tcPr>
            <w:tcW w:w="4508" w:type="dxa"/>
            <w:shd w:val="clear" w:color="auto" w:fill="F2F2F2" w:themeFill="background1" w:themeFillShade="F2"/>
          </w:tcPr>
          <w:p w14:paraId="391BB349" w14:textId="77777777" w:rsidR="00CF455B" w:rsidRPr="00D51879" w:rsidRDefault="00CF455B" w:rsidP="00D51879">
            <w:pPr>
              <w:spacing w:before="0" w:line="240" w:lineRule="auto"/>
              <w:rPr>
                <w:sz w:val="20"/>
                <w:szCs w:val="20"/>
              </w:rPr>
            </w:pPr>
          </w:p>
        </w:tc>
      </w:tr>
      <w:tr w:rsidR="00CF455B" w:rsidRPr="00D51879" w14:paraId="27DE024A" w14:textId="77777777" w:rsidTr="00505A0B">
        <w:tc>
          <w:tcPr>
            <w:tcW w:w="4508" w:type="dxa"/>
            <w:shd w:val="clear" w:color="auto" w:fill="F2F2F2" w:themeFill="background1" w:themeFillShade="F2"/>
          </w:tcPr>
          <w:p w14:paraId="4EFB269D" w14:textId="77777777" w:rsidR="00CF455B" w:rsidRPr="00D51879" w:rsidRDefault="00CF455B" w:rsidP="00D51879">
            <w:pPr>
              <w:spacing w:before="0" w:line="240" w:lineRule="auto"/>
              <w:rPr>
                <w:sz w:val="20"/>
                <w:szCs w:val="20"/>
              </w:rPr>
            </w:pPr>
            <w:r w:rsidRPr="00D51879">
              <w:rPr>
                <w:sz w:val="20"/>
                <w:szCs w:val="20"/>
              </w:rPr>
              <w:t>4. Right to run for office</w:t>
            </w:r>
          </w:p>
        </w:tc>
        <w:tc>
          <w:tcPr>
            <w:tcW w:w="4508" w:type="dxa"/>
            <w:shd w:val="clear" w:color="auto" w:fill="F2F2F2" w:themeFill="background1" w:themeFillShade="F2"/>
          </w:tcPr>
          <w:p w14:paraId="14053C11" w14:textId="77777777" w:rsidR="00CF455B" w:rsidRPr="00D51879" w:rsidRDefault="00CF455B" w:rsidP="00D51879">
            <w:pPr>
              <w:spacing w:before="0" w:line="240" w:lineRule="auto"/>
              <w:rPr>
                <w:sz w:val="20"/>
                <w:szCs w:val="20"/>
              </w:rPr>
            </w:pPr>
          </w:p>
        </w:tc>
      </w:tr>
      <w:tr w:rsidR="00CF455B" w:rsidRPr="00D51879" w14:paraId="68FFC484" w14:textId="77777777" w:rsidTr="00505A0B">
        <w:tc>
          <w:tcPr>
            <w:tcW w:w="4508" w:type="dxa"/>
            <w:shd w:val="clear" w:color="auto" w:fill="F2F2F2" w:themeFill="background1" w:themeFillShade="F2"/>
          </w:tcPr>
          <w:p w14:paraId="0B0A8782" w14:textId="77777777" w:rsidR="00CF455B" w:rsidRPr="00D51879" w:rsidRDefault="00CF455B" w:rsidP="00D51879">
            <w:pPr>
              <w:spacing w:before="0" w:line="240" w:lineRule="auto"/>
              <w:rPr>
                <w:sz w:val="20"/>
                <w:szCs w:val="20"/>
              </w:rPr>
            </w:pPr>
            <w:r w:rsidRPr="00D51879">
              <w:rPr>
                <w:sz w:val="20"/>
                <w:szCs w:val="20"/>
              </w:rPr>
              <w:t>5. Freedom of expression</w:t>
            </w:r>
          </w:p>
        </w:tc>
        <w:tc>
          <w:tcPr>
            <w:tcW w:w="4508" w:type="dxa"/>
            <w:shd w:val="clear" w:color="auto" w:fill="F2F2F2" w:themeFill="background1" w:themeFillShade="F2"/>
          </w:tcPr>
          <w:p w14:paraId="2DFD49AA" w14:textId="77777777" w:rsidR="00CF455B" w:rsidRPr="00D51879" w:rsidRDefault="00CF455B" w:rsidP="00D51879">
            <w:pPr>
              <w:spacing w:before="0" w:line="240" w:lineRule="auto"/>
              <w:rPr>
                <w:sz w:val="20"/>
                <w:szCs w:val="20"/>
              </w:rPr>
            </w:pPr>
          </w:p>
        </w:tc>
      </w:tr>
      <w:tr w:rsidR="00CF455B" w:rsidRPr="00D51879" w14:paraId="029B0840" w14:textId="77777777" w:rsidTr="00505A0B">
        <w:tc>
          <w:tcPr>
            <w:tcW w:w="4508" w:type="dxa"/>
            <w:shd w:val="clear" w:color="auto" w:fill="F2F2F2" w:themeFill="background1" w:themeFillShade="F2"/>
          </w:tcPr>
          <w:p w14:paraId="3722D9EA" w14:textId="77777777" w:rsidR="00CF455B" w:rsidRPr="00D51879" w:rsidRDefault="00CF455B" w:rsidP="00D51879">
            <w:pPr>
              <w:spacing w:before="0" w:line="240" w:lineRule="auto"/>
              <w:rPr>
                <w:sz w:val="20"/>
                <w:szCs w:val="20"/>
              </w:rPr>
            </w:pPr>
            <w:r w:rsidRPr="00D51879">
              <w:rPr>
                <w:sz w:val="20"/>
                <w:szCs w:val="20"/>
              </w:rPr>
              <w:t>6. Alternative information</w:t>
            </w:r>
          </w:p>
        </w:tc>
        <w:tc>
          <w:tcPr>
            <w:tcW w:w="4508" w:type="dxa"/>
            <w:shd w:val="clear" w:color="auto" w:fill="F2F2F2" w:themeFill="background1" w:themeFillShade="F2"/>
          </w:tcPr>
          <w:p w14:paraId="4F0EB74E" w14:textId="77777777" w:rsidR="00CF455B" w:rsidRPr="00D51879" w:rsidRDefault="00CF455B" w:rsidP="00D51879">
            <w:pPr>
              <w:spacing w:before="0" w:line="240" w:lineRule="auto"/>
              <w:rPr>
                <w:sz w:val="20"/>
                <w:szCs w:val="20"/>
              </w:rPr>
            </w:pPr>
          </w:p>
        </w:tc>
      </w:tr>
      <w:tr w:rsidR="00CF455B" w:rsidRPr="00D51879" w14:paraId="668F6CCB" w14:textId="77777777" w:rsidTr="00505A0B">
        <w:tc>
          <w:tcPr>
            <w:tcW w:w="4508" w:type="dxa"/>
            <w:shd w:val="clear" w:color="auto" w:fill="F2F2F2" w:themeFill="background1" w:themeFillShade="F2"/>
          </w:tcPr>
          <w:p w14:paraId="10983BB8" w14:textId="77777777" w:rsidR="00CF455B" w:rsidRPr="00D51879" w:rsidRDefault="00CF455B" w:rsidP="00D51879">
            <w:pPr>
              <w:spacing w:before="0" w:line="240" w:lineRule="auto"/>
              <w:rPr>
                <w:sz w:val="20"/>
                <w:szCs w:val="20"/>
              </w:rPr>
            </w:pPr>
            <w:r w:rsidRPr="00D51879">
              <w:rPr>
                <w:sz w:val="20"/>
                <w:szCs w:val="20"/>
              </w:rPr>
              <w:t>7. Associational autonomy</w:t>
            </w:r>
          </w:p>
        </w:tc>
        <w:tc>
          <w:tcPr>
            <w:tcW w:w="4508" w:type="dxa"/>
            <w:shd w:val="clear" w:color="auto" w:fill="F2F2F2" w:themeFill="background1" w:themeFillShade="F2"/>
          </w:tcPr>
          <w:p w14:paraId="3B37CBBA" w14:textId="77777777" w:rsidR="00CF455B" w:rsidRPr="00D51879" w:rsidRDefault="00CF455B" w:rsidP="00D51879">
            <w:pPr>
              <w:spacing w:before="0" w:line="240" w:lineRule="auto"/>
              <w:rPr>
                <w:sz w:val="20"/>
                <w:szCs w:val="20"/>
              </w:rPr>
            </w:pPr>
            <w:r w:rsidRPr="00D51879">
              <w:rPr>
                <w:sz w:val="20"/>
                <w:szCs w:val="20"/>
              </w:rPr>
              <w:t>IV. Control of the agenda</w:t>
            </w:r>
          </w:p>
        </w:tc>
      </w:tr>
      <w:tr w:rsidR="00CF455B" w:rsidRPr="00D51879" w14:paraId="18630E3A" w14:textId="77777777" w:rsidTr="00505A0B">
        <w:tc>
          <w:tcPr>
            <w:tcW w:w="4508" w:type="dxa"/>
            <w:shd w:val="clear" w:color="auto" w:fill="F2F2F2" w:themeFill="background1" w:themeFillShade="F2"/>
          </w:tcPr>
          <w:p w14:paraId="274D99DD" w14:textId="77777777" w:rsidR="00CF455B" w:rsidRPr="00D51879" w:rsidRDefault="00CF455B" w:rsidP="00D51879">
            <w:pPr>
              <w:spacing w:before="0" w:line="240" w:lineRule="auto"/>
              <w:rPr>
                <w:sz w:val="20"/>
                <w:szCs w:val="20"/>
              </w:rPr>
            </w:pPr>
          </w:p>
        </w:tc>
        <w:tc>
          <w:tcPr>
            <w:tcW w:w="4508" w:type="dxa"/>
            <w:shd w:val="clear" w:color="auto" w:fill="F2F2F2" w:themeFill="background1" w:themeFillShade="F2"/>
          </w:tcPr>
          <w:p w14:paraId="67147F43" w14:textId="77777777" w:rsidR="00CF455B" w:rsidRPr="00D51879" w:rsidRDefault="00CF455B" w:rsidP="00D51879">
            <w:pPr>
              <w:spacing w:before="0" w:line="240" w:lineRule="auto"/>
              <w:rPr>
                <w:sz w:val="20"/>
                <w:szCs w:val="20"/>
              </w:rPr>
            </w:pPr>
          </w:p>
        </w:tc>
      </w:tr>
      <w:tr w:rsidR="00CF455B" w:rsidRPr="00D51879" w14:paraId="76A7C28E" w14:textId="77777777" w:rsidTr="008814DE">
        <w:tc>
          <w:tcPr>
            <w:tcW w:w="4508" w:type="dxa"/>
          </w:tcPr>
          <w:p w14:paraId="2B25753A" w14:textId="77777777" w:rsidR="00CF455B" w:rsidRPr="00D51879" w:rsidRDefault="00CF455B" w:rsidP="00D51879">
            <w:pPr>
              <w:spacing w:before="0" w:line="240" w:lineRule="auto"/>
              <w:rPr>
                <w:sz w:val="20"/>
                <w:szCs w:val="20"/>
              </w:rPr>
            </w:pPr>
            <w:r w:rsidRPr="00D51879">
              <w:rPr>
                <w:sz w:val="20"/>
                <w:szCs w:val="20"/>
              </w:rPr>
              <w:t xml:space="preserve">3. Inclusive suffrage  </w:t>
            </w:r>
          </w:p>
        </w:tc>
        <w:tc>
          <w:tcPr>
            <w:tcW w:w="4508" w:type="dxa"/>
          </w:tcPr>
          <w:p w14:paraId="570F07B6" w14:textId="77777777" w:rsidR="00CF455B" w:rsidRPr="00D51879" w:rsidRDefault="00CF455B" w:rsidP="00D51879">
            <w:pPr>
              <w:spacing w:before="0" w:line="240" w:lineRule="auto"/>
              <w:rPr>
                <w:sz w:val="20"/>
                <w:szCs w:val="20"/>
              </w:rPr>
            </w:pPr>
          </w:p>
        </w:tc>
      </w:tr>
      <w:tr w:rsidR="00CF455B" w:rsidRPr="00D51879" w14:paraId="17DB8A21" w14:textId="77777777" w:rsidTr="008814DE">
        <w:tc>
          <w:tcPr>
            <w:tcW w:w="4508" w:type="dxa"/>
          </w:tcPr>
          <w:p w14:paraId="1CDFC1F1" w14:textId="77777777" w:rsidR="00CF455B" w:rsidRPr="00D51879" w:rsidRDefault="00CF455B" w:rsidP="00D51879">
            <w:pPr>
              <w:spacing w:before="0" w:line="240" w:lineRule="auto"/>
              <w:rPr>
                <w:sz w:val="20"/>
                <w:szCs w:val="20"/>
              </w:rPr>
            </w:pPr>
            <w:r w:rsidRPr="00D51879">
              <w:rPr>
                <w:sz w:val="20"/>
                <w:szCs w:val="20"/>
              </w:rPr>
              <w:t>4. Right to run for office</w:t>
            </w:r>
          </w:p>
        </w:tc>
        <w:tc>
          <w:tcPr>
            <w:tcW w:w="4508" w:type="dxa"/>
          </w:tcPr>
          <w:p w14:paraId="4F1FF3DF" w14:textId="77777777" w:rsidR="00CF455B" w:rsidRPr="00D51879" w:rsidRDefault="00CF455B" w:rsidP="00D51879">
            <w:pPr>
              <w:spacing w:before="0" w:line="240" w:lineRule="auto"/>
              <w:rPr>
                <w:sz w:val="20"/>
                <w:szCs w:val="20"/>
              </w:rPr>
            </w:pPr>
          </w:p>
        </w:tc>
      </w:tr>
      <w:tr w:rsidR="00CF455B" w:rsidRPr="00D51879" w14:paraId="038C1233" w14:textId="77777777" w:rsidTr="008814DE">
        <w:tc>
          <w:tcPr>
            <w:tcW w:w="4508" w:type="dxa"/>
          </w:tcPr>
          <w:p w14:paraId="5C4EDED7" w14:textId="77777777" w:rsidR="00CF455B" w:rsidRPr="00D51879" w:rsidRDefault="00CF455B" w:rsidP="00D51879">
            <w:pPr>
              <w:spacing w:before="0" w:line="240" w:lineRule="auto"/>
              <w:rPr>
                <w:sz w:val="20"/>
                <w:szCs w:val="20"/>
              </w:rPr>
            </w:pPr>
            <w:r w:rsidRPr="00D51879">
              <w:rPr>
                <w:sz w:val="20"/>
                <w:szCs w:val="20"/>
              </w:rPr>
              <w:t>5. Freedom of expression</w:t>
            </w:r>
          </w:p>
        </w:tc>
        <w:tc>
          <w:tcPr>
            <w:tcW w:w="4508" w:type="dxa"/>
          </w:tcPr>
          <w:p w14:paraId="58C7C98D" w14:textId="77777777" w:rsidR="00CF455B" w:rsidRPr="00D51879" w:rsidRDefault="00CF455B" w:rsidP="00D51879">
            <w:pPr>
              <w:spacing w:before="0" w:line="240" w:lineRule="auto"/>
              <w:rPr>
                <w:sz w:val="20"/>
                <w:szCs w:val="20"/>
              </w:rPr>
            </w:pPr>
          </w:p>
        </w:tc>
      </w:tr>
      <w:tr w:rsidR="00CF455B" w:rsidRPr="00D51879" w14:paraId="33498CFC" w14:textId="77777777" w:rsidTr="008814DE">
        <w:tc>
          <w:tcPr>
            <w:tcW w:w="4508" w:type="dxa"/>
          </w:tcPr>
          <w:p w14:paraId="2FA2D830" w14:textId="77777777" w:rsidR="00CF455B" w:rsidRPr="00D51879" w:rsidRDefault="00CF455B" w:rsidP="00D51879">
            <w:pPr>
              <w:spacing w:before="0" w:line="240" w:lineRule="auto"/>
              <w:rPr>
                <w:sz w:val="20"/>
                <w:szCs w:val="20"/>
              </w:rPr>
            </w:pPr>
            <w:r w:rsidRPr="00D51879">
              <w:rPr>
                <w:sz w:val="20"/>
                <w:szCs w:val="20"/>
              </w:rPr>
              <w:t>6. Alternative information</w:t>
            </w:r>
          </w:p>
        </w:tc>
        <w:tc>
          <w:tcPr>
            <w:tcW w:w="4508" w:type="dxa"/>
          </w:tcPr>
          <w:p w14:paraId="154C82FB" w14:textId="77777777" w:rsidR="00CF455B" w:rsidRPr="00D51879" w:rsidRDefault="00CF455B" w:rsidP="00D51879">
            <w:pPr>
              <w:spacing w:before="0" w:line="240" w:lineRule="auto"/>
              <w:rPr>
                <w:sz w:val="20"/>
                <w:szCs w:val="20"/>
              </w:rPr>
            </w:pPr>
          </w:p>
        </w:tc>
      </w:tr>
      <w:tr w:rsidR="00CF455B" w:rsidRPr="00D51879" w14:paraId="6679AF2F" w14:textId="77777777" w:rsidTr="008814DE">
        <w:tc>
          <w:tcPr>
            <w:tcW w:w="4508" w:type="dxa"/>
            <w:tcBorders>
              <w:bottom w:val="single" w:sz="4" w:space="0" w:color="auto"/>
            </w:tcBorders>
          </w:tcPr>
          <w:p w14:paraId="27B2630F" w14:textId="77777777" w:rsidR="00CF455B" w:rsidRPr="00D51879" w:rsidRDefault="00CF455B" w:rsidP="00D51879">
            <w:pPr>
              <w:spacing w:before="0" w:line="240" w:lineRule="auto"/>
              <w:rPr>
                <w:sz w:val="20"/>
                <w:szCs w:val="20"/>
              </w:rPr>
            </w:pPr>
            <w:r w:rsidRPr="00D51879">
              <w:rPr>
                <w:sz w:val="20"/>
                <w:szCs w:val="20"/>
              </w:rPr>
              <w:t>7. Associational autonomy</w:t>
            </w:r>
          </w:p>
        </w:tc>
        <w:tc>
          <w:tcPr>
            <w:tcW w:w="4508" w:type="dxa"/>
            <w:tcBorders>
              <w:bottom w:val="single" w:sz="4" w:space="0" w:color="auto"/>
            </w:tcBorders>
          </w:tcPr>
          <w:p w14:paraId="595AB6AD" w14:textId="77777777" w:rsidR="00CF455B" w:rsidRDefault="00CF455B" w:rsidP="00D51879">
            <w:pPr>
              <w:spacing w:before="0" w:line="240" w:lineRule="auto"/>
              <w:rPr>
                <w:sz w:val="20"/>
                <w:szCs w:val="20"/>
              </w:rPr>
            </w:pPr>
            <w:r w:rsidRPr="00D51879">
              <w:rPr>
                <w:sz w:val="20"/>
                <w:szCs w:val="20"/>
              </w:rPr>
              <w:t>V. Inclusion</w:t>
            </w:r>
          </w:p>
          <w:p w14:paraId="018F032E" w14:textId="77777777" w:rsidR="00505A0B" w:rsidRPr="00D51879" w:rsidRDefault="00505A0B" w:rsidP="00D51879">
            <w:pPr>
              <w:spacing w:before="0" w:line="240" w:lineRule="auto"/>
              <w:rPr>
                <w:sz w:val="20"/>
                <w:szCs w:val="20"/>
              </w:rPr>
            </w:pPr>
          </w:p>
        </w:tc>
      </w:tr>
    </w:tbl>
    <w:p w14:paraId="47EEDCA0" w14:textId="77777777" w:rsidR="00672BC7" w:rsidRDefault="00672BC7" w:rsidP="00C62010"/>
    <w:p w14:paraId="46859506" w14:textId="3B26B258" w:rsidR="00CF455B" w:rsidRPr="00930BF5" w:rsidRDefault="00CF455B" w:rsidP="00C62010">
      <w:pPr>
        <w:rPr>
          <w:noProof/>
        </w:rPr>
      </w:pPr>
      <w:r w:rsidRPr="00930BF5">
        <w:t xml:space="preserve">The term polyarchy itself has not gained mass appeal outside of academic circles, but it has been highly influential in widening and deepening the criteria used to judge how democratic a system is. This approach, like Schumpeter’s, still </w:t>
      </w:r>
      <w:r w:rsidR="00EF42C1">
        <w:t>allows</w:t>
      </w:r>
      <w:r w:rsidRPr="00930BF5">
        <w:t xml:space="preserve"> assessments of democratic systems to be made in an empirical way, by measuring the effectiveness (or existence) of institutional mechanisms and procedures. As O’Loughin </w:t>
      </w:r>
      <w:r w:rsidR="00803848">
        <w:rPr>
          <w:i/>
        </w:rPr>
        <w:t>et al</w:t>
      </w:r>
      <w:r w:rsidRPr="00930BF5">
        <w:rPr>
          <w:i/>
        </w:rPr>
        <w:t>.</w:t>
      </w:r>
      <w:r w:rsidRPr="00930BF5">
        <w:t xml:space="preserve"> put it </w:t>
      </w:r>
      <w:r w:rsidR="00202A84">
        <w:fldChar w:fldCharType="begin" w:fldLock="1"/>
      </w:r>
      <w:r w:rsidR="00E63CC6">
        <w:instrText>ADDIN CSL_CITATION { "citationItems" : [ { "id" : "ITEM-1", "itemData" : { "author" : [ { "dropping-particle" : "", "family" : "O'Loughlin", "given" : "J", "non-dropping-particle" : "", "parse-names" : false, "suffix" : "" }, { "dropping-particle" : "", "family" : "Ward", "given" : "MD", "non-dropping-particle" : "", "parse-names" : false, "suffix" : "" }, { "dropping-particle" : "", "family" : "Lofdahl", "given" : "CL", "non-dropping-particle" : "", "parse-names" : false, "suffix" : "" }, { "dropping-particle" : "", "family" : "Cohen", "given" : "JS", "non-dropping-particle" : "", "parse-names" : false, "suffix" : "" }, { "dropping-particle" : "", "family" : "Brown", "given" : "DS", "non-dropping-particle" : "", "parse-names" : false, "suffix" : "" }, { "dropping-particle" : "", "family" : "Reilly", "given" : "D", "non-dropping-particle" : "", "parse-names" : false, "suffix" : "" }, { "dropping-particle" : "", "family" : "Gleditsch", "given" : "S", "non-dropping-particle" : "", "parse-names" : false, "suffix" : "" }, { "dropping-particle" : "", "family" : "Shin", "given" : "M", "non-dropping-particle" : "", "parse-names" : false, "suffix" : "" } ], "container-title" : "Annals of the Association of American Geographers", "id" : "ITEM-1", "issue" : "4", "issued" : { "date-parts" : [ [ "1998" ] ] }, "page" : "545-574", "title" : "The Diffusion of Democracy, 1946 - 1994", "type" : "article-journal", "volume" : "88" }, "locator" : "547", "uris" : [ "http://www.mendeley.com/documents/?uuid=c31fb01e-9a29-40d7-9b3c-109503e873ca" ] } ], "mendeley" : { "formattedCitation" : "(J O\u2019Loughlin &lt;i&gt;et al.&lt;/i&gt;, 1998, p. 547)", "manualFormatting" : "(1998, p.547)", "plainTextFormattedCitation" : "(J O\u2019Loughlin et al., 1998, p. 547)", "previouslyFormattedCitation" : "(J O\u2019Loughlin &lt;i&gt;et al.&lt;/i&gt;, 1998, p. 547)" }, "properties" : { "noteIndex" : 0 }, "schema" : "https://github.com/citation-style-language/schema/raw/master/csl-citation.json" }</w:instrText>
      </w:r>
      <w:r w:rsidR="00202A84">
        <w:fldChar w:fldCharType="separate"/>
      </w:r>
      <w:r w:rsidR="00202A84">
        <w:rPr>
          <w:noProof/>
        </w:rPr>
        <w:t>(</w:t>
      </w:r>
      <w:r w:rsidR="00202A84" w:rsidRPr="00202A84">
        <w:rPr>
          <w:noProof/>
        </w:rPr>
        <w:t>1998, p.547)</w:t>
      </w:r>
      <w:r w:rsidR="00202A84">
        <w:fldChar w:fldCharType="end"/>
      </w:r>
      <w:r w:rsidR="00202A84">
        <w:t>:</w:t>
      </w:r>
    </w:p>
    <w:p w14:paraId="0DB2F3C1" w14:textId="77777777" w:rsidR="00CF455B" w:rsidRPr="00930BF5" w:rsidRDefault="00CF455B" w:rsidP="00C62010">
      <w:pPr>
        <w:pStyle w:val="Quote"/>
      </w:pPr>
      <w:r w:rsidRPr="00930BF5">
        <w:t>“Empirical studies of political democracy and democratization in this procedural tradition have revolved around: (a) political competition, or the extent to which structures and institutions of the state permit open competition for political power and protect the basic political rights afforded the individual; (b) participation, or the extent of meaningful inclusion of individuals and diverse groups within the system; and (c) the issue of liberties and the rule of law, or the extent to which certain political and civil rights of individuals are guaranteed within the system.”</w:t>
      </w:r>
    </w:p>
    <w:p w14:paraId="253DEE29" w14:textId="3451F72D" w:rsidR="00CF455B" w:rsidRPr="00930BF5" w:rsidRDefault="00CF455B" w:rsidP="00C62010">
      <w:r w:rsidRPr="00930BF5">
        <w:t xml:space="preserve">It is this issue of the civil rights of individuals with informs the most popular and practised form of democracy, that is liberal democracy. Of course, the roots of liberal democratic theory </w:t>
      </w:r>
      <w:r w:rsidR="00517CE9">
        <w:t xml:space="preserve">do </w:t>
      </w:r>
      <w:r w:rsidRPr="00930BF5">
        <w:t>considerably pre-date the work of Dahl and Schumpeter</w:t>
      </w:r>
      <w:r w:rsidR="00517CE9">
        <w:t xml:space="preserve"> (as discussed briefly in Section 2.1)</w:t>
      </w:r>
      <w:r w:rsidRPr="00930BF5">
        <w:t xml:space="preserve"> and inform both. </w:t>
      </w:r>
    </w:p>
    <w:p w14:paraId="53E65377" w14:textId="77777777" w:rsidR="00CF455B" w:rsidRPr="00E223A2" w:rsidRDefault="00CF455B" w:rsidP="00E223A2">
      <w:pPr>
        <w:pStyle w:val="Heading3"/>
      </w:pPr>
      <w:bookmarkStart w:id="40" w:name="_Toc441069164"/>
      <w:r w:rsidRPr="00E223A2">
        <w:t>Liberal Democracy</w:t>
      </w:r>
      <w:bookmarkEnd w:id="40"/>
    </w:p>
    <w:p w14:paraId="461CDB64" w14:textId="75EF1ADC" w:rsidR="00CF455B" w:rsidRPr="00930BF5" w:rsidRDefault="00CF455B" w:rsidP="00C62010">
      <w:r w:rsidRPr="00930BF5">
        <w:t xml:space="preserve">As Dryzek </w:t>
      </w:r>
      <w:r w:rsidR="00202A84">
        <w:fldChar w:fldCharType="begin" w:fldLock="1"/>
      </w:r>
      <w:r w:rsidR="00E63CC6">
        <w:instrText>ADDIN CSL_CITATION { "citationItems" : [ { "id" : "ITEM-1", "itemData" : { "author" : [ { "dropping-particle" : "", "family" : "Dryzek", "given" : "John S", "non-dropping-particle" : "", "parse-names" : false, "suffix" : "" } ], "id" : "ITEM-1", "issued" : { "date-parts" : [ [ "2002" ] ] }, "publisher-place" : "Oxford University Press", "title" : "Deliberative Democracy and Beyond: Liberals, Critics, Contestations", "type" : "book" }, "locator" : "9", "uris" : [ "http://www.mendeley.com/documents/?uuid=2a5ee732-d663-4d3b-8c1d-680e3df857a8" ] } ], "mendeley" : { "formattedCitation" : "(Dryzek, 2002, p. 9)", "manualFormatting" : "(2002, p.9)", "plainTextFormattedCitation" : "(Dryzek, 2002, p. 9)", "previouslyFormattedCitation" : "(Dryzek, 2002, p. 9)" }, "properties" : { "noteIndex" : 0 }, "schema" : "https://github.com/citation-style-language/schema/raw/master/csl-citation.json" }</w:instrText>
      </w:r>
      <w:r w:rsidR="00202A84">
        <w:fldChar w:fldCharType="separate"/>
      </w:r>
      <w:r w:rsidR="00202A84" w:rsidRPr="00202A84">
        <w:rPr>
          <w:noProof/>
        </w:rPr>
        <w:t>(2002, p.9)</w:t>
      </w:r>
      <w:r w:rsidR="00202A84">
        <w:fldChar w:fldCharType="end"/>
      </w:r>
      <w:r w:rsidR="00C75C73">
        <w:t xml:space="preserve"> </w:t>
      </w:r>
      <w:r w:rsidRPr="00930BF5">
        <w:t xml:space="preserve">notes, the general core of </w:t>
      </w:r>
      <w:r w:rsidR="00F21120">
        <w:t>l</w:t>
      </w:r>
      <w:r w:rsidRPr="00930BF5">
        <w:t>iberal theory as a doctrine is actually silent on the issue of democracy. This</w:t>
      </w:r>
      <w:r w:rsidR="00C75C73">
        <w:t xml:space="preserve"> is perhaps surprising, since ‘liberal d</w:t>
      </w:r>
      <w:r w:rsidRPr="00930BF5">
        <w:t>emocracy’ is the most widely-used interpretation of democracy theory us</w:t>
      </w:r>
      <w:r w:rsidR="00F21120">
        <w:t>ed today. The core doctrine of l</w:t>
      </w:r>
      <w:r w:rsidRPr="00930BF5">
        <w:t xml:space="preserve">iberal theory, as outlined by Dryzek </w:t>
      </w:r>
      <w:r w:rsidR="00202A84">
        <w:fldChar w:fldCharType="begin" w:fldLock="1"/>
      </w:r>
      <w:r w:rsidR="00E63CC6">
        <w:instrText>ADDIN CSL_CITATION { "citationItems" : [ { "id" : "ITEM-1", "itemData" : { "author" : [ { "dropping-particle" : "", "family" : "Dryzek", "given" : "John S", "non-dropping-particle" : "", "parse-names" : false, "suffix" : "" } ], "id" : "ITEM-1", "issued" : { "date-parts" : [ [ "2002" ] ] }, "publisher-place" : "Oxford University Press", "title" : "Deliberative Democracy and Beyond: Liberals, Critics, Contestations", "type" : "book" }, "locator" : "9-10", "uris" : [ "http://www.mendeley.com/documents/?uuid=2a5ee732-d663-4d3b-8c1d-680e3df857a8" ] } ], "mendeley" : { "formattedCitation" : "(Dryzek, 2002, pp. 9\u201310)", "manualFormatting" : "(2002, pp.9\u201310)", "plainTextFormattedCitation" : "(Dryzek, 2002, pp. 9\u201310)", "previouslyFormattedCitation" : "(Dryzek, 2002, pp. 9\u201310)" }, "properties" : { "noteIndex" : 0 }, "schema" : "https://github.com/citation-style-language/schema/raw/master/csl-citation.json" }</w:instrText>
      </w:r>
      <w:r w:rsidR="00202A84">
        <w:fldChar w:fldCharType="separate"/>
      </w:r>
      <w:r w:rsidR="00202A84" w:rsidRPr="00202A84">
        <w:rPr>
          <w:noProof/>
        </w:rPr>
        <w:t>(2002, pp.9–10)</w:t>
      </w:r>
      <w:r w:rsidR="00202A84">
        <w:fldChar w:fldCharType="end"/>
      </w:r>
      <w:r w:rsidRPr="00930BF5">
        <w:t xml:space="preserve">, holds the underlying assumption that individuals are mostly motivated by their own understandings of self-interest and, as Schumpeter argued, there is little adherence to, or role to be played by, ideas of the ‘common good’. This assumption is then played out in an environment of a free market economy. If this free market for any reason cannot reconcile clashes between these individual self-interests then, and only then, should politics come into play. </w:t>
      </w:r>
      <w:r w:rsidR="000D2F92">
        <w:t>T</w:t>
      </w:r>
      <w:r w:rsidRPr="00930BF5">
        <w:t>he duty of government is to uphold individual rights:</w:t>
      </w:r>
    </w:p>
    <w:p w14:paraId="5C195907" w14:textId="5B129EA6" w:rsidR="00CF455B" w:rsidRPr="00930BF5" w:rsidRDefault="00CF455B" w:rsidP="00C62010">
      <w:pPr>
        <w:pStyle w:val="Quote"/>
      </w:pPr>
      <w:r w:rsidRPr="00930BF5">
        <w:t xml:space="preserve">“Liberal politics is therefore mostly and properly about the reconciliation and aggregation of predetermined interests under the auspices of a natural set of rule: that is, a constitution. A fear that self-interested individuals, even if they are in the majority, may turn public power to private advantage then necessitates a set of constitutional rights against government, and each other. These rights come with corresponding obligations to respect the rights of others and duties toward the </w:t>
      </w:r>
      <w:r w:rsidR="004C0B25">
        <w:t xml:space="preserve">government that secures rights.” </w:t>
      </w:r>
      <w:r w:rsidR="004C0B25">
        <w:fldChar w:fldCharType="begin" w:fldLock="1"/>
      </w:r>
      <w:r w:rsidR="00E63CC6">
        <w:instrText>ADDIN CSL_CITATION { "citationItems" : [ { "id" : "ITEM-1", "itemData" : { "author" : [ { "dropping-particle" : "", "family" : "Dryzek", "given" : "John S", "non-dropping-particle" : "", "parse-names" : false, "suffix" : "" } ], "id" : "ITEM-1", "issued" : { "date-parts" : [ [ "2002" ] ] }, "publisher-place" : "Oxford University Press", "title" : "Deliberative Democracy and Beyond: Liberals, Critics, Contestations", "type" : "book" }, "locator" : "9", "uris" : [ "http://www.mendeley.com/documents/?uuid=2a5ee732-d663-4d3b-8c1d-680e3df857a8" ] } ], "mendeley" : { "formattedCitation" : "(Dryzek, 2002, p. 9)", "plainTextFormattedCitation" : "(Dryzek, 2002, p. 9)", "previouslyFormattedCitation" : "(Dryzek, 2002, p. 9)" }, "properties" : { "noteIndex" : 0 }, "schema" : "https://github.com/citation-style-language/schema/raw/master/csl-citation.json" }</w:instrText>
      </w:r>
      <w:r w:rsidR="004C0B25">
        <w:fldChar w:fldCharType="separate"/>
      </w:r>
      <w:r w:rsidR="00E63CC6" w:rsidRPr="00E63CC6">
        <w:rPr>
          <w:i w:val="0"/>
          <w:noProof/>
        </w:rPr>
        <w:t>(Dryzek, 2002, p. 9)</w:t>
      </w:r>
      <w:r w:rsidR="004C0B25">
        <w:fldChar w:fldCharType="end"/>
      </w:r>
    </w:p>
    <w:p w14:paraId="5379493E" w14:textId="56092255" w:rsidR="00CF455B" w:rsidRPr="00930BF5" w:rsidRDefault="00CF455B" w:rsidP="00C62010">
      <w:r w:rsidRPr="00930BF5">
        <w:t xml:space="preserve">As Satori </w:t>
      </w:r>
      <w:r w:rsidR="00202A84">
        <w:fldChar w:fldCharType="begin" w:fldLock="1"/>
      </w:r>
      <w:r w:rsidR="00E63CC6">
        <w:instrText>ADDIN CSL_CITATION { "citationItems" : [ { "id" : "ITEM-1", "itemData" : { "author" : [ { "dropping-particle" : "", "family" : "Satori", "given" : "Giovanni", "non-dropping-particle" : "", "parse-names" : false, "suffix" : "" } ], "id" : "ITEM-1", "issued" : { "date-parts" : [ [ "1987" ] ] }, "number-of-pages" : "257-542", "publisher" : "Chatham House Publishers", "publisher-place" : "New Jersey", "title" : "Theory of Democracy Revisited (Part Two)", "type" : "book" }, "locator" : "385", "uris" : [ "http://www.mendeley.com/documents/?uuid=1d898ac6-959c-429c-933e-81491cc3a1c9" ] } ], "mendeley" : { "formattedCitation" : "(Satori, 1987b, p. 385)", "manualFormatting" : "(1987b, p.385)", "plainTextFormattedCitation" : "(Satori, 1987b, p. 385)", "previouslyFormattedCitation" : "(Satori, 1987b, p. 385)" }, "properties" : { "noteIndex" : 0 }, "schema" : "https://github.com/citation-style-language/schema/raw/master/csl-citation.json" }</w:instrText>
      </w:r>
      <w:r w:rsidR="00202A84">
        <w:fldChar w:fldCharType="separate"/>
      </w:r>
      <w:r w:rsidR="00202A84" w:rsidRPr="00202A84">
        <w:rPr>
          <w:noProof/>
        </w:rPr>
        <w:t>(1987b, p.385)</w:t>
      </w:r>
      <w:r w:rsidR="00202A84">
        <w:fldChar w:fldCharType="end"/>
      </w:r>
      <w:r w:rsidRPr="00930BF5">
        <w:t xml:space="preserve"> concisely puts it ‘…liberalism is above all the technique of limiting the state’s power, whereas democracy is the insertion of the popular power into the state’. There is then, no need for democratic mechanisms per se to uphold a liberal system</w:t>
      </w:r>
      <w:r w:rsidR="00EF42C1">
        <w:t>.</w:t>
      </w:r>
      <w:r w:rsidRPr="00930BF5">
        <w:t xml:space="preserve"> </w:t>
      </w:r>
      <w:r w:rsidR="00EF42C1">
        <w:t>H</w:t>
      </w:r>
      <w:r w:rsidRPr="00930BF5">
        <w:t xml:space="preserve">owever, the development of representative democracy, particularly in the United States, tied the two together (see </w:t>
      </w:r>
      <w:r w:rsidR="00F21120">
        <w:t>Section 2.1</w:t>
      </w:r>
      <w:r w:rsidRPr="00930BF5">
        <w:t xml:space="preserve">). This tying together, of liberalism and democracy, provides one of the major conundrums of democratic political theory. Boiled down, liberalism calls for liberty </w:t>
      </w:r>
      <w:r>
        <w:t xml:space="preserve">yet democracy calls for equality and Satori </w:t>
      </w:r>
      <w:r w:rsidR="00202A84">
        <w:fldChar w:fldCharType="begin" w:fldLock="1"/>
      </w:r>
      <w:r w:rsidR="00E63CC6">
        <w:instrText>ADDIN CSL_CITATION { "citationItems" : [ { "id" : "ITEM-1", "itemData" : { "author" : [ { "dropping-particle" : "", "family" : "Satori", "given" : "Giovanni", "non-dropping-particle" : "", "parse-names" : false, "suffix" : "" } ], "id" : "ITEM-1", "issued" : { "date-parts" : [ [ "1987" ] ] }, "number-of-pages" : "257-542", "publisher" : "Chatham House Publishers", "publisher-place" : "New Jersey", "title" : "Theory of Democracy Revisited (Part Two)", "type" : "book" }, "locator" : "384", "uris" : [ "http://www.mendeley.com/documents/?uuid=1d898ac6-959c-429c-933e-81491cc3a1c9" ] } ], "mendeley" : { "formattedCitation" : "(Satori, 1987b, p. 384)", "manualFormatting" : "(1987b, p.384)", "plainTextFormattedCitation" : "(Satori, 1987b, p. 384)", "previouslyFormattedCitation" : "(Satori, 1987b, p. 384)" }, "properties" : { "noteIndex" : 0 }, "schema" : "https://github.com/citation-style-language/schema/raw/master/csl-citation.json" }</w:instrText>
      </w:r>
      <w:r w:rsidR="00202A84">
        <w:fldChar w:fldCharType="separate"/>
      </w:r>
      <w:r w:rsidR="00202A84" w:rsidRPr="00202A84">
        <w:rPr>
          <w:noProof/>
        </w:rPr>
        <w:t>(1987b, p.384)</w:t>
      </w:r>
      <w:r w:rsidR="00202A84">
        <w:fldChar w:fldCharType="end"/>
      </w:r>
      <w:r>
        <w:t xml:space="preserve"> argues that</w:t>
      </w:r>
      <w:r w:rsidRPr="00930BF5">
        <w:t xml:space="preserve"> liberty ‘has a vertical impetus’ whilst in contrast ‘equality has a horizontal urge’; </w:t>
      </w:r>
      <w:r w:rsidR="00C75C73">
        <w:t xml:space="preserve">perhaps </w:t>
      </w:r>
      <w:r w:rsidRPr="00930BF5">
        <w:t>more fundamentally, ‘liberty pivots on the individual, and democracy on society’.</w:t>
      </w:r>
      <w:r>
        <w:t xml:space="preserve"> W</w:t>
      </w:r>
      <w:r w:rsidRPr="00930BF5">
        <w:t xml:space="preserve">hat allows them to be combined is that </w:t>
      </w:r>
      <w:r>
        <w:t>liberalism</w:t>
      </w:r>
      <w:r w:rsidRPr="00930BF5">
        <w:t xml:space="preserve"> is not </w:t>
      </w:r>
      <w:r w:rsidRPr="00930BF5">
        <w:rPr>
          <w:i/>
        </w:rPr>
        <w:t>wholly</w:t>
      </w:r>
      <w:r w:rsidRPr="00930BF5">
        <w:t xml:space="preserve"> a matter of liberty, and democracy not </w:t>
      </w:r>
      <w:r w:rsidRPr="00930BF5">
        <w:rPr>
          <w:i/>
        </w:rPr>
        <w:t>wholly</w:t>
      </w:r>
      <w:r w:rsidRPr="00930BF5">
        <w:t xml:space="preserve"> a matter of equality – should they be then the contradiction would be too great and the system would collapse. And indeed if a system of liberal democracy were to swing too far in either direction it would not survive as such a system.</w:t>
      </w:r>
    </w:p>
    <w:p w14:paraId="6EFBB858" w14:textId="3AC14454" w:rsidR="00CF455B" w:rsidRPr="00930BF5" w:rsidRDefault="00CF455B" w:rsidP="00C62010">
      <w:pPr>
        <w:rPr>
          <w:noProof/>
        </w:rPr>
      </w:pPr>
      <w:r w:rsidRPr="00930BF5">
        <w:t xml:space="preserve">Satori </w:t>
      </w:r>
      <w:r w:rsidR="00202A84">
        <w:fldChar w:fldCharType="begin" w:fldLock="1"/>
      </w:r>
      <w:r w:rsidR="00E63CC6">
        <w:instrText>ADDIN CSL_CITATION { "citationItems" : [ { "id" : "ITEM-1", "itemData" : { "author" : [ { "dropping-particle" : "", "family" : "Satori", "given" : "Giovanni", "non-dropping-particle" : "", "parse-names" : false, "suffix" : "" } ], "id" : "ITEM-1", "issued" : { "date-parts" : [ [ "1987" ] ] }, "number-of-pages" : "257-542", "publisher" : "Chatham House Publishers", "publisher-place" : "New Jersey", "title" : "Theory of Democracy Revisited (Part Two)", "type" : "book" }, "locator" : "386", "uris" : [ "http://www.mendeley.com/documents/?uuid=1d898ac6-959c-429c-933e-81491cc3a1c9" ] } ], "mendeley" : { "formattedCitation" : "(Satori, 1987b, p. 386)", "manualFormatting" : "(1987b, p.386)", "plainTextFormattedCitation" : "(Satori, 1987b, p. 386)", "previouslyFormattedCitation" : "(Satori, 1987b, p. 386)" }, "properties" : { "noteIndex" : 0 }, "schema" : "https://github.com/citation-style-language/schema/raw/master/csl-citation.json" }</w:instrText>
      </w:r>
      <w:r w:rsidR="00202A84">
        <w:fldChar w:fldCharType="separate"/>
      </w:r>
      <w:r w:rsidR="00202A84" w:rsidRPr="00202A84">
        <w:rPr>
          <w:noProof/>
        </w:rPr>
        <w:t>(1987b, p.386)</w:t>
      </w:r>
      <w:r w:rsidR="00202A84">
        <w:fldChar w:fldCharType="end"/>
      </w:r>
      <w:r w:rsidRPr="00930BF5">
        <w:t xml:space="preserve"> argues that:</w:t>
      </w:r>
    </w:p>
    <w:p w14:paraId="49DC0C97" w14:textId="77777777" w:rsidR="00CF455B" w:rsidRPr="00930BF5" w:rsidRDefault="00CF455B" w:rsidP="00C62010">
      <w:pPr>
        <w:pStyle w:val="Quote"/>
      </w:pPr>
      <w:r w:rsidRPr="00930BF5">
        <w:t>“…the interplay between the liberal and the democratic components of our systems can be portrayed thus: The first is especially concerned with political bondage, individual initiative, and the form of the state; the second is especially sensitive to welfare, equality and social cohesion. What we have then is a composition, a compound.”</w:t>
      </w:r>
    </w:p>
    <w:p w14:paraId="19DBEA2E" w14:textId="4F78CE72" w:rsidR="00CF455B" w:rsidRDefault="00CF455B" w:rsidP="00C62010">
      <w:r>
        <w:t>This description of a ‘compound’ becomes very important in the later chapters of this thesis.</w:t>
      </w:r>
      <w:r w:rsidR="004B3F7D">
        <w:rPr>
          <w:rStyle w:val="FootnoteReference"/>
        </w:rPr>
        <w:footnoteReference w:id="1"/>
      </w:r>
      <w:r>
        <w:t xml:space="preserve"> </w:t>
      </w:r>
      <w:r w:rsidRPr="00930BF5">
        <w:t>Liberalism and democracy then both have important roles to play when governing a modern state. Satori</w:t>
      </w:r>
      <w:r w:rsidR="00202A84">
        <w:t xml:space="preserve"> </w:t>
      </w:r>
      <w:r w:rsidR="00202A84">
        <w:fldChar w:fldCharType="begin" w:fldLock="1"/>
      </w:r>
      <w:r w:rsidR="00E63CC6">
        <w:instrText>ADDIN CSL_CITATION { "citationItems" : [ { "id" : "ITEM-1", "itemData" : { "author" : [ { "dropping-particle" : "", "family" : "Satori", "given" : "Giovanni", "non-dropping-particle" : "", "parse-names" : false, "suffix" : "" } ], "id" : "ITEM-1", "issued" : { "date-parts" : [ [ "1987" ] ] }, "number-of-pages" : "257-542", "publisher" : "Chatham House Publishers", "publisher-place" : "New Jersey", "title" : "Theory of Democracy Revisited (Part Two)", "type" : "book" }, "locator" : "386-393", "uris" : [ "http://www.mendeley.com/documents/?uuid=1d898ac6-959c-429c-933e-81491cc3a1c9" ] } ], "mendeley" : { "formattedCitation" : "(Satori, 1987b, pp. 386\u2013393)", "manualFormatting" : "(1987b, pp.386\u2013393)", "plainTextFormattedCitation" : "(Satori, 1987b, pp. 386\u2013393)", "previouslyFormattedCitation" : "(Satori, 1987b, pp. 386\u2013393)" }, "properties" : { "noteIndex" : 0 }, "schema" : "https://github.com/citation-style-language/schema/raw/master/csl-citation.json" }</w:instrText>
      </w:r>
      <w:r w:rsidR="00202A84">
        <w:fldChar w:fldCharType="separate"/>
      </w:r>
      <w:r w:rsidR="00202A84" w:rsidRPr="00202A84">
        <w:rPr>
          <w:noProof/>
        </w:rPr>
        <w:t>(1987b, pp.386–393)</w:t>
      </w:r>
      <w:r w:rsidR="00202A84">
        <w:fldChar w:fldCharType="end"/>
      </w:r>
      <w:r w:rsidRPr="00930BF5">
        <w:t xml:space="preserve"> argues that the constitutional rights which protect an individual against governmental coercion and prevent tyrannies of the majority – ideas shaped by the work </w:t>
      </w:r>
      <w:r>
        <w:t xml:space="preserve">of </w:t>
      </w:r>
      <w:r w:rsidRPr="00930BF5">
        <w:t>John Stuart Mill – are the t</w:t>
      </w:r>
      <w:r w:rsidR="007D288B">
        <w:t>ene</w:t>
      </w:r>
      <w:r w:rsidRPr="00930BF5">
        <w:t>ts of a liberal state. Without them, he argu</w:t>
      </w:r>
      <w:r w:rsidR="005D4C1F">
        <w:t>es, democracy would only follow</w:t>
      </w:r>
      <w:r w:rsidRPr="00930BF5">
        <w:t xml:space="preserve"> its logic of equalization and so </w:t>
      </w:r>
      <w:r w:rsidR="005D4C1F">
        <w:t>would become</w:t>
      </w:r>
      <w:r w:rsidRPr="00930BF5">
        <w:t xml:space="preserve">, in effect, totalitarian; without liberalism, there cannot be liberty and freedom </w:t>
      </w:r>
      <w:r w:rsidRPr="00930BF5">
        <w:rPr>
          <w:i/>
        </w:rPr>
        <w:t>from</w:t>
      </w:r>
      <w:r w:rsidRPr="00930BF5">
        <w:t xml:space="preserve"> the coercive machinations of a state system. In essence, Satori suggests you cannot have the freedom </w:t>
      </w:r>
      <w:r w:rsidRPr="00930BF5">
        <w:rPr>
          <w:i/>
        </w:rPr>
        <w:t>to</w:t>
      </w:r>
      <w:r w:rsidRPr="00930BF5">
        <w:t xml:space="preserve"> (equality/democracy) without freedom </w:t>
      </w:r>
      <w:r w:rsidRPr="00930BF5">
        <w:rPr>
          <w:i/>
        </w:rPr>
        <w:t xml:space="preserve">from </w:t>
      </w:r>
      <w:r w:rsidRPr="00930BF5">
        <w:t>(liberty), yet the opposite of this is not true</w:t>
      </w:r>
      <w:r w:rsidR="000869EA">
        <w:t>.</w:t>
      </w:r>
      <w:r w:rsidR="000869EA" w:rsidRPr="00AD1B56">
        <w:rPr>
          <w:rStyle w:val="FootnoteReference"/>
        </w:rPr>
        <w:footnoteReference w:id="2"/>
      </w:r>
      <w:r w:rsidR="000869EA">
        <w:t xml:space="preserve"> </w:t>
      </w:r>
    </w:p>
    <w:p w14:paraId="24B39AB7" w14:textId="4BBFFDAC" w:rsidR="00CF455B" w:rsidRDefault="00CF455B" w:rsidP="00C62010">
      <w:r>
        <w:t xml:space="preserve">As these notions of polyarchy and liberal democracies have broadened out the role played by democratic institutions in the electoral model, they have also further infused agency into the role played by citizens. In truth, in terms of participation, there is not such a large leap in terms of citizen expectations. Instead, the main areas </w:t>
      </w:r>
      <w:r w:rsidR="00A64BFA">
        <w:t>on which more attention is focussed</w:t>
      </w:r>
      <w:r>
        <w:t xml:space="preserve"> concern </w:t>
      </w:r>
      <w:r w:rsidR="00831EC7">
        <w:t xml:space="preserve">citizens’ </w:t>
      </w:r>
      <w:r>
        <w:t xml:space="preserve">rights and </w:t>
      </w:r>
      <w:r w:rsidR="00831EC7">
        <w:t xml:space="preserve">how these rights are </w:t>
      </w:r>
      <w:r>
        <w:t>protect</w:t>
      </w:r>
      <w:r w:rsidR="00831EC7">
        <w:t>ed,</w:t>
      </w:r>
      <w:r>
        <w:t xml:space="preserve"> alongside </w:t>
      </w:r>
      <w:r w:rsidR="00831EC7">
        <w:t>citizens’</w:t>
      </w:r>
      <w:r>
        <w:t xml:space="preserve"> access to information so they are able to stand for election and make informed political choices. However, there is also some focus on the role of agenda-setting in polyarchy, which gets at the idea of civil society and the space outside the institutional political system which can nevertheless inform and influence politics.</w:t>
      </w:r>
    </w:p>
    <w:p w14:paraId="19431435" w14:textId="20CE7041" w:rsidR="00CF455B" w:rsidRPr="00930BF5" w:rsidRDefault="00CF455B" w:rsidP="00C62010">
      <w:r>
        <w:t>To move this discussion on, the following section examines feministic cri</w:t>
      </w:r>
      <w:r w:rsidR="000C6CD5">
        <w:t>tiques of</w:t>
      </w:r>
      <w:r>
        <w:t xml:space="preserve"> certain elements of this </w:t>
      </w:r>
      <w:r w:rsidR="000C6CD5">
        <w:t xml:space="preserve">liberal </w:t>
      </w:r>
      <w:r w:rsidR="001E3FD2">
        <w:t>conceptualis</w:t>
      </w:r>
      <w:r>
        <w:t>ation of politics, before moving onto the notion of deliberative democracy, which moves the participation of citizens into the centre stage</w:t>
      </w:r>
      <w:r w:rsidR="000C6CD5">
        <w:t>.</w:t>
      </w:r>
      <w:r w:rsidR="002439B4">
        <w:t xml:space="preserve"> </w:t>
      </w:r>
      <w:r w:rsidR="000C6CD5">
        <w:t>F</w:t>
      </w:r>
      <w:r w:rsidR="002439B4">
        <w:t>inally</w:t>
      </w:r>
      <w:r w:rsidR="005D4C1F">
        <w:t>,</w:t>
      </w:r>
      <w:r w:rsidR="002439B4">
        <w:t xml:space="preserve"> </w:t>
      </w:r>
      <w:r w:rsidR="000C6CD5">
        <w:t xml:space="preserve">I discuss </w:t>
      </w:r>
      <w:r w:rsidR="002439B4">
        <w:t xml:space="preserve">radical </w:t>
      </w:r>
      <w:r w:rsidR="000C6CD5">
        <w:t xml:space="preserve">democracy, which reformulates conceptions of citizenship and subsequently pulls </w:t>
      </w:r>
      <w:r w:rsidR="005D4C1F">
        <w:t>a</w:t>
      </w:r>
      <w:r w:rsidR="000C6CD5">
        <w:t>way from the liberal understanding.</w:t>
      </w:r>
    </w:p>
    <w:p w14:paraId="3D6AF1CC" w14:textId="76CCF063" w:rsidR="00CF455B" w:rsidRPr="00E223A2" w:rsidRDefault="00CF455B" w:rsidP="00E223A2">
      <w:pPr>
        <w:pStyle w:val="Heading3"/>
      </w:pPr>
      <w:bookmarkStart w:id="41" w:name="_Toc441069165"/>
      <w:r w:rsidRPr="00E223A2">
        <w:t>Feminist</w:t>
      </w:r>
      <w:r w:rsidR="00015EE0">
        <w:t xml:space="preserve"> </w:t>
      </w:r>
      <w:r w:rsidRPr="00E223A2">
        <w:t>Critiques</w:t>
      </w:r>
      <w:bookmarkEnd w:id="41"/>
    </w:p>
    <w:p w14:paraId="6A4E10B4" w14:textId="77777777" w:rsidR="00737137" w:rsidRPr="00CB0798" w:rsidRDefault="00737137" w:rsidP="00737137">
      <w:pPr>
        <w:rPr>
          <w:highlight w:val="cyan"/>
        </w:rPr>
      </w:pPr>
      <w:bookmarkStart w:id="42" w:name="_Toc441069166"/>
      <w:r w:rsidRPr="00CB0798">
        <w:rPr>
          <w:highlight w:val="cyan"/>
        </w:rPr>
        <w:t>Whilst the notion of liberal democracy is now the orthodoxy in Western democratic theory, it is not without its critics. The strands of critique discussed in this review are the feminist, deliberative, and radical approaches. The feminist critique in particular rebuts certain key elements of liberal democracy in way that lays the groundwork for deliberative democratic theory, discussed in the following section.</w:t>
      </w:r>
    </w:p>
    <w:p w14:paraId="4FE3C7DE" w14:textId="526AAD2C" w:rsidR="00737137" w:rsidRPr="00CB0798" w:rsidRDefault="00737137" w:rsidP="00737137">
      <w:pPr>
        <w:rPr>
          <w:highlight w:val="cyan"/>
        </w:rPr>
      </w:pPr>
      <w:r w:rsidRPr="00CB0798">
        <w:rPr>
          <w:highlight w:val="cyan"/>
        </w:rPr>
        <w:t xml:space="preserve">One of the earliest treatises to directly tackle the issue of gender rights in connection to liberal democracy was </w:t>
      </w:r>
      <w:r w:rsidRPr="00CB0798">
        <w:rPr>
          <w:i/>
          <w:highlight w:val="cyan"/>
        </w:rPr>
        <w:t>Vindication of the Rights of Woman</w:t>
      </w:r>
      <w:r w:rsidRPr="00CB0798">
        <w:rPr>
          <w:highlight w:val="cyan"/>
        </w:rPr>
        <w:t xml:space="preserve"> written by Mary Wollstonecraft in 1792. Wollstonecraft </w:t>
      </w:r>
      <w:r w:rsidRPr="00CB0798">
        <w:rPr>
          <w:highlight w:val="cyan"/>
        </w:rPr>
        <w:fldChar w:fldCharType="begin" w:fldLock="1"/>
      </w:r>
      <w:r w:rsidR="00E63CC6" w:rsidRPr="00CB0798">
        <w:rPr>
          <w:highlight w:val="cyan"/>
        </w:rPr>
        <w:instrText>ADDIN CSL_CITATION { "citationItems" : [ { "id" : "ITEM-1", "itemData" : { "author" : [ { "dropping-particle" : "", "family" : "Wollstonecraft", "given" : "Mary", "non-dropping-particle" : "", "parse-names" : false, "suffix" : "" } ], "editor" : [ { "dropping-particle" : "", "family" : "Lynch", "given" : "Deidre Shauna", "non-dropping-particle" : "", "parse-names" : false, "suffix" : "" } ], "id" : "ITEM-1", "issued" : { "date-parts" : [ [ "1792" ] ] }, "publisher" : "Penguin", "publisher-place" : "Harmondsworth", "title" : "A Vindication of the Rights of Woman", "type" : "book" }, "uris" : [ "http://www.mendeley.com/documents/?uuid=c74fe425-a926-49e2-aad3-947f458ed1e3" ] } ], "mendeley" : { "formattedCitation" : "(Wollstonecraft, 1792)", "manualFormatting" : "(1792 [2004])", "plainTextFormattedCitation" : "(Wollstonecraft, 1792)", "previouslyFormattedCitation" : "(Wollstonecraft, 1792)" }, "properties" : { "noteIndex" : 0 }, "schema" : "https://github.com/citation-style-language/schema/raw/master/csl-citation.json" }</w:instrText>
      </w:r>
      <w:r w:rsidRPr="00CB0798">
        <w:rPr>
          <w:highlight w:val="cyan"/>
        </w:rPr>
        <w:fldChar w:fldCharType="separate"/>
      </w:r>
      <w:r w:rsidRPr="00CB0798">
        <w:rPr>
          <w:noProof/>
          <w:highlight w:val="cyan"/>
        </w:rPr>
        <w:t>(1792 [2004])</w:t>
      </w:r>
      <w:r w:rsidRPr="00CB0798">
        <w:rPr>
          <w:highlight w:val="cyan"/>
        </w:rPr>
        <w:fldChar w:fldCharType="end"/>
      </w:r>
      <w:r w:rsidRPr="00CB0798">
        <w:rPr>
          <w:highlight w:val="cyan"/>
        </w:rPr>
        <w:t xml:space="preserve"> argued that women had the capacity to think rationally, and should be educated together with men so that they can contribute to more actively to wider society and not just be, as Rousseau suggested in </w:t>
      </w:r>
      <w:r w:rsidRPr="00CB0798">
        <w:rPr>
          <w:i/>
          <w:highlight w:val="cyan"/>
        </w:rPr>
        <w:t>Emile</w:t>
      </w:r>
      <w:r w:rsidRPr="00CB0798">
        <w:rPr>
          <w:highlight w:val="cyan"/>
        </w:rPr>
        <w:t>, the playthings of men. Although she still saw very clear demarcations between the genders, Wollstonecraft also believed it important for women to be far more present in the public sphere – their poor showing in her time, Wollstonecraft argued, had nothing to do with any innate properties of women, but because of the oppressive behaviour of men, confining women to the cage of the private sphere: “provided with food and raiment, for which they neither toil nor spin; but health, liberty and virtue are given in exchange” (</w:t>
      </w:r>
      <w:r w:rsidRPr="00CB0798">
        <w:rPr>
          <w:i/>
          <w:highlight w:val="cyan"/>
        </w:rPr>
        <w:t>ibid</w:t>
      </w:r>
      <w:r w:rsidRPr="00CB0798">
        <w:rPr>
          <w:highlight w:val="cyan"/>
        </w:rPr>
        <w:t xml:space="preserve">, p. 146). It was because of her innovate grappling with the deeply gendered public/private sphere that Held (1996 p.63) has argued that “Mary Wollstonecraft has rarely been considered one of the key theorists of democracy, but she ought to have been.” </w:t>
      </w:r>
    </w:p>
    <w:p w14:paraId="707780DD" w14:textId="75351DDC" w:rsidR="00737137" w:rsidRPr="00CB0798" w:rsidRDefault="00737137" w:rsidP="00737137">
      <w:pPr>
        <w:rPr>
          <w:highlight w:val="cyan"/>
        </w:rPr>
      </w:pPr>
      <w:r w:rsidRPr="00CB0798">
        <w:rPr>
          <w:highlight w:val="cyan"/>
        </w:rPr>
        <w:t xml:space="preserve">At the time, Wollstonecraft’s arguments were particularly radical and indeed, these arguments weren’t addressed comprehensively again until John Stuart Mill continued the theme over seventy years later in </w:t>
      </w:r>
      <w:r w:rsidRPr="00CB0798">
        <w:rPr>
          <w:i/>
          <w:highlight w:val="cyan"/>
        </w:rPr>
        <w:t xml:space="preserve">The Subjection of Women </w:t>
      </w:r>
      <w:r w:rsidRPr="00CB0798">
        <w:rPr>
          <w:i/>
          <w:highlight w:val="cyan"/>
        </w:rPr>
        <w:fldChar w:fldCharType="begin" w:fldLock="1"/>
      </w:r>
      <w:r w:rsidR="00E63CC6" w:rsidRPr="00CB0798">
        <w:rPr>
          <w:i/>
          <w:highlight w:val="cyan"/>
        </w:rPr>
        <w:instrText>ADDIN CSL_CITATION { "citationItems" : [ { "id" : "ITEM-1", "itemData" : { "author" : [ { "dropping-particle" : "", "family" : "Mill", "given" : "John Stuart", "non-dropping-particle" : "", "parse-names" : false, "suffix" : "" } ], "id" : "ITEM-1", "issued" : { "date-parts" : [ [ "1869" ] ] }, "publisher" : "Longmans, Green, Reader &amp; Dyer", "publisher-place" : "London", "title" : "The Subjection of Women", "type" : "book" }, "uris" : [ "http://www.mendeley.com/documents/?uuid=bcd09d47-ea71-422c-8a55-4f42440fada5" ] } ], "mendeley" : { "formattedCitation" : "(Mill, 1869)", "manualFormatting" : "(1869)", "plainTextFormattedCitation" : "(Mill, 1869)", "previouslyFormattedCitation" : "(Mill, 1869)" }, "properties" : { "noteIndex" : 0 }, "schema" : "https://github.com/citation-style-language/schema/raw/master/csl-citation.json" }</w:instrText>
      </w:r>
      <w:r w:rsidRPr="00CB0798">
        <w:rPr>
          <w:i/>
          <w:highlight w:val="cyan"/>
        </w:rPr>
        <w:fldChar w:fldCharType="separate"/>
      </w:r>
      <w:r w:rsidRPr="00CB0798">
        <w:rPr>
          <w:noProof/>
          <w:highlight w:val="cyan"/>
        </w:rPr>
        <w:t>(1869)</w:t>
      </w:r>
      <w:r w:rsidRPr="00CB0798">
        <w:rPr>
          <w:i/>
          <w:highlight w:val="cyan"/>
        </w:rPr>
        <w:fldChar w:fldCharType="end"/>
      </w:r>
      <w:r w:rsidRPr="00CB0798">
        <w:rPr>
          <w:highlight w:val="cyan"/>
        </w:rPr>
        <w:t xml:space="preserve">. Mill argued that the relationship between men and women was almost entirely coercive, right through to the legal structure which still saw marriage as possession and denied property rights to women. Men were masters and women were subjects. In his discussion of Mill’s work, Held </w:t>
      </w:r>
      <w:r w:rsidRPr="00CB0798">
        <w:rPr>
          <w:highlight w:val="cyan"/>
        </w:rPr>
        <w:fldChar w:fldCharType="begin" w:fldLock="1"/>
      </w:r>
      <w:r w:rsidR="00E63CC6" w:rsidRPr="00CB0798">
        <w:rPr>
          <w:highlight w:val="cyan"/>
        </w:rPr>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"uris" : [ "http://www.mendeley.com/documents/?uuid=24227599-5f98-4d3e-a622-4ec6675a17ba" ] } ], "mendeley" : { "formattedCitation" : "(Held, 1998)", "manualFormatting" : "(1998: 112)", "plainTextFormattedCitation" : "(Held, 1998)", "previouslyFormattedCitation" : "(Held, 1998)" }, "properties" : { "noteIndex" : 0 }, "schema" : "https://github.com/citation-style-language/schema/raw/master/csl-citation.json" }</w:instrText>
      </w:r>
      <w:r w:rsidRPr="00CB0798">
        <w:rPr>
          <w:highlight w:val="cyan"/>
        </w:rPr>
        <w:fldChar w:fldCharType="separate"/>
      </w:r>
      <w:r w:rsidRPr="00CB0798">
        <w:rPr>
          <w:noProof/>
          <w:highlight w:val="cyan"/>
        </w:rPr>
        <w:t>(1998: 112)</w:t>
      </w:r>
      <w:r w:rsidRPr="00CB0798">
        <w:rPr>
          <w:highlight w:val="cyan"/>
        </w:rPr>
        <w:fldChar w:fldCharType="end"/>
      </w:r>
      <w:r w:rsidRPr="00CB0798">
        <w:rPr>
          <w:highlight w:val="cyan"/>
        </w:rPr>
        <w:t xml:space="preserve"> outlines how he critiqued this state of affairs: </w:t>
      </w:r>
    </w:p>
    <w:p w14:paraId="339789BC" w14:textId="77777777" w:rsidR="00737137" w:rsidRPr="00CB0798" w:rsidRDefault="00737137" w:rsidP="00737137">
      <w:pPr>
        <w:pStyle w:val="Quote"/>
        <w:rPr>
          <w:highlight w:val="cyan"/>
        </w:rPr>
      </w:pPr>
      <w:r w:rsidRPr="00CB0798">
        <w:rPr>
          <w:highlight w:val="cyan"/>
        </w:rPr>
        <w:t>“The position of women, Mill concludes, is a wholly unwarranted exception to the principles of individual liberty, equal justice and equality of opportunity – a world in which authority and privilege ought to be linked directly to merit, not to institutionalized force.”</w:t>
      </w:r>
    </w:p>
    <w:p w14:paraId="578BB70E" w14:textId="6092B058" w:rsidR="00737137" w:rsidRPr="00CB0798" w:rsidRDefault="00737137" w:rsidP="00737137">
      <w:pPr>
        <w:rPr>
          <w:highlight w:val="cyan"/>
        </w:rPr>
      </w:pPr>
      <w:r w:rsidRPr="00CB0798">
        <w:rPr>
          <w:highlight w:val="cyan"/>
        </w:rPr>
        <w:t xml:space="preserve">For Mill, equality between the sexes is a fundamental requirement for liberty and freedom, and so is required for a democratic way of life </w:t>
      </w:r>
      <w:r w:rsidRPr="00CB0798">
        <w:rPr>
          <w:highlight w:val="cyan"/>
        </w:rPr>
        <w:fldChar w:fldCharType="begin" w:fldLock="1"/>
      </w:r>
      <w:r w:rsidR="00E63CC6" w:rsidRPr="00CB0798">
        <w:rPr>
          <w:highlight w:val="cyan"/>
        </w:rPr>
        <w:instrText>ADDIN CSL_CITATION { "citationItems" : [ { "id" : "ITEM-1", "itemData" : { "author" : [ { "dropping-particle" : "", "family" : "Held", "given" : "David", "non-dropping-particle" : "", "parse-names" : false, "suffix" : "" } ], "edition" : "(2nd Ed.)", "id" : "ITEM-1", "issued" : { "date-parts" : [ [ "1998" ] ] }, "publisher" : "Polity Press", "publisher-place" : "Cambridge", "title" : "Models of Democracy", "type" : "book" }, "locator" : "113-114", "uris" : [ "http://www.mendeley.com/documents/?uuid=24227599-5f98-4d3e-a622-4ec6675a17ba" ] } ], "mendeley" : { "formattedCitation" : "(Held, 1998, pp. 113\u2013114)", "plainTextFormattedCitation" : "(Held, 1998, pp. 113\u2013114)", "previouslyFormattedCitation" : "(Held, 1998, pp. 113\u2013114)" }, "properties" : { "noteIndex" : 0 }, "schema" : "https://github.com/citation-style-language/schema/raw/master/csl-citation.json" }</w:instrText>
      </w:r>
      <w:r w:rsidRPr="00CB0798">
        <w:rPr>
          <w:highlight w:val="cyan"/>
        </w:rPr>
        <w:fldChar w:fldCharType="separate"/>
      </w:r>
      <w:r w:rsidR="00E63CC6" w:rsidRPr="00CB0798">
        <w:rPr>
          <w:noProof/>
          <w:highlight w:val="cyan"/>
        </w:rPr>
        <w:t>(Held, 1998, pp. 113–114)</w:t>
      </w:r>
      <w:r w:rsidRPr="00CB0798">
        <w:rPr>
          <w:highlight w:val="cyan"/>
        </w:rPr>
        <w:fldChar w:fldCharType="end"/>
      </w:r>
      <w:r w:rsidRPr="00CB0798">
        <w:rPr>
          <w:highlight w:val="cyan"/>
        </w:rPr>
        <w:t>. Yet despite core elements of feminism being traceable back to this strand of 17</w:t>
      </w:r>
      <w:r w:rsidRPr="00CB0798">
        <w:rPr>
          <w:highlight w:val="cyan"/>
          <w:vertAlign w:val="superscript"/>
        </w:rPr>
        <w:t>th</w:t>
      </w:r>
      <w:r w:rsidRPr="00CB0798">
        <w:rPr>
          <w:highlight w:val="cyan"/>
        </w:rPr>
        <w:t xml:space="preserve"> century liberalism which ‘rejected the patriarchal basis of political power’, liberal democratic theory, and the system in practice, has ‘been slow to acknowledge women as equal citizens; and even after their belated enfranchisement, women have continued to feel themselves second-class citizens’ </w:t>
      </w:r>
      <w:r w:rsidRPr="00CB0798">
        <w:rPr>
          <w:highlight w:val="cyan"/>
        </w:rPr>
        <w:fldChar w:fldCharType="begin" w:fldLock="1"/>
      </w:r>
      <w:r w:rsidR="00E63CC6" w:rsidRPr="00CB0798">
        <w:rPr>
          <w:highlight w:val="cyan"/>
        </w:rPr>
        <w:instrText>ADDIN CSL_CITATION { "citationItems" : [ { "id" : "ITEM-1", "itemData" : { "author" : [ { "dropping-particle" : "", "family" : "Phillips", "given" : "Anne", "non-dropping-particle" : "", "parse-names" : false, "suffix" : "" } ], "container-title" : "A Companion to Feminist Philosophy", "editor" : [ { "dropping-particle" : "", "family" : "Jaggar", "given" : "A. M", "non-dropping-particle" : "", "parse-names" : false, "suffix" : "" }, { "dropping-particle" : "", "family" : "Young", "given" : "Iris Marion", "non-dropping-particle" : "", "parse-names" : false, "suffix" : "" } ], "id" : "ITEM-1", "issued" : { "date-parts" : [ [ "2000" ] ] }, "page" : "511-519", "publisher" : "Blackwell Reference Online", "title" : "Democracy", "type" : "chapter" }, "uris" : [ "http://www.mendeley.com/documents/?uuid=2c7d0621-0970-4ce7-9f98-861eb605392f" ] } ], "mendeley" : { "formattedCitation" : "(Phillips, 2000)", "manualFormatting" : "(Phillips, 2000, p.511)", "plainTextFormattedCitation" : "(Phillips, 2000)", "previouslyFormattedCitation" : "(Phillips, 2000)" }, "properties" : { "noteIndex" : 0 }, "schema" : "https://github.com/citation-style-language/schema/raw/master/csl-citation.json" }</w:instrText>
      </w:r>
      <w:r w:rsidRPr="00CB0798">
        <w:rPr>
          <w:highlight w:val="cyan"/>
        </w:rPr>
        <w:fldChar w:fldCharType="separate"/>
      </w:r>
      <w:r w:rsidRPr="00CB0798">
        <w:rPr>
          <w:noProof/>
          <w:highlight w:val="cyan"/>
        </w:rPr>
        <w:t>(Phillips, 2000, p.511)</w:t>
      </w:r>
      <w:r w:rsidRPr="00CB0798">
        <w:rPr>
          <w:highlight w:val="cyan"/>
        </w:rPr>
        <w:fldChar w:fldCharType="end"/>
      </w:r>
      <w:r w:rsidRPr="00CB0798">
        <w:rPr>
          <w:highlight w:val="cyan"/>
        </w:rPr>
        <w:t>.</w:t>
      </w:r>
    </w:p>
    <w:p w14:paraId="25FA720C" w14:textId="04E8461C" w:rsidR="00737137" w:rsidRPr="00CB0798" w:rsidRDefault="00737137" w:rsidP="00737137">
      <w:pPr>
        <w:rPr>
          <w:highlight w:val="cyan"/>
        </w:rPr>
      </w:pPr>
      <w:r w:rsidRPr="00CB0798">
        <w:rPr>
          <w:highlight w:val="cyan"/>
        </w:rPr>
        <w:t>Critiques of liberal democracy from contemporary Feminist scholars have come from a number of angles. Perhaps the most prominent critique is that liberal democracy is theorised around equal political rights, but such an idea is undermined considerably by realities of social and economic inequality. As Anne Phillips</w:t>
      </w:r>
      <w:r w:rsidRPr="00CB0798">
        <w:rPr>
          <w:highlight w:val="cyan"/>
        </w:rPr>
        <w:fldChar w:fldCharType="begin" w:fldLock="1"/>
      </w:r>
      <w:r w:rsidR="00396424">
        <w:rPr>
          <w:highlight w:val="cyan"/>
        </w:rPr>
        <w:instrText>ADDIN CSL_CITATION { "citationItems" : [ { "id" : "ITEM-1", "itemData" : { "ISBN" : "00323217", "ISSN" : "00323217", "abstract" : "Feminists have taken issue with liberal democracy on a number of counts, including the conditions necessary to achieve political equality and the importance to be attached to political participation. This paper considers issues currently raised under the rubric of citizenship, earlier and continuing arguments for a more actively participatory democracy, and questions associated with representing social heterogeneity and group difference. The argument throughout is that while liberal democracy has signally failed to deliver on its promises to women, it does not help to address these failings in terms of giving up on liberal democracy. [ABSTRACT FROM AUTHOR]\\nCopyright of Political Studies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"Phillips", "given" : "Anne", "non-dropping-particle" : "", "parse-names" : false, "suffix" : "" } ], "container-title" : "Political Studies", "id" : "ITEM-1", "issued" : { "date-parts" : [ [ "1992" ] ] }, "page" : "68-82", "title" : "Must Feminists Give Up on Liberal Democracy?", "type" : "article-journal", "volume" : "40" }, "uris" : [ "http://www.mendeley.com/documents/?uuid=d8b65e17-5f3e-488e-ae17-728dec59295c" ] } ], "mendeley" : { "formattedCitation" : "(Phillips, 1992b)", "manualFormatting" : " (1992a, p.72)", "plainTextFormattedCitation" : "(Phillips, 1992b)", "previouslyFormattedCitation" : "(Phillips, 1992b)" }, "properties" : { "noteIndex" : 0 }, "schema" : "https://github.com/citation-style-language/schema/raw/master/csl-citation.json" }</w:instrText>
      </w:r>
      <w:r w:rsidRPr="00CB0798">
        <w:rPr>
          <w:highlight w:val="cyan"/>
        </w:rPr>
        <w:fldChar w:fldCharType="separate"/>
      </w:r>
      <w:r w:rsidRPr="00CB0798">
        <w:rPr>
          <w:noProof/>
          <w:highlight w:val="cyan"/>
        </w:rPr>
        <w:t xml:space="preserve"> (1992a, p.72)</w:t>
      </w:r>
      <w:r w:rsidRPr="00CB0798">
        <w:rPr>
          <w:highlight w:val="cyan"/>
        </w:rPr>
        <w:fldChar w:fldCharType="end"/>
      </w:r>
      <w:r w:rsidRPr="00CB0798">
        <w:rPr>
          <w:highlight w:val="cyan"/>
        </w:rPr>
        <w:t xml:space="preserve"> put it: “Part of the traditional critique of liberal democracy is that it concedes only the formality of political equality, while ignoring or indeed condoning the social inequalities that are associated with the market economy”.</w:t>
      </w:r>
    </w:p>
    <w:p w14:paraId="13F607A9" w14:textId="4E37B688" w:rsidR="00737137" w:rsidRPr="00CB0798" w:rsidRDefault="00737137" w:rsidP="00737137">
      <w:pPr>
        <w:rPr>
          <w:highlight w:val="cyan"/>
        </w:rPr>
      </w:pPr>
      <w:r w:rsidRPr="00CB0798">
        <w:rPr>
          <w:highlight w:val="cyan"/>
        </w:rPr>
        <w:t xml:space="preserve">And there are deeper theoretical concerns for feminist scholars which developed in particular in the late 1980s and early 1990s. Two prominent ones discussed here are the perceived patriarchal basis of the social contract and subsequent problems of the public/private divide </w:t>
      </w:r>
      <w:r w:rsidRPr="00CB0798">
        <w:rPr>
          <w:highlight w:val="cyan"/>
        </w:rPr>
        <w:fldChar w:fldCharType="begin" w:fldLock="1"/>
      </w:r>
      <w:r w:rsidR="00E63CC6" w:rsidRPr="00CB0798">
        <w:rPr>
          <w:highlight w:val="cyan"/>
        </w:rPr>
        <w:instrText>ADDIN CSL_CITATION { "citationItems" : [ { "id" : "ITEM-1", "itemData" : { "author" : [ { "dropping-particle" : "", "family" : "Pateman", "given" : "Carole", "non-dropping-particle" : "", "parse-names" : false, "suffix" : "" } ], "id" : "ITEM-1", "issued" : { "date-parts" : [ [ "1988" ] ] }, "publisher" : "Polity Press", "publisher-place" : "Cambridge", "title" : "The Sexual Contract", "type" : "book" }, "uris" : [ "http://www.mendeley.com/documents/?uuid=a7a4f12d-66dc-4c0d-a8ce-3df8f12b7051" ] }, { "id" : "ITEM-2", "itemData" : { "author" : [ { "dropping-particle" : "", "family" : "Pateman", "given" : "C", "non-dropping-particle" : "", "parse-names" : false, "suffix" : "" } ], "id" : "ITEM-2", "issued" : { "date-parts" : [ [ "1989" ] ] }, "publisher" : "Polity Press", "publisher-place" : "Cambridge", "title" : "The Disorder of Women - Democracy, Feminism and Political Theory", "type" : "book" }, "uris" : [ "http://www.mendeley.com/documents/?uuid=b8115dbf-0b3b-4b2a-992c-cdc76b6a9de0" ] } ], "mendeley" : { "formattedCitation" : "(Pateman, 1988, 1989)", "plainTextFormattedCitation" : "(Pateman, 1988, 1989)", "previouslyFormattedCitation" : "(Pateman, 1988, 1989)" }, "properties" : { "noteIndex" : 0 }, "schema" : "https://github.com/citation-style-language/schema/raw/master/csl-citation.json" }</w:instrText>
      </w:r>
      <w:r w:rsidRPr="00CB0798">
        <w:rPr>
          <w:highlight w:val="cyan"/>
        </w:rPr>
        <w:fldChar w:fldCharType="separate"/>
      </w:r>
      <w:r w:rsidR="00E63CC6" w:rsidRPr="00CB0798">
        <w:rPr>
          <w:noProof/>
          <w:highlight w:val="cyan"/>
        </w:rPr>
        <w:t>(Pateman, 1988, 1989)</w:t>
      </w:r>
      <w:r w:rsidRPr="00CB0798">
        <w:rPr>
          <w:highlight w:val="cyan"/>
        </w:rPr>
        <w:fldChar w:fldCharType="end"/>
      </w:r>
      <w:r w:rsidRPr="00CB0798">
        <w:rPr>
          <w:highlight w:val="cyan"/>
        </w:rPr>
        <w:t xml:space="preserve">, and the shortcomings of liberalism’s focus on individualized conceptions of citizenship, which is further linked to problems of political participation </w:t>
      </w:r>
      <w:r w:rsidRPr="00CB0798">
        <w:rPr>
          <w:highlight w:val="cyan"/>
        </w:rPr>
        <w:fldChar w:fldCharType="begin" w:fldLock="1"/>
      </w:r>
      <w:r w:rsidR="00E63CC6" w:rsidRPr="00CB0798">
        <w:rPr>
          <w:highlight w:val="cyan"/>
        </w:rPr>
        <w:instrText>ADDIN CSL_CITATION { "citationItems" : [ { "id" : "ITEM-1", "itemData" : { "DOI" : "10.1017/CBO9781107415324.004", "ISBN" : "9788578110796", "ISSN" : "1098-6596", "PMID" : "25246403", "abstract" : "Populism, understood as an appeal to `the people' against both the established structure of power and the dominant ideas and values, should not be dismissed as a pathological form of politics of no interest to the political theorist, for its democratic pretensions raise important issues. Adapting Michael Oakeshott's distinction between `the politics of faith' and `the politics of scepticism', the paper o ers an analysis of democracy in terms of two opposing faces, one `pragmatic' and the other `redemptive', and argues that it is the inescapable tension between them that makes populism a perennial possibility.", "author" : [ { "dropping-particle" : "", "family" : "Young", "given" : "Iris Marion", "non-dropping-particle" : "", "parse-names" : false, "suffix" : "" } ], "container-title" : "Ethics", "id" : "ITEM-1", "issue" : "2", "issued" : { "date-parts" : [ [ "1989" ] ] }, "page" : "250-274", "title" : "Polity and Group Difference : A Critique of the Ideal of Universal Citizenship", "type" : "article-journal", "volume" : "99" }, "uris" : [ "http://www.mendeley.com/documents/?uuid=fbbdf256-e368-440e-8703-6397846231d8" ] }, { "id" : "ITEM-2", "itemData" : { "DOI" : "10.1111/j.1467-9248.1992.tb01813.x", "abstract" : "Feminists have taken issue with liberal democracy on a number of counts, including the conditions necessary to achieve political equality and the importance to be attached to political participation. This paper considers issues currently raised under the rubric of citizenship, earlier and continuing arguments for a more actively participatory democracy, and questions associated with representing social heterogeneity and group difference. The argument throughout is that while liberal democracy has signally failed to deliver on its promises to women, it does not help to address these failings in terms of giving up on liberal democracy.", "author" : [ { "dropping-particle" : "", "family" : "Phillips", "given" : "Anne", "non-dropping-particle" : "", "parse-names" : false, "suffix" : "" } ], "container-title" : "Political Studies", "id" : "ITEM-2", "issued" : { "date-parts" : [ [ "1992" ] ] }, "page" : "68-82", "publisher" : "Blackwell Publishing Ltd", "title" : "Must Feminists Give Up on Liberal Democracy?", "type" : "article-journal", "volume" : "40" }, "uris" : [ "http://www.mendeley.com/documents/?uuid=6de11760-7a66-4f51-ad3d-4793b4832ee4" ] }, { "id" : "ITEM-3", "itemData" : { "ISBN" : "9780195350401", "ISSN" : "00323179", "abstract" : "- the article discusses the idea of group representation, its merits and problems, and the easier introduction of gender quota as compared to other forms of group representation; - the idea of group representation goes against what has been seen as the movement of democracy, the introduction of universal suffrage and the abolishment of group privileges, etc; but see the feminist criticism: how democratic are our democracies, with the abstract universal citizen not being one?; democracy implies equality but when it is superimposed on an unequal society, it allows some people to count for more than others; authors like Verba, Nie and Kim state that participation of groups of disadvantaged could help to counter this imbalance; why, therefore, not introduce group representation in order to correct the persisting unequality?  - two authors defending the notion of group representation: i) Iris Marion Young: attacking the notion of universal citizenship, critique of impartiality, pleading for group representation of oppressed groups, public funds, right to generate policy proposals, veto power ii) Will Kymlicka: founds his arguments differently from Young: appeals to principle of neutral concern, individualist terms of enhancing our choices, tradition encouraging self-examination, but it is our cultural structure that provide the context necessary for people to become aware of the options open to them --&gt; both make their arguments relate to political equality and the distorting effects of pretending away group differences, abstract individualism imposes a unitary conception of human needs and marginalises those not being part of the norm; both authors also worry about the issue of group narrowness and closure - problems: closure and narrowness of groups, deciding which groups are relevant, the issue of accountability in group representation --&gt; Phillips pleads for quota in order to correct the discrepancy between representatives and the represented, because quota tackle these problems without a notion of group representation: the argument of political equality is enough to defend the idea of quota, if there were no serious obstacles in the way of political participation, then those active in politics would be randomly distributed according to ethnicity or gender  PS: interessant voor de bespreking en vergelijking van Young en Kymlicka en voor de idee dat quota niet de problemen van groepsvertegenwoordiging dragen", "author" : [ { "dropping-particle" : "", "family" : "Phillips", "given" : "Anne", "non-dropping-particle" : "", "parse-names" : false, "suffix" : "" } ], "container-title" : "The Political Quarterly", "id" : "ITEM-3", "issue" : "1", "issued" : { "date-parts" : [ [ "1992" ] ] }, "page" : "79-90", "title" : "Democracy and Difference: Some Problems for Feminist Theory", "type" : "article-journal", "volume" : "63" }, "uris" : [ "http://www.mendeley.com/documents/?uuid=53f143df-154d-4d82-9ed0-01b2768cf784" ] }, { "id" : "ITEM-4", "itemData" : { "author" : [ { "dropping-particle" : "", "family" : "Mansbridge", "given" : "J", "non-dropping-particle" : "", "parse-names" : false, "suffix" : "" } ], "container-title" : "Democratic Community", "editor" : [ { "dropping-particle" : "", "family" : "Chapman", "given" : "J", "non-dropping-particle" : "", "parse-names" : false, "suffix" : "" }, { "dropping-particle" : "", "family" : "Shapiro", "given" : "Ian", "non-dropping-particle" : "", "parse-names" : false, "suffix" : "" } ], "id" : "ITEM-4", "issued" : { "date-parts" : [ [ "1993" ] ] }, "page" : "339-395", "publisher" : "New York University Press", "publisher-place" : "London", "title" : "Feminism and Democratic Community", "type" : "chapter" }, "uris" : [ "http://www.mendeley.com/documents/?uuid=83cb0d7e-ee9d-483f-afec-efe28b673ff0" ] }, { "id" : "ITEM-5", "itemData" : { "author" : [ { "dropping-particle" : "", "family" : "Ackerly", "given" : "B.A.", "non-dropping-particle" : "", "parse-names" : false, "suffix" : "" }, { "dropping-particle" : "", "family" : "Okin", "given" : "S. M.", "non-dropping-particle" : "", "parse-names" : false, "suffix" : "" } ], "container-title" : "Democracy's Edges", "editor" : [ { "dropping-particle" : "", "family" : "Shapiro", "given" : "Ian", "non-dropping-particle" : "", "parse-names" : false, "suffix" : "" }, { "dropping-particle" : "", "family" : "Hacker-Cordon", "given" : "C.", "non-dropping-particle" : "", "parse-names" : false, "suffix" : "" } ], "id" : "ITEM-5", "issued" : { "date-parts" : [ [ "1999" ] ] }, "page" : "134-162", "publisher" : "Cambridge University Press", "publisher-place" : "Cambridge", "title" : "Feminist social criticism and the international movement for women's rights as human rights", "type" : "chapter" }, "uris" : [ "http://www.mendeley.com/documents/?uuid=a492df6f-b84a-471e-8494-8b54202d18b0" ] } ], "mendeley" : { "formattedCitation" : "(Young, 1989; Phillips, 1992a, 1992c; Mansbridge, 1993; Ackerly and Okin, 1999)", "plainTextFormattedCitation" : "(Young, 1989; Phillips, 1992a, 1992c; Mansbridge, 1993; Ackerly and Okin, 1999)", "previouslyFormattedCitation" : "(Young, 1989; Phillips, 1992a, 1992c; Mansbridge, 1993; Ackerly and Okin, 1999)" }, "properties" : { "noteIndex" : 0 }, "schema" : "https://github.com/citation-style-language/schema/raw/master/csl-citation.json" }</w:instrText>
      </w:r>
      <w:r w:rsidRPr="00CB0798">
        <w:rPr>
          <w:highlight w:val="cyan"/>
        </w:rPr>
        <w:fldChar w:fldCharType="separate"/>
      </w:r>
      <w:r w:rsidR="00E63CC6" w:rsidRPr="00CB0798">
        <w:rPr>
          <w:noProof/>
          <w:highlight w:val="cyan"/>
        </w:rPr>
        <w:t>(Young, 1989; Phillips, 1992a, 1992c; Mansbridge, 1993; Ackerly and Okin, 1999)</w:t>
      </w:r>
      <w:r w:rsidRPr="00CB0798">
        <w:rPr>
          <w:highlight w:val="cyan"/>
        </w:rPr>
        <w:fldChar w:fldCharType="end"/>
      </w:r>
      <w:r w:rsidRPr="00CB0798">
        <w:rPr>
          <w:highlight w:val="cyan"/>
        </w:rPr>
        <w:t xml:space="preserve">. </w:t>
      </w:r>
    </w:p>
    <w:p w14:paraId="609094F1" w14:textId="15E0E688" w:rsidR="00737137" w:rsidRPr="00CB0798" w:rsidRDefault="00737137" w:rsidP="00737137">
      <w:pPr>
        <w:rPr>
          <w:highlight w:val="cyan"/>
        </w:rPr>
      </w:pPr>
      <w:r w:rsidRPr="00CB0798">
        <w:rPr>
          <w:highlight w:val="cyan"/>
        </w:rPr>
        <w:t xml:space="preserve">Carole Pateman </w:t>
      </w:r>
      <w:r w:rsidRPr="00CB0798">
        <w:rPr>
          <w:highlight w:val="cyan"/>
        </w:rPr>
        <w:fldChar w:fldCharType="begin" w:fldLock="1"/>
      </w:r>
      <w:r w:rsidR="00E63CC6" w:rsidRPr="00CB0798">
        <w:rPr>
          <w:highlight w:val="cyan"/>
        </w:rPr>
        <w:instrText>ADDIN CSL_CITATION { "citationItems" : [ { "id" : "ITEM-1", "itemData" : { "author" : [ { "dropping-particle" : "", "family" : "Pateman", "given" : "Carole", "non-dropping-particle" : "", "parse-names" : false, "suffix" : "" } ], "id" : "ITEM-1", "issued" : { "date-parts" : [ [ "1988" ] ] }, "publisher" : "Polity Press", "publisher-place" : "Cambridge", "title" : "The Sexual Contract", "type" : "book" }, "uris" : [ "http://www.mendeley.com/documents/?uuid=a7a4f12d-66dc-4c0d-a8ce-3df8f12b7051" ] } ], "mendeley" : { "formattedCitation" : "(Pateman, 1988)", "manualFormatting" : "(1988)", "plainTextFormattedCitation" : "(Pateman, 1988)", "previouslyFormattedCitation" : "(Pateman, 1988)" }, "properties" : { "noteIndex" : 0 }, "schema" : "https://github.com/citation-style-language/schema/raw/master/csl-citation.json" }</w:instrText>
      </w:r>
      <w:r w:rsidRPr="00CB0798">
        <w:rPr>
          <w:highlight w:val="cyan"/>
        </w:rPr>
        <w:fldChar w:fldCharType="separate"/>
      </w:r>
      <w:r w:rsidRPr="00CB0798">
        <w:rPr>
          <w:noProof/>
          <w:highlight w:val="cyan"/>
        </w:rPr>
        <w:t>(1988)</w:t>
      </w:r>
      <w:r w:rsidRPr="00CB0798">
        <w:rPr>
          <w:highlight w:val="cyan"/>
        </w:rPr>
        <w:fldChar w:fldCharType="end"/>
      </w:r>
      <w:r w:rsidRPr="00CB0798">
        <w:rPr>
          <w:highlight w:val="cyan"/>
        </w:rPr>
        <w:t xml:space="preserve"> criticised liberal democracy theory via the fact that the liberal idea of the state and the political rests upon ideas informed by social contract theory. This theory can be traced through numerous scholars including Hobbes, Locke, Rousseau, Kant and Rawls, from Enlightenment philosophy through Romantic to contemporary.</w:t>
      </w:r>
      <w:r w:rsidRPr="00CB0798">
        <w:rPr>
          <w:rStyle w:val="FootnoteReference"/>
          <w:highlight w:val="cyan"/>
        </w:rPr>
        <w:footnoteReference w:id="3"/>
      </w:r>
      <w:r w:rsidRPr="00CB0798">
        <w:rPr>
          <w:highlight w:val="cyan"/>
        </w:rPr>
        <w:t xml:space="preserve"> Whilst the details vary considerably, the essential premise of social contract theory is that at some point in (hypothetical) history, humankind must leave an unceasingly violent and pre-political ‘state of nature’ and produce a ‘society’, governed by rules enforced by an overseer: in Hobbe’s case an absolute sovereign power (the </w:t>
      </w:r>
      <w:r w:rsidRPr="00CB0798">
        <w:rPr>
          <w:i/>
          <w:highlight w:val="cyan"/>
        </w:rPr>
        <w:t>Leviathan</w:t>
      </w:r>
      <w:r w:rsidRPr="00CB0798">
        <w:rPr>
          <w:highlight w:val="cyan"/>
        </w:rPr>
        <w:t xml:space="preserve">). </w:t>
      </w:r>
    </w:p>
    <w:p w14:paraId="25AEC462" w14:textId="74998D55" w:rsidR="00737137" w:rsidRPr="00CB0798" w:rsidRDefault="00737137" w:rsidP="00737137">
      <w:pPr>
        <w:rPr>
          <w:highlight w:val="cyan"/>
        </w:rPr>
      </w:pPr>
      <w:r w:rsidRPr="00CB0798">
        <w:rPr>
          <w:highlight w:val="cyan"/>
        </w:rPr>
        <w:t xml:space="preserve">As Pateman </w:t>
      </w:r>
      <w:r w:rsidRPr="00CB0798">
        <w:rPr>
          <w:highlight w:val="cyan"/>
        </w:rPr>
        <w:fldChar w:fldCharType="begin" w:fldLock="1"/>
      </w:r>
      <w:r w:rsidR="00E63CC6" w:rsidRPr="00CB0798">
        <w:rPr>
          <w:highlight w:val="cyan"/>
        </w:rPr>
        <w:instrText>ADDIN CSL_CITATION { "citationItems" : [ { "id" : "ITEM-1", "itemData" : { "author" : [ { "dropping-particle" : "", "family" : "Pateman", "given" : "Carole", "non-dropping-particle" : "", "parse-names" : false, "suffix" : "" } ], "id" : "ITEM-1", "issued" : { "date-parts" : [ [ "1988" ] ] }, "publisher" : "Polity Press", "publisher-place" : "Cambridge", "title" : "The Sexual Contract", "type" : "book" }, "uris" : [ "http://www.mendeley.com/documents/?uuid=a7a4f12d-66dc-4c0d-a8ce-3df8f12b7051" ] } ], "mendeley" : { "formattedCitation" : "(Pateman, 1988)", "manualFormatting" : "(1988, p.2)", "plainTextFormattedCitation" : "(Pateman, 1988)", "previouslyFormattedCitation" : "(Pateman, 1988)" }, "properties" : { "noteIndex" : 0 }, "schema" : "https://github.com/citation-style-language/schema/raw/master/csl-citation.json" }</w:instrText>
      </w:r>
      <w:r w:rsidRPr="00CB0798">
        <w:rPr>
          <w:highlight w:val="cyan"/>
        </w:rPr>
        <w:fldChar w:fldCharType="separate"/>
      </w:r>
      <w:r w:rsidRPr="00CB0798">
        <w:rPr>
          <w:noProof/>
          <w:highlight w:val="cyan"/>
        </w:rPr>
        <w:t>(1988, p.2)</w:t>
      </w:r>
      <w:r w:rsidRPr="00CB0798">
        <w:rPr>
          <w:highlight w:val="cyan"/>
        </w:rPr>
        <w:fldChar w:fldCharType="end"/>
      </w:r>
      <w:r w:rsidRPr="00CB0798">
        <w:rPr>
          <w:highlight w:val="cyan"/>
        </w:rPr>
        <w:t xml:space="preserve"> put it:</w:t>
      </w:r>
    </w:p>
    <w:p w14:paraId="3CB0AD7B" w14:textId="77777777" w:rsidR="00737137" w:rsidRPr="00CB0798" w:rsidRDefault="00737137" w:rsidP="00737137">
      <w:pPr>
        <w:pStyle w:val="Quote"/>
        <w:rPr>
          <w:highlight w:val="cyan"/>
        </w:rPr>
      </w:pPr>
      <w:r w:rsidRPr="00CB0798">
        <w:rPr>
          <w:highlight w:val="cyan"/>
        </w:rPr>
        <w:t>“One interpretation of the original contract is that the inhabitants of the state of nature exchange the insecurities of natural freedom for equal, civil freedom which is protected by the state. In civil society freedom is universal; all adults enjoy the same civil standing and can exercise their freedom, by, as it were, replicating the original contract when, for example, they enter into the employment contract or the marriage contract.”</w:t>
      </w:r>
    </w:p>
    <w:p w14:paraId="60FC2544" w14:textId="77777777" w:rsidR="00737137" w:rsidRPr="00CB0798" w:rsidRDefault="00737137" w:rsidP="00737137">
      <w:pPr>
        <w:rPr>
          <w:highlight w:val="cyan"/>
        </w:rPr>
      </w:pPr>
      <w:r w:rsidRPr="00CB0798">
        <w:rPr>
          <w:highlight w:val="cyan"/>
        </w:rPr>
        <w:t>Such a vision of the development of society was popularised by major political developments, in particular the French Revolution. Here, the motto ‘liberty, equality, fraternity’ became a rallying trio of ideas for the building of representative, elected government and then liberal rights.</w:t>
      </w:r>
    </w:p>
    <w:p w14:paraId="442E9CE3" w14:textId="10E50FFA" w:rsidR="00737137" w:rsidRPr="00CB0798" w:rsidRDefault="00737137" w:rsidP="00737137">
      <w:pPr>
        <w:rPr>
          <w:highlight w:val="cyan"/>
        </w:rPr>
      </w:pPr>
      <w:r w:rsidRPr="00CB0798">
        <w:rPr>
          <w:highlight w:val="cyan"/>
        </w:rPr>
        <w:t xml:space="preserve">However, Pateman demonstrates there are a number of problems with this story, in particular when it comes to the expected gender roles played out in the ‘social contract’ society. Firstly, the French Revolutionary motto includes the often-overlooked value ‘fraternity’, which means ‘brotherhood of men’. This is not only a semantic point. The social contract sought to nullify the paternal structure that gave the father complete dominion over the family (and, more specifically, the son). With a social contract realising political and civil rights for the individual, the communal glue to hold such a polity together was </w:t>
      </w:r>
      <w:r w:rsidRPr="00CB0798">
        <w:rPr>
          <w:i/>
          <w:highlight w:val="cyan"/>
        </w:rPr>
        <w:t>fraternal</w:t>
      </w:r>
      <w:r w:rsidRPr="00CB0798">
        <w:rPr>
          <w:highlight w:val="cyan"/>
        </w:rPr>
        <w:t xml:space="preserve">: masculine. Furthermore, this contract was seen by social contract theorists as forging the public sphere of civil freedom. In this sense, the private sphere of human affairs is simply seen as the opposite, non-politicized arena of life. The public sphere is of civil freedom </w:t>
      </w:r>
      <w:r w:rsidR="00E23641">
        <w:rPr>
          <w:highlight w:val="cyan"/>
        </w:rPr>
        <w:t>where ‘politics’ happens</w:t>
      </w:r>
      <w:r w:rsidRPr="00CB0798">
        <w:rPr>
          <w:highlight w:val="cyan"/>
        </w:rPr>
        <w:t xml:space="preserve"> between male individuals. The ‘private sphere is not seen as politically relevant’</w:t>
      </w:r>
      <w:r w:rsidR="00C25D34">
        <w:rPr>
          <w:highlight w:val="cyan"/>
        </w:rPr>
        <w:t xml:space="preserve"> </w:t>
      </w:r>
      <w:r w:rsidRPr="00CB0798">
        <w:rPr>
          <w:highlight w:val="cyan"/>
        </w:rPr>
        <w:fldChar w:fldCharType="begin" w:fldLock="1"/>
      </w:r>
      <w:r w:rsidR="00E63CC6" w:rsidRPr="00CB0798">
        <w:rPr>
          <w:highlight w:val="cyan"/>
        </w:rPr>
        <w:instrText>ADDIN CSL_CITATION { "citationItems" : [ { "id" : "ITEM-1", "itemData" : { "author" : [ { "dropping-particle" : "", "family" : "Pateman", "given" : "Carole", "non-dropping-particle" : "", "parse-names" : false, "suffix" : "" } ], "id" : "ITEM-1", "issued" : { "date-parts" : [ [ "1988" ] ] }, "publisher" : "Polity Press", "publisher-place" : "Cambridge", "title" : "The Sexual Contract", "type" : "book" }, "locator" : "3", "uris" : [ "http://www.mendeley.com/documents/?uuid=a7a4f12d-66dc-4c0d-a8ce-3df8f12b7051" ] } ], "mendeley" : { "formattedCitation" : "(Pateman, 1988, p. 3)", "plainTextFormattedCitation" : "(Pateman, 1988, p. 3)", "previouslyFormattedCitation" : "(Pateman, 1988, p. 3)" }, "properties" : { "noteIndex" : 0 }, "schema" : "https://github.com/citation-style-language/schema/raw/master/csl-citation.json" }</w:instrText>
      </w:r>
      <w:r w:rsidRPr="00CB0798">
        <w:rPr>
          <w:highlight w:val="cyan"/>
        </w:rPr>
        <w:fldChar w:fldCharType="separate"/>
      </w:r>
      <w:r w:rsidR="00E63CC6" w:rsidRPr="00CB0798">
        <w:rPr>
          <w:noProof/>
          <w:highlight w:val="cyan"/>
        </w:rPr>
        <w:t>(Pateman, 1988, p. 3)</w:t>
      </w:r>
      <w:r w:rsidRPr="00CB0798">
        <w:rPr>
          <w:highlight w:val="cyan"/>
        </w:rPr>
        <w:fldChar w:fldCharType="end"/>
      </w:r>
      <w:r w:rsidRPr="00CB0798">
        <w:rPr>
          <w:highlight w:val="cyan"/>
        </w:rPr>
        <w:t xml:space="preserve">, and to this sphere, traditionally seen as the ‘women’s domain’, is relegated the family, as well as the marriage contract which traditionally treated the bride as subordinate, and even the property of the groom. By building liberal democracy on such an understanding of society, women find themselves depoliticized, disempowered, and subjugated, in what is actually a </w:t>
      </w:r>
      <w:r w:rsidRPr="00CB0798">
        <w:rPr>
          <w:i/>
          <w:highlight w:val="cyan"/>
        </w:rPr>
        <w:t>sexual</w:t>
      </w:r>
      <w:r w:rsidRPr="00CB0798">
        <w:rPr>
          <w:highlight w:val="cyan"/>
        </w:rPr>
        <w:t xml:space="preserve"> contract. Pateman </w:t>
      </w:r>
      <w:r w:rsidRPr="00CB0798">
        <w:rPr>
          <w:highlight w:val="cyan"/>
        </w:rPr>
        <w:fldChar w:fldCharType="begin" w:fldLock="1"/>
      </w:r>
      <w:r w:rsidR="00E63CC6" w:rsidRPr="00CB0798">
        <w:rPr>
          <w:highlight w:val="cyan"/>
        </w:rPr>
        <w:instrText>ADDIN CSL_CITATION { "citationItems" : [ { "id" : "ITEM-1", "itemData" : { "author" : [ { "dropping-particle" : "", "family" : "Pateman", "given" : "Carole", "non-dropping-particle" : "", "parse-names" : false, "suffix" : "" } ], "id" : "ITEM-1", "issued" : { "date-parts" : [ [ "1988" ] ] }, "publisher" : "Polity Press", "publisher-place" : "Cambridge", "title" : "The Sexual Contract", "type" : "book" }, "locator" : "2", "uris" : [ "http://www.mendeley.com/documents/?uuid=a7a4f12d-66dc-4c0d-a8ce-3df8f12b7051" ] } ], "mendeley" : { "formattedCitation" : "(Pateman, 1988, p. 2)", "manualFormatting" : "(1988, p.2)", "plainTextFormattedCitation" : "(Pateman, 1988, p. 2)", "previouslyFormattedCitation" : "(Pateman, 1988, p. 2)" }, "properties" : { "noteIndex" : 0 }, "schema" : "https://github.com/citation-style-language/schema/raw/master/csl-citation.json" }</w:instrText>
      </w:r>
      <w:r w:rsidRPr="00CB0798">
        <w:rPr>
          <w:highlight w:val="cyan"/>
        </w:rPr>
        <w:fldChar w:fldCharType="separate"/>
      </w:r>
      <w:r w:rsidRPr="00CB0798">
        <w:rPr>
          <w:noProof/>
          <w:highlight w:val="cyan"/>
        </w:rPr>
        <w:t>(1988, p.2)</w:t>
      </w:r>
      <w:r w:rsidRPr="00CB0798">
        <w:rPr>
          <w:highlight w:val="cyan"/>
        </w:rPr>
        <w:fldChar w:fldCharType="end"/>
      </w:r>
      <w:r w:rsidRPr="00CB0798">
        <w:rPr>
          <w:highlight w:val="cyan"/>
        </w:rPr>
        <w:t xml:space="preserve"> argues that the ‘[social] contract is far from being opposed to patriarchy; contract is the means through which modern patriarchy is constituted.’</w:t>
      </w:r>
    </w:p>
    <w:p w14:paraId="4B457B9E" w14:textId="1CCB3DB2" w:rsidR="00737137" w:rsidRPr="00CB0798" w:rsidRDefault="00737137" w:rsidP="00737137">
      <w:pPr>
        <w:rPr>
          <w:highlight w:val="cyan"/>
        </w:rPr>
      </w:pPr>
      <w:r w:rsidRPr="00CB0798">
        <w:rPr>
          <w:highlight w:val="cyan"/>
        </w:rPr>
        <w:t xml:space="preserve">The second line of critique discussed here concerns the individualism of liberalism and its focus on human rights which understand equality in a homogenous way, rather than via recognition of difference. The problem with this approach of liberal democracy is that it ‘recurrently returns us to the individual as the basic unit of political life, blocking serious consideration of the empowerment of disadvantaged </w:t>
      </w:r>
      <w:r w:rsidRPr="00CB0798">
        <w:rPr>
          <w:i/>
          <w:highlight w:val="cyan"/>
        </w:rPr>
        <w:t>groups</w:t>
      </w:r>
      <w:r w:rsidRPr="00CB0798">
        <w:rPr>
          <w:highlight w:val="cyan"/>
        </w:rPr>
        <w:t xml:space="preserve"> </w:t>
      </w:r>
      <w:r w:rsidRPr="00CB0798">
        <w:rPr>
          <w:highlight w:val="cyan"/>
        </w:rPr>
        <w:fldChar w:fldCharType="begin" w:fldLock="1"/>
      </w:r>
      <w:r w:rsidR="00E63CC6" w:rsidRPr="00CB0798">
        <w:rPr>
          <w:highlight w:val="cyan"/>
        </w:rPr>
        <w:instrText>ADDIN CSL_CITATION { "citationItems" : [ { "id" : "ITEM-1", "itemData" : { "DOI" : "10.1111/j.1467-9248.1992.tb01813.x", "abstract" : "Feminists have taken issue with liberal democracy on a number of counts, including the conditions necessary to achieve political equality and the importance to be attached to political participation. This paper considers issues currently raised under the rubric of citizenship, earlier and continuing arguments for a more actively participatory democracy, and questions associated with representing social heterogeneity and group difference. The argument throughout is that while liberal democracy has signally failed to deliver on its promises to women, it does not help to address these failings in terms of giving up on liberal democracy.", "author" : [ { "dropping-particle" : "", "family" : "Phillips", "given" : "Anne", "non-dropping-particle" : "", "parse-names" : false, "suffix" : "" } ], "container-title" : "Political Studies", "id" : "ITEM-1", "issued" : { "date-parts" : [ [ "1992" ] ] }, "page" : "68-82", "publisher" : "Blackwell Publishing Ltd", "title" : "Must Feminists Give Up on Liberal Democracy?", "type" : "article-journal", "volume" : "40" }, "uris" : [ "http://www.mendeley.com/documents/?uuid=6de11760-7a66-4f51-ad3d-4793b4832ee4" ] } ], "mendeley" : { "formattedCitation" : "(Phillips, 1992c)", "manualFormatting" : "(Phillips, 1992a, p.80, emphasis as in original)", "plainTextFormattedCitation" : "(Phillips, 1992c)", "previouslyFormattedCitation" : "(Phillips, 1992c)" }, "properties" : { "noteIndex" : 0 }, "schema" : "https://github.com/citation-style-language/schema/raw/master/csl-citation.json" }</w:instrText>
      </w:r>
      <w:r w:rsidRPr="00CB0798">
        <w:rPr>
          <w:highlight w:val="cyan"/>
        </w:rPr>
        <w:fldChar w:fldCharType="separate"/>
      </w:r>
      <w:r w:rsidRPr="00CB0798">
        <w:rPr>
          <w:noProof/>
          <w:highlight w:val="cyan"/>
        </w:rPr>
        <w:t>(Phillips, 1992a, p.80, emphasis as in original)</w:t>
      </w:r>
      <w:r w:rsidRPr="00CB0798">
        <w:rPr>
          <w:highlight w:val="cyan"/>
        </w:rPr>
        <w:fldChar w:fldCharType="end"/>
      </w:r>
      <w:r w:rsidRPr="00CB0798">
        <w:rPr>
          <w:highlight w:val="cyan"/>
        </w:rPr>
        <w:t xml:space="preserve">. Influential essays by Iris Marion Young outlined the implications of this in detail </w:t>
      </w:r>
      <w:r w:rsidRPr="00CB0798">
        <w:rPr>
          <w:highlight w:val="cyan"/>
        </w:rPr>
        <w:fldChar w:fldCharType="begin" w:fldLock="1"/>
      </w:r>
      <w:r w:rsidR="00E63CC6" w:rsidRPr="00CB0798">
        <w:rPr>
          <w:highlight w:val="cyan"/>
        </w:rPr>
        <w:instrText>ADDIN CSL_CITATION { "citationItems" : [ { "id" : "ITEM-1", "itemData" : { "author" : [ { "dropping-particle" : "", "family" : "Young", "given" : "Iris Marion", "non-dropping-particle" : "", "parse-names" : false, "suffix" : "" } ], "container-title" : "Feminism/Postmodernism", "editor" : [ { "dropping-particle" : "", "family" : "Nicholson", "given" : "L. J.", "non-dropping-particle" : "", "parse-names" : false, "suffix" : "" } ], "id" : "ITEM-1", "issued" : { "date-parts" : [ [ "1990" ] ] }, "page" : "300-323", "publisher" : "Routledge", "publisher-place" : "London", "title" : "The Ideal of Community and the Politics of Difference", "type" : "chapter" }, "uris" : [ "http://www.mendeley.com/documents/?uuid=0d97f8f1-aed8-46dc-8c71-262b7a7bc4ad" ] }, { "id" : "ITEM-2", "itemData" : { "DOI" : "10.1017/CBO9781107415324.004", "ISBN" : "9788578110796", "ISSN" : "1098-6596", "PMID" : "25246403", "abstract" : "Populism, understood as an appeal to `the people' against both the established structure of power and the dominant ideas and values, should not be dismissed as a pathological form of politics of no interest to the political theorist, for its democratic pretensions raise important issues. Adapting Michael Oakeshott's distinction between `the politics of faith' and `the politics of scepticism', the paper o ers an analysis of democracy in terms of two opposing faces, one `pragmatic' and the other `redemptive', and argues that it is the inescapable tension between them that makes populism a perennial possibility.", "author" : [ { "dropping-particle" : "", "family" : "Young", "given" : "Iris Marion", "non-dropping-particle" : "", "parse-names" : false, "suffix" : "" } ], "container-title" : "Ethics", "id" : "ITEM-2", "issue" : "2", "issued" : { "date-parts" : [ [ "1989" ] ] }, "page" : "250-274", "title" : "Polity and Group Difference : A Critique of the Ideal of Universal Citizenship", "type" : "article-journal", "volume" : "99" }, "uris" : [ "http://www.mendeley.com/documents/?uuid=fbbdf256-e368-440e-8703-6397846231d8" ] } ], "mendeley" : { "formattedCitation" : "(Young, 1989, 1990)", "plainTextFormattedCitation" : "(Young, 1989, 1990)", "previouslyFormattedCitation" : "(Young, 1989, 1990)" }, "properties" : { "noteIndex" : 0 }, "schema" : "https://github.com/citation-style-language/schema/raw/master/csl-citation.json" }</w:instrText>
      </w:r>
      <w:r w:rsidRPr="00CB0798">
        <w:rPr>
          <w:highlight w:val="cyan"/>
        </w:rPr>
        <w:fldChar w:fldCharType="separate"/>
      </w:r>
      <w:r w:rsidR="00E63CC6" w:rsidRPr="00CB0798">
        <w:rPr>
          <w:noProof/>
          <w:highlight w:val="cyan"/>
        </w:rPr>
        <w:t>(Young, 1989, 1990)</w:t>
      </w:r>
      <w:r w:rsidRPr="00CB0798">
        <w:rPr>
          <w:highlight w:val="cyan"/>
        </w:rPr>
        <w:fldChar w:fldCharType="end"/>
      </w:r>
      <w:r w:rsidRPr="00CB0798">
        <w:rPr>
          <w:highlight w:val="cyan"/>
        </w:rPr>
        <w:t xml:space="preserve">. Young sees the notion of a singular conception of citizenship which enacts a general will to be problematic. Such an idea enforces homogeneity upon citizens and reinforces the existing power structure in society, which, following Pateman and others, has been argued to be patriarchal, especially within the public, political sphere. As Young </w:t>
      </w:r>
      <w:r w:rsidRPr="00CB0798">
        <w:rPr>
          <w:highlight w:val="cyan"/>
        </w:rPr>
        <w:fldChar w:fldCharType="begin" w:fldLock="1"/>
      </w:r>
      <w:r w:rsidR="00E63CC6" w:rsidRPr="00CB0798">
        <w:rPr>
          <w:highlight w:val="cyan"/>
        </w:rPr>
        <w:instrText>ADDIN CSL_CITATION { "citationItems" : [ { "id" : "ITEM-1", "itemData" : { "DOI" : "10.1017/CBO9781107415324.004", "ISBN" : "9788578110796", "ISSN" : "1098-6596", "PMID" : "25246403", "abstract" : "Populism, understood as an appeal to `the people' against both the established structure of power and the dominant ideas and values, should not be dismissed as a pathological form of politics of no interest to the political theorist, for its democratic pretensions raise important issues. Adapting Michael Oakeshott's distinction between `the politics of faith' and `the politics of scepticism', the paper o ers an analysis of democracy in terms of two opposing faces, one `pragmatic' and the other `redemptive', and argues that it is the inescapable tension between them that makes populism a perennial possibility.", "author" : [ { "dropping-particle" : "", "family" : "Young", "given" : "Iris Marion", "non-dropping-particle" : "", "parse-names" : false, "suffix" : "" } ], "container-title" : "Ethics", "id" : "ITEM-1", "issue" : "2", "issued" : { "date-parts" : [ [ "1989" ] ] }, "page" : "250-274", "title" : "Polity and Group Difference : A Critique of the Ideal of Universal Citizenship", "type" : "article-journal", "volume" : "99" }, "uris" : [ "http://www.mendeley.com/documents/?uuid=fbbdf256-e368-440e-8703-6397846231d8" ] } ], "mendeley" : { "formattedCitation" : "(Young, 1989)", "manualFormatting" : "(1989, p.257)", "plainTextFormattedCitation" : "(Young, 1989)", "previouslyFormattedCitation" : "(Young, 1989)" }, "properties" : { "noteIndex" : 0 }, "schema" : "https://github.com/citation-style-language/schema/raw/master/csl-citation.json" }</w:instrText>
      </w:r>
      <w:r w:rsidRPr="00CB0798">
        <w:rPr>
          <w:highlight w:val="cyan"/>
        </w:rPr>
        <w:fldChar w:fldCharType="separate"/>
      </w:r>
      <w:r w:rsidRPr="00CB0798">
        <w:rPr>
          <w:noProof/>
          <w:highlight w:val="cyan"/>
        </w:rPr>
        <w:t>(1989, p.257)</w:t>
      </w:r>
      <w:r w:rsidRPr="00CB0798">
        <w:rPr>
          <w:highlight w:val="cyan"/>
        </w:rPr>
        <w:fldChar w:fldCharType="end"/>
      </w:r>
      <w:r w:rsidRPr="00CB0798">
        <w:rPr>
          <w:highlight w:val="cyan"/>
        </w:rPr>
        <w:t xml:space="preserve"> argues:</w:t>
      </w:r>
    </w:p>
    <w:p w14:paraId="43A43D5B" w14:textId="77777777" w:rsidR="00737137" w:rsidRPr="00CB0798" w:rsidRDefault="00737137" w:rsidP="00737137">
      <w:pPr>
        <w:pStyle w:val="Quote"/>
        <w:rPr>
          <w:highlight w:val="cyan"/>
        </w:rPr>
      </w:pPr>
      <w:r w:rsidRPr="00CB0798">
        <w:rPr>
          <w:highlight w:val="cyan"/>
        </w:rPr>
        <w:t>“In a society where some groups are privileged while others are oppressed, insisting that as citizens persons should leave behind their particular affiliations and experiences to adopt a general point of view serves only to reinforce that privilege; for the perspectives and interests of the privileged will tend to dominate this unified public, marginalizing or silencing those of other groups.”</w:t>
      </w:r>
    </w:p>
    <w:p w14:paraId="0ED2A78D" w14:textId="77777777" w:rsidR="00737137" w:rsidRPr="00CB0798" w:rsidRDefault="00737137" w:rsidP="00737137">
      <w:pPr>
        <w:rPr>
          <w:highlight w:val="cyan"/>
        </w:rPr>
      </w:pPr>
      <w:r w:rsidRPr="00CB0798">
        <w:rPr>
          <w:highlight w:val="cyan"/>
        </w:rPr>
        <w:t xml:space="preserve">Following this, Young argues for </w:t>
      </w:r>
      <w:r w:rsidRPr="00CB0798">
        <w:rPr>
          <w:i/>
          <w:highlight w:val="cyan"/>
        </w:rPr>
        <w:t>differentiated</w:t>
      </w:r>
      <w:r w:rsidRPr="00CB0798">
        <w:rPr>
          <w:highlight w:val="cyan"/>
        </w:rPr>
        <w:t>, not individual, group recognition and ‘special rights’ that attend to such group differences.</w:t>
      </w:r>
    </w:p>
    <w:p w14:paraId="61A3356D" w14:textId="0C7BFA54" w:rsidR="00087988" w:rsidRPr="000C3AC1" w:rsidRDefault="00737137" w:rsidP="00087988">
      <w:pPr>
        <w:rPr>
          <w:highlight w:val="cyan"/>
        </w:rPr>
      </w:pPr>
      <w:r w:rsidRPr="00CB0798">
        <w:rPr>
          <w:highlight w:val="cyan"/>
        </w:rPr>
        <w:t xml:space="preserve">Whilst seeking to redefine ideas of rights and representation, a consequent seam of feminist thinking operating across these critiques also calls for increased participation in public life. Part of the rationale for this is the ‘transformative significance of meetings, discussion, talk’ that can produce ‘conscious-raising’ amongst women and other oppressed sections of society </w:t>
      </w:r>
      <w:r w:rsidRPr="00CB0798">
        <w:rPr>
          <w:highlight w:val="cyan"/>
        </w:rPr>
        <w:fldChar w:fldCharType="begin" w:fldLock="1"/>
      </w:r>
      <w:r w:rsidR="00396424">
        <w:rPr>
          <w:highlight w:val="cyan"/>
        </w:rPr>
        <w:instrText>ADDIN CSL_CITATION { "citationItems" : [ { "id" : "ITEM-1", "itemData" : { "ISBN" : "00323217", "ISSN" : "00323217", "abstract" : "Feminists have taken issue with liberal democracy on a number of counts, including the conditions necessary to achieve political equality and the importance to be attached to political participation. This paper considers issues currently raised under the rubric of citizenship, earlier and continuing arguments for a more actively participatory democracy, and questions associated with representing social heterogeneity and group difference. The argument throughout is that while liberal democracy has signally failed to deliver on its promises to women, it does not help to address these failings in terms of giving up on liberal democracy. [ABSTRACT FROM AUTHOR]\\nCopyright of Political Studies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"Phillips", "given" : "Anne", "non-dropping-particle" : "", "parse-names" : false, "suffix" : "" } ], "container-title" : "Political Studies", "id" : "ITEM-1", "issued" : { "date-parts" : [ [ "1992" ] ] }, "page" : "68-82", "title" : "Must Feminists Give Up on Liberal Democracy?", "type" : "article-journal", "volume" : "40" }, "uris" : [ "http://www.mendeley.com/documents/?uuid=d8b65e17-5f3e-488e-ae17-728dec59295c" ] } ], "mendeley" : { "formattedCitation" : "(Phillips, 1992b)", "manualFormatting" : "(Phillips, 1992b, p.76)", "plainTextFormattedCitation" : "(Phillips, 1992b)", "previouslyFormattedCitation" : "(Phillips, 1992b)" }, "properties" : { "noteIndex" : 0 }, "schema" : "https://github.com/citation-style-language/schema/raw/master/csl-citation.json" }</w:instrText>
      </w:r>
      <w:r w:rsidRPr="00CB0798">
        <w:rPr>
          <w:highlight w:val="cyan"/>
        </w:rPr>
        <w:fldChar w:fldCharType="separate"/>
      </w:r>
      <w:r w:rsidRPr="00CB0798">
        <w:rPr>
          <w:noProof/>
          <w:highlight w:val="cyan"/>
        </w:rPr>
        <w:t>(Phillips, 1992b, p.76)</w:t>
      </w:r>
      <w:r w:rsidRPr="00CB0798">
        <w:rPr>
          <w:highlight w:val="cyan"/>
        </w:rPr>
        <w:fldChar w:fldCharType="end"/>
      </w:r>
      <w:r w:rsidRPr="00CB0798">
        <w:rPr>
          <w:highlight w:val="cyan"/>
        </w:rPr>
        <w:t>. The point is not to generate a unified or homogenous ‘sisterhood’, but to acknowledge the multiple and socially-constructed identities of woman in relation to both the public and private sphere. And as Phillips (</w:t>
      </w:r>
      <w:r w:rsidRPr="00CB0798">
        <w:rPr>
          <w:i/>
          <w:highlight w:val="cyan"/>
        </w:rPr>
        <w:t>idib</w:t>
      </w:r>
      <w:r w:rsidRPr="00CB0798">
        <w:rPr>
          <w:highlight w:val="cyan"/>
        </w:rPr>
        <w:t>) notes: “The further one goes in this direction, the more crucial is that vision of wider participation that informs critics of liberal democracy”. This participatory emphasis of feminist critique segues into the theoretical field of deliberative democracy.</w:t>
      </w:r>
      <w:r w:rsidR="00087988">
        <w:t xml:space="preserve"> </w:t>
      </w:r>
      <w:r w:rsidR="00087988" w:rsidRPr="000C3AC1">
        <w:rPr>
          <w:highlight w:val="cyan"/>
        </w:rPr>
        <w:t>Before moving onto this field however, it is worth discussing critiques of some of the feminist formulations for citizenship in a democracy. Two of the proposed solutions in feminist theory, primarily with regards to their differentiated conceptions of citizenship, seek to either replace the liberal (male) conception of citizenship</w:t>
      </w:r>
      <w:r w:rsidR="00A12B38" w:rsidRPr="000C3AC1">
        <w:rPr>
          <w:highlight w:val="cyan"/>
        </w:rPr>
        <w:t xml:space="preserve"> with a maternal version</w:t>
      </w:r>
      <w:r w:rsidR="00087988" w:rsidRPr="000C3AC1">
        <w:rPr>
          <w:highlight w:val="cyan"/>
        </w:rPr>
        <w:t xml:space="preserve"> (Ruddick 1989; Elshtain 1981) or create a</w:t>
      </w:r>
      <w:r w:rsidR="00A12B38" w:rsidRPr="000C3AC1">
        <w:rPr>
          <w:highlight w:val="cyan"/>
        </w:rPr>
        <w:t>lternative</w:t>
      </w:r>
      <w:r w:rsidR="00087988" w:rsidRPr="000C3AC1">
        <w:rPr>
          <w:highlight w:val="cyan"/>
        </w:rPr>
        <w:t xml:space="preserve"> form</w:t>
      </w:r>
      <w:r w:rsidR="00A12B38" w:rsidRPr="000C3AC1">
        <w:rPr>
          <w:highlight w:val="cyan"/>
        </w:rPr>
        <w:t>s</w:t>
      </w:r>
      <w:r w:rsidR="00087988" w:rsidRPr="000C3AC1">
        <w:rPr>
          <w:highlight w:val="cyan"/>
        </w:rPr>
        <w:t xml:space="preserve"> of citizenship that </w:t>
      </w:r>
      <w:r w:rsidR="00A12B38" w:rsidRPr="000C3AC1">
        <w:rPr>
          <w:highlight w:val="cyan"/>
        </w:rPr>
        <w:t xml:space="preserve">are differentiated along gender </w:t>
      </w:r>
      <w:r w:rsidR="00087988" w:rsidRPr="000C3AC1">
        <w:rPr>
          <w:highlight w:val="cyan"/>
        </w:rPr>
        <w:t>(Pateman 1989; 1988)</w:t>
      </w:r>
      <w:r w:rsidR="00A12B38" w:rsidRPr="000C3AC1">
        <w:rPr>
          <w:highlight w:val="cyan"/>
        </w:rPr>
        <w:t xml:space="preserve"> or group lines </w:t>
      </w:r>
      <w:r w:rsidR="00A12B38" w:rsidRPr="000C3AC1">
        <w:rPr>
          <w:highlight w:val="cyan"/>
        </w:rPr>
        <w:fldChar w:fldCharType="begin" w:fldLock="1"/>
      </w:r>
      <w:r w:rsidR="00A12B38" w:rsidRPr="000C3AC1">
        <w:rPr>
          <w:highlight w:val="cyan"/>
        </w:rPr>
        <w:instrText>ADDIN CSL_CITATION { "citationItems" : [ { "id" : "ITEM-1", "itemData" : { "DOI" : "10.1017/CBO9781107415324.004", "ISBN" : "9788578110796", "ISSN" : "1098-6596", "PMID" : "25246403", "abstract" : "Populism, understood as an appeal to `the people' against both the established structure of power and the dominant ideas and values, should not be dismissed as a pathological form of politics of no interest to the political theorist, for its democratic pretensions raise important issues. Adapting Michael Oakeshott's distinction between `the politics of faith' and `the politics of scepticism', the paper o ers an analysis of democracy in terms of two opposing faces, one `pragmatic' and the other `redemptive', and argues that it is the inescapable tension between them that makes populism a perennial possibility.", "author" : [ { "dropping-particle" : "", "family" : "Young", "given" : "Iris Marion", "non-dropping-particle" : "", "parse-names" : false, "suffix" : "" } ], "container-title" : "Ethics", "id" : "ITEM-1", "issue" : "2", "issued" : { "date-parts" : [ [ "1989" ] ] }, "page" : "250-274", "title" : "Polity and Group Difference : A Critique of the Ideal of Universal Citizenship", "type" : "article-journal", "volume" : "99" }, "uris" : [ "http://www.mendeley.com/documents/?uuid=fbbdf256-e368-440e-8703-6397846231d8" ] }, { "id" : "ITEM-2", "itemData" : { "author" : [ { "dropping-particle" : "", "family" : "Young", "given" : "Iris Marion", "non-dropping-particle" : "", "parse-names" : false, "suffix" : "" } ], "container-title" : "Feminism/Postmodernism", "editor" : [ { "dropping-particle" : "", "family" : "Nicholson", "given" : "L. J.", "non-dropping-particle" : "", "parse-names" : false, "suffix" : "" } ], "id" : "ITEM-2", "issued" : { "date-parts" : [ [ "1990" ] ] }, "page" : "300-323", "publisher" : "Routledge", "publisher-place" : "London", "title" : "The Ideal of Community and the Politics of Difference", "type" : "chapter" }, "uris" : [ "http://www.mendeley.com/documents/?uuid=0d97f8f1-aed8-46dc-8c71-262b7a7bc4ad" ] } ], "mendeley" : { "formattedCitation" : "(Young, 1989, 1990)", "manualFormatting" : "(Young 1990; 1989)", "plainTextFormattedCitation" : "(Young, 1989, 1990)", "previouslyFormattedCitation" : "(Young, 1989, 1990)" }, "properties" : { "noteIndex" : 0 }, "schema" : "https://github.com/citation-style-language/schema/raw/master/csl-citation.json" }</w:instrText>
      </w:r>
      <w:r w:rsidR="00A12B38" w:rsidRPr="000C3AC1">
        <w:rPr>
          <w:highlight w:val="cyan"/>
        </w:rPr>
        <w:fldChar w:fldCharType="separate"/>
      </w:r>
      <w:r w:rsidR="00A12B38" w:rsidRPr="000C3AC1">
        <w:rPr>
          <w:noProof/>
          <w:highlight w:val="cyan"/>
        </w:rPr>
        <w:t>(Young 1990; 1989)</w:t>
      </w:r>
      <w:r w:rsidR="00A12B38" w:rsidRPr="000C3AC1">
        <w:rPr>
          <w:highlight w:val="cyan"/>
        </w:rPr>
        <w:fldChar w:fldCharType="end"/>
      </w:r>
      <w:r w:rsidR="00087988" w:rsidRPr="000C3AC1">
        <w:rPr>
          <w:highlight w:val="cyan"/>
        </w:rPr>
        <w:t xml:space="preserve">. In the works of Ruddick (1989) and Elshtain (1981), the rejection of a universalist identity in the public sphere, as espoused by liberalism, is replaced by a form of citizenship informed by ‘maternal thinking’. </w:t>
      </w:r>
      <w:r w:rsidR="004A6B3A" w:rsidRPr="000C3AC1">
        <w:rPr>
          <w:highlight w:val="cyan"/>
        </w:rPr>
        <w:t>In this approach, t</w:t>
      </w:r>
      <w:r w:rsidR="00087988" w:rsidRPr="000C3AC1">
        <w:rPr>
          <w:highlight w:val="cyan"/>
        </w:rPr>
        <w:t>he private</w:t>
      </w:r>
      <w:r w:rsidR="004A6B3A" w:rsidRPr="000C3AC1">
        <w:rPr>
          <w:highlight w:val="cyan"/>
        </w:rPr>
        <w:t xml:space="preserve"> </w:t>
      </w:r>
      <w:r w:rsidR="00087988" w:rsidRPr="000C3AC1">
        <w:rPr>
          <w:highlight w:val="cyan"/>
        </w:rPr>
        <w:t>realm is</w:t>
      </w:r>
      <w:r w:rsidR="004A6B3A" w:rsidRPr="000C3AC1">
        <w:rPr>
          <w:highlight w:val="cyan"/>
        </w:rPr>
        <w:t xml:space="preserve"> reified and</w:t>
      </w:r>
      <w:r w:rsidR="00087988" w:rsidRPr="000C3AC1">
        <w:rPr>
          <w:highlight w:val="cyan"/>
        </w:rPr>
        <w:t xml:space="preserve"> seen as morally superior to the</w:t>
      </w:r>
      <w:r w:rsidR="004A6B3A" w:rsidRPr="000C3AC1">
        <w:rPr>
          <w:highlight w:val="cyan"/>
        </w:rPr>
        <w:t xml:space="preserve"> public</w:t>
      </w:r>
      <w:r w:rsidR="00087988" w:rsidRPr="000C3AC1">
        <w:rPr>
          <w:highlight w:val="cyan"/>
        </w:rPr>
        <w:t xml:space="preserve"> liberal formulation, drawing as it does on something linked to common humanity – the family and parent (mother)hood – as opposed to a singular, individualist notion of the political.</w:t>
      </w:r>
      <w:r w:rsidR="004A6B3A" w:rsidRPr="000C3AC1">
        <w:rPr>
          <w:highlight w:val="cyan"/>
        </w:rPr>
        <w:t xml:space="preserve"> This would lead to a far more compassionate, loving, empathetic, conception of citizenship built around the concept o</w:t>
      </w:r>
      <w:r w:rsidR="00A12B38" w:rsidRPr="000C3AC1">
        <w:rPr>
          <w:highlight w:val="cyan"/>
        </w:rPr>
        <w:t>f female identity and centred on</w:t>
      </w:r>
      <w:r w:rsidR="004A6B3A" w:rsidRPr="000C3AC1">
        <w:rPr>
          <w:highlight w:val="cyan"/>
        </w:rPr>
        <w:t xml:space="preserve"> </w:t>
      </w:r>
      <w:r w:rsidR="00A12B38" w:rsidRPr="000C3AC1">
        <w:rPr>
          <w:highlight w:val="cyan"/>
        </w:rPr>
        <w:t>the</w:t>
      </w:r>
      <w:r w:rsidR="004A6B3A" w:rsidRPr="000C3AC1">
        <w:rPr>
          <w:highlight w:val="cyan"/>
        </w:rPr>
        <w:t xml:space="preserve"> (potential) role of motherhood. Dietz (1985, p.31) however, </w:t>
      </w:r>
      <w:r w:rsidR="00087988" w:rsidRPr="000C3AC1">
        <w:rPr>
          <w:highlight w:val="cyan"/>
        </w:rPr>
        <w:t>provides a rebuke to this argument by questioning how citizenship can be built on a relationship that is not in any way equal in its principles:</w:t>
      </w:r>
    </w:p>
    <w:p w14:paraId="4D457E4C" w14:textId="77777777" w:rsidR="00087988" w:rsidRPr="000C3AC1" w:rsidRDefault="00087988" w:rsidP="00087988">
      <w:pPr>
        <w:pStyle w:val="Quote"/>
        <w:rPr>
          <w:highlight w:val="cyan"/>
          <w:shd w:val="clear" w:color="auto" w:fill="FFFFFF"/>
        </w:rPr>
      </w:pPr>
      <w:r w:rsidRPr="000C3AC1">
        <w:rPr>
          <w:highlight w:val="cyan"/>
        </w:rPr>
        <w:t>The mother and the child</w:t>
      </w:r>
      <w:r w:rsidRPr="000C3AC1">
        <w:rPr>
          <w:highlight w:val="cyan"/>
          <w:shd w:val="clear" w:color="auto" w:fill="FFFFFF"/>
        </w:rPr>
        <w:t xml:space="preserve"> are in radically different positions in terms of power and</w:t>
      </w:r>
      <w:r w:rsidRPr="000C3AC1">
        <w:rPr>
          <w:sz w:val="2"/>
          <w:szCs w:val="2"/>
          <w:highlight w:val="cyan"/>
          <w:shd w:val="clear" w:color="auto" w:fill="FFFFFF"/>
        </w:rPr>
        <w:t xml:space="preserve"> </w:t>
      </w:r>
      <w:r w:rsidRPr="000C3AC1">
        <w:rPr>
          <w:highlight w:val="cyan"/>
          <w:shd w:val="clear" w:color="auto" w:fill="FFFFFF"/>
        </w:rPr>
        <w:t>control. The child is subordinate to the mother, and the need relations are highly differentiated as well.</w:t>
      </w:r>
    </w:p>
    <w:p w14:paraId="7E0B126E" w14:textId="7BD19D32" w:rsidR="00087988" w:rsidRPr="000C3AC1" w:rsidRDefault="00087988" w:rsidP="00087988">
      <w:pPr>
        <w:rPr>
          <w:highlight w:val="cyan"/>
        </w:rPr>
      </w:pPr>
      <w:r w:rsidRPr="000C3AC1">
        <w:rPr>
          <w:highlight w:val="cyan"/>
        </w:rPr>
        <w:t xml:space="preserve">This is misaligned with the needs of a democratic citizenship which must be ‘collective, inclusive and generalized’ (Diez 1985, p.31).  Therefore, </w:t>
      </w:r>
      <w:r w:rsidR="004A6B3A" w:rsidRPr="000C3AC1">
        <w:rPr>
          <w:highlight w:val="cyan"/>
        </w:rPr>
        <w:t xml:space="preserve">Dietz argues, </w:t>
      </w:r>
      <w:r w:rsidRPr="000C3AC1">
        <w:rPr>
          <w:highlight w:val="cyan"/>
        </w:rPr>
        <w:t xml:space="preserve">this foundation for citizenship is not satisfactory. </w:t>
      </w:r>
    </w:p>
    <w:p w14:paraId="09CF0A96" w14:textId="42ED6044" w:rsidR="00087988" w:rsidRPr="000C3AC1" w:rsidRDefault="00087988" w:rsidP="00087988">
      <w:pPr>
        <w:rPr>
          <w:highlight w:val="cyan"/>
        </w:rPr>
      </w:pPr>
      <w:r w:rsidRPr="000C3AC1">
        <w:rPr>
          <w:highlight w:val="cyan"/>
        </w:rPr>
        <w:t>In contrast, Pateman</w:t>
      </w:r>
      <w:r w:rsidR="00D70FC1" w:rsidRPr="000C3AC1">
        <w:rPr>
          <w:highlight w:val="cyan"/>
        </w:rPr>
        <w:t xml:space="preserve"> (1989)</w:t>
      </w:r>
      <w:r w:rsidRPr="000C3AC1">
        <w:rPr>
          <w:highlight w:val="cyan"/>
        </w:rPr>
        <w:t xml:space="preserve"> seeks to co</w:t>
      </w:r>
      <w:r w:rsidR="004A6B3A" w:rsidRPr="000C3AC1">
        <w:rPr>
          <w:highlight w:val="cyan"/>
        </w:rPr>
        <w:t xml:space="preserve">nceptualise something different as a response to what she identifies as the patriarchal underpinnings of liberalism. </w:t>
      </w:r>
      <w:r w:rsidRPr="000C3AC1">
        <w:rPr>
          <w:highlight w:val="cyan"/>
        </w:rPr>
        <w:t xml:space="preserve"> </w:t>
      </w:r>
      <w:r w:rsidR="00564657" w:rsidRPr="000C3AC1">
        <w:rPr>
          <w:highlight w:val="cyan"/>
        </w:rPr>
        <w:t xml:space="preserve">Whilst she too rejects the liberal unitary conceptualisation of </w:t>
      </w:r>
      <w:r w:rsidR="00D2616A" w:rsidRPr="000C3AC1">
        <w:rPr>
          <w:highlight w:val="cyan"/>
        </w:rPr>
        <w:t xml:space="preserve">citizenship, her response is to configure an idea of citizenship that identifies women </w:t>
      </w:r>
      <w:r w:rsidR="00D2616A" w:rsidRPr="000C3AC1">
        <w:rPr>
          <w:i/>
          <w:highlight w:val="cyan"/>
        </w:rPr>
        <w:t>as</w:t>
      </w:r>
      <w:r w:rsidR="00D2616A" w:rsidRPr="000C3AC1">
        <w:rPr>
          <w:highlight w:val="cyan"/>
        </w:rPr>
        <w:t xml:space="preserve"> women – and all that entails – alongside the liberal conceptualisation, resulting in what Chantal Mouffe (2005, p.81) </w:t>
      </w:r>
      <w:r w:rsidR="00A12B38" w:rsidRPr="000C3AC1">
        <w:rPr>
          <w:highlight w:val="cyan"/>
        </w:rPr>
        <w:t>categorises as</w:t>
      </w:r>
      <w:r w:rsidR="00D2616A" w:rsidRPr="000C3AC1">
        <w:rPr>
          <w:highlight w:val="cyan"/>
        </w:rPr>
        <w:t xml:space="preserve"> ‘two sexually differentiated forms of universality’.</w:t>
      </w:r>
      <w:r w:rsidR="00A12B38" w:rsidRPr="000C3AC1">
        <w:rPr>
          <w:highlight w:val="cyan"/>
        </w:rPr>
        <w:t xml:space="preserve"> Young (1989, p.272) takes this further to reject universality completely and argue that citizenship should be built around differentiated rights for minority groups, which leads to a positive obligation of this state to protect, for instance, minority languages and culture. This creates a heterogenous public </w:t>
      </w:r>
      <w:r w:rsidR="00D70FC1" w:rsidRPr="000C3AC1">
        <w:rPr>
          <w:highlight w:val="cyan"/>
        </w:rPr>
        <w:t>space founded on the positive recognition of difference, a completely different understanding of democracy compared to the liberal one.</w:t>
      </w:r>
    </w:p>
    <w:p w14:paraId="27C8E378" w14:textId="76707593" w:rsidR="00087988" w:rsidRPr="000C3AC1" w:rsidRDefault="00D70FC1" w:rsidP="00737137">
      <w:pPr>
        <w:rPr>
          <w:highlight w:val="cyan"/>
        </w:rPr>
      </w:pPr>
      <w:r w:rsidRPr="000C3AC1">
        <w:rPr>
          <w:highlight w:val="cyan"/>
        </w:rPr>
        <w:t xml:space="preserve">Mouffe however has problems with all these solutions, and she critiques them from the perspective of her understanding of radical citizenship. The details of this are discussed in detail </w:t>
      </w:r>
      <w:r w:rsidR="00C25D34" w:rsidRPr="000C3AC1">
        <w:rPr>
          <w:highlight w:val="cyan"/>
        </w:rPr>
        <w:t>below</w:t>
      </w:r>
      <w:r w:rsidRPr="000C3AC1">
        <w:rPr>
          <w:highlight w:val="cyan"/>
        </w:rPr>
        <w:t xml:space="preserve">. For now however it should be outlined that at core, the problem Mouffe (2005, p.86) has is that all these approaches in some way have an ‘essentialist’ notion of identity or group which sees politics as ‘a process of dealing with already constituted interests and identities’. To see identity in such a way sees it as something essentially pre-existing and </w:t>
      </w:r>
      <w:r w:rsidRPr="000C3AC1">
        <w:rPr>
          <w:i/>
          <w:highlight w:val="cyan"/>
        </w:rPr>
        <w:t>out there</w:t>
      </w:r>
      <w:r w:rsidRPr="000C3AC1">
        <w:rPr>
          <w:highlight w:val="cyan"/>
        </w:rPr>
        <w:t xml:space="preserve"> that must be reflected in the political system in exact accordance to its need</w:t>
      </w:r>
      <w:r w:rsidR="00C25D34" w:rsidRPr="000C3AC1">
        <w:rPr>
          <w:highlight w:val="cyan"/>
        </w:rPr>
        <w:t>. Discussing how Young’s group-differentiated citizenship conceptualises politics, Mouffe (2005, p.86) notes that “there are groups with their interests and identities already given, and politics is…about finding ways to satisfy the demands on the various parts in a manner acceptable to all.”</w:t>
      </w:r>
      <w:r w:rsidRPr="000C3AC1">
        <w:rPr>
          <w:highlight w:val="cyan"/>
        </w:rPr>
        <w:t xml:space="preserve"> </w:t>
      </w:r>
      <w:r w:rsidR="00C25D34" w:rsidRPr="000C3AC1">
        <w:rPr>
          <w:highlight w:val="cyan"/>
        </w:rPr>
        <w:t>I</w:t>
      </w:r>
      <w:r w:rsidRPr="000C3AC1">
        <w:rPr>
          <w:highlight w:val="cyan"/>
        </w:rPr>
        <w:t>n contrast</w:t>
      </w:r>
      <w:r w:rsidR="00C25D34" w:rsidRPr="000C3AC1">
        <w:rPr>
          <w:highlight w:val="cyan"/>
        </w:rPr>
        <w:t>,</w:t>
      </w:r>
      <w:r w:rsidRPr="000C3AC1">
        <w:rPr>
          <w:highlight w:val="cyan"/>
        </w:rPr>
        <w:t xml:space="preserve"> </w:t>
      </w:r>
      <w:r w:rsidR="00C25D34" w:rsidRPr="000C3AC1">
        <w:rPr>
          <w:highlight w:val="cyan"/>
        </w:rPr>
        <w:t xml:space="preserve">Mouffe </w:t>
      </w:r>
      <w:r w:rsidR="00E23641">
        <w:rPr>
          <w:highlight w:val="cyan"/>
        </w:rPr>
        <w:t xml:space="preserve">herself </w:t>
      </w:r>
      <w:r w:rsidRPr="000C3AC1">
        <w:rPr>
          <w:highlight w:val="cyan"/>
        </w:rPr>
        <w:t xml:space="preserve">sees identity as </w:t>
      </w:r>
      <w:r w:rsidR="00C25D34" w:rsidRPr="000C3AC1">
        <w:rPr>
          <w:highlight w:val="cyan"/>
        </w:rPr>
        <w:t>always under construction and something that is partial and nodal, that tries to gain power through the construction of hegemony, yet is never permanent and so is anti-essentialist (Mouffe 2005).</w:t>
      </w:r>
    </w:p>
    <w:p w14:paraId="73E45DA0" w14:textId="0D9B5B9D" w:rsidR="00087988" w:rsidRPr="000C3AC1" w:rsidRDefault="00C25D34" w:rsidP="00737137">
      <w:pPr>
        <w:rPr>
          <w:highlight w:val="cyan"/>
        </w:rPr>
      </w:pPr>
      <w:r w:rsidRPr="000C3AC1">
        <w:rPr>
          <w:highlight w:val="cyan"/>
        </w:rPr>
        <w:t xml:space="preserve">These critiques of feminist formulations of citizenship are substantial, however, </w:t>
      </w:r>
      <w:r w:rsidR="00FF4069" w:rsidRPr="000C3AC1">
        <w:rPr>
          <w:highlight w:val="cyan"/>
        </w:rPr>
        <w:t xml:space="preserve">when it comes to the short-comings of liberal democracy </w:t>
      </w:r>
      <w:r w:rsidRPr="000C3AC1">
        <w:rPr>
          <w:highlight w:val="cyan"/>
        </w:rPr>
        <w:t xml:space="preserve">what feminist theory did much to elucidate is the issue of wider, or, more accurately, </w:t>
      </w:r>
      <w:r w:rsidRPr="000C3AC1">
        <w:rPr>
          <w:i/>
          <w:highlight w:val="cyan"/>
        </w:rPr>
        <w:t>deeper</w:t>
      </w:r>
      <w:r w:rsidRPr="000C3AC1">
        <w:rPr>
          <w:highlight w:val="cyan"/>
        </w:rPr>
        <w:t xml:space="preserve">, understandings of political participation. It is to this I know turn to through the lens of deliberative democratic theory before returning to conclude this discussion with the notional or radical citizenship and its implications for liberal democratic theory.  </w:t>
      </w:r>
    </w:p>
    <w:p w14:paraId="596856C4" w14:textId="36FFBA46" w:rsidR="00CF455B" w:rsidRPr="000C3AC1" w:rsidRDefault="00CF455B" w:rsidP="00E223A2">
      <w:pPr>
        <w:pStyle w:val="Heading3"/>
        <w:rPr>
          <w:highlight w:val="cyan"/>
        </w:rPr>
      </w:pPr>
      <w:r w:rsidRPr="000C3AC1">
        <w:rPr>
          <w:highlight w:val="cyan"/>
        </w:rPr>
        <w:t>Deliberative Democracy</w:t>
      </w:r>
      <w:bookmarkEnd w:id="42"/>
    </w:p>
    <w:p w14:paraId="12D5897A" w14:textId="27059CA0" w:rsidR="00CF455B" w:rsidRPr="000C3AC1" w:rsidRDefault="00CF455B" w:rsidP="00C62010">
      <w:pPr>
        <w:rPr>
          <w:highlight w:val="cyan"/>
        </w:rPr>
      </w:pPr>
      <w:r w:rsidRPr="000C3AC1">
        <w:rPr>
          <w:highlight w:val="cyan"/>
        </w:rPr>
        <w:t xml:space="preserve">Fishkin </w:t>
      </w:r>
      <w:r w:rsidR="00555946" w:rsidRPr="000C3AC1">
        <w:rPr>
          <w:highlight w:val="cyan"/>
        </w:rPr>
        <w:fldChar w:fldCharType="begin" w:fldLock="1"/>
      </w:r>
      <w:r w:rsidR="00E63CC6" w:rsidRPr="000C3AC1">
        <w:rPr>
          <w:highlight w:val="cyan"/>
        </w:rPr>
        <w:instrText>ADDIN CSL_CITATION { "citationItems" : [ { "id" : "ITEM-1", "itemData" : { "author" : [ { "dropping-particle" : "", "family" : "Fishkin", "given" : "JS", "non-dropping-particle" : "", "parse-names" : false, "suffix" : "" } ], "id" : "ITEM-1", "issued" : { "date-parts" : [ [ "1991" ] ] }, "publisher" : "Yale University Press", "publisher-place" : "New Haven", "title" : "Democracy and Deliberation: New Directions for Democratic Reform", "type" : "book" }, "locator" : "1-2", "uris" : [ "http://www.mendeley.com/documents/?uuid=4c4039b3-fb59-4d71-b1c7-6165ca0d8dfa" ] } ], "mendeley" : { "formattedCitation" : "(Fishkin, 1991, pp. 1\u20132)", "manualFormatting" : "(1991, pp.1\u20132)", "plainTextFormattedCitation" : "(Fishkin, 1991, pp. 1\u20132)", "previouslyFormattedCitation" : "(Fishkin, 1991, pp. 1\u20132)" }, "properties" : { "noteIndex" : 0 }, "schema" : "https://github.com/citation-style-language/schema/raw/master/csl-citation.json" }</w:instrText>
      </w:r>
      <w:r w:rsidR="00555946" w:rsidRPr="000C3AC1">
        <w:rPr>
          <w:highlight w:val="cyan"/>
        </w:rPr>
        <w:fldChar w:fldCharType="separate"/>
      </w:r>
      <w:r w:rsidR="00555946" w:rsidRPr="000C3AC1">
        <w:rPr>
          <w:noProof/>
          <w:highlight w:val="cyan"/>
        </w:rPr>
        <w:t>(1991, pp.1–2)</w:t>
      </w:r>
      <w:r w:rsidR="00555946" w:rsidRPr="000C3AC1">
        <w:rPr>
          <w:highlight w:val="cyan"/>
        </w:rPr>
        <w:fldChar w:fldCharType="end"/>
      </w:r>
      <w:r w:rsidRPr="000C3AC1">
        <w:rPr>
          <w:highlight w:val="cyan"/>
        </w:rPr>
        <w:t xml:space="preserve"> argues that through </w:t>
      </w:r>
      <w:r w:rsidR="00E23641">
        <w:rPr>
          <w:highlight w:val="cyan"/>
        </w:rPr>
        <w:t>the</w:t>
      </w:r>
      <w:r w:rsidRPr="000C3AC1">
        <w:rPr>
          <w:highlight w:val="cyan"/>
        </w:rPr>
        <w:t xml:space="preserve"> artificial public/private divide and the expectations of representative liberal democracy it appears we are given a ‘…forced choice between politically equal but relatively incompetent masses and political unequal but relatively more competent elites.’ Theories of deliberative democracy challenge this conception and seek to institutionalise the notion of participation for the masses and not simply limit democracy to a system that aggregates preferences. Since </w:t>
      </w:r>
      <w:r w:rsidR="00E23641">
        <w:rPr>
          <w:highlight w:val="cyan"/>
        </w:rPr>
        <w:t>the early</w:t>
      </w:r>
      <w:r w:rsidRPr="000C3AC1">
        <w:rPr>
          <w:highlight w:val="cyan"/>
        </w:rPr>
        <w:t xml:space="preserve"> 1990</w:t>
      </w:r>
      <w:r w:rsidR="00E23641">
        <w:rPr>
          <w:highlight w:val="cyan"/>
        </w:rPr>
        <w:t>s</w:t>
      </w:r>
      <w:r w:rsidRPr="000C3AC1">
        <w:rPr>
          <w:highlight w:val="cyan"/>
        </w:rPr>
        <w:t xml:space="preserve"> the deliberative turn in democratic theory has arguably gone from strength to strength </w:t>
      </w:r>
      <w:r w:rsidR="00555946" w:rsidRPr="000C3AC1">
        <w:rPr>
          <w:highlight w:val="cyan"/>
        </w:rPr>
        <w:fldChar w:fldCharType="begin" w:fldLock="1"/>
      </w:r>
      <w:r w:rsidR="00A720F0">
        <w:rPr>
          <w:highlight w:val="cyan"/>
        </w:rPr>
        <w:instrText>ADDIN CSL_CITATION { "citationItems" : [ { "id" : "ITEM-1", "itemData" : { "author" : [ { "dropping-particle" : "", "family" : "Dryzek", "given" : "John S", "non-dropping-particle" : "", "parse-names" : false, "suffix" : "" } ], "id" : "ITEM-1", "issued" : { "date-parts" : [ [ "2010" ] ] }, "publisher" : "Oxford University Press", "publisher-place" : "Oxford", "title" : "Foundations and Frontiers of Deoliberative Governance", "type" : "book" }, "locator" : "3", "uris" : [ "http://www.mendeley.com/documents/?uuid=00aab285-0afe-4d1a-b8fa-6c0d6d515395" ] } ], "mendeley" : { "formattedCitation" : "(Dryzek, 2010, p. 3)", "manualFormatting" : "(Dryzek, 2010, p.3)", "plainTextFormattedCitation" : "(Dryzek, 2010, p. 3)", "previouslyFormattedCitation" : "(Dryzek, 2010, p. 3)" }, "properties" : { "noteIndex" : 0 }, "schema" : "https://github.com/citation-style-language/schema/raw/master/csl-citation.json" }</w:instrText>
      </w:r>
      <w:r w:rsidR="00555946" w:rsidRPr="000C3AC1">
        <w:rPr>
          <w:highlight w:val="cyan"/>
        </w:rPr>
        <w:fldChar w:fldCharType="separate"/>
      </w:r>
      <w:r w:rsidR="00E23641">
        <w:rPr>
          <w:noProof/>
          <w:highlight w:val="cyan"/>
        </w:rPr>
        <w:t>(Dryzek, 2010, p.</w:t>
      </w:r>
      <w:r w:rsidR="00E63CC6" w:rsidRPr="000C3AC1">
        <w:rPr>
          <w:noProof/>
          <w:highlight w:val="cyan"/>
        </w:rPr>
        <w:t>3)</w:t>
      </w:r>
      <w:r w:rsidR="00555946" w:rsidRPr="000C3AC1">
        <w:rPr>
          <w:highlight w:val="cyan"/>
        </w:rPr>
        <w:fldChar w:fldCharType="end"/>
      </w:r>
      <w:r w:rsidRPr="000C3AC1">
        <w:rPr>
          <w:highlight w:val="cyan"/>
        </w:rPr>
        <w:t xml:space="preserve">, </w:t>
      </w:r>
      <w:r w:rsidR="00686D3D" w:rsidRPr="000C3AC1">
        <w:rPr>
          <w:highlight w:val="cyan"/>
        </w:rPr>
        <w:t>spawning</w:t>
      </w:r>
      <w:r w:rsidRPr="000C3AC1">
        <w:rPr>
          <w:highlight w:val="cyan"/>
        </w:rPr>
        <w:t xml:space="preserve"> a large literature. </w:t>
      </w:r>
    </w:p>
    <w:p w14:paraId="2507D2DB" w14:textId="110FFB92" w:rsidR="00CF455B" w:rsidRPr="000C3AC1" w:rsidRDefault="008E7D24" w:rsidP="00C62010">
      <w:pPr>
        <w:rPr>
          <w:highlight w:val="cyan"/>
        </w:rPr>
      </w:pPr>
      <w:r>
        <w:rPr>
          <w:highlight w:val="cyan"/>
        </w:rPr>
        <w:t>Deliberative approaches</w:t>
      </w:r>
      <w:r w:rsidR="00CF455B" w:rsidRPr="000C3AC1">
        <w:rPr>
          <w:highlight w:val="cyan"/>
        </w:rPr>
        <w:t xml:space="preserve"> </w:t>
      </w:r>
      <w:r>
        <w:rPr>
          <w:highlight w:val="cyan"/>
        </w:rPr>
        <w:t>encourages</w:t>
      </w:r>
      <w:r w:rsidR="00CF455B" w:rsidRPr="000C3AC1">
        <w:rPr>
          <w:highlight w:val="cyan"/>
        </w:rPr>
        <w:t xml:space="preserve"> the active participation of those affected by a collective decision</w:t>
      </w:r>
      <w:r>
        <w:rPr>
          <w:highlight w:val="cyan"/>
        </w:rPr>
        <w:t xml:space="preserve">, looking to develop and support opportunities </w:t>
      </w:r>
      <w:r w:rsidR="00CF455B" w:rsidRPr="000C3AC1">
        <w:rPr>
          <w:highlight w:val="cyan"/>
        </w:rPr>
        <w:t>to discuss, debate</w:t>
      </w:r>
      <w:r>
        <w:rPr>
          <w:highlight w:val="cyan"/>
        </w:rPr>
        <w:t>,</w:t>
      </w:r>
      <w:r w:rsidR="00CF455B" w:rsidRPr="000C3AC1">
        <w:rPr>
          <w:highlight w:val="cyan"/>
        </w:rPr>
        <w:t xml:space="preserve"> and communicate about that decision in a consequential way. It should involve two-way communication and engagement, so that anyone involved could change their position on the issue at hand – this means it must be free of any manipulation in the form of threats, lies, abuse, command etc. For Cohen </w:t>
      </w:r>
      <w:r w:rsidR="00555946" w:rsidRPr="000C3AC1">
        <w:rPr>
          <w:highlight w:val="cyan"/>
        </w:rPr>
        <w:fldChar w:fldCharType="begin" w:fldLock="1"/>
      </w:r>
      <w:r w:rsidR="00E63CC6" w:rsidRPr="000C3AC1">
        <w:rPr>
          <w:highlight w:val="cyan"/>
        </w:rPr>
        <w:instrText>ADDIN CSL_CITATION { "citationItems" : [ { "id" : "ITEM-1", "itemData" : { "author" : [ { "dropping-particle" : "", "family" : "Cohen", "given" : "Joshua", "non-dropping-particle" : "", "parse-names" : false, "suffix" : "" } ], "container-title" : "The Good Polity", "editor" : [ { "dropping-particle" : "", "family" : "Hamlin", "given" : "A", "non-dropping-particle" : "", "parse-names" : false, "suffix" : "" }, { "dropping-particle" : "", "family" : "Pettit", "given" : "P", "non-dropping-particle" : "", "parse-names" : false, "suffix" : "" } ], "id" : "ITEM-1", "issued" : { "date-parts" : [ [ "1989" ] ] }, "page" : "17-34", "publisher" : "Blackwell Publishing", "publisher-place" : "Oxford", "title" : "Deliberation and Democratic Legitimacy", "type" : "chapter" }, "locator" : "33", "uris" : [ "http://www.mendeley.com/documents/?uuid=91f21e5a-db1d-4380-b9e7-13f264430ebc" ] } ], "mendeley" : { "formattedCitation" : "(Cohen, 1989, p. 33)", "manualFormatting" : "(1989, p.33)", "plainTextFormattedCitation" : "(Cohen, 1989, p. 33)", "previouslyFormattedCitation" : "(Cohen, 1989, p. 33)" }, "properties" : { "noteIndex" : 0 }, "schema" : "https://github.com/citation-style-language/schema/raw/master/csl-citation.json" }</w:instrText>
      </w:r>
      <w:r w:rsidR="00555946" w:rsidRPr="000C3AC1">
        <w:rPr>
          <w:highlight w:val="cyan"/>
        </w:rPr>
        <w:fldChar w:fldCharType="separate"/>
      </w:r>
      <w:r w:rsidR="00555946" w:rsidRPr="000C3AC1">
        <w:rPr>
          <w:noProof/>
          <w:highlight w:val="cyan"/>
        </w:rPr>
        <w:t>(1989, p.33)</w:t>
      </w:r>
      <w:r w:rsidR="00555946" w:rsidRPr="000C3AC1">
        <w:rPr>
          <w:highlight w:val="cyan"/>
        </w:rPr>
        <w:fldChar w:fldCharType="end"/>
      </w:r>
      <w:r w:rsidR="00CF455B" w:rsidRPr="000C3AC1">
        <w:rPr>
          <w:highlight w:val="cyan"/>
        </w:rPr>
        <w:t xml:space="preserve"> ‘…ideal deliberation aims to arrive at a rationally motivated consensus - to find reasons that are persuasive to all who are committed to acting on the results of a free and reasoned assessment of alternatives by equals”. It is this arena of deliberation that becomes the focus of legitimacy for a democracy, not the majority vote.</w:t>
      </w:r>
    </w:p>
    <w:p w14:paraId="3830E49D" w14:textId="2BA132FB" w:rsidR="00CF455B" w:rsidRPr="000C3AC1" w:rsidRDefault="00CF455B" w:rsidP="00C62010">
      <w:pPr>
        <w:rPr>
          <w:highlight w:val="cyan"/>
        </w:rPr>
      </w:pPr>
      <w:r w:rsidRPr="000C3AC1">
        <w:rPr>
          <w:highlight w:val="cyan"/>
        </w:rPr>
        <w:t>Most deliberative theorists see deliberation in a sense as enriching or deepening democratic legitimacy within a liberal democratic apparatus</w:t>
      </w:r>
      <w:r w:rsidR="00932DE6" w:rsidRPr="000C3AC1">
        <w:rPr>
          <w:highlight w:val="cyan"/>
        </w:rPr>
        <w:t>.</w:t>
      </w:r>
      <w:r w:rsidRPr="000C3AC1">
        <w:rPr>
          <w:highlight w:val="cyan"/>
        </w:rPr>
        <w:t xml:space="preserve"> </w:t>
      </w:r>
      <w:r w:rsidR="00932DE6" w:rsidRPr="000C3AC1">
        <w:rPr>
          <w:highlight w:val="cyan"/>
        </w:rPr>
        <w:t>H</w:t>
      </w:r>
      <w:r w:rsidRPr="000C3AC1">
        <w:rPr>
          <w:highlight w:val="cyan"/>
        </w:rPr>
        <w:t xml:space="preserve">owever, Dryzek </w:t>
      </w:r>
      <w:r w:rsidR="004C0B25" w:rsidRPr="000C3AC1">
        <w:rPr>
          <w:highlight w:val="cyan"/>
        </w:rPr>
        <w:fldChar w:fldCharType="begin" w:fldLock="1"/>
      </w:r>
      <w:r w:rsidR="00E63CC6" w:rsidRPr="000C3AC1">
        <w:rPr>
          <w:highlight w:val="cyan"/>
        </w:rPr>
        <w:instrText>ADDIN CSL_CITATION { "citationItems" : [ { "id" : "ITEM-1", "itemData" : { "author" : [ { "dropping-particle" : "", "family" : "Dryzek", "given" : "John S", "non-dropping-particle" : "", "parse-names" : false, "suffix" : "" } ], "id" : "ITEM-1", "issued" : { "date-parts" : [ [ "2002" ] ] }, "publisher-place" : "Oxford University Press", "title" : "Deliberative Democracy and Beyond: Liberals, Critics, Contestations", "type" : "book" }, "uris" : [ "http://www.mendeley.com/documents/?uuid=2a5ee732-d663-4d3b-8c1d-680e3df857a8" ] }, { "id" : "ITEM-2", "itemData" : { "author" : [ { "dropping-particle" : "", "family" : "Dryzek", "given" : "John S", "non-dropping-particle" : "", "parse-names" : false, "suffix" : "" } ], "id" : "ITEM-2", "issued" : { "date-parts" : [ [ "2010" ] ] }, "publisher" : "Oxford University Press", "publisher-place" : "Oxford", "title" : "Foundations and Frontiers of Deoliberative Governance", "type" : "book" }, "uris" : [ "http://www.mendeley.com/documents/?uuid=00aab285-0afe-4d1a-b8fa-6c0d6d515395" ] } ], "mendeley" : { "formattedCitation" : "(Dryzek, 2002, 2010)", "manualFormatting" : "(2002; 2010)", "plainTextFormattedCitation" : "(Dryzek, 2002, 2010)", "previouslyFormattedCitation" : "(Dryzek, 2002, 2010)" }, "properties" : { "noteIndex" : 0 }, "schema" : "https://github.com/citation-style-language/schema/raw/master/csl-citation.json" }</w:instrText>
      </w:r>
      <w:r w:rsidR="004C0B25" w:rsidRPr="000C3AC1">
        <w:rPr>
          <w:highlight w:val="cyan"/>
        </w:rPr>
        <w:fldChar w:fldCharType="separate"/>
      </w:r>
      <w:r w:rsidR="004C0B25" w:rsidRPr="000C3AC1">
        <w:rPr>
          <w:noProof/>
          <w:highlight w:val="cyan"/>
        </w:rPr>
        <w:t>(2002; 2010)</w:t>
      </w:r>
      <w:r w:rsidR="004C0B25" w:rsidRPr="000C3AC1">
        <w:rPr>
          <w:highlight w:val="cyan"/>
        </w:rPr>
        <w:fldChar w:fldCharType="end"/>
      </w:r>
      <w:r w:rsidRPr="000C3AC1">
        <w:rPr>
          <w:highlight w:val="cyan"/>
        </w:rPr>
        <w:t xml:space="preserve"> offers up his more radical notion of ‘discursive democracy’, which greatly reduces this reliance. Summarising Dryzek’s arguments, Fabre </w:t>
      </w:r>
      <w:r w:rsidR="00555946" w:rsidRPr="000C3AC1">
        <w:rPr>
          <w:highlight w:val="cyan"/>
        </w:rPr>
        <w:fldChar w:fldCharType="begin" w:fldLock="1"/>
      </w:r>
      <w:r w:rsidR="00E63CC6" w:rsidRPr="000C3AC1">
        <w:rPr>
          <w:highlight w:val="cyan"/>
        </w:rPr>
        <w:instrText>ADDIN CSL_CITATION { "citationItems" : [ { "id" : "ITEM-1", "itemData" : { "DOI" : "10.1177/1474885103002001284", "ISSN" : "1474-8851", "author" : [ { "dropping-particle" : "", "family" : "Fabre", "given" : "C.", "non-dropping-particle" : "", "parse-names" : false, "suffix" : "" } ], "container-title" : "European Journal of Political Theory", "id" : "ITEM-1", "issue" : "1", "issued" : { "date-parts" : [ [ "2003" ] ] }, "page" : "107-115", "title" : "To Deliberate or to Discourse: Is That the Question?", "type" : "article-journal", "volume" : "2" }, "locator" : "107-108", "uris" : [ "http://www.mendeley.com/documents/?uuid=4fda65b9-bfae-452e-9cea-efe12ca5f65b" ] } ], "mendeley" : { "formattedCitation" : "(Fabre, 2003, pp. 107\u2013108)", "manualFormatting" : "(2003, pp.107\u2013108)", "plainTextFormattedCitation" : "(Fabre, 2003, pp. 107\u2013108)", "previouslyFormattedCitation" : "(Fabre, 2003, pp. 107\u2013108)" }, "properties" : { "noteIndex" : 0 }, "schema" : "https://github.com/citation-style-language/schema/raw/master/csl-citation.json" }</w:instrText>
      </w:r>
      <w:r w:rsidR="00555946" w:rsidRPr="000C3AC1">
        <w:rPr>
          <w:highlight w:val="cyan"/>
        </w:rPr>
        <w:fldChar w:fldCharType="separate"/>
      </w:r>
      <w:r w:rsidR="00555946" w:rsidRPr="000C3AC1">
        <w:rPr>
          <w:noProof/>
          <w:highlight w:val="cyan"/>
        </w:rPr>
        <w:t>(2003, pp.107–108)</w:t>
      </w:r>
      <w:r w:rsidR="00555946" w:rsidRPr="000C3AC1">
        <w:rPr>
          <w:highlight w:val="cyan"/>
        </w:rPr>
        <w:fldChar w:fldCharType="end"/>
      </w:r>
      <w:r w:rsidRPr="000C3AC1">
        <w:rPr>
          <w:highlight w:val="cyan"/>
        </w:rPr>
        <w:t xml:space="preserve"> suggests that this model is supposed to improve on the deliberative model by</w:t>
      </w:r>
      <w:r w:rsidR="00C302DA" w:rsidRPr="000C3AC1">
        <w:rPr>
          <w:highlight w:val="cyan"/>
        </w:rPr>
        <w:t>:</w:t>
      </w:r>
      <w:r w:rsidRPr="000C3AC1">
        <w:rPr>
          <w:highlight w:val="cyan"/>
        </w:rPr>
        <w:t xml:space="preserve"> </w:t>
      </w:r>
    </w:p>
    <w:p w14:paraId="46BF38B2" w14:textId="77777777" w:rsidR="00CF455B" w:rsidRPr="000C3AC1" w:rsidRDefault="00CF455B" w:rsidP="00C62010">
      <w:pPr>
        <w:pStyle w:val="Quote"/>
        <w:rPr>
          <w:highlight w:val="cyan"/>
        </w:rPr>
      </w:pPr>
      <w:r w:rsidRPr="000C3AC1">
        <w:rPr>
          <w:highlight w:val="cyan"/>
        </w:rPr>
        <w:t>“…being more flexible with respect to legitimate modes of discourses and interests, and by affording civil society, and the various groups, associations and individuals that constitute it, central importance: some collective decisions…are best taken by (a part of) civil society, not by the state.”</w:t>
      </w:r>
    </w:p>
    <w:p w14:paraId="30EEE074" w14:textId="48B7C4B3" w:rsidR="00CF455B" w:rsidRPr="000C3AC1" w:rsidRDefault="00CF455B" w:rsidP="00C62010">
      <w:pPr>
        <w:rPr>
          <w:highlight w:val="cyan"/>
        </w:rPr>
      </w:pPr>
      <w:r w:rsidRPr="000C3AC1">
        <w:rPr>
          <w:highlight w:val="cyan"/>
        </w:rPr>
        <w:t xml:space="preserve">This approach to democratic theory then greatly increases the role of the citizen. Whereas the citizen in </w:t>
      </w:r>
      <w:r w:rsidR="00932DE6" w:rsidRPr="000C3AC1">
        <w:rPr>
          <w:highlight w:val="cyan"/>
        </w:rPr>
        <w:t xml:space="preserve">many </w:t>
      </w:r>
      <w:r w:rsidRPr="000C3AC1">
        <w:rPr>
          <w:highlight w:val="cyan"/>
        </w:rPr>
        <w:t xml:space="preserve">of the electoral and elite-focused theories is passive the majority of the time, they are far more active in deliberative theory. Indeed this approach harks back to ideas of direct democracy, in which the citizen is at the centre of the theoretical approach, as opposed to being side-lined by electoral mechanisms and elite institutions.  </w:t>
      </w:r>
    </w:p>
    <w:p w14:paraId="5725892C" w14:textId="46AE3382" w:rsidR="00CF455B" w:rsidRPr="000C3AC1" w:rsidRDefault="00CF455B" w:rsidP="00C62010">
      <w:pPr>
        <w:rPr>
          <w:highlight w:val="cyan"/>
        </w:rPr>
      </w:pPr>
      <w:r w:rsidRPr="000C3AC1">
        <w:rPr>
          <w:highlight w:val="cyan"/>
        </w:rPr>
        <w:t xml:space="preserve">However, in her critique </w:t>
      </w:r>
      <w:r w:rsidR="00555946" w:rsidRPr="000C3AC1">
        <w:rPr>
          <w:highlight w:val="cyan"/>
        </w:rPr>
        <w:t xml:space="preserve">of discursive democracy, Fabre </w:t>
      </w:r>
      <w:r w:rsidR="00555946" w:rsidRPr="000C3AC1">
        <w:rPr>
          <w:highlight w:val="cyan"/>
        </w:rPr>
        <w:fldChar w:fldCharType="begin" w:fldLock="1"/>
      </w:r>
      <w:r w:rsidR="00E63CC6" w:rsidRPr="000C3AC1">
        <w:rPr>
          <w:highlight w:val="cyan"/>
        </w:rPr>
        <w:instrText>ADDIN CSL_CITATION { "citationItems" : [ { "id" : "ITEM-1", "itemData" : { "DOI" : "10.1177/1474885103002001284", "ISSN" : "1474-8851", "author" : [ { "dropping-particle" : "", "family" : "Fabre", "given" : "C.", "non-dropping-particle" : "", "parse-names" : false, "suffix" : "" } ], "container-title" : "European Journal of Political Theory", "id" : "ITEM-1", "issue" : "1", "issued" : { "date-parts" : [ [ "2003" ] ] }, "page" : "107-115", "title" : "To Deliberate or to Discourse: Is That the Question?", "type" : "article-journal", "volume" : "2" }, "uris" : [ "http://www.mendeley.com/documents/?uuid=4fda65b9-bfae-452e-9cea-efe12ca5f65b" ] } ], "mendeley" : { "formattedCitation" : "(Fabre, 2003)", "manualFormatting" : "(2003)", "plainTextFormattedCitation" : "(Fabre, 2003)", "previouslyFormattedCitation" : "(Fabre, 2003)" }, "properties" : { "noteIndex" : 0 }, "schema" : "https://github.com/citation-style-language/schema/raw/master/csl-citation.json" }</w:instrText>
      </w:r>
      <w:r w:rsidR="00555946" w:rsidRPr="000C3AC1">
        <w:rPr>
          <w:highlight w:val="cyan"/>
        </w:rPr>
        <w:fldChar w:fldCharType="separate"/>
      </w:r>
      <w:r w:rsidR="00555946" w:rsidRPr="000C3AC1">
        <w:rPr>
          <w:noProof/>
          <w:highlight w:val="cyan"/>
        </w:rPr>
        <w:t>(2003)</w:t>
      </w:r>
      <w:r w:rsidR="00555946" w:rsidRPr="000C3AC1">
        <w:rPr>
          <w:highlight w:val="cyan"/>
        </w:rPr>
        <w:fldChar w:fldCharType="end"/>
      </w:r>
      <w:r w:rsidRPr="000C3AC1">
        <w:rPr>
          <w:highlight w:val="cyan"/>
        </w:rPr>
        <w:t xml:space="preserve"> questions how radical and </w:t>
      </w:r>
      <w:r w:rsidR="00E845F8" w:rsidRPr="000C3AC1">
        <w:rPr>
          <w:highlight w:val="cyan"/>
        </w:rPr>
        <w:t>distinctive</w:t>
      </w:r>
      <w:r w:rsidRPr="000C3AC1">
        <w:rPr>
          <w:highlight w:val="cyan"/>
        </w:rPr>
        <w:t xml:space="preserve"> this idea can be when Dryzek still theoretically agrees that the state must retain its monopoly on the use of violence, and so ultimately retains its role as arbiter of conflict. And as discussed, the liberal democratic state is one bound up in the protection of individual political rights.</w:t>
      </w:r>
      <w:r w:rsidR="000D2F92" w:rsidRPr="000C3AC1">
        <w:rPr>
          <w:highlight w:val="cyan"/>
        </w:rPr>
        <w:t xml:space="preserve"> T</w:t>
      </w:r>
      <w:r w:rsidRPr="000C3AC1">
        <w:rPr>
          <w:highlight w:val="cyan"/>
        </w:rPr>
        <w:t xml:space="preserve">his makes it hard to accept Dryzek’s claim that discursive democracy does not operate </w:t>
      </w:r>
      <w:r w:rsidRPr="000C3AC1">
        <w:rPr>
          <w:i/>
          <w:highlight w:val="cyan"/>
        </w:rPr>
        <w:t>within</w:t>
      </w:r>
      <w:r w:rsidRPr="000C3AC1">
        <w:rPr>
          <w:highlight w:val="cyan"/>
        </w:rPr>
        <w:t xml:space="preserve"> the liberal democratic model.</w:t>
      </w:r>
    </w:p>
    <w:p w14:paraId="560C3E51" w14:textId="08D618E8" w:rsidR="00CF455B" w:rsidRPr="000C3AC1" w:rsidRDefault="00CF455B" w:rsidP="00C62010">
      <w:pPr>
        <w:rPr>
          <w:highlight w:val="cyan"/>
        </w:rPr>
      </w:pPr>
      <w:r w:rsidRPr="000C3AC1">
        <w:rPr>
          <w:highlight w:val="cyan"/>
        </w:rPr>
        <w:t xml:space="preserve">A comprehensive and broader critique of deliberative </w:t>
      </w:r>
      <w:r w:rsidR="001E3FD2" w:rsidRPr="000C3AC1">
        <w:rPr>
          <w:highlight w:val="cyan"/>
        </w:rPr>
        <w:t>conceptualis</w:t>
      </w:r>
      <w:r w:rsidRPr="000C3AC1">
        <w:rPr>
          <w:highlight w:val="cyan"/>
        </w:rPr>
        <w:t>ations of democracy is also offered by Przeworsk</w:t>
      </w:r>
      <w:r w:rsidR="00E845F8" w:rsidRPr="000C3AC1">
        <w:rPr>
          <w:highlight w:val="cyan"/>
        </w:rPr>
        <w:t xml:space="preserve">i </w:t>
      </w:r>
      <w:r w:rsidR="00E845F8" w:rsidRPr="000C3AC1">
        <w:rPr>
          <w:highlight w:val="cyan"/>
        </w:rPr>
        <w:fldChar w:fldCharType="begin" w:fldLock="1"/>
      </w:r>
      <w:r w:rsidR="00E63CC6" w:rsidRPr="000C3AC1">
        <w:rPr>
          <w:highlight w:val="cyan"/>
        </w:rPr>
        <w:instrText>ADDIN CSL_CITATION { "citationItems" : [ { "id" : "ITEM-1", "itemData" : { "author" : [ { "dropping-particle" : "", "family" : "Przeworski", "given" : "A", "non-dropping-particle" : "", "parse-names" : false, "suffix" : "" } ], "container-title" : "Deliberative Democracy", "editor" : [ { "dropping-particle" : "", "family" : "Elster", "given" : "J", "non-dropping-particle" : "", "parse-names" : false, "suffix" : "" } ], "id" : "ITEM-1", "issued" : { "date-parts" : [ [ "1998" ] ] }, "page" : "140-160", "publisher" : "Cambridge University Press", "publisher-place" : "Cambridge", "title" : "Deliberation and ideological domination", "type" : "chapter" }, "uris" : [ "http://www.mendeley.com/documents/?uuid=6ad06052-bece-4636-91e9-934daa4726b4" ] } ], "mendeley" : { "formattedCitation" : "(Przeworski, 1998)", "manualFormatting" : "(1998)", "plainTextFormattedCitation" : "(Przeworski, 1998)", "previouslyFormattedCitation" : "(Przeworski, 1998)" }, "properties" : { "noteIndex" : 0 }, "schema" : "https://github.com/citation-style-language/schema/raw/master/csl-citation.json" }</w:instrText>
      </w:r>
      <w:r w:rsidR="00E845F8" w:rsidRPr="000C3AC1">
        <w:rPr>
          <w:highlight w:val="cyan"/>
        </w:rPr>
        <w:fldChar w:fldCharType="separate"/>
      </w:r>
      <w:r w:rsidR="00E845F8" w:rsidRPr="000C3AC1">
        <w:rPr>
          <w:noProof/>
          <w:highlight w:val="cyan"/>
        </w:rPr>
        <w:t>(1998)</w:t>
      </w:r>
      <w:r w:rsidR="00E845F8" w:rsidRPr="000C3AC1">
        <w:rPr>
          <w:highlight w:val="cyan"/>
        </w:rPr>
        <w:fldChar w:fldCharType="end"/>
      </w:r>
      <w:r w:rsidRPr="000C3AC1">
        <w:rPr>
          <w:highlight w:val="cyan"/>
        </w:rPr>
        <w:t xml:space="preserve"> in his discussion of deliberation and ideological domination. The crux of his critique is built around a quote from Hilary Clinton to the</w:t>
      </w:r>
      <w:r w:rsidRPr="000C3AC1">
        <w:rPr>
          <w:i/>
          <w:highlight w:val="cyan"/>
        </w:rPr>
        <w:t xml:space="preserve"> New York Times </w:t>
      </w:r>
      <w:r w:rsidRPr="000C3AC1">
        <w:rPr>
          <w:highlight w:val="cyan"/>
        </w:rPr>
        <w:t>in 1994: “I did not know how sophisticated they [the opposition] would be in conveying messages that were effective politically even though substantively wrong”.</w:t>
      </w:r>
      <w:r w:rsidR="000E384C" w:rsidRPr="000C3AC1">
        <w:rPr>
          <w:rStyle w:val="FootnoteReference"/>
          <w:highlight w:val="cyan"/>
        </w:rPr>
        <w:footnoteReference w:id="4"/>
      </w:r>
      <w:r w:rsidRPr="000C3AC1">
        <w:rPr>
          <w:highlight w:val="cyan"/>
        </w:rPr>
        <w:t xml:space="preserve"> In highlighting this comment, Przeworski goes on to draw out a number of issues: 1) how can we be sure that a ‘free and reasoned’ debate is occurring amongst ‘equals’</w:t>
      </w:r>
      <w:r w:rsidR="00932DE6" w:rsidRPr="000C3AC1">
        <w:rPr>
          <w:highlight w:val="cyan"/>
        </w:rPr>
        <w:t>;</w:t>
      </w:r>
      <w:r w:rsidRPr="000C3AC1">
        <w:rPr>
          <w:highlight w:val="cyan"/>
        </w:rPr>
        <w:t xml:space="preserve"> 2) what happens if a ‘rationally motivated consensus’ is not reached</w:t>
      </w:r>
      <w:r w:rsidR="00932DE6" w:rsidRPr="000C3AC1">
        <w:rPr>
          <w:highlight w:val="cyan"/>
        </w:rPr>
        <w:t>; and</w:t>
      </w:r>
      <w:r w:rsidRPr="000C3AC1">
        <w:rPr>
          <w:highlight w:val="cyan"/>
        </w:rPr>
        <w:t xml:space="preserve"> 3) what about ideological domination and ‘false beliefs’? </w:t>
      </w:r>
    </w:p>
    <w:p w14:paraId="2EBF8165" w14:textId="375F1D06" w:rsidR="00CF455B" w:rsidRPr="000C3AC1" w:rsidRDefault="00CF455B" w:rsidP="00C62010">
      <w:pPr>
        <w:rPr>
          <w:highlight w:val="cyan"/>
        </w:rPr>
      </w:pPr>
      <w:r w:rsidRPr="000C3AC1">
        <w:rPr>
          <w:highlight w:val="cyan"/>
        </w:rPr>
        <w:t xml:space="preserve">In order, Przeworski </w:t>
      </w:r>
      <w:r w:rsidR="00555946" w:rsidRPr="000C3AC1">
        <w:rPr>
          <w:highlight w:val="cyan"/>
        </w:rPr>
        <w:fldChar w:fldCharType="begin" w:fldLock="1"/>
      </w:r>
      <w:r w:rsidR="00E63CC6" w:rsidRPr="000C3AC1">
        <w:rPr>
          <w:highlight w:val="cyan"/>
        </w:rPr>
        <w:instrText>ADDIN CSL_CITATION { "citationItems" : [ { "id" : "ITEM-1", "itemData" : { "author" : [ { "dropping-particle" : "", "family" : "Przeworski", "given" : "A", "non-dropping-particle" : "", "parse-names" : false, "suffix" : "" } ], "container-title" : "Deliberative Democracy", "editor" : [ { "dropping-particle" : "", "family" : "Elster", "given" : "J", "non-dropping-particle" : "", "parse-names" : false, "suffix" : "" } ], "id" : "ITEM-1", "issued" : { "date-parts" : [ [ "1998" ] ] }, "page" : "140-160", "publisher" : "Cambridge University Press", "publisher-place" : "Cambridge", "title" : "Deliberation and ideological domination", "type" : "chapter" }, "locator" : "140-141", "uris" : [ "http://www.mendeley.com/documents/?uuid=6ad06052-bece-4636-91e9-934daa4726b4" ] } ], "mendeley" : { "formattedCitation" : "(Przeworski, 1998, pp. 140\u2013141)", "manualFormatting" : "(1998, pp.140\u2013141)", "plainTextFormattedCitation" : "(Przeworski, 1998, pp. 140\u2013141)", "previouslyFormattedCitation" : "(Przeworski, 1998, pp. 140\u2013141)" }, "properties" : { "noteIndex" : 0 }, "schema" : "https://github.com/citation-style-language/schema/raw/master/csl-citation.json" }</w:instrText>
      </w:r>
      <w:r w:rsidR="00555946" w:rsidRPr="000C3AC1">
        <w:rPr>
          <w:highlight w:val="cyan"/>
        </w:rPr>
        <w:fldChar w:fldCharType="separate"/>
      </w:r>
      <w:r w:rsidR="00555946" w:rsidRPr="000C3AC1">
        <w:rPr>
          <w:noProof/>
          <w:highlight w:val="cyan"/>
        </w:rPr>
        <w:t>(1998, pp.140–141)</w:t>
      </w:r>
      <w:r w:rsidR="00555946" w:rsidRPr="000C3AC1">
        <w:rPr>
          <w:highlight w:val="cyan"/>
        </w:rPr>
        <w:fldChar w:fldCharType="end"/>
      </w:r>
      <w:r w:rsidR="00555946" w:rsidRPr="000C3AC1">
        <w:rPr>
          <w:highlight w:val="cyan"/>
        </w:rPr>
        <w:t xml:space="preserve"> </w:t>
      </w:r>
      <w:r w:rsidRPr="000C3AC1">
        <w:rPr>
          <w:highlight w:val="cyan"/>
        </w:rPr>
        <w:t>answers these issues in the following way</w:t>
      </w:r>
      <w:r w:rsidR="00932DE6" w:rsidRPr="000C3AC1">
        <w:rPr>
          <w:highlight w:val="cyan"/>
        </w:rPr>
        <w:t>:</w:t>
      </w:r>
      <w:r w:rsidRPr="000C3AC1">
        <w:rPr>
          <w:highlight w:val="cyan"/>
        </w:rPr>
        <w:t xml:space="preserve"> 1) realistically, we simply cannot provide such a forum</w:t>
      </w:r>
      <w:r w:rsidR="00932DE6" w:rsidRPr="000C3AC1">
        <w:rPr>
          <w:highlight w:val="cyan"/>
        </w:rPr>
        <w:t>;</w:t>
      </w:r>
      <w:r w:rsidRPr="000C3AC1">
        <w:rPr>
          <w:highlight w:val="cyan"/>
        </w:rPr>
        <w:t xml:space="preserve"> 2) if there is no consensus we are left with the unavoidable and ‘vulgar’ fact we have to vote, and that the vote will go against many</w:t>
      </w:r>
      <w:r w:rsidR="00932DE6" w:rsidRPr="000C3AC1">
        <w:rPr>
          <w:highlight w:val="cyan"/>
        </w:rPr>
        <w:t>;</w:t>
      </w:r>
      <w:r w:rsidRPr="000C3AC1">
        <w:rPr>
          <w:highlight w:val="cyan"/>
        </w:rPr>
        <w:t xml:space="preserve"> and 3) actually</w:t>
      </w:r>
      <w:r w:rsidR="00816D17">
        <w:rPr>
          <w:highlight w:val="cyan"/>
        </w:rPr>
        <w:t>,</w:t>
      </w:r>
      <w:r w:rsidRPr="000C3AC1">
        <w:rPr>
          <w:highlight w:val="cyan"/>
        </w:rPr>
        <w:t xml:space="preserve"> ‘deliberation may lead people to hold beliefs that are not in their best interest’ quite a lot of the time.</w:t>
      </w:r>
    </w:p>
    <w:p w14:paraId="03D3BC9D" w14:textId="2C74D92B" w:rsidR="00CF455B" w:rsidRPr="000C3AC1" w:rsidRDefault="00CF455B" w:rsidP="00C62010">
      <w:pPr>
        <w:rPr>
          <w:highlight w:val="cyan"/>
        </w:rPr>
      </w:pPr>
      <w:r w:rsidRPr="000C3AC1">
        <w:rPr>
          <w:highlight w:val="cyan"/>
        </w:rPr>
        <w:t>Certainly</w:t>
      </w:r>
      <w:r w:rsidR="00932DE6" w:rsidRPr="000C3AC1">
        <w:rPr>
          <w:highlight w:val="cyan"/>
        </w:rPr>
        <w:t>,</w:t>
      </w:r>
      <w:r w:rsidRPr="000C3AC1">
        <w:rPr>
          <w:highlight w:val="cyan"/>
        </w:rPr>
        <w:t xml:space="preserve"> then</w:t>
      </w:r>
      <w:r w:rsidR="00932DE6" w:rsidRPr="000C3AC1">
        <w:rPr>
          <w:highlight w:val="cyan"/>
        </w:rPr>
        <w:t>,</w:t>
      </w:r>
      <w:r w:rsidRPr="000C3AC1">
        <w:rPr>
          <w:highlight w:val="cyan"/>
        </w:rPr>
        <w:t xml:space="preserve"> the more radical elements of deliberative and discursive democracy are difficult to practically implement at a system level. However, that is not to say the principles and values espoused by </w:t>
      </w:r>
      <w:r w:rsidR="00E53689" w:rsidRPr="000C3AC1">
        <w:rPr>
          <w:highlight w:val="cyan"/>
        </w:rPr>
        <w:t>deliberative democracy theorists</w:t>
      </w:r>
      <w:r w:rsidRPr="000C3AC1">
        <w:rPr>
          <w:highlight w:val="cyan"/>
        </w:rPr>
        <w:t xml:space="preserve"> have not had any impact. In many European democracies, for instance, there has been an important rise in the influence of Parliamentary Committees, which boost the deliberative mechanisms within the system</w:t>
      </w:r>
      <w:r w:rsidR="00F5417F" w:rsidRPr="000C3AC1">
        <w:rPr>
          <w:highlight w:val="cyan"/>
        </w:rPr>
        <w:t xml:space="preserve"> </w:t>
      </w:r>
      <w:r w:rsidR="00F5417F" w:rsidRPr="000C3AC1">
        <w:rPr>
          <w:highlight w:val="cyan"/>
        </w:rPr>
        <w:fldChar w:fldCharType="begin" w:fldLock="1"/>
      </w:r>
      <w:r w:rsidR="00E63CC6" w:rsidRPr="000C3AC1">
        <w:rPr>
          <w:highlight w:val="cyan"/>
        </w:rPr>
        <w:instrText>ADDIN CSL_CITATION { "citationItems" : [ { "id" : "ITEM-1", "itemData" : { "DOI" : "10.1111/1475-6765.00513", "ISBN" : "9780198297840", "ISSN" : "0304-4130", "PMID" : "13543370", "abstract" : "Parliamentary democracy has been widely embraced by politicians and especially by the scholarly community but remains less widely understood. In this essay, I identify the institutional features that define parliamentary democracy and suggest how they can be under- stood as delegation relationships. I propose two definitions: one minimal and one maximal (or ideal-typical). In the latter sense, parliamentary democracy is a particular regime of delegation and accountability that can be understood with the help of agency theory, which allows us to identify the conditions under which democratic agency problems may occur. Parliamentar- ism is simple, indirect, and relies on lessons gradually acquired in the past. Compared to presidentialism, parliamentarism has certain advantages, such as decisional efficiency and the inducements it creates toward effort. On the other hand, parliamentarism also implies disadvantages such as ineffective accountability and a lack of transparency, which may cause informational inefficiencies. And whereas parliamentarism may be particularly suitable for problems of adverse selection, it is a less certain cure for moral hazard. In contemporary advanced societies, parliamentarism is facing the challenges of decaying screening devices and diverted accountabilities.", "author" : [ { "dropping-particle" : "", "family" : "Str\u00f8m", "given" : "Kaare", "non-dropping-particle" : "", "parse-names" : false, "suffix" : "" } ], "container-title" : "European Journal of Political Research", "id" : "ITEM-1", "issued" : { "date-parts" : [ [ "2000" ] ] }, "page" : "261-289", "title" : "Delegation and accountability in parliamentary democracies", "type" : "article-journal", "volume" : "37" }, "uris" : [ "http://www.mendeley.com/documents/?uuid=549743e0-e7c1-4ef0-8ab9-98ca898f0b98" ] } ], "mendeley" : { "formattedCitation" : "(Str\u00f8m, 2000)", "plainTextFormattedCitation" : "(Str\u00f8m, 2000)", "previouslyFormattedCitation" : "(Str\u00f8m, 2000)" }, "properties" : { "noteIndex" : 0 }, "schema" : "https://github.com/citation-style-language/schema/raw/master/csl-citation.json" }</w:instrText>
      </w:r>
      <w:r w:rsidR="00F5417F" w:rsidRPr="000C3AC1">
        <w:rPr>
          <w:highlight w:val="cyan"/>
        </w:rPr>
        <w:fldChar w:fldCharType="separate"/>
      </w:r>
      <w:r w:rsidR="00E63CC6" w:rsidRPr="000C3AC1">
        <w:rPr>
          <w:noProof/>
          <w:highlight w:val="cyan"/>
        </w:rPr>
        <w:t>(Strøm, 2000)</w:t>
      </w:r>
      <w:r w:rsidR="00F5417F" w:rsidRPr="000C3AC1">
        <w:rPr>
          <w:highlight w:val="cyan"/>
        </w:rPr>
        <w:fldChar w:fldCharType="end"/>
      </w:r>
      <w:r w:rsidRPr="000C3AC1">
        <w:rPr>
          <w:highlight w:val="cyan"/>
        </w:rPr>
        <w:t>. Furthermore, online political participation has been seen as a way of facilitating deliberation with the public and significantly boosting the input of citizens, albeit one that is still a long w</w:t>
      </w:r>
      <w:r w:rsidR="00FE5764" w:rsidRPr="000C3AC1">
        <w:rPr>
          <w:highlight w:val="cyan"/>
        </w:rPr>
        <w:t xml:space="preserve">ay from realising its potential; as an example, even in an advanced democracy such as the UK, digital engagement </w:t>
      </w:r>
      <w:r w:rsidR="000E384C" w:rsidRPr="000C3AC1">
        <w:rPr>
          <w:highlight w:val="cyan"/>
        </w:rPr>
        <w:t xml:space="preserve">is yet to live up early hopes and expectations </w:t>
      </w:r>
      <w:r w:rsidR="000E384C" w:rsidRPr="000C3AC1">
        <w:rPr>
          <w:highlight w:val="cyan"/>
        </w:rPr>
        <w:fldChar w:fldCharType="begin" w:fldLock="1"/>
      </w:r>
      <w:r w:rsidR="00E63CC6" w:rsidRPr="000C3AC1">
        <w:rPr>
          <w:highlight w:val="cyan"/>
        </w:rPr>
        <w:instrText>ADDIN CSL_CITATION { "citationItems" : [ { "id" : "ITEM-1", "itemData" : { "author" : [ { "dropping-particle" : "", "family" : "Simon", "given" : "Julie", "non-dropping-particle" : "", "parse-names" : false, "suffix" : "" }, { "dropping-particle" : "", "family" : "Bass", "given" : "Theo", "non-dropping-particle" : "", "parse-names" : false, "suffix" : "" }, { "dropping-particle" : "", "family" : "Boelman", "given" : "Victoria", "non-dropping-particle" : "", "parse-names" : false, "suffix" : "" }, { "dropping-particle" : "", "family" : "Mulgan", "given" : "Geoff", "non-dropping-particle" : "", "parse-names" : false, "suffix" : "" } ], "id" : "ITEM-1", "issue" : "February", "issued" : { "date-parts" : [ [ "2017" ] ] }, "title" : "Digital Democracy", "type" : "report" }, "uris" : [ "http://www.mendeley.com/documents/?uuid=5d6823f8-3188-489c-a4b8-5787ac9eef38" ] } ], "mendeley" : { "formattedCitation" : "(Simon &lt;i&gt;et al.&lt;/i&gt;, 2017)", "plainTextFormattedCitation" : "(Simon et al., 2017)", "previouslyFormattedCitation" : "(Simon &lt;i&gt;et al.&lt;/i&gt;, 2017)" }, "properties" : { "noteIndex" : 0 }, "schema" : "https://github.com/citation-style-language/schema/raw/master/csl-citation.json" }</w:instrText>
      </w:r>
      <w:r w:rsidR="000E384C" w:rsidRPr="000C3AC1">
        <w:rPr>
          <w:highlight w:val="cyan"/>
        </w:rPr>
        <w:fldChar w:fldCharType="separate"/>
      </w:r>
      <w:r w:rsidR="00E63CC6" w:rsidRPr="000C3AC1">
        <w:rPr>
          <w:noProof/>
          <w:highlight w:val="cyan"/>
        </w:rPr>
        <w:t xml:space="preserve">(Simon </w:t>
      </w:r>
      <w:r w:rsidR="00E63CC6" w:rsidRPr="000C3AC1">
        <w:rPr>
          <w:i/>
          <w:noProof/>
          <w:highlight w:val="cyan"/>
        </w:rPr>
        <w:t>et al.</w:t>
      </w:r>
      <w:r w:rsidR="00E63CC6" w:rsidRPr="000C3AC1">
        <w:rPr>
          <w:noProof/>
          <w:highlight w:val="cyan"/>
        </w:rPr>
        <w:t>, 2017)</w:t>
      </w:r>
      <w:r w:rsidR="000E384C" w:rsidRPr="000C3AC1">
        <w:rPr>
          <w:highlight w:val="cyan"/>
        </w:rPr>
        <w:fldChar w:fldCharType="end"/>
      </w:r>
      <w:r w:rsidR="000E384C" w:rsidRPr="000C3AC1">
        <w:rPr>
          <w:highlight w:val="cyan"/>
        </w:rPr>
        <w:t xml:space="preserve"> and international comparisons have also suggested it may simply reflect, and even entrench, existing inequalities in participation </w:t>
      </w:r>
      <w:r w:rsidR="000E384C" w:rsidRPr="000C3AC1">
        <w:rPr>
          <w:highlight w:val="cyan"/>
        </w:rPr>
        <w:fldChar w:fldCharType="begin" w:fldLock="1"/>
      </w:r>
      <w:r w:rsidR="00E63CC6" w:rsidRPr="000C3AC1">
        <w:rPr>
          <w:highlight w:val="cyan"/>
        </w:rPr>
        <w:instrText>ADDIN CSL_CITATION { "citationItems" : [ { "id" : "ITEM-1", "itemData" : { "DOI" : "10.1111/j.1467-9248.2009.00801.x", "ISSN" : "00323217", "author" : [ { "dropping-particle" : "", "family" : "Marien", "given" : "Sofie", "non-dropping-particle" : "", "parse-names" : false, "suffix" : "" }, { "dropping-particle" : "", "family" : "Hooghe", "given" : "Marc", "non-dropping-particle" : "", "parse-names" : false, "suffix" : "" }, { "dropping-particle" : "", "family" : "Quintelier", "given" : "Ellen", "non-dropping-particle" : "", "parse-names" : false, "suffix" : "" } ], "container-title" : "Political Studies", "id" : "ITEM-1", "issue" : "1", "issued" : { "date-parts" : [ [ "2010", "2" ] ] }, "page" : "187-213", "title" : "Inequalities in Non-institutionalised Forms of Political Participation: A Multi-level Analysis of 25 countries", "type" : "article-journal", "volume" : "58" }, "uris" : [ "http://www.mendeley.com/documents/?uuid=a7bdbe87-38c2-43f0-aabb-006c84961785" ] } ], "mendeley" : { "formattedCitation" : "(Marien, Hooghe and Quintelier, 2010)", "plainTextFormattedCitation" : "(Marien, Hooghe and Quintelier, 2010)", "previouslyFormattedCitation" : "(Marien, Hooghe and Quintelier, 2010)" }, "properties" : { "noteIndex" : 0 }, "schema" : "https://github.com/citation-style-language/schema/raw/master/csl-citation.json" }</w:instrText>
      </w:r>
      <w:r w:rsidR="000E384C" w:rsidRPr="000C3AC1">
        <w:rPr>
          <w:highlight w:val="cyan"/>
        </w:rPr>
        <w:fldChar w:fldCharType="separate"/>
      </w:r>
      <w:r w:rsidR="00E63CC6" w:rsidRPr="000C3AC1">
        <w:rPr>
          <w:noProof/>
          <w:highlight w:val="cyan"/>
        </w:rPr>
        <w:t>(Marien, Hooghe and Quintelier, 2010)</w:t>
      </w:r>
      <w:r w:rsidR="000E384C" w:rsidRPr="000C3AC1">
        <w:rPr>
          <w:highlight w:val="cyan"/>
        </w:rPr>
        <w:fldChar w:fldCharType="end"/>
      </w:r>
      <w:r w:rsidR="00FE5764" w:rsidRPr="000C3AC1">
        <w:rPr>
          <w:highlight w:val="cyan"/>
        </w:rPr>
        <w:t>.</w:t>
      </w:r>
      <w:r w:rsidRPr="000C3AC1">
        <w:rPr>
          <w:highlight w:val="cyan"/>
        </w:rPr>
        <w:t xml:space="preserve"> </w:t>
      </w:r>
      <w:r w:rsidR="000E384C" w:rsidRPr="000C3AC1">
        <w:rPr>
          <w:highlight w:val="cyan"/>
        </w:rPr>
        <w:t>Yet d</w:t>
      </w:r>
      <w:r w:rsidRPr="000C3AC1">
        <w:rPr>
          <w:highlight w:val="cyan"/>
        </w:rPr>
        <w:t>espite</w:t>
      </w:r>
      <w:r w:rsidR="000E384C" w:rsidRPr="000C3AC1">
        <w:rPr>
          <w:highlight w:val="cyan"/>
        </w:rPr>
        <w:t xml:space="preserve"> such setbacks</w:t>
      </w:r>
      <w:r w:rsidRPr="000C3AC1">
        <w:rPr>
          <w:highlight w:val="cyan"/>
        </w:rPr>
        <w:t>, it is hard to see a future direction for democratic theory that does not take the ideas of deliberative democracy seriously.</w:t>
      </w:r>
    </w:p>
    <w:p w14:paraId="6B74531C" w14:textId="58336A9E" w:rsidR="00061FAE" w:rsidRPr="000C3AC1" w:rsidRDefault="00174541" w:rsidP="00174541">
      <w:pPr>
        <w:pStyle w:val="Heading3"/>
        <w:rPr>
          <w:highlight w:val="cyan"/>
        </w:rPr>
      </w:pPr>
      <w:bookmarkStart w:id="43" w:name="_Toc441069167"/>
      <w:r w:rsidRPr="000C3AC1">
        <w:rPr>
          <w:highlight w:val="cyan"/>
        </w:rPr>
        <w:t>Radical democracy</w:t>
      </w:r>
      <w:r w:rsidR="00333CB5" w:rsidRPr="000C3AC1">
        <w:rPr>
          <w:highlight w:val="cyan"/>
        </w:rPr>
        <w:t>- ‘agonistic pluralism’</w:t>
      </w:r>
    </w:p>
    <w:p w14:paraId="7E4E92AF" w14:textId="4D1A5AA5" w:rsidR="00B6368D" w:rsidRPr="000C3AC1" w:rsidRDefault="00B6368D" w:rsidP="00B6368D">
      <w:pPr>
        <w:rPr>
          <w:highlight w:val="cyan"/>
        </w:rPr>
      </w:pPr>
      <w:bookmarkStart w:id="44" w:name="_Hlk482886264"/>
      <w:r w:rsidRPr="000C3AC1">
        <w:rPr>
          <w:highlight w:val="cyan"/>
        </w:rPr>
        <w:t xml:space="preserve">A final </w:t>
      </w:r>
      <w:r w:rsidR="00293140" w:rsidRPr="000C3AC1">
        <w:rPr>
          <w:highlight w:val="cyan"/>
        </w:rPr>
        <w:t>field of critique discussed here, sometimes broadly classed as</w:t>
      </w:r>
      <w:r w:rsidRPr="000C3AC1">
        <w:rPr>
          <w:highlight w:val="cyan"/>
        </w:rPr>
        <w:t xml:space="preserve"> </w:t>
      </w:r>
      <w:r w:rsidR="00293140" w:rsidRPr="000C3AC1">
        <w:rPr>
          <w:highlight w:val="cyan"/>
        </w:rPr>
        <w:t>‘</w:t>
      </w:r>
      <w:r w:rsidRPr="000C3AC1">
        <w:rPr>
          <w:highlight w:val="cyan"/>
        </w:rPr>
        <w:t xml:space="preserve">radical </w:t>
      </w:r>
      <w:r w:rsidR="00293140" w:rsidRPr="000C3AC1">
        <w:rPr>
          <w:highlight w:val="cyan"/>
        </w:rPr>
        <w:t xml:space="preserve">interpretations’ of </w:t>
      </w:r>
      <w:r w:rsidRPr="000C3AC1">
        <w:rPr>
          <w:highlight w:val="cyan"/>
        </w:rPr>
        <w:t>democracy</w:t>
      </w:r>
      <w:r w:rsidR="00293140" w:rsidRPr="000C3AC1">
        <w:rPr>
          <w:highlight w:val="cyan"/>
        </w:rPr>
        <w:t>,</w:t>
      </w:r>
      <w:r w:rsidRPr="000C3AC1">
        <w:rPr>
          <w:highlight w:val="cyan"/>
        </w:rPr>
        <w:t xml:space="preserve"> </w:t>
      </w:r>
      <w:r w:rsidR="008E6710" w:rsidRPr="000C3AC1">
        <w:rPr>
          <w:highlight w:val="cyan"/>
        </w:rPr>
        <w:t>outlines</w:t>
      </w:r>
      <w:r w:rsidRPr="000C3AC1">
        <w:rPr>
          <w:highlight w:val="cyan"/>
        </w:rPr>
        <w:t xml:space="preserve"> </w:t>
      </w:r>
      <w:r w:rsidR="00293140" w:rsidRPr="000C3AC1">
        <w:rPr>
          <w:highlight w:val="cyan"/>
        </w:rPr>
        <w:t>limitations</w:t>
      </w:r>
      <w:r w:rsidRPr="000C3AC1">
        <w:rPr>
          <w:highlight w:val="cyan"/>
        </w:rPr>
        <w:t xml:space="preserve"> of liberal democracy and certain elements of the feminist critiques</w:t>
      </w:r>
      <w:r w:rsidR="000F13F4" w:rsidRPr="000C3AC1">
        <w:rPr>
          <w:highlight w:val="cyan"/>
        </w:rPr>
        <w:t>,</w:t>
      </w:r>
      <w:r w:rsidRPr="000C3AC1">
        <w:rPr>
          <w:highlight w:val="cyan"/>
        </w:rPr>
        <w:t xml:space="preserve"> discussed </w:t>
      </w:r>
      <w:r w:rsidR="00293140" w:rsidRPr="000C3AC1">
        <w:rPr>
          <w:highlight w:val="cyan"/>
        </w:rPr>
        <w:t>previously</w:t>
      </w:r>
      <w:r w:rsidRPr="000C3AC1">
        <w:rPr>
          <w:highlight w:val="cyan"/>
        </w:rPr>
        <w:t xml:space="preserve">. Two key thinkers in this field, Chantel Mouffe and William Connolly, both </w:t>
      </w:r>
      <w:r w:rsidR="008E6710" w:rsidRPr="000C3AC1">
        <w:rPr>
          <w:highlight w:val="cyan"/>
        </w:rPr>
        <w:t>discuss</w:t>
      </w:r>
      <w:r w:rsidRPr="000C3AC1">
        <w:rPr>
          <w:highlight w:val="cyan"/>
        </w:rPr>
        <w:t xml:space="preserve"> </w:t>
      </w:r>
      <w:r w:rsidR="00293140" w:rsidRPr="000C3AC1">
        <w:rPr>
          <w:highlight w:val="cyan"/>
        </w:rPr>
        <w:t>variations on what is refer</w:t>
      </w:r>
      <w:r w:rsidR="008E6710" w:rsidRPr="000C3AC1">
        <w:rPr>
          <w:highlight w:val="cyan"/>
        </w:rPr>
        <w:t>red to as ‘agonistic democracy’;</w:t>
      </w:r>
      <w:r w:rsidRPr="000C3AC1">
        <w:rPr>
          <w:highlight w:val="cyan"/>
        </w:rPr>
        <w:t xml:space="preserve"> </w:t>
      </w:r>
      <w:r w:rsidR="008E6710" w:rsidRPr="000C3AC1">
        <w:rPr>
          <w:highlight w:val="cyan"/>
        </w:rPr>
        <w:t>this</w:t>
      </w:r>
      <w:r w:rsidRPr="000C3AC1">
        <w:rPr>
          <w:highlight w:val="cyan"/>
        </w:rPr>
        <w:t xml:space="preserve"> is</w:t>
      </w:r>
      <w:r w:rsidR="008E6710" w:rsidRPr="000C3AC1">
        <w:rPr>
          <w:highlight w:val="cyan"/>
        </w:rPr>
        <w:t>,</w:t>
      </w:r>
      <w:r w:rsidRPr="000C3AC1">
        <w:rPr>
          <w:highlight w:val="cyan"/>
        </w:rPr>
        <w:t xml:space="preserve"> at core</w:t>
      </w:r>
      <w:r w:rsidR="008E6710" w:rsidRPr="000C3AC1">
        <w:rPr>
          <w:highlight w:val="cyan"/>
        </w:rPr>
        <w:t>,</w:t>
      </w:r>
      <w:r w:rsidRPr="000C3AC1">
        <w:rPr>
          <w:highlight w:val="cyan"/>
        </w:rPr>
        <w:t xml:space="preserve"> a </w:t>
      </w:r>
      <w:r w:rsidRPr="000C3AC1">
        <w:rPr>
          <w:i/>
          <w:highlight w:val="cyan"/>
        </w:rPr>
        <w:t>conflictual</w:t>
      </w:r>
      <w:r w:rsidRPr="000C3AC1">
        <w:rPr>
          <w:highlight w:val="cyan"/>
        </w:rPr>
        <w:t xml:space="preserve"> or </w:t>
      </w:r>
      <w:r w:rsidRPr="000C3AC1">
        <w:rPr>
          <w:i/>
          <w:highlight w:val="cyan"/>
        </w:rPr>
        <w:t>discordant</w:t>
      </w:r>
      <w:r w:rsidRPr="000C3AC1">
        <w:rPr>
          <w:highlight w:val="cyan"/>
        </w:rPr>
        <w:t xml:space="preserve"> way of thinking about democracy, as opposed to the more common </w:t>
      </w:r>
      <w:r w:rsidRPr="000C3AC1">
        <w:rPr>
          <w:i/>
          <w:highlight w:val="cyan"/>
        </w:rPr>
        <w:t xml:space="preserve">consensual </w:t>
      </w:r>
      <w:r w:rsidRPr="000C3AC1">
        <w:rPr>
          <w:highlight w:val="cyan"/>
        </w:rPr>
        <w:t>or</w:t>
      </w:r>
      <w:r w:rsidRPr="000C3AC1">
        <w:rPr>
          <w:i/>
          <w:highlight w:val="cyan"/>
        </w:rPr>
        <w:t xml:space="preserve"> concordant </w:t>
      </w:r>
      <w:r w:rsidRPr="000C3AC1">
        <w:rPr>
          <w:highlight w:val="cyan"/>
        </w:rPr>
        <w:t>approaches</w:t>
      </w:r>
      <w:r w:rsidR="008E6710" w:rsidRPr="000C3AC1">
        <w:rPr>
          <w:highlight w:val="cyan"/>
        </w:rPr>
        <w:t xml:space="preserve"> outlined by liberal thinkers (see Connolly 1987, p.10)</w:t>
      </w:r>
      <w:r w:rsidRPr="000C3AC1">
        <w:rPr>
          <w:i/>
          <w:highlight w:val="cyan"/>
        </w:rPr>
        <w:t xml:space="preserve">. </w:t>
      </w:r>
      <w:r w:rsidR="00B5422E" w:rsidRPr="000C3AC1">
        <w:rPr>
          <w:highlight w:val="cyan"/>
        </w:rPr>
        <w:t xml:space="preserve">Democracy </w:t>
      </w:r>
      <w:r w:rsidR="00293140" w:rsidRPr="000C3AC1">
        <w:rPr>
          <w:highlight w:val="cyan"/>
        </w:rPr>
        <w:t xml:space="preserve">understood in this </w:t>
      </w:r>
      <w:r w:rsidR="008E6710" w:rsidRPr="000C3AC1">
        <w:rPr>
          <w:highlight w:val="cyan"/>
        </w:rPr>
        <w:t xml:space="preserve">discordant </w:t>
      </w:r>
      <w:r w:rsidR="00293140" w:rsidRPr="000C3AC1">
        <w:rPr>
          <w:highlight w:val="cyan"/>
        </w:rPr>
        <w:t xml:space="preserve">way </w:t>
      </w:r>
      <w:r w:rsidR="00B5422E" w:rsidRPr="000C3AC1">
        <w:rPr>
          <w:highlight w:val="cyan"/>
        </w:rPr>
        <w:t xml:space="preserve">is about the never-ending management of constantly re-formulating conflicts. As </w:t>
      </w:r>
      <w:r w:rsidR="008E6710" w:rsidRPr="000C3AC1">
        <w:rPr>
          <w:highlight w:val="cyan"/>
        </w:rPr>
        <w:fldChar w:fldCharType="begin" w:fldLock="1"/>
      </w:r>
      <w:r w:rsidR="008E6710" w:rsidRPr="000C3AC1">
        <w:rPr>
          <w:highlight w:val="cyan"/>
        </w:rPr>
        <w:instrText>ADDIN CSL_CITATION { "citationItems" : [ { "id" : "ITEM-1", "itemData" : { "author" : [ { "dropping-particle" : "", "family" : "Mouffe", "given" : "Chantal", "non-dropping-particle" : "", "parse-names" : false, "suffix" : "" } ], "id" : "ITEM-1", "issued" : { "date-parts" : [ [ "2005" ] ] }, "number-of-pages" : "1-151", "publisher" : "Taylor &amp; Francis", "publisher-place" : "Online", "title" : "On the Political", "type" : "book" }, "uris" : [ "http://www.mendeley.com/documents/?uuid=c13d6a9a-6d2f-4db5-b641-10c70c1f478d" ] } ], "mendeley" : { "formattedCitation" : "(Mouffe, 2005)", "manualFormatting" : "Mouffe (2005, p.10)", "plainTextFormattedCitation" : "(Mouffe, 2005)", "previouslyFormattedCitation" : "(Mouffe, 2005)" }, "properties" : { "noteIndex" : 0 }, "schema" : "https://github.com/citation-style-language/schema/raw/master/csl-citation.json" }</w:instrText>
      </w:r>
      <w:r w:rsidR="008E6710" w:rsidRPr="000C3AC1">
        <w:rPr>
          <w:highlight w:val="cyan"/>
        </w:rPr>
        <w:fldChar w:fldCharType="separate"/>
      </w:r>
      <w:r w:rsidR="008E6710" w:rsidRPr="000C3AC1">
        <w:rPr>
          <w:noProof/>
          <w:highlight w:val="cyan"/>
        </w:rPr>
        <w:t>Mouffe (2005, p.10)</w:t>
      </w:r>
      <w:r w:rsidR="008E6710" w:rsidRPr="000C3AC1">
        <w:rPr>
          <w:highlight w:val="cyan"/>
        </w:rPr>
        <w:fldChar w:fldCharType="end"/>
      </w:r>
      <w:r w:rsidR="00365EA9">
        <w:rPr>
          <w:highlight w:val="cyan"/>
        </w:rPr>
        <w:t xml:space="preserve"> puts it, “</w:t>
      </w:r>
      <w:r w:rsidR="00B5422E" w:rsidRPr="000C3AC1">
        <w:rPr>
          <w:highlight w:val="cyan"/>
        </w:rPr>
        <w:t>liberalism is unable to adequately grasp the pluralistic nature of the social world, with the conflicts that pluralism entails; conflicts for which no ration</w:t>
      </w:r>
      <w:r w:rsidR="00087988" w:rsidRPr="000C3AC1">
        <w:rPr>
          <w:highlight w:val="cyan"/>
        </w:rPr>
        <w:t xml:space="preserve">al solution could ever exist.” </w:t>
      </w:r>
      <w:bookmarkEnd w:id="44"/>
    </w:p>
    <w:p w14:paraId="023BE72A" w14:textId="4E6CB4CE" w:rsidR="00AB1DFC" w:rsidRPr="000C3AC1" w:rsidRDefault="00AB1DFC" w:rsidP="00087988">
      <w:pPr>
        <w:rPr>
          <w:highlight w:val="cyan"/>
        </w:rPr>
      </w:pPr>
      <w:r w:rsidRPr="000C3AC1">
        <w:rPr>
          <w:highlight w:val="cyan"/>
        </w:rPr>
        <w:t>In their radical interpretations, b</w:t>
      </w:r>
      <w:r w:rsidR="00087988" w:rsidRPr="000C3AC1">
        <w:rPr>
          <w:highlight w:val="cyan"/>
        </w:rPr>
        <w:t xml:space="preserve">oth Connolly and Mouffe see </w:t>
      </w:r>
      <w:r w:rsidR="000F13F4" w:rsidRPr="000C3AC1">
        <w:rPr>
          <w:highlight w:val="cyan"/>
        </w:rPr>
        <w:t xml:space="preserve">shifting </w:t>
      </w:r>
      <w:r w:rsidR="00087988" w:rsidRPr="000C3AC1">
        <w:rPr>
          <w:highlight w:val="cyan"/>
        </w:rPr>
        <w:t xml:space="preserve">political </w:t>
      </w:r>
      <w:r w:rsidR="000F13F4" w:rsidRPr="000C3AC1">
        <w:rPr>
          <w:highlight w:val="cyan"/>
        </w:rPr>
        <w:t>identities</w:t>
      </w:r>
      <w:r w:rsidR="00087988" w:rsidRPr="000C3AC1">
        <w:rPr>
          <w:highlight w:val="cyan"/>
        </w:rPr>
        <w:t xml:space="preserve"> as the unit of democratic participation</w:t>
      </w:r>
      <w:r w:rsidR="000F13F4" w:rsidRPr="000C3AC1">
        <w:rPr>
          <w:highlight w:val="cyan"/>
        </w:rPr>
        <w:t>, which are forged into non-permanent communities</w:t>
      </w:r>
      <w:r w:rsidR="00087988" w:rsidRPr="000C3AC1">
        <w:rPr>
          <w:highlight w:val="cyan"/>
        </w:rPr>
        <w:t xml:space="preserve">. </w:t>
      </w:r>
      <w:r w:rsidRPr="000C3AC1">
        <w:rPr>
          <w:highlight w:val="cyan"/>
        </w:rPr>
        <w:t>These communities are not static and</w:t>
      </w:r>
      <w:r w:rsidR="00087988" w:rsidRPr="000C3AC1">
        <w:rPr>
          <w:highlight w:val="cyan"/>
        </w:rPr>
        <w:t xml:space="preserve"> what they always have (by definition) is an ‘other’ or a ‘them’. Connolly </w:t>
      </w:r>
      <w:r w:rsidR="00087988" w:rsidRPr="000C3AC1">
        <w:rPr>
          <w:highlight w:val="cyan"/>
        </w:rPr>
        <w:fldChar w:fldCharType="begin" w:fldLock="1"/>
      </w:r>
      <w:r w:rsidR="00087988" w:rsidRPr="000C3AC1">
        <w:rPr>
          <w:highlight w:val="cyan"/>
        </w:rPr>
        <w:instrText>ADDIN CSL_CITATION { "citationItems" : [ { "id" : "ITEM-1", "itemData" : { "author" : [ { "dropping-particle" : "", "family" : "Connolly", "given" : "W.E.", "non-dropping-particle" : "", "parse-names" : false, "suffix" : "" } ], "id" : "ITEM-1", "issued" : { "date-parts" : [ [ "1987" ] ] }, "publisher" : "The University of Wisonsin Press", "publisher-place" : "Wisconsin", "title" : "Politics and Ambiguity", "type" : "book" }, "uris" : [ "http://www.mendeley.com/documents/?uuid=b807d143-4f9e-492f-906c-a6e6c4023c79" ] } ], "mendeley" : { "formattedCitation" : "(Connolly, 1987)", "manualFormatting" : "(1987, p.11)", "plainTextFormattedCitation" : "(Connolly, 1987)", "previouslyFormattedCitation" : "(Connolly, 1987)" }, "properties" : { "noteIndex" : 0 }, "schema" : "https://github.com/citation-style-language/schema/raw/master/csl-citation.json" }</w:instrText>
      </w:r>
      <w:r w:rsidR="00087988" w:rsidRPr="000C3AC1">
        <w:rPr>
          <w:highlight w:val="cyan"/>
        </w:rPr>
        <w:fldChar w:fldCharType="separate"/>
      </w:r>
      <w:r w:rsidR="00087988" w:rsidRPr="000C3AC1">
        <w:rPr>
          <w:noProof/>
          <w:highlight w:val="cyan"/>
        </w:rPr>
        <w:t>(1987, p.11)</w:t>
      </w:r>
      <w:r w:rsidR="00087988" w:rsidRPr="000C3AC1">
        <w:rPr>
          <w:highlight w:val="cyan"/>
        </w:rPr>
        <w:fldChar w:fldCharType="end"/>
      </w:r>
      <w:r w:rsidRPr="000C3AC1">
        <w:rPr>
          <w:highlight w:val="cyan"/>
        </w:rPr>
        <w:t xml:space="preserve"> notes that “</w:t>
      </w:r>
      <w:r w:rsidR="00087988" w:rsidRPr="000C3AC1">
        <w:rPr>
          <w:highlight w:val="cyan"/>
        </w:rPr>
        <w:t>the ontology of discordance identifies some form of otherness as the unavoidable effect o</w:t>
      </w:r>
      <w:r w:rsidRPr="000C3AC1">
        <w:rPr>
          <w:highlight w:val="cyan"/>
        </w:rPr>
        <w:t>f socially engendered harmonies”</w:t>
      </w:r>
      <w:r w:rsidR="00087988" w:rsidRPr="000C3AC1">
        <w:rPr>
          <w:highlight w:val="cyan"/>
        </w:rPr>
        <w:t xml:space="preserve">. In a similar fashion, </w:t>
      </w:r>
      <w:r w:rsidRPr="000C3AC1">
        <w:rPr>
          <w:highlight w:val="cyan"/>
        </w:rPr>
        <w:t>when talking about her alternative under</w:t>
      </w:r>
      <w:r w:rsidR="0015575B" w:rsidRPr="000C3AC1">
        <w:rPr>
          <w:highlight w:val="cyan"/>
        </w:rPr>
        <w:t xml:space="preserve">standing of citizenship </w:t>
      </w:r>
      <w:r w:rsidR="0015575B" w:rsidRPr="000C3AC1">
        <w:rPr>
          <w:highlight w:val="cyan"/>
        </w:rPr>
        <w:fldChar w:fldCharType="begin" w:fldLock="1"/>
      </w:r>
      <w:r w:rsidR="0015575B" w:rsidRPr="000C3AC1">
        <w:rPr>
          <w:highlight w:val="cyan"/>
        </w:rPr>
        <w:instrText>ADDIN CSL_CITATION { "citationItems" : [ { "id" : "ITEM-1", "itemData" : { "author" : [ { "dropping-particle" : "", "family" : "Mouffe", "given" : "Chantal", "non-dropping-particle" : "", "parse-names" : false, "suffix" : "" } ], "id" : "ITEM-1", "issued" : { "date-parts" : [ [ "1993" ] ] }, "publisher" : "Verso Books", "publisher-place" : "London", "title" : "Return of the Political", "type" : "book" }, "uris" : [ "http://www.mendeley.com/documents/?uuid=07abd3a4-4113-427d-855d-1265223ab684" ] } ], "mendeley" : { "formattedCitation" : "(Mouffe, 1993)", "manualFormatting" : "Mouffe (1993, pp.84-85)", "plainTextFormattedCitation" : "(Mouffe, 1993)", "previouslyFormattedCitation" : "(Mouffe, 1993)" }, "properties" : { "noteIndex" : 0 }, "schema" : "https://github.com/citation-style-language/schema/raw/master/csl-citation.json" }</w:instrText>
      </w:r>
      <w:r w:rsidR="0015575B" w:rsidRPr="000C3AC1">
        <w:rPr>
          <w:highlight w:val="cyan"/>
        </w:rPr>
        <w:fldChar w:fldCharType="separate"/>
      </w:r>
      <w:r w:rsidR="0015575B" w:rsidRPr="000C3AC1">
        <w:rPr>
          <w:noProof/>
          <w:highlight w:val="cyan"/>
        </w:rPr>
        <w:t>Mouffe (1993, pp.84-85)</w:t>
      </w:r>
      <w:r w:rsidR="0015575B" w:rsidRPr="000C3AC1">
        <w:rPr>
          <w:highlight w:val="cyan"/>
        </w:rPr>
        <w:fldChar w:fldCharType="end"/>
      </w:r>
      <w:r w:rsidRPr="000C3AC1">
        <w:rPr>
          <w:highlight w:val="cyan"/>
        </w:rPr>
        <w:t xml:space="preserve"> notes how “every definition of a ‘we’ implies the delineation of a ‘frontier’ and the designation of a ‘them’…There will always</w:t>
      </w:r>
      <w:r w:rsidR="001B6788" w:rsidRPr="000C3AC1">
        <w:rPr>
          <w:highlight w:val="cyan"/>
        </w:rPr>
        <w:t xml:space="preserve"> be a ‘constitutive outside’</w:t>
      </w:r>
      <w:r w:rsidRPr="000C3AC1">
        <w:rPr>
          <w:highlight w:val="cyan"/>
        </w:rPr>
        <w:t>, an exterior to the community that is the very condition of its existen</w:t>
      </w:r>
      <w:r w:rsidR="001B6788" w:rsidRPr="000C3AC1">
        <w:rPr>
          <w:highlight w:val="cyan"/>
        </w:rPr>
        <w:t xml:space="preserve">ce”. Therefore, Mouffe argues that </w:t>
      </w:r>
      <w:r w:rsidRPr="000C3AC1">
        <w:rPr>
          <w:highlight w:val="cyan"/>
        </w:rPr>
        <w:t>the common go</w:t>
      </w:r>
      <w:r w:rsidR="000F13F4" w:rsidRPr="000C3AC1">
        <w:rPr>
          <w:highlight w:val="cyan"/>
        </w:rPr>
        <w:t>od</w:t>
      </w:r>
      <w:r w:rsidR="001B6788" w:rsidRPr="000C3AC1">
        <w:rPr>
          <w:highlight w:val="cyan"/>
        </w:rPr>
        <w:t xml:space="preserve"> </w:t>
      </w:r>
      <w:r w:rsidR="000F13F4" w:rsidRPr="000C3AC1">
        <w:rPr>
          <w:highlight w:val="cyan"/>
        </w:rPr>
        <w:t>–</w:t>
      </w:r>
      <w:r w:rsidR="001B6788" w:rsidRPr="000C3AC1">
        <w:rPr>
          <w:highlight w:val="cyan"/>
        </w:rPr>
        <w:t xml:space="preserve"> problematic from the individualised</w:t>
      </w:r>
      <w:r w:rsidRPr="000C3AC1">
        <w:rPr>
          <w:highlight w:val="cyan"/>
        </w:rPr>
        <w:t xml:space="preserve"> liberal perspective </w:t>
      </w:r>
      <w:r w:rsidR="009F5B94" w:rsidRPr="000C3AC1">
        <w:rPr>
          <w:highlight w:val="cyan"/>
        </w:rPr>
        <w:t>because</w:t>
      </w:r>
      <w:r w:rsidR="001B6788" w:rsidRPr="000C3AC1">
        <w:rPr>
          <w:highlight w:val="cyan"/>
        </w:rPr>
        <w:t xml:space="preserve"> </w:t>
      </w:r>
      <w:r w:rsidRPr="000C3AC1">
        <w:rPr>
          <w:highlight w:val="cyan"/>
        </w:rPr>
        <w:t xml:space="preserve">liberalism ‘evacuates the idea’ </w:t>
      </w:r>
      <w:r w:rsidR="000F13F4" w:rsidRPr="000C3AC1">
        <w:rPr>
          <w:highlight w:val="cyan"/>
        </w:rPr>
        <w:t>– e</w:t>
      </w:r>
      <w:r w:rsidRPr="000C3AC1">
        <w:rPr>
          <w:highlight w:val="cyan"/>
        </w:rPr>
        <w:t xml:space="preserve">xists </w:t>
      </w:r>
      <w:r w:rsidR="001B6788" w:rsidRPr="000C3AC1">
        <w:rPr>
          <w:highlight w:val="cyan"/>
        </w:rPr>
        <w:t>in her radical formulation, however it can</w:t>
      </w:r>
      <w:r w:rsidR="002D1A56" w:rsidRPr="000C3AC1">
        <w:rPr>
          <w:highlight w:val="cyan"/>
        </w:rPr>
        <w:t xml:space="preserve"> never</w:t>
      </w:r>
      <w:r w:rsidR="001B6788" w:rsidRPr="000C3AC1">
        <w:rPr>
          <w:highlight w:val="cyan"/>
        </w:rPr>
        <w:t xml:space="preserve"> be fully realised: it is an unreachable ‘vanishing point’ (ibid).</w:t>
      </w:r>
    </w:p>
    <w:p w14:paraId="18B8D747" w14:textId="5DD0F803" w:rsidR="00B6368D" w:rsidRPr="000C3AC1" w:rsidRDefault="00333CB5" w:rsidP="00B6368D">
      <w:pPr>
        <w:rPr>
          <w:highlight w:val="cyan"/>
        </w:rPr>
      </w:pPr>
      <w:r w:rsidRPr="000C3AC1">
        <w:rPr>
          <w:highlight w:val="cyan"/>
        </w:rPr>
        <w:t>By building her conceptualisation of democracy around the idea of ‘agonistic pluralism’ Mouffe ultimately offers a way of thinking about democracy that challenges many of the discussions had here so far. To outline this approach, we need to start with Mouffe’s distinction between ‘the political’ and ‘politics’. Because of the delineation of different interest groups always generates a barrier, ‘the political’ is inherently antagonistic. Crucially, this characteristic is ever-p</w:t>
      </w:r>
      <w:r w:rsidR="0015575B" w:rsidRPr="000C3AC1">
        <w:rPr>
          <w:highlight w:val="cyan"/>
        </w:rPr>
        <w:t>resent. Therefore, politics is “</w:t>
      </w:r>
      <w:r w:rsidRPr="000C3AC1">
        <w:rPr>
          <w:highlight w:val="cyan"/>
        </w:rPr>
        <w:t xml:space="preserve">the ensemble of practices, discourses and institutions which seek to establish a certain order and organize human </w:t>
      </w:r>
      <w:r w:rsidR="0015575B" w:rsidRPr="000C3AC1">
        <w:rPr>
          <w:highlight w:val="cyan"/>
        </w:rPr>
        <w:t>c</w:t>
      </w:r>
      <w:r w:rsidRPr="000C3AC1">
        <w:rPr>
          <w:highlight w:val="cyan"/>
        </w:rPr>
        <w:t>oexistence</w:t>
      </w:r>
      <w:r w:rsidR="0015575B" w:rsidRPr="000C3AC1">
        <w:rPr>
          <w:highlight w:val="cyan"/>
        </w:rPr>
        <w:t xml:space="preserve"> in conditions that are always potentially conflictual because they are affected by the dimension of ‘the political’”</w:t>
      </w:r>
      <w:r w:rsidRPr="000C3AC1">
        <w:rPr>
          <w:highlight w:val="cyan"/>
        </w:rPr>
        <w:t xml:space="preserve"> </w:t>
      </w:r>
      <w:r w:rsidR="0015575B" w:rsidRPr="000C3AC1">
        <w:rPr>
          <w:highlight w:val="cyan"/>
        </w:rPr>
        <w:fldChar w:fldCharType="begin" w:fldLock="1"/>
      </w:r>
      <w:r w:rsidR="0015575B" w:rsidRPr="000C3AC1">
        <w:rPr>
          <w:highlight w:val="cyan"/>
        </w:rPr>
        <w:instrText>ADDIN CSL_CITATION { "citationItems" : [ { "id" : "ITEM-1", "itemData" : { "author" : [ { "dropping-particle" : "", "family" : "Mouffe", "given" : "Chantal", "non-dropping-particle" : "", "parse-names" : false, "suffix" : "" } ], "id" : "ITEM-1", "issued" : { "date-parts" : [ [ "2009" ] ] }, "publisher" : "Verso Books", "publisher-place" : "London", "title" : "The Democratic Paradox", "type" : "book" }, "uris" : [ "http://www.mendeley.com/documents/?uuid=4a1d7e6c-d911-4071-9491-b1706ce5a992" ] } ], "mendeley" : { "formattedCitation" : "(Mouffe, 2009)", "manualFormatting" : "(Mouffe, 2009, p.101)", "plainTextFormattedCitation" : "(Mouffe, 2009)", "previouslyFormattedCitation" : "(Mouffe, 2009)" }, "properties" : { "noteIndex" : 0 }, "schema" : "https://github.com/citation-style-language/schema/raw/master/csl-citation.json" }</w:instrText>
      </w:r>
      <w:r w:rsidR="0015575B" w:rsidRPr="000C3AC1">
        <w:rPr>
          <w:highlight w:val="cyan"/>
        </w:rPr>
        <w:fldChar w:fldCharType="separate"/>
      </w:r>
      <w:r w:rsidR="0015575B" w:rsidRPr="000C3AC1">
        <w:rPr>
          <w:noProof/>
          <w:highlight w:val="cyan"/>
        </w:rPr>
        <w:t>(Mouffe, 2009, p.101)</w:t>
      </w:r>
      <w:r w:rsidR="0015575B" w:rsidRPr="000C3AC1">
        <w:rPr>
          <w:highlight w:val="cyan"/>
        </w:rPr>
        <w:fldChar w:fldCharType="end"/>
      </w:r>
      <w:r w:rsidR="0015575B" w:rsidRPr="000C3AC1">
        <w:rPr>
          <w:highlight w:val="cyan"/>
        </w:rPr>
        <w:t xml:space="preserve">. </w:t>
      </w:r>
      <w:r w:rsidR="0081776E" w:rsidRPr="000C3AC1">
        <w:rPr>
          <w:highlight w:val="cyan"/>
        </w:rPr>
        <w:t xml:space="preserve">However, a second distinction must be made between </w:t>
      </w:r>
      <w:r w:rsidR="0081776E" w:rsidRPr="000C3AC1">
        <w:rPr>
          <w:i/>
          <w:highlight w:val="cyan"/>
        </w:rPr>
        <w:t>antagonism</w:t>
      </w:r>
      <w:r w:rsidR="0081776E" w:rsidRPr="000C3AC1">
        <w:rPr>
          <w:highlight w:val="cyan"/>
        </w:rPr>
        <w:t xml:space="preserve"> and </w:t>
      </w:r>
      <w:r w:rsidR="0081776E" w:rsidRPr="000C3AC1">
        <w:rPr>
          <w:i/>
          <w:highlight w:val="cyan"/>
        </w:rPr>
        <w:t>agonism</w:t>
      </w:r>
      <w:r w:rsidR="0081776E" w:rsidRPr="000C3AC1">
        <w:rPr>
          <w:highlight w:val="cyan"/>
        </w:rPr>
        <w:t>. Antagonism is a clash between enemies</w:t>
      </w:r>
      <w:r w:rsidR="005C4919" w:rsidRPr="000C3AC1">
        <w:rPr>
          <w:highlight w:val="cyan"/>
        </w:rPr>
        <w:t xml:space="preserve"> who</w:t>
      </w:r>
      <w:r w:rsidR="0081776E" w:rsidRPr="000C3AC1">
        <w:rPr>
          <w:highlight w:val="cyan"/>
        </w:rPr>
        <w:t xml:space="preserve"> seek to eradicate </w:t>
      </w:r>
      <w:r w:rsidR="005C4919" w:rsidRPr="000C3AC1">
        <w:rPr>
          <w:highlight w:val="cyan"/>
        </w:rPr>
        <w:t>each</w:t>
      </w:r>
      <w:r w:rsidR="0081776E" w:rsidRPr="000C3AC1">
        <w:rPr>
          <w:highlight w:val="cyan"/>
        </w:rPr>
        <w:t xml:space="preserve"> other, whereas agonism is a clash between adversaries who, even if they will never agree on anything else, recognise the legitimacy of each other to exist. This means that ‘the aim of democratic politics is </w:t>
      </w:r>
      <w:r w:rsidR="005C4919" w:rsidRPr="000C3AC1">
        <w:rPr>
          <w:highlight w:val="cyan"/>
        </w:rPr>
        <w:t xml:space="preserve">to transform </w:t>
      </w:r>
      <w:r w:rsidR="005C4919" w:rsidRPr="000C3AC1">
        <w:rPr>
          <w:i/>
          <w:highlight w:val="cyan"/>
        </w:rPr>
        <w:t xml:space="preserve">antagonism </w:t>
      </w:r>
      <w:r w:rsidR="005C4919" w:rsidRPr="000C3AC1">
        <w:rPr>
          <w:highlight w:val="cyan"/>
        </w:rPr>
        <w:t xml:space="preserve">into </w:t>
      </w:r>
      <w:r w:rsidR="005C4919" w:rsidRPr="000C3AC1">
        <w:rPr>
          <w:i/>
          <w:highlight w:val="cyan"/>
        </w:rPr>
        <w:t>agonism</w:t>
      </w:r>
      <w:r w:rsidR="005C4919" w:rsidRPr="000C3AC1">
        <w:rPr>
          <w:highlight w:val="cyan"/>
        </w:rPr>
        <w:t>’ (Mouffe, 2009, p.103).</w:t>
      </w:r>
    </w:p>
    <w:p w14:paraId="34C7805B" w14:textId="6718B54D" w:rsidR="00B90804" w:rsidRPr="000C3AC1" w:rsidRDefault="00B90804" w:rsidP="00B6368D">
      <w:pPr>
        <w:rPr>
          <w:highlight w:val="cyan"/>
        </w:rPr>
      </w:pPr>
      <w:r w:rsidRPr="000C3AC1">
        <w:rPr>
          <w:highlight w:val="cyan"/>
        </w:rPr>
        <w:t>This approach problematizes the rational consensus-seeking approach of the deliberatives as well as the essentialist citizenship solutions of the feminists by positing that</w:t>
      </w:r>
      <w:r w:rsidR="00946E6A" w:rsidRPr="000C3AC1">
        <w:rPr>
          <w:highlight w:val="cyan"/>
        </w:rPr>
        <w:t xml:space="preserve"> due to the boundlessness of conflicts in democracy, power and legitimation are ever-shifting and dependent on the creation of different interest groups and their ability to develop a hegemony (which of course, is always subject to change). Participation in this system then is crucial, but Mouffe has little to say on its substantive content as such. As long as participants understand themselves as agonistic adversaries (which the system should promote them to think) then their participation is about the creation of identities and can in fact operate</w:t>
      </w:r>
      <w:r w:rsidR="009C5938" w:rsidRPr="000C3AC1">
        <w:rPr>
          <w:highlight w:val="cyan"/>
        </w:rPr>
        <w:t xml:space="preserve"> – for the most part –</w:t>
      </w:r>
      <w:r w:rsidR="00946E6A" w:rsidRPr="000C3AC1">
        <w:rPr>
          <w:highlight w:val="cyan"/>
        </w:rPr>
        <w:t xml:space="preserve"> within the apparatus of a liberal system (see Mouffe 2009, p.102). Mouffe only notes that identities</w:t>
      </w:r>
      <w:r w:rsidR="00F01062" w:rsidRPr="000C3AC1">
        <w:rPr>
          <w:highlight w:val="cyan"/>
        </w:rPr>
        <w:t xml:space="preserve"> are processual and in</w:t>
      </w:r>
      <w:r w:rsidR="00946E6A" w:rsidRPr="000C3AC1">
        <w:rPr>
          <w:highlight w:val="cyan"/>
        </w:rPr>
        <w:t xml:space="preserve"> this sense must be understood as non-essential and contingent; </w:t>
      </w:r>
      <w:r w:rsidR="009C5938" w:rsidRPr="000C3AC1">
        <w:rPr>
          <w:highlight w:val="cyan"/>
        </w:rPr>
        <w:t xml:space="preserve">in contrast, </w:t>
      </w:r>
      <w:r w:rsidR="00946E6A" w:rsidRPr="000C3AC1">
        <w:rPr>
          <w:highlight w:val="cyan"/>
        </w:rPr>
        <w:t>essentialist notions of what has become called ‘identity politics</w:t>
      </w:r>
      <w:r w:rsidR="00F01062" w:rsidRPr="000C3AC1">
        <w:rPr>
          <w:highlight w:val="cyan"/>
        </w:rPr>
        <w:t>’ violates a radical and pluralist</w:t>
      </w:r>
      <w:r w:rsidR="00946E6A" w:rsidRPr="000C3AC1">
        <w:rPr>
          <w:highlight w:val="cyan"/>
        </w:rPr>
        <w:t xml:space="preserve"> understanding</w:t>
      </w:r>
      <w:r w:rsidR="00F01062" w:rsidRPr="000C3AC1">
        <w:rPr>
          <w:highlight w:val="cyan"/>
        </w:rPr>
        <w:t xml:space="preserve"> of citizenship. The essentialist understanding of identity “cannot be managed by democracy” and if ascendant will lead to “an explosion of antagonisms that can tear up the very basis of civility” (Mouffe, 2009, p.104).</w:t>
      </w:r>
    </w:p>
    <w:p w14:paraId="6CDC04E5" w14:textId="2AD277AE" w:rsidR="00F01062" w:rsidRPr="000C3AC1" w:rsidRDefault="00BF7472" w:rsidP="00B6368D">
      <w:pPr>
        <w:rPr>
          <w:highlight w:val="cyan"/>
        </w:rPr>
      </w:pPr>
      <w:r w:rsidRPr="000C3AC1">
        <w:rPr>
          <w:highlight w:val="cyan"/>
        </w:rPr>
        <w:t>Therefore</w:t>
      </w:r>
      <w:r w:rsidR="00365EA9">
        <w:rPr>
          <w:highlight w:val="cyan"/>
        </w:rPr>
        <w:t>,</w:t>
      </w:r>
      <w:r w:rsidRPr="000C3AC1">
        <w:rPr>
          <w:highlight w:val="cyan"/>
        </w:rPr>
        <w:t xml:space="preserve"> </w:t>
      </w:r>
      <w:r w:rsidR="00A25BB7" w:rsidRPr="000C3AC1">
        <w:rPr>
          <w:highlight w:val="cyan"/>
        </w:rPr>
        <w:t xml:space="preserve">conceptualisations of </w:t>
      </w:r>
      <w:r w:rsidRPr="000C3AC1">
        <w:rPr>
          <w:highlight w:val="cyan"/>
        </w:rPr>
        <w:t xml:space="preserve">participation </w:t>
      </w:r>
      <w:r w:rsidR="00A25BB7" w:rsidRPr="000C3AC1">
        <w:rPr>
          <w:highlight w:val="cyan"/>
        </w:rPr>
        <w:t xml:space="preserve">in the radical interpretations of democracy is perhaps not widened as such, but re-imagined. In order to engage with democracy, participants must be able to work with towards a ‘conflictual consensus’, and know that their victories are never absolute. </w:t>
      </w:r>
    </w:p>
    <w:p w14:paraId="6CF779FF" w14:textId="3998E0D5" w:rsidR="00CF455B" w:rsidRPr="000C3AC1" w:rsidRDefault="00CF455B" w:rsidP="00E223A2">
      <w:pPr>
        <w:pStyle w:val="Heading3"/>
        <w:rPr>
          <w:highlight w:val="cyan"/>
        </w:rPr>
      </w:pPr>
      <w:r w:rsidRPr="000C3AC1">
        <w:rPr>
          <w:highlight w:val="cyan"/>
        </w:rPr>
        <w:t>Summary</w:t>
      </w:r>
      <w:bookmarkEnd w:id="43"/>
    </w:p>
    <w:p w14:paraId="6D1016DB" w14:textId="6CBF808C" w:rsidR="00CF455B" w:rsidRPr="000C3AC1" w:rsidRDefault="00CF455B" w:rsidP="00C62010">
      <w:pPr>
        <w:rPr>
          <w:highlight w:val="cyan"/>
        </w:rPr>
      </w:pPr>
      <w:r w:rsidRPr="000C3AC1">
        <w:rPr>
          <w:highlight w:val="cyan"/>
        </w:rPr>
        <w:t xml:space="preserve">The role of the citizen can be seen as evolving through these theories as we move from the thinner </w:t>
      </w:r>
      <w:r w:rsidR="001E3FD2" w:rsidRPr="000C3AC1">
        <w:rPr>
          <w:highlight w:val="cyan"/>
        </w:rPr>
        <w:t>conceptualis</w:t>
      </w:r>
      <w:r w:rsidRPr="000C3AC1">
        <w:rPr>
          <w:highlight w:val="cyan"/>
        </w:rPr>
        <w:t>ations to the thicker ones. Whilst the citizen is side-lined in the elitist and electoral model, they become the basis of</w:t>
      </w:r>
      <w:r w:rsidR="00A25BB7" w:rsidRPr="000C3AC1">
        <w:rPr>
          <w:highlight w:val="cyan"/>
        </w:rPr>
        <w:t xml:space="preserve"> legitimacy for the</w:t>
      </w:r>
      <w:r w:rsidRPr="000C3AC1">
        <w:rPr>
          <w:highlight w:val="cyan"/>
        </w:rPr>
        <w:t xml:space="preserve"> deliberative model. In the reality of an actual democratic political system, the role of the citizen arguably lies somewhere between these two extremes. To use a car analogy, in some ways, the thinner understandings of democracy see citizen input in the role of the ignition, used to start the journey but then the car runs for the distance without using it again. In comparison, thicker understandings conceptualise the input of citizens more in terms of the fuel, which supplies the car throughout the journey and should it ever dry up, would see it come shuddering to a halt.</w:t>
      </w:r>
    </w:p>
    <w:p w14:paraId="1D49CD11" w14:textId="19B12F70" w:rsidR="00CF455B" w:rsidRPr="000C3AC1" w:rsidRDefault="00CF455B" w:rsidP="00C62010">
      <w:pPr>
        <w:rPr>
          <w:highlight w:val="cyan"/>
        </w:rPr>
      </w:pPr>
      <w:r w:rsidRPr="000C3AC1">
        <w:rPr>
          <w:highlight w:val="cyan"/>
        </w:rPr>
        <w:t xml:space="preserve">We can conclude here that whilst ‘the People’ provide some form of lynchpin within democratic theory, the role they play is </w:t>
      </w:r>
      <w:r w:rsidR="001E3FD2" w:rsidRPr="000C3AC1">
        <w:rPr>
          <w:highlight w:val="cyan"/>
        </w:rPr>
        <w:t>conceptualis</w:t>
      </w:r>
      <w:r w:rsidRPr="000C3AC1">
        <w:rPr>
          <w:highlight w:val="cyan"/>
        </w:rPr>
        <w:t>ed differently across different approaches. Whilst the thin, mechanistic approaches are empirically useful, they are open to numerous criticisms in that they are somewhat elitist in the</w:t>
      </w:r>
      <w:r w:rsidR="001F4699" w:rsidRPr="000C3AC1">
        <w:rPr>
          <w:highlight w:val="cyan"/>
        </w:rPr>
        <w:t>ir</w:t>
      </w:r>
      <w:r w:rsidRPr="000C3AC1">
        <w:rPr>
          <w:highlight w:val="cyan"/>
        </w:rPr>
        <w:t xml:space="preserve"> view of citizens, and see little role for them past that of voters. In contrast, theories on polyarchy and liberal democracy must </w:t>
      </w:r>
      <w:r w:rsidR="00365EA9">
        <w:rPr>
          <w:highlight w:val="cyan"/>
        </w:rPr>
        <w:t>respond to the criticisms of individual</w:t>
      </w:r>
      <w:r w:rsidRPr="000C3AC1">
        <w:rPr>
          <w:highlight w:val="cyan"/>
        </w:rPr>
        <w:t xml:space="preserve"> rights</w:t>
      </w:r>
      <w:r w:rsidR="00365EA9">
        <w:rPr>
          <w:highlight w:val="cyan"/>
        </w:rPr>
        <w:t xml:space="preserve"> to</w:t>
      </w:r>
      <w:r w:rsidRPr="000C3AC1">
        <w:rPr>
          <w:highlight w:val="cyan"/>
        </w:rPr>
        <w:t xml:space="preserve"> better conceptualise citizen engagement. There is </w:t>
      </w:r>
      <w:r w:rsidR="001F4699" w:rsidRPr="000C3AC1">
        <w:rPr>
          <w:highlight w:val="cyan"/>
        </w:rPr>
        <w:t xml:space="preserve">an </w:t>
      </w:r>
      <w:r w:rsidRPr="000C3AC1">
        <w:rPr>
          <w:highlight w:val="cyan"/>
        </w:rPr>
        <w:t xml:space="preserve">important critique here to acknowledge about the gendered presumptions of power in these understandings of democracy, and furthermore, deliberative </w:t>
      </w:r>
      <w:r w:rsidR="001F4699" w:rsidRPr="000C3AC1">
        <w:rPr>
          <w:highlight w:val="cyan"/>
        </w:rPr>
        <w:t xml:space="preserve">theorists </w:t>
      </w:r>
      <w:r w:rsidRPr="000C3AC1">
        <w:rPr>
          <w:highlight w:val="cyan"/>
        </w:rPr>
        <w:t>would argue that they do not go anywhere near far enough in theorising the contributions that ‘the People’ should, and must, play in a democracy.</w:t>
      </w:r>
    </w:p>
    <w:p w14:paraId="334CC23E" w14:textId="570C303A" w:rsidR="00CF455B" w:rsidRDefault="00CF455B" w:rsidP="00C62010">
      <w:r w:rsidRPr="000C3AC1">
        <w:rPr>
          <w:highlight w:val="cyan"/>
        </w:rPr>
        <w:t xml:space="preserve">To better understand the role of the citizen in a democracy however, this discussion needs to go further and open up a different angle of study. </w:t>
      </w:r>
      <w:r w:rsidR="0060056F" w:rsidRPr="000C3AC1">
        <w:rPr>
          <w:highlight w:val="cyan"/>
        </w:rPr>
        <w:t xml:space="preserve">By </w:t>
      </w:r>
      <w:r w:rsidRPr="000C3AC1">
        <w:rPr>
          <w:highlight w:val="cyan"/>
        </w:rPr>
        <w:t xml:space="preserve">looking not simply at what democracy is theorised to be, but also how it is theorised to come about and develop, we can start to </w:t>
      </w:r>
      <w:r w:rsidR="00365EA9">
        <w:rPr>
          <w:highlight w:val="cyan"/>
        </w:rPr>
        <w:t>hon</w:t>
      </w:r>
      <w:r w:rsidR="0060056F" w:rsidRPr="000C3AC1">
        <w:rPr>
          <w:highlight w:val="cyan"/>
        </w:rPr>
        <w:t xml:space="preserve">e </w:t>
      </w:r>
      <w:r w:rsidRPr="000C3AC1">
        <w:rPr>
          <w:highlight w:val="cyan"/>
        </w:rPr>
        <w:t>in on ideas of how citizens should engage in a democracy. This helps lead us towards the importance of citizen support in a democracy, the idea of political knowledge and, ultimately, how ‘the People’ understand what democracy itself is, and why</w:t>
      </w:r>
      <w:r w:rsidR="0060056F" w:rsidRPr="000C3AC1">
        <w:rPr>
          <w:highlight w:val="cyan"/>
        </w:rPr>
        <w:t xml:space="preserve"> it </w:t>
      </w:r>
      <w:r w:rsidRPr="000C3AC1">
        <w:rPr>
          <w:highlight w:val="cyan"/>
        </w:rPr>
        <w:t xml:space="preserve">should </w:t>
      </w:r>
      <w:r w:rsidR="0060056F" w:rsidRPr="000C3AC1">
        <w:rPr>
          <w:highlight w:val="cyan"/>
        </w:rPr>
        <w:t>be</w:t>
      </w:r>
      <w:r w:rsidRPr="000C3AC1">
        <w:rPr>
          <w:highlight w:val="cyan"/>
        </w:rPr>
        <w:t xml:space="preserve"> stud</w:t>
      </w:r>
      <w:r w:rsidR="0060056F" w:rsidRPr="000C3AC1">
        <w:rPr>
          <w:highlight w:val="cyan"/>
        </w:rPr>
        <w:t>ied</w:t>
      </w:r>
      <w:r w:rsidRPr="000C3AC1">
        <w:rPr>
          <w:highlight w:val="cyan"/>
        </w:rPr>
        <w:t xml:space="preserve"> further.</w:t>
      </w:r>
    </w:p>
    <w:p w14:paraId="22C49FCA" w14:textId="77777777" w:rsidR="00CF455B" w:rsidRPr="00577217" w:rsidRDefault="00CF455B" w:rsidP="00577217">
      <w:pPr>
        <w:pStyle w:val="Heading2"/>
      </w:pPr>
      <w:bookmarkStart w:id="45" w:name="_Toc439170125"/>
      <w:bookmarkStart w:id="46" w:name="_Toc439170168"/>
      <w:bookmarkStart w:id="47" w:name="_Toc439170199"/>
      <w:bookmarkStart w:id="48" w:name="_Toc439758127"/>
      <w:bookmarkStart w:id="49" w:name="_Toc440620780"/>
      <w:bookmarkStart w:id="50" w:name="_Toc440634069"/>
      <w:bookmarkStart w:id="51" w:name="_Toc441069017"/>
      <w:bookmarkStart w:id="52" w:name="_Toc441069168"/>
      <w:bookmarkStart w:id="53" w:name="_Toc441071700"/>
      <w:bookmarkStart w:id="54" w:name="_Toc441071793"/>
      <w:bookmarkStart w:id="55" w:name="_Toc452063029"/>
      <w:bookmarkStart w:id="56" w:name="_Toc452666028"/>
      <w:bookmarkStart w:id="57" w:name="_Toc494034210"/>
      <w:r w:rsidRPr="00577217">
        <w:t>Theories of Democratization: How does democracy come about?</w:t>
      </w:r>
      <w:bookmarkEnd w:id="45"/>
      <w:bookmarkEnd w:id="46"/>
      <w:bookmarkEnd w:id="47"/>
      <w:bookmarkEnd w:id="48"/>
      <w:bookmarkEnd w:id="49"/>
      <w:bookmarkEnd w:id="50"/>
      <w:bookmarkEnd w:id="51"/>
      <w:bookmarkEnd w:id="52"/>
      <w:bookmarkEnd w:id="53"/>
      <w:bookmarkEnd w:id="54"/>
      <w:bookmarkEnd w:id="55"/>
      <w:bookmarkEnd w:id="56"/>
      <w:bookmarkEnd w:id="57"/>
    </w:p>
    <w:p w14:paraId="6C32C4FF" w14:textId="08FF368B" w:rsidR="00CF455B" w:rsidRDefault="00CF455B" w:rsidP="00C62010">
      <w:r>
        <w:t xml:space="preserve">As noted in the introduction, what democracy is, and how it comes to be, are relatively different areas of interest, although there are of course some overlaps. </w:t>
      </w:r>
      <w:r w:rsidRPr="00930BF5">
        <w:t>Przewors</w:t>
      </w:r>
      <w:r w:rsidR="00B22B86">
        <w:t>ki (1986</w:t>
      </w:r>
      <w:r w:rsidRPr="00930BF5">
        <w:t>) observed that studies of regime transition tend to fall into two types</w:t>
      </w:r>
      <w:r>
        <w:t>, macro-oriented or agent-led, with m</w:t>
      </w:r>
      <w:r w:rsidRPr="00930BF5">
        <w:t>acro-orientated studies focus</w:t>
      </w:r>
      <w:r>
        <w:t>ing</w:t>
      </w:r>
      <w:r w:rsidRPr="00930BF5">
        <w:t xml:space="preserve"> on ‘objective conditions’, such as social and econom</w:t>
      </w:r>
      <w:r>
        <w:t>ic development, and usually taking</w:t>
      </w:r>
      <w:r w:rsidRPr="00930BF5">
        <w:t xml:space="preserve"> an empirical approach </w:t>
      </w:r>
      <w:r w:rsidR="00D21119">
        <w:t>and</w:t>
      </w:r>
      <w:r w:rsidRPr="00930BF5">
        <w:t xml:space="preserve"> modernization theory a</w:t>
      </w:r>
      <w:r w:rsidR="00D21119">
        <w:t>s</w:t>
      </w:r>
      <w:r w:rsidRPr="00930BF5">
        <w:t xml:space="preserve"> </w:t>
      </w:r>
      <w:r w:rsidR="00D21119">
        <w:t xml:space="preserve">a </w:t>
      </w:r>
      <w:r w:rsidRPr="00930BF5">
        <w:t xml:space="preserve">starting point. They address a county’s development path and establishment of democratic governance through </w:t>
      </w:r>
      <w:r w:rsidRPr="00930BF5">
        <w:rPr>
          <w:i/>
        </w:rPr>
        <w:t>structural</w:t>
      </w:r>
      <w:r w:rsidRPr="00930BF5">
        <w:t xml:space="preserve"> change. </w:t>
      </w:r>
      <w:r>
        <w:t>In contrast, agent-led studies focused more on the elite political players, and how their decisions and pacts might bring about regime change in a country.</w:t>
      </w:r>
    </w:p>
    <w:p w14:paraId="72BC68D0" w14:textId="77777777" w:rsidR="00CF455B" w:rsidRPr="00930BF5" w:rsidRDefault="00CF455B" w:rsidP="00C62010">
      <w:r>
        <w:t xml:space="preserve">This section discusses these two approaches in turn, before then addressing the notion of consolidation which is a natural extension of this approach, and which looks much less at how democracy comes to be, and more on how it survives once it comes to be. This section will also look at post-modernization, an area of study which tries to bridge some of the gaps that developed between all these different approaches to democratization.  </w:t>
      </w:r>
    </w:p>
    <w:p w14:paraId="410DEF45" w14:textId="77777777" w:rsidR="00CF455B" w:rsidRPr="00E223A2" w:rsidRDefault="00CF455B" w:rsidP="00E223A2">
      <w:pPr>
        <w:pStyle w:val="Heading3"/>
      </w:pPr>
      <w:bookmarkStart w:id="58" w:name="_Toc441069169"/>
      <w:r w:rsidRPr="00E223A2">
        <w:t>The Structural Approach and Modernization Theory</w:t>
      </w:r>
      <w:bookmarkEnd w:id="58"/>
    </w:p>
    <w:p w14:paraId="4EA0FFB5" w14:textId="649CBDF1" w:rsidR="00CF455B" w:rsidRPr="00930BF5" w:rsidRDefault="00CF455B" w:rsidP="00C62010">
      <w:r>
        <w:t xml:space="preserve">Drawing on </w:t>
      </w:r>
      <w:r w:rsidRPr="00930BF5">
        <w:t xml:space="preserve">Schumpeter’s thin and procedural </w:t>
      </w:r>
      <w:r>
        <w:t>definition of</w:t>
      </w:r>
      <w:r w:rsidRPr="00930BF5">
        <w:t xml:space="preserve"> democracy, Lipset </w:t>
      </w:r>
      <w:r w:rsidR="00345057">
        <w:fldChar w:fldCharType="begin" w:fldLock="1"/>
      </w:r>
      <w:r w:rsidR="00E63CC6">
        <w:instrText>ADDIN CSL_CITATION { "citationItems" : [ { "id" : "ITEM-1", "itemData" : { "DOI" : "10.2307/1951731", "author" : [ { "dropping-particle" : "", "family" : "Lipset", "given" : "Seymour M", "non-dropping-particle" : "", "parse-names" : false, "suffix" : "" } ], "container-title" : "The American Political Science Review", "id" : "ITEM-1", "issue" : "1", "issued" : { "date-parts" : [ [ "1959" ] ] }, "page" : "69-105", "publisher" : "American Political Science Association", "title" : "Some Social Requisites of Democracy: Economic Development and Political Legitimacy", "type" : "article-journal", "volume" : "53" }, "locator" : "86", "uris" : [ "http://www.mendeley.com/documents/?uuid=4fce08df-28e7-4594-b5e0-92ba0896abce" ] } ], "mendeley" : { "formattedCitation" : "(Lipset, 1959, p. 86)", "manualFormatting" : "(1959, p.86)", "plainTextFormattedCitation" : "(Lipset, 1959, p. 86)", "previouslyFormattedCitation" : "(Lipset, 1959, p. 86)" }, "properties" : { "noteIndex" : 0 }, "schema" : "https://github.com/citation-style-language/schema/raw/master/csl-citation.json" }</w:instrText>
      </w:r>
      <w:r w:rsidR="00345057">
        <w:fldChar w:fldCharType="separate"/>
      </w:r>
      <w:r w:rsidR="00345057" w:rsidRPr="00345057">
        <w:rPr>
          <w:noProof/>
        </w:rPr>
        <w:t>(1959, p.86)</w:t>
      </w:r>
      <w:r w:rsidR="00345057">
        <w:fldChar w:fldCharType="end"/>
      </w:r>
      <w:r w:rsidR="00345057">
        <w:t xml:space="preserve"> </w:t>
      </w:r>
      <w:r w:rsidRPr="00930BF5">
        <w:t xml:space="preserve">outlined </w:t>
      </w:r>
      <w:r>
        <w:t xml:space="preserve">what </w:t>
      </w:r>
      <w:r w:rsidRPr="00930BF5">
        <w:t>requisites</w:t>
      </w:r>
      <w:r>
        <w:t xml:space="preserve"> are needed in a country for </w:t>
      </w:r>
      <w:r w:rsidRPr="00930BF5">
        <w:t>democracy</w:t>
      </w:r>
      <w:r>
        <w:t xml:space="preserve"> to develop and have a chance of surviving</w:t>
      </w:r>
      <w:r w:rsidR="00D21119">
        <w:t>, arguing in particular that, “</w:t>
      </w:r>
      <w:r w:rsidRPr="00930BF5">
        <w:t>economic  development  involving  industrialization,  urbanization,  high  educational  standards,  and  a  steady  increase  in  the overall wealth  of the  society,  is  a basic  condition  sustaining  democracy;  it  is  a mark of  the  efficiency of  the  total  system”.</w:t>
      </w:r>
    </w:p>
    <w:p w14:paraId="117EB433" w14:textId="51B88314" w:rsidR="00CF455B" w:rsidRPr="00930BF5" w:rsidRDefault="00CF455B" w:rsidP="00C62010">
      <w:r w:rsidRPr="00930BF5">
        <w:t xml:space="preserve">As well as the economic requisites, Lipset contended that instrumental legitimacy is required, i.e. that the democratic political system is seen to work effectively for its citizens. In other words, the chances of democracy taking hold in a poor country with no education system and a corrupt government is almost non-existent: it simply would not function. In this capacity, citizens are seen as requiring education in order to </w:t>
      </w:r>
      <w:r w:rsidR="00E845F8">
        <w:t>accept</w:t>
      </w:r>
      <w:r w:rsidRPr="00930BF5">
        <w:t xml:space="preserve"> good governance </w:t>
      </w:r>
      <w:r w:rsidR="00E845F8">
        <w:t xml:space="preserve">from those </w:t>
      </w:r>
      <w:r w:rsidRPr="00930BF5">
        <w:t xml:space="preserve">in power. There is little analysis in Lipset’s account of the role played by civil society as a whole, however. Lipset’s seminal work informed </w:t>
      </w:r>
      <w:r w:rsidRPr="00930BF5">
        <w:rPr>
          <w:i/>
          <w:iCs/>
        </w:rPr>
        <w:t>modernization theory</w:t>
      </w:r>
      <w:r w:rsidRPr="00930BF5">
        <w:t xml:space="preserve">: the belief in a positive and linear relationship between levels of economic development and democracy, seeing democratic development as something that </w:t>
      </w:r>
      <w:r w:rsidRPr="00930BF5">
        <w:rPr>
          <w:i/>
        </w:rPr>
        <w:t>evolves</w:t>
      </w:r>
      <w:r w:rsidRPr="00930BF5">
        <w:t xml:space="preserve"> </w:t>
      </w:r>
      <w:r w:rsidR="00D97690">
        <w:fldChar w:fldCharType="begin" w:fldLock="1"/>
      </w:r>
      <w:r w:rsidR="00E63CC6">
        <w:instrText>ADDIN CSL_CITATION { "citationItems" : [ { "id" : "ITEM-1", "itemData" : { "author" : [ { "dropping-particle" : "", "family" : "Arat", "given" : "Zehra F", "non-dropping-particle" : "", "parse-names" : false, "suffix" : "" } ], "container-title" : "Comparative Politics", "id" : "ITEM-1", "issue" : "1", "issued" : { "date-parts" : [ [ "1988" ] ] }, "page" : "21-36", "title" : "Democracy and Economic Development : Modernization Theory Revisited", "type" : "article-journal", "volume" : "21" }, "uris" : [ "http://www.mendeley.com/documents/?uuid=90cd22c4-5edd-4906-918c-dbca81601cbb" ] } ], "mendeley" : { "formattedCitation" : "(Arat, 1988)", "manualFormatting" : "(Arat 1988, p.23)", "plainTextFormattedCitation" : "(Arat, 1988)", "previouslyFormattedCitation" : "(Arat, 1988)" }, "properties" : { "noteIndex" : 0 }, "schema" : "https://github.com/citation-style-language/schema/raw/master/csl-citation.json" }</w:instrText>
      </w:r>
      <w:r w:rsidR="00D97690">
        <w:fldChar w:fldCharType="separate"/>
      </w:r>
      <w:r w:rsidR="00D97690" w:rsidRPr="00D97690">
        <w:rPr>
          <w:noProof/>
        </w:rPr>
        <w:t>(Arat 1988</w:t>
      </w:r>
      <w:r w:rsidR="00D97690">
        <w:rPr>
          <w:noProof/>
        </w:rPr>
        <w:t>, p.23</w:t>
      </w:r>
      <w:r w:rsidR="00D97690" w:rsidRPr="00D97690">
        <w:rPr>
          <w:noProof/>
        </w:rPr>
        <w:t>)</w:t>
      </w:r>
      <w:r w:rsidR="00D97690">
        <w:fldChar w:fldCharType="end"/>
      </w:r>
      <w:r w:rsidRPr="00930BF5">
        <w:t xml:space="preserve">. According to </w:t>
      </w:r>
      <w:r w:rsidR="00D21119">
        <w:t>this</w:t>
      </w:r>
      <w:r w:rsidRPr="00930BF5">
        <w:t xml:space="preserve"> theory a modern society is essentially the product of capitalism, associating economic growth in a causal relationship with progressive political freedoms, ultimately predicting an outcome of democracy if countries follow the correct transitional path </w:t>
      </w:r>
      <w:r w:rsidR="00B54786">
        <w:fldChar w:fldCharType="begin" w:fldLock="1"/>
      </w:r>
      <w:r w:rsidR="00E63CC6">
        <w:instrText>ADDIN CSL_CITATION { "citationItems" : [ { "id" : "ITEM-1", "itemData" : { "author" : [ { "dropping-particle" : "", "family" : "Grugel", "given" : "Jean", "non-dropping-particle" : "", "parse-names" : false, "suffix" : "" } ], "id" : "ITEM-1", "issued" : { "date-parts" : [ [ "2002" ] ] }, "publisher" : "Palgrave", "publisher-place" : "New York", "title" : "Democratization", "type" : "book" }, "uris" : [ "http://www.mendeley.com/documents/?uuid=a6831325-c9a5-4ceb-bfbe-dba212582374" ] } ], "mendeley" : { "formattedCitation" : "(Grugel, 2002)", "manualFormatting" : "(Grugel 2002, p.49)", "plainTextFormattedCitation" : "(Grugel, 2002)", "previouslyFormattedCitation" : "(Grugel, 2002)" }, "properties" : { "noteIndex" : 0 }, "schema" : "https://github.com/citation-style-language/schema/raw/master/csl-citation.json" }</w:instrText>
      </w:r>
      <w:r w:rsidR="00B54786">
        <w:fldChar w:fldCharType="separate"/>
      </w:r>
      <w:r w:rsidR="00B54786" w:rsidRPr="00B54786">
        <w:rPr>
          <w:noProof/>
        </w:rPr>
        <w:t>(Grugel 2002</w:t>
      </w:r>
      <w:r w:rsidR="00B54786">
        <w:rPr>
          <w:noProof/>
        </w:rPr>
        <w:t>, p.49</w:t>
      </w:r>
      <w:r w:rsidR="00B54786" w:rsidRPr="00B54786">
        <w:rPr>
          <w:noProof/>
        </w:rPr>
        <w:t>)</w:t>
      </w:r>
      <w:r w:rsidR="00B54786">
        <w:fldChar w:fldCharType="end"/>
      </w:r>
      <w:r w:rsidRPr="00930BF5">
        <w:t xml:space="preserve">. </w:t>
      </w:r>
      <w:r w:rsidR="00B54786">
        <w:fldChar w:fldCharType="begin" w:fldLock="1"/>
      </w:r>
      <w:r w:rsidR="00E63CC6">
        <w:instrText>ADDIN CSL_CITATION { "citationItems" : [ { "id" : "ITEM-1", "itemData" : { "author" : [ { "dropping-particle" : "", "family" : "Macpherson", "given" : "C.B", "non-dropping-particle" : "", "parse-names" : false, "suffix" : "" } ], "id" : "ITEM-1", "issued" : { "date-parts" : [ [ "1977" ] ] }, "publisher" : "Oxford University Press", "publisher-place" : "Oxford", "title" : "The life and times of liberal democracy", "type" : "book" }, "uris" : [ "http://www.mendeley.com/documents/?uuid=20bc9d6e-8aba-4524-8c37-ca536fe8b893" ] } ], "mendeley" : { "formattedCitation" : "(Macpherson, 1977)", "manualFormatting" : "Macpherson's (1977, p.173)", "plainTextFormattedCitation" : "(Macpherson, 1977)", "previouslyFormattedCitation" : "(Macpherson, 1977)" }, "properties" : { "noteIndex" : 0 }, "schema" : "https://github.com/citation-style-language/schema/raw/master/csl-citation.json" }</w:instrText>
      </w:r>
      <w:r w:rsidR="00B54786">
        <w:fldChar w:fldCharType="separate"/>
      </w:r>
      <w:r w:rsidR="00B54786" w:rsidRPr="00B54786">
        <w:rPr>
          <w:noProof/>
        </w:rPr>
        <w:t>Macpherson</w:t>
      </w:r>
      <w:r w:rsidR="00B54786">
        <w:rPr>
          <w:noProof/>
        </w:rPr>
        <w:t>'s</w:t>
      </w:r>
      <w:r w:rsidR="00B54786" w:rsidRPr="00B54786">
        <w:rPr>
          <w:noProof/>
        </w:rPr>
        <w:t xml:space="preserve"> </w:t>
      </w:r>
      <w:r w:rsidR="00B54786">
        <w:rPr>
          <w:noProof/>
        </w:rPr>
        <w:t>(</w:t>
      </w:r>
      <w:r w:rsidR="00B54786" w:rsidRPr="00B54786">
        <w:rPr>
          <w:noProof/>
        </w:rPr>
        <w:t>1977</w:t>
      </w:r>
      <w:r w:rsidR="00B54786">
        <w:rPr>
          <w:noProof/>
        </w:rPr>
        <w:t>, p.173</w:t>
      </w:r>
      <w:r w:rsidR="00B54786" w:rsidRPr="00B54786">
        <w:rPr>
          <w:noProof/>
        </w:rPr>
        <w:t>)</w:t>
      </w:r>
      <w:r w:rsidR="00B54786">
        <w:fldChar w:fldCharType="end"/>
      </w:r>
      <w:r w:rsidRPr="00930BF5">
        <w:t xml:space="preserve"> </w:t>
      </w:r>
      <w:r w:rsidR="00B54786">
        <w:t>claim that</w:t>
      </w:r>
      <w:r w:rsidRPr="00930BF5">
        <w:t>, quite simply,</w:t>
      </w:r>
      <w:r>
        <w:t xml:space="preserve"> </w:t>
      </w:r>
      <w:r w:rsidRPr="00930BF5">
        <w:t>“liberal democracy is s</w:t>
      </w:r>
      <w:r w:rsidR="00B54786">
        <w:t>trictly a capitalist phenomenon</w:t>
      </w:r>
      <w:r w:rsidRPr="00930BF5">
        <w:t>”</w:t>
      </w:r>
      <w:r w:rsidR="00B54786">
        <w:t xml:space="preserve"> also suggests a strong link between the notions of economic growth and democracy.</w:t>
      </w:r>
      <w:r w:rsidRPr="00930BF5">
        <w:t xml:space="preserve"> </w:t>
      </w:r>
      <w:r>
        <w:t>There is little space in the theory for noneconomic determinants of democracy</w:t>
      </w:r>
      <w:r w:rsidR="00B54786">
        <w:t xml:space="preserve"> </w:t>
      </w:r>
      <w:r w:rsidR="00B54786">
        <w:fldChar w:fldCharType="begin" w:fldLock="1"/>
      </w:r>
      <w:r w:rsidR="00E63CC6">
        <w:instrText>ADDIN CSL_CITATION { "citationItems" : [ { "id" : "ITEM-1", "itemData" : { "author" : [ { "dropping-particle" : "", "family" : "Bollen", "given" : "Kenneth A", "non-dropping-particle" : "", "parse-names" : false, "suffix" : "" }, { "dropping-particle" : "", "family" : "Jackman", "given" : "Robert W", "non-dropping-particle" : "", "parse-names" : false, "suffix" : "" } ], "container-title" : "Research in Political Sociology", "id" : "ITEM-1", "issue" : "1", "issued" : { "date-parts" : [ [ "1985" ] ] }, "page" : "27-48", "title" : "Economic and noneconomic determinants of political democracy in the 1960s", "type" : "article-journal", "volume" : "1" }, "uris" : [ "http://www.mendeley.com/documents/?uuid=d01f40fe-feaf-4504-a350-322884a21107" ] } ], "mendeley" : { "formattedCitation" : "(Bollen and Jackman, 1985)", "manualFormatting" : "(Bollen &amp; Jackman 1985, p.28)", "plainTextFormattedCitation" : "(Bollen and Jackman, 1985)", "previouslyFormattedCitation" : "(Bollen and Jackman, 1985)" }, "properties" : { "noteIndex" : 0 }, "schema" : "https://github.com/citation-style-language/schema/raw/master/csl-citation.json" }</w:instrText>
      </w:r>
      <w:r w:rsidR="00B54786">
        <w:fldChar w:fldCharType="separate"/>
      </w:r>
      <w:r w:rsidR="00B54786" w:rsidRPr="00B54786">
        <w:rPr>
          <w:noProof/>
        </w:rPr>
        <w:t>(Bollen &amp; Jackman 1985</w:t>
      </w:r>
      <w:r w:rsidR="00B54786">
        <w:rPr>
          <w:noProof/>
        </w:rPr>
        <w:t>, p.28</w:t>
      </w:r>
      <w:r w:rsidR="00B54786" w:rsidRPr="00B54786">
        <w:rPr>
          <w:noProof/>
        </w:rPr>
        <w:t>)</w:t>
      </w:r>
      <w:r w:rsidR="00B54786">
        <w:fldChar w:fldCharType="end"/>
      </w:r>
      <w:r>
        <w:t>.</w:t>
      </w:r>
    </w:p>
    <w:p w14:paraId="44D3BC27" w14:textId="2D2EE573" w:rsidR="00CF455B" w:rsidRPr="00930BF5" w:rsidRDefault="00CF455B" w:rsidP="00C62010">
      <w:r w:rsidRPr="00930BF5">
        <w:t>Modernizat</w:t>
      </w:r>
      <w:r>
        <w:t>ion theory, then, offers</w:t>
      </w:r>
      <w:r w:rsidRPr="00930BF5">
        <w:t xml:space="preserve"> a framework with the potential to predict when a country would develop a democratic government, and its positivist usefulness led to it being the flagship theory for much of the empirical study of democratic development in the 1960s. Following Lipset, modernization theory was applied to the analysis of both economic development and political legitimacy. In 1960 Rostow put forward the idea that economic development progressed in five stages</w:t>
      </w:r>
      <w:r w:rsidR="003C3E74">
        <w:t>.</w:t>
      </w:r>
      <w:r w:rsidRPr="00930BF5">
        <w:t xml:space="preserve"> </w:t>
      </w:r>
      <w:r w:rsidR="003C3E74">
        <w:t>A</w:t>
      </w:r>
      <w:r w:rsidRPr="00930BF5">
        <w:t xml:space="preserve"> traditional agrarian society (</w:t>
      </w:r>
      <w:r w:rsidR="003C3E74">
        <w:t xml:space="preserve">Stage </w:t>
      </w:r>
      <w:r w:rsidRPr="00930BF5">
        <w:t>1) develops infrastructure and becomes transitional (</w:t>
      </w:r>
      <w:r w:rsidR="003C3E74">
        <w:t xml:space="preserve">Stage </w:t>
      </w:r>
      <w:r w:rsidRPr="00930BF5">
        <w:t>2), before taking off with growing investment (</w:t>
      </w:r>
      <w:r w:rsidR="003C3E74">
        <w:t xml:space="preserve">Stage </w:t>
      </w:r>
      <w:r w:rsidRPr="00930BF5">
        <w:t>3), matures through</w:t>
      </w:r>
      <w:r w:rsidR="003C3E74">
        <w:t xml:space="preserve"> economic</w:t>
      </w:r>
      <w:r w:rsidRPr="00930BF5">
        <w:t xml:space="preserve"> diversification and innovation (</w:t>
      </w:r>
      <w:r w:rsidR="003C3E74">
        <w:t xml:space="preserve">Stage </w:t>
      </w:r>
      <w:r w:rsidRPr="00930BF5">
        <w:t xml:space="preserve">4) and develops through to </w:t>
      </w:r>
      <w:r w:rsidR="003C3E74">
        <w:t xml:space="preserve">a </w:t>
      </w:r>
      <w:r w:rsidRPr="00930BF5">
        <w:t xml:space="preserve">mass consumption </w:t>
      </w:r>
      <w:r w:rsidR="003C3E74">
        <w:t xml:space="preserve">society </w:t>
      </w:r>
      <w:r w:rsidRPr="00930BF5">
        <w:t>(</w:t>
      </w:r>
      <w:r w:rsidR="003C3E74">
        <w:t xml:space="preserve">Stage </w:t>
      </w:r>
      <w:r w:rsidRPr="00930BF5">
        <w:t>5)</w:t>
      </w:r>
      <w:r w:rsidR="006B0717">
        <w:t xml:space="preserve"> </w:t>
      </w:r>
      <w:r w:rsidR="006B0717">
        <w:fldChar w:fldCharType="begin" w:fldLock="1"/>
      </w:r>
      <w:r w:rsidR="00E63CC6">
        <w:instrText>ADDIN CSL_CITATION { "citationItems" : [ { "id" : "ITEM-1", "itemData" : { "author" : [ { "dropping-particle" : "", "family" : "Rostow", "given" : "WW", "non-dropping-particle" : "", "parse-names" : false, "suffix" : "" } ], "id" : "ITEM-1", "issued" : { "date-parts" : [ [ "1960" ] ] }, "publisher" : "Cambridge University Press", "publisher-place" : "Cambridge", "title" : "The Stages of Economic Growth: A Noncommunist Manifesto", "type" : "book" }, "uris" : [ "http://www.mendeley.com/documents/?uuid=1464a0b7-46e4-45ca-b26d-d15742f5686f" ] } ], "mendeley" : { "formattedCitation" : "(Rostow, 1960)", "plainTextFormattedCitation" : "(Rostow, 1960)", "previouslyFormattedCitation" : "(Rostow, 1960)" }, "properties" : { "noteIndex" : 0 }, "schema" : "https://github.com/citation-style-language/schema/raw/master/csl-citation.json" }</w:instrText>
      </w:r>
      <w:r w:rsidR="006B0717">
        <w:fldChar w:fldCharType="separate"/>
      </w:r>
      <w:r w:rsidR="00E63CC6" w:rsidRPr="00E63CC6">
        <w:rPr>
          <w:noProof/>
        </w:rPr>
        <w:t>(Rostow, 1960)</w:t>
      </w:r>
      <w:r w:rsidR="006B0717">
        <w:fldChar w:fldCharType="end"/>
      </w:r>
      <w:r w:rsidRPr="00930BF5">
        <w:t xml:space="preserve">. A post-materialist economy is sometimes argued to be </w:t>
      </w:r>
      <w:r w:rsidR="00406278">
        <w:t>a logical</w:t>
      </w:r>
      <w:r w:rsidRPr="00930BF5">
        <w:t xml:space="preserve"> following stage</w:t>
      </w:r>
      <w:r w:rsidR="00406278">
        <w:t xml:space="preserve"> </w:t>
      </w:r>
      <w:r w:rsidR="00406278">
        <w:fldChar w:fldCharType="begin" w:fldLock="1"/>
      </w:r>
      <w:r w:rsidR="00E63CC6">
        <w:instrText>ADDIN CSL_CITATION { "citationItems" : [ { "id" : "ITEM-1", "itemData" : { "DOI" : "10.1177/0192512111431906", "author" : [ { "dropping-particle" : "", "family" : "Doorenspleet", "given" : "Renske", "non-dropping-particle" : "", "parse-names" : false, "suffix" : "" } ], "container-title" : "International Political Science Review", "id" : "ITEM-1", "issue" : "3", "issued" : { "date-parts" : [ [ "2012" ] ] }, "page" : "279-300", "title" : "Critical Citizens, democratic support and satisfaction in African democracies", "type" : "article-journal", "volume" : "33" }, "locator" : "291", "uris" : [ "http://www.mendeley.com/documents/?uuid=0ea02ce6-1359-426d-b430-21c73fa8b882" ] }, { "id" : "ITEM-2", "itemData" : { "author" : [ { "dropping-particle" : "", "family" : "Inglehart", "given" : "R.", "non-dropping-particle" : "", "parse-names" : false, "suffix" : "" } ], "id" : "ITEM-2", "issued" : { "date-parts" : [ [ "1997" ] ] }, "publisher" : "Princeton University Press", "publisher-place" : "New Jersey", "title" : "Modernization and Post Modernization", "type" : "book" }, "uris" : [ "http://www.mendeley.com/documents/?uuid=0cfd9f52-cee3-4240-b382-4e8a2b6cf7ae" ] } ], "mendeley" : { "formattedCitation" : "(Inglehart, 1997; Doorenspleet, 2012, p. 291)", "plainTextFormattedCitation" : "(Inglehart, 1997; Doorenspleet, 2012, p. 291)", "previouslyFormattedCitation" : "(Inglehart, 1997; Doorenspleet, 2012, p. 291)" }, "properties" : { "noteIndex" : 0 }, "schema" : "https://github.com/citation-style-language/schema/raw/master/csl-citation.json" }</w:instrText>
      </w:r>
      <w:r w:rsidR="00406278">
        <w:fldChar w:fldCharType="separate"/>
      </w:r>
      <w:r w:rsidR="00E63CC6" w:rsidRPr="00E63CC6">
        <w:rPr>
          <w:noProof/>
        </w:rPr>
        <w:t>(Inglehart, 1997; Doorenspleet, 2012, p. 291)</w:t>
      </w:r>
      <w:r w:rsidR="00406278">
        <w:fldChar w:fldCharType="end"/>
      </w:r>
      <w:r w:rsidRPr="00930BF5">
        <w:t xml:space="preserve">. This </w:t>
      </w:r>
      <w:r w:rsidR="00E845F8">
        <w:t>development frame</w:t>
      </w:r>
      <w:r w:rsidRPr="00930BF5">
        <w:t>work strengthened the idea of modernization and continued the theme of linear development along capitalist lines, although Rostow (19</w:t>
      </w:r>
      <w:r w:rsidR="006B0717">
        <w:t>6</w:t>
      </w:r>
      <w:r w:rsidRPr="00930BF5">
        <w:t>0: ix) did see his framework as, ‘one component of a dynamic, disaggregated general theory of production’.</w:t>
      </w:r>
    </w:p>
    <w:p w14:paraId="66C05EEF" w14:textId="6373FA93" w:rsidR="00AB5ED5" w:rsidRDefault="00DD20C4" w:rsidP="00C62010">
      <w:r>
        <w:t>Indeed, the modernization</w:t>
      </w:r>
      <w:r w:rsidR="00CF455B" w:rsidRPr="00930BF5">
        <w:t xml:space="preserve"> approach faced </w:t>
      </w:r>
      <w:r>
        <w:t>immediate</w:t>
      </w:r>
      <w:r w:rsidR="00CF455B" w:rsidRPr="00930BF5">
        <w:t xml:space="preserve"> criticism. For instance, </w:t>
      </w:r>
      <w:r w:rsidR="006B0717">
        <w:fldChar w:fldCharType="begin" w:fldLock="1"/>
      </w:r>
      <w:r w:rsidR="00E63CC6">
        <w:instrText>ADDIN CSL_CITATION { "citationItems" : [ { "id" : "ITEM-1", "itemData" : { "author" : [ { "dropping-particle" : "", "family" : "Moore", "given" : "JB", "non-dropping-particle" : "", "parse-names" : false, "suffix" : "" } ], "id" : "ITEM-1", "issued" : { "date-parts" : [ [ "1966" ] ] }, "publisher" : "Penguin", "publisher-place" : "Buckinghamshire", "title" : "Social Origins of Dictatorship and Democracy - Lord and Peasant in the Making of the Modern World", "type" : "book" }, "uris" : [ "http://www.mendeley.com/documents/?uuid=af1eedd6-b199-44ab-9407-4be11e6011eb" ] } ], "mendeley" : { "formattedCitation" : "(Moore, 1966)", "manualFormatting" : "Moore (1966)", "plainTextFormattedCitation" : "(Moore, 1966)", "previouslyFormattedCitation" : "(Moore, 1966)" }, "properties" : { "noteIndex" : 0 }, "schema" : "https://github.com/citation-style-language/schema/raw/master/csl-citation.json" }</w:instrText>
      </w:r>
      <w:r w:rsidR="006B0717">
        <w:fldChar w:fldCharType="separate"/>
      </w:r>
      <w:r w:rsidR="006B0717" w:rsidRPr="006B0717">
        <w:rPr>
          <w:noProof/>
        </w:rPr>
        <w:t xml:space="preserve">Moore </w:t>
      </w:r>
      <w:r w:rsidR="006B0717">
        <w:rPr>
          <w:noProof/>
        </w:rPr>
        <w:t>(</w:t>
      </w:r>
      <w:r w:rsidR="006B0717" w:rsidRPr="006B0717">
        <w:rPr>
          <w:noProof/>
        </w:rPr>
        <w:t>1966)</w:t>
      </w:r>
      <w:r w:rsidR="006B0717">
        <w:fldChar w:fldCharType="end"/>
      </w:r>
      <w:r w:rsidR="00CF455B" w:rsidRPr="00930BF5">
        <w:t xml:space="preserve"> agreed that industrialization and urbanization were linked to profound regime change. However, he argued the </w:t>
      </w:r>
      <w:r w:rsidR="00CF455B" w:rsidRPr="00930BF5">
        <w:rPr>
          <w:i/>
          <w:iCs/>
        </w:rPr>
        <w:t>direction</w:t>
      </w:r>
      <w:r w:rsidR="00CF455B" w:rsidRPr="00930BF5">
        <w:t xml:space="preserve"> of change was more circumscribed by historical and societal constraints than modernization theory seemed to allow. Of particular importance was the relationship between the elites and the agrarian workers (lords and peasants) in a society. If elites were strong enough to coerce and control the means of production, then fascism was a likely outcome (Germany and Japan). If elites were weak and exerted little control then a communist uprising was possible (Russia and China). The middle road taken in Britain, France and to some extent the US saw a feudal nobility develop above the peasants but below the monarchy, who were then able to instigate a bourgeois revolution that led to a form of representative </w:t>
      </w:r>
      <w:r w:rsidR="002815A8">
        <w:t>democracy. Notably, Moore (1966, p.</w:t>
      </w:r>
      <w:r w:rsidR="00CF455B" w:rsidRPr="00930BF5">
        <w:t>29) concluded that even the outcome considered most positive out of these choices – democracy – occurred after “massive violence [was] exercised by the upper classes against the lower”.</w:t>
      </w:r>
      <w:r w:rsidR="000643F1">
        <w:t xml:space="preserve"> Such upheaval did not really feature in modernization theory.</w:t>
      </w:r>
    </w:p>
    <w:p w14:paraId="7934FFD2" w14:textId="076865CB" w:rsidR="00AB5ED5" w:rsidRDefault="00AB5ED5" w:rsidP="00C62010">
      <w:r>
        <w:t xml:space="preserve">In a similar vein, Roxborough </w:t>
      </w:r>
      <w:r>
        <w:fldChar w:fldCharType="begin" w:fldLock="1"/>
      </w:r>
      <w:r w:rsidR="00E63CC6">
        <w:instrText>ADDIN CSL_CITATION { "citationItems" : [ { "id" : "ITEM-1", "itemData" : { "author" : [ { "dropping-particle" : "", "family" : "Roxborough", "given" : "I", "non-dropping-particle" : "", "parse-names" : false, "suffix" : "" } ], "id" : "ITEM-1", "issued" : { "date-parts" : [ [ "1979" ] ] }, "publisher" : "MacMillan Press", "publisher-place" : "London", "title" : "Theories of Underdevelopment", "type" : "book" }, "uris" : [ "http://www.mendeley.com/documents/?uuid=fd507d94-9131-4f1a-b78a-00f0778bad93" ] } ], "mendeley" : { "formattedCitation" : "(Roxborough, 1979)", "manualFormatting" : "(1979, p.114-117)", "plainTextFormattedCitation" : "(Roxborough, 1979)", "previouslyFormattedCitation" : "(Roxborough, 1979)" }, "properties" : { "noteIndex" : 0 }, "schema" : "https://github.com/citation-style-language/schema/raw/master/csl-citation.json" }</w:instrText>
      </w:r>
      <w:r>
        <w:fldChar w:fldCharType="separate"/>
      </w:r>
      <w:r w:rsidRPr="00AB5ED5">
        <w:rPr>
          <w:noProof/>
        </w:rPr>
        <w:t>(1979</w:t>
      </w:r>
      <w:r>
        <w:rPr>
          <w:noProof/>
        </w:rPr>
        <w:t>, p.114-117</w:t>
      </w:r>
      <w:r w:rsidRPr="00AB5ED5">
        <w:rPr>
          <w:noProof/>
        </w:rPr>
        <w:t>)</w:t>
      </w:r>
      <w:r>
        <w:fldChar w:fldCharType="end"/>
      </w:r>
      <w:r w:rsidR="000643F1">
        <w:t xml:space="preserve"> </w:t>
      </w:r>
      <w:r>
        <w:t>suggested that ideas of modernization were somewhat ‘abstract’ and ‘ahistorical’. He used the example of Chile, an unequal country with a very wealthy elite</w:t>
      </w:r>
      <w:r w:rsidR="008E6953">
        <w:t>,</w:t>
      </w:r>
      <w:r>
        <w:t xml:space="preserve"> that nonetheless developed and maintained a health democracy throughout much of the twentieth century. For Roxborough</w:t>
      </w:r>
      <w:r w:rsidR="00DD20C4">
        <w:t xml:space="preserve"> </w:t>
      </w:r>
      <w:r w:rsidR="00DD20C4">
        <w:fldChar w:fldCharType="begin" w:fldLock="1"/>
      </w:r>
      <w:r w:rsidR="00E63CC6">
        <w:instrText>ADDIN CSL_CITATION { "citationItems" : [ { "id" : "ITEM-1", "itemData" : { "author" : [ { "dropping-particle" : "", "family" : "Roxborough", "given" : "I", "non-dropping-particle" : "", "parse-names" : false, "suffix" : "" } ], "id" : "ITEM-1", "issued" : { "date-parts" : [ [ "1979" ] ] }, "publisher" : "MacMillan Press", "publisher-place" : "London", "title" : "Theories of Underdevelopment", "type" : "book" }, "uris" : [ "http://www.mendeley.com/documents/?uuid=fd507d94-9131-4f1a-b78a-00f0778bad93" ] } ], "mendeley" : { "formattedCitation" : "(Roxborough, 1979)", "manualFormatting" : "(1979, p.116)", "plainTextFormattedCitation" : "(Roxborough, 1979)", "previouslyFormattedCitation" : "(Roxborough, 1979)" }, "properties" : { "noteIndex" : 0 }, "schema" : "https://github.com/citation-style-language/schema/raw/master/csl-citation.json" }</w:instrText>
      </w:r>
      <w:r w:rsidR="00DD20C4">
        <w:fldChar w:fldCharType="separate"/>
      </w:r>
      <w:r w:rsidR="00DD20C4" w:rsidRPr="00DD20C4">
        <w:rPr>
          <w:noProof/>
        </w:rPr>
        <w:t>(1979</w:t>
      </w:r>
      <w:r w:rsidR="00DD20C4">
        <w:rPr>
          <w:noProof/>
        </w:rPr>
        <w:t>, p.116</w:t>
      </w:r>
      <w:r w:rsidR="00DD20C4" w:rsidRPr="00DD20C4">
        <w:rPr>
          <w:noProof/>
        </w:rPr>
        <w:t>)</w:t>
      </w:r>
      <w:r w:rsidR="00DD20C4">
        <w:fldChar w:fldCharType="end"/>
      </w:r>
      <w:r>
        <w:t xml:space="preserve"> it was not necessarily modernization as outlined by its advocates that was responsible for this, but it would be better understood that:</w:t>
      </w:r>
    </w:p>
    <w:p w14:paraId="1C19AF03" w14:textId="53149AAE" w:rsidR="00AB5ED5" w:rsidRDefault="00AB5ED5" w:rsidP="00DD20C4">
      <w:pPr>
        <w:pStyle w:val="Quote"/>
      </w:pPr>
      <w:r>
        <w:t xml:space="preserve">“In a complex process of concessions, repression and occasional political upheaval, the confident and unified ruling classes of Chile gradually admitted the parties of the middle and the working classes to the political arena, incorporating them into the </w:t>
      </w:r>
      <w:r w:rsidR="00DD20C4">
        <w:t xml:space="preserve">political system as brokers between the ruling class and the subordinate classes.” </w:t>
      </w:r>
    </w:p>
    <w:p w14:paraId="3B9B5B64" w14:textId="2F035EB9" w:rsidR="00AB5ED5" w:rsidRDefault="00DD20C4" w:rsidP="00C62010">
      <w:r>
        <w:t xml:space="preserve">This idea of class buffers and elite bargaining was taken up in later studies on democratization and inequality by </w:t>
      </w:r>
      <w:r>
        <w:fldChar w:fldCharType="begin" w:fldLock="1"/>
      </w:r>
      <w:r w:rsidR="00E63CC6">
        <w:instrText>ADDIN CSL_CITATION { "citationItems" : [ { "id" : "ITEM-1", "itemData" : { "author" : [ { "dropping-particle" : "", "family" : "Acemoglu", "given" : "D", "non-dropping-particle" : "", "parse-names" : false, "suffix" : "" }, { "dropping-particle" : "", "family" : "Robinson", "given" : "J. A.", "non-dropping-particle" : "", "parse-names" : false, "suffix" : "" } ], "id" : "ITEM-1", "issued" : { "date-parts" : [ [ "2006" ] ] }, "publisher" : "Cambridge University Press", "publisher-place" : "Cambridge", "title" : "Economic Origins of Dictatorship and Democracy", "type" : "book" }, "uris" : [ "http://www.mendeley.com/documents/?uuid=8d7c15a0-43a2-4ab1-83d6-67004f6174ab" ] } ], "mendeley" : { "formattedCitation" : "(Acemoglu and Robinson, 2006)", "manualFormatting" : "Acemoglu and Robinson (2006)", "plainTextFormattedCitation" : "(Acemoglu and Robinson, 2006)", "previouslyFormattedCitation" : "(Acemoglu and Robinson, 2006)" }, "properties" : { "noteIndex" : 0 }, "schema" : "https://github.com/citation-style-language/schema/raw/master/csl-citation.json" }</w:instrText>
      </w:r>
      <w:r>
        <w:fldChar w:fldCharType="separate"/>
      </w:r>
      <w:r>
        <w:rPr>
          <w:noProof/>
        </w:rPr>
        <w:t>Acemoglu and</w:t>
      </w:r>
      <w:r w:rsidRPr="00DD20C4">
        <w:rPr>
          <w:noProof/>
        </w:rPr>
        <w:t xml:space="preserve"> Robinson </w:t>
      </w:r>
      <w:r>
        <w:rPr>
          <w:noProof/>
        </w:rPr>
        <w:t>(</w:t>
      </w:r>
      <w:r w:rsidRPr="00DD20C4">
        <w:rPr>
          <w:noProof/>
        </w:rPr>
        <w:t>2006)</w:t>
      </w:r>
      <w:r>
        <w:fldChar w:fldCharType="end"/>
      </w:r>
      <w:r>
        <w:t xml:space="preserve"> and </w:t>
      </w:r>
      <w:r>
        <w:fldChar w:fldCharType="begin" w:fldLock="1"/>
      </w:r>
      <w:r w:rsidR="00E63CC6">
        <w:instrText>ADDIN CSL_CITATION { "citationItems" : [ { "id" : "ITEM-1", "itemData" : { "author" : [ { "dropping-particle" : "", "family" : "Ansell", "given" : "B.W.", "non-dropping-particle" : "", "parse-names" : false, "suffix" : "" }, { "dropping-particle" : "", "family" : "Samuels", "given" : "D.J.", "non-dropping-particle" : "", "parse-names" : false, "suffix" : "" } ], "id" : "ITEM-1", "issued" : { "date-parts" : [ [ "2014" ] ] }, "publisher" : "Cambridge University Press", "publisher-place" : "Cambridge", "title" : "Inequality and Democratization: An Elite-Competition Approach", "type" : "book" }, "uris" : [ "http://www.mendeley.com/documents/?uuid=8d01b968-0b97-40c7-ac03-98aa7b433119" ] } ], "mendeley" : { "formattedCitation" : "(Ansell and Samuels, 2014)", "manualFormatting" : "Ansell and Samuels (2014)", "plainTextFormattedCitation" : "(Ansell and Samuels, 2014)", "previouslyFormattedCitation" : "(Ansell and Samuels, 2014)" }, "properties" : { "noteIndex" : 0 }, "schema" : "https://github.com/citation-style-language/schema/raw/master/csl-citation.json" }</w:instrText>
      </w:r>
      <w:r>
        <w:fldChar w:fldCharType="separate"/>
      </w:r>
      <w:r>
        <w:rPr>
          <w:noProof/>
        </w:rPr>
        <w:t>Ansell and</w:t>
      </w:r>
      <w:r w:rsidRPr="00DD20C4">
        <w:rPr>
          <w:noProof/>
        </w:rPr>
        <w:t xml:space="preserve"> Samuels </w:t>
      </w:r>
      <w:r>
        <w:rPr>
          <w:noProof/>
        </w:rPr>
        <w:t>(</w:t>
      </w:r>
      <w:r w:rsidRPr="00DD20C4">
        <w:rPr>
          <w:noProof/>
        </w:rPr>
        <w:t>2014)</w:t>
      </w:r>
      <w:r>
        <w:fldChar w:fldCharType="end"/>
      </w:r>
      <w:r>
        <w:t xml:space="preserve">, respectively (see Chapter 5, Section 5.2 for further discussion). In sum, for Roxborough and for Moore it was not about democracy developing out of economic growth </w:t>
      </w:r>
      <w:r w:rsidRPr="00DD20C4">
        <w:rPr>
          <w:i/>
        </w:rPr>
        <w:t>per se</w:t>
      </w:r>
      <w:r>
        <w:t xml:space="preserve"> that mattered, but ‘the constellations of class conflict which give rise to specifi</w:t>
      </w:r>
      <w:r w:rsidR="002815A8">
        <w:t xml:space="preserve">c political forms’ (Roxborough </w:t>
      </w:r>
      <w:r>
        <w:t>1979, p.115-116).</w:t>
      </w:r>
    </w:p>
    <w:p w14:paraId="209C5007" w14:textId="69147783" w:rsidR="00CF455B" w:rsidRDefault="00A14E6E" w:rsidP="00C62010">
      <w:r>
        <w:t>C</w:t>
      </w:r>
      <w:r w:rsidR="00DD20C4">
        <w:t>ritiques of modernization approaches to democratization did not go away.</w:t>
      </w:r>
      <w:r w:rsidR="008E6953">
        <w:t xml:space="preserve"> Over two decades later, </w:t>
      </w:r>
      <w:r w:rsidR="008E6953">
        <w:fldChar w:fldCharType="begin" w:fldLock="1"/>
      </w:r>
      <w:r w:rsidR="00E63CC6">
        <w:instrText>ADDIN CSL_CITATION { "citationItems" : [ { "id" : "ITEM-1", "itemData" : { "author" : [ { "dropping-particle" : "", "family" : "Grugel", "given" : "Jean", "non-dropping-particle" : "", "parse-names" : false, "suffix" : "" } ], "id" : "ITEM-1", "issued" : { "date-parts" : [ [ "2002" ] ] }, "publisher" : "Palgrave", "publisher-place" : "New York", "title" : "Democratization", "type" : "book" }, "uris" : [ "http://www.mendeley.com/documents/?uuid=a6831325-c9a5-4ceb-bfbe-dba212582374" ] } ], "mendeley" : { "formattedCitation" : "(Grugel, 2002)", "manualFormatting" : "Grugel (2002, p.48-49)", "plainTextFormattedCitation" : "(Grugel, 2002)", "previouslyFormattedCitation" : "(Grugel, 2002)" }, "properties" : { "noteIndex" : 0 }, "schema" : "https://github.com/citation-style-language/schema/raw/master/csl-citation.json" }</w:instrText>
      </w:r>
      <w:r w:rsidR="008E6953">
        <w:fldChar w:fldCharType="separate"/>
      </w:r>
      <w:r w:rsidR="008E6953" w:rsidRPr="008E6953">
        <w:rPr>
          <w:noProof/>
        </w:rPr>
        <w:t xml:space="preserve">Grugel </w:t>
      </w:r>
      <w:r w:rsidR="008E6953">
        <w:rPr>
          <w:noProof/>
        </w:rPr>
        <w:t>(</w:t>
      </w:r>
      <w:r w:rsidR="008E6953" w:rsidRPr="008E6953">
        <w:rPr>
          <w:noProof/>
        </w:rPr>
        <w:t>2002</w:t>
      </w:r>
      <w:r w:rsidR="008E6953">
        <w:rPr>
          <w:noProof/>
        </w:rPr>
        <w:t>, p.48-49</w:t>
      </w:r>
      <w:r w:rsidR="008E6953" w:rsidRPr="008E6953">
        <w:rPr>
          <w:noProof/>
        </w:rPr>
        <w:t>)</w:t>
      </w:r>
      <w:r w:rsidR="008E6953">
        <w:fldChar w:fldCharType="end"/>
      </w:r>
      <w:r w:rsidR="008E6953">
        <w:t xml:space="preserve"> argued that the </w:t>
      </w:r>
      <w:r w:rsidR="00CF455B" w:rsidRPr="00930BF5">
        <w:t>suggested linear relationship between ec</w:t>
      </w:r>
      <w:r w:rsidR="008A220C">
        <w:t>onomic (i.e.</w:t>
      </w:r>
      <w:r w:rsidR="008A220C" w:rsidRPr="00930BF5">
        <w:t xml:space="preserve"> capitalist</w:t>
      </w:r>
      <w:r w:rsidR="008A220C">
        <w:t>)</w:t>
      </w:r>
      <w:r w:rsidR="00CF455B" w:rsidRPr="00930BF5">
        <w:t xml:space="preserve"> development and democracy is problematic as it can be construed as ‘ahistorical, ethnocentric and overl</w:t>
      </w:r>
      <w:r w:rsidR="008E6953">
        <w:t xml:space="preserve">y structural’. </w:t>
      </w:r>
      <w:r w:rsidR="00CF455B" w:rsidRPr="00930BF5">
        <w:t>As a model</w:t>
      </w:r>
      <w:r w:rsidR="00AF5F91">
        <w:t>,</w:t>
      </w:r>
      <w:r w:rsidR="00CF455B" w:rsidRPr="00930BF5">
        <w:t xml:space="preserve"> it is predominantly informed by developments in Western countries. For example, within a simple modernization framework it is difficult to explain how China or Singapore are continuing economic successes yet </w:t>
      </w:r>
      <w:r w:rsidR="00CF455B">
        <w:t xml:space="preserve">remain </w:t>
      </w:r>
      <w:r w:rsidR="00CF455B" w:rsidRPr="00930BF5">
        <w:t>stubbornly authoritarian</w:t>
      </w:r>
      <w:r w:rsidR="00CF455B">
        <w:t xml:space="preserve"> one-party states</w:t>
      </w:r>
      <w:r w:rsidR="00CF455B" w:rsidRPr="00930BF5">
        <w:t>, or at the other end of the spectrum, how it is that India is a long-standing democracy.</w:t>
      </w:r>
    </w:p>
    <w:p w14:paraId="27B6E141" w14:textId="5A2AE57D" w:rsidR="00CF455B" w:rsidRDefault="00CF455B" w:rsidP="00C62010">
      <w:r>
        <w:t>More broadly, the idea of modernization is a “big” process, and it is difficult to work out the exact micro-level mechanisms that are generating change, in order to generate testable hypothes</w:t>
      </w:r>
      <w:r w:rsidR="00AF5F91">
        <w:t>e</w:t>
      </w:r>
      <w:r>
        <w:t>s</w:t>
      </w:r>
      <w:r w:rsidR="000643F1">
        <w:t xml:space="preserve"> </w:t>
      </w:r>
      <w:r w:rsidR="000643F1">
        <w:fldChar w:fldCharType="begin" w:fldLock="1"/>
      </w:r>
      <w:r w:rsidR="00E63CC6">
        <w:instrText>ADDIN CSL_CITATION { "citationItems" : [ { "id" : "ITEM-1", "itemData" : { "author" : [ { "dropping-particle" : "", "family" : "Gill", "given" : "Anthony", "non-dropping-particle" : "", "parse-names" : false, "suffix" : "" } ], "container-title" : "Annual Review of Political Science", "id" : "ITEM-1", "issued" : { "date-parts" : [ [ "2001" ] ] }, "page" : "117-138", "title" : "Religion and Comparative Politics", "type" : "article-journal", "volume" : "4" }, "uris" : [ "http://www.mendeley.com/documents/?uuid=542e58e8-9184-4e77-9137-08f6ad334899" ] } ], "mendeley" : { "formattedCitation" : "(Gill, 2001)", "manualFormatting" : "(Gill 2001, p.119)", "plainTextFormattedCitation" : "(Gill, 2001)", "previouslyFormattedCitation" : "(Gill, 2001)" }, "properties" : { "noteIndex" : 0 }, "schema" : "https://github.com/citation-style-language/schema/raw/master/csl-citation.json" }</w:instrText>
      </w:r>
      <w:r w:rsidR="000643F1">
        <w:fldChar w:fldCharType="separate"/>
      </w:r>
      <w:r w:rsidR="000643F1" w:rsidRPr="000643F1">
        <w:rPr>
          <w:noProof/>
        </w:rPr>
        <w:t>(Gill 2001</w:t>
      </w:r>
      <w:r w:rsidR="000643F1">
        <w:rPr>
          <w:noProof/>
        </w:rPr>
        <w:t>, p.119</w:t>
      </w:r>
      <w:r w:rsidR="000643F1" w:rsidRPr="000643F1">
        <w:rPr>
          <w:noProof/>
        </w:rPr>
        <w:t>)</w:t>
      </w:r>
      <w:r w:rsidR="000643F1">
        <w:fldChar w:fldCharType="end"/>
      </w:r>
      <w:r>
        <w:t xml:space="preserve">. </w:t>
      </w:r>
      <w:r w:rsidRPr="00930BF5">
        <w:t xml:space="preserve">Aside from the issue of its </w:t>
      </w:r>
      <w:r>
        <w:t xml:space="preserve">broad </w:t>
      </w:r>
      <w:r w:rsidRPr="00930BF5">
        <w:t xml:space="preserve">focus on economic drivers of democratic development, modernization theory has also been criticised more generally because it utilises Schumpeter’s approach to democracy, which, as </w:t>
      </w:r>
      <w:r>
        <w:t xml:space="preserve">already </w:t>
      </w:r>
      <w:r w:rsidRPr="00930BF5">
        <w:t xml:space="preserve">discussed, is </w:t>
      </w:r>
      <w:r>
        <w:t xml:space="preserve">frequently </w:t>
      </w:r>
      <w:r w:rsidRPr="00930BF5">
        <w:t>criticised for being elitist and too ‘thin’.</w:t>
      </w:r>
    </w:p>
    <w:p w14:paraId="2DEC43BF" w14:textId="400D0EF4" w:rsidR="00CF455B" w:rsidRPr="00930BF5" w:rsidRDefault="00CF455B" w:rsidP="00C62010">
      <w:pPr>
        <w:rPr>
          <w:color w:val="000000"/>
        </w:rPr>
      </w:pPr>
      <w:r>
        <w:t>F</w:t>
      </w:r>
      <w:r w:rsidRPr="00930BF5">
        <w:t>or instance</w:t>
      </w:r>
      <w:r>
        <w:t>,</w:t>
      </w:r>
      <w:r w:rsidRPr="00930BF5">
        <w:t xml:space="preserve"> </w:t>
      </w:r>
      <w:r w:rsidR="007210BB">
        <w:t xml:space="preserve">using survey </w:t>
      </w:r>
      <w:r w:rsidR="00F60443">
        <w:t xml:space="preserve">data </w:t>
      </w:r>
      <w:r w:rsidR="007210BB">
        <w:t>from the</w:t>
      </w:r>
      <w:r w:rsidRPr="00930BF5">
        <w:t xml:space="preserve"> Latin</w:t>
      </w:r>
      <w:r w:rsidR="007210BB">
        <w:t>barometer</w:t>
      </w:r>
      <w:r w:rsidR="00F60443">
        <w:t>, collected</w:t>
      </w:r>
      <w:r w:rsidR="007210BB">
        <w:t xml:space="preserve"> across Latin America </w:t>
      </w:r>
      <w:r w:rsidR="00F60443">
        <w:t xml:space="preserve">and </w:t>
      </w:r>
      <w:r w:rsidR="007210BB">
        <w:t>over time,</w:t>
      </w:r>
      <w:r w:rsidRPr="00930BF5">
        <w:rPr>
          <w:color w:val="000000"/>
        </w:rPr>
        <w:t xml:space="preserve"> </w:t>
      </w:r>
      <w:r w:rsidR="007210BB">
        <w:rPr>
          <w:color w:val="000000"/>
        </w:rPr>
        <w:t xml:space="preserve">Lagos was able to isolate the impact of five years of continuous economic growth on a region that had been flatling for the previous 25 years. Her conclusion was that </w:t>
      </w:r>
      <w:r w:rsidRPr="00930BF5">
        <w:rPr>
          <w:color w:val="000000"/>
        </w:rPr>
        <w:t>that “five ‘virtuous years’ have shown that economic growth in itself is not a democratizing agent”</w:t>
      </w:r>
      <w:r w:rsidR="00A51F1D">
        <w:rPr>
          <w:color w:val="000000"/>
        </w:rPr>
        <w:t xml:space="preserve"> </w:t>
      </w:r>
      <w:r w:rsidR="00A51F1D">
        <w:rPr>
          <w:color w:val="000000"/>
        </w:rPr>
        <w:fldChar w:fldCharType="begin" w:fldLock="1"/>
      </w:r>
      <w:r w:rsidR="00E63CC6">
        <w:rPr>
          <w:color w:val="000000"/>
        </w:rPr>
        <w:instrText>ADDIN CSL_CITATION { "citationItems" : [ { "id" : "ITEM-1", "itemData" : { "DOI" : "10.1353/jod.2008.0010", "author" : [ { "dropping-particle" : "", "family" : "Lagos", "given" : "Marta", "non-dropping-particle" : "", "parse-names" : false, "suffix" : "" } ], "container-title" : "Journal of Democracy", "id" : "ITEM-1", "issue" : "1", "issued" : { "date-parts" : [ [ "2008" ] ] }, "page" : "111-125", "title" : "Latin America's Diversity of Views", "type" : "article-journal", "volume" : "19" }, "uris" : [ "http://www.mendeley.com/documents/?uuid=a6babb21-dc65-4dda-92b6-e5c62e2d997e" ] } ], "mendeley" : { "formattedCitation" : "(Lagos, 2008)", "manualFormatting" : "(Lagos 2008, p.118)", "plainTextFormattedCitation" : "(Lagos, 2008)", "previouslyFormattedCitation" : "(Lagos, 2008)" }, "properties" : { "noteIndex" : 0 }, "schema" : "https://github.com/citation-style-language/schema/raw/master/csl-citation.json" }</w:instrText>
      </w:r>
      <w:r w:rsidR="00A51F1D">
        <w:rPr>
          <w:color w:val="000000"/>
        </w:rPr>
        <w:fldChar w:fldCharType="separate"/>
      </w:r>
      <w:r w:rsidR="00A51F1D" w:rsidRPr="00A51F1D">
        <w:rPr>
          <w:noProof/>
          <w:color w:val="000000"/>
        </w:rPr>
        <w:t>(Lagos 2008</w:t>
      </w:r>
      <w:r w:rsidR="00A51F1D">
        <w:rPr>
          <w:noProof/>
          <w:color w:val="000000"/>
        </w:rPr>
        <w:t>, p.118</w:t>
      </w:r>
      <w:r w:rsidR="00A51F1D" w:rsidRPr="00A51F1D">
        <w:rPr>
          <w:noProof/>
          <w:color w:val="000000"/>
        </w:rPr>
        <w:t>)</w:t>
      </w:r>
      <w:r w:rsidR="00A51F1D">
        <w:rPr>
          <w:color w:val="000000"/>
        </w:rPr>
        <w:fldChar w:fldCharType="end"/>
      </w:r>
      <w:r w:rsidRPr="00930BF5">
        <w:rPr>
          <w:color w:val="000000"/>
        </w:rPr>
        <w:t>. Further statistical analysis of the same region supports this view, noting that modernization can create a false equivalence between economic freedom and political freedom</w:t>
      </w:r>
      <w:r w:rsidR="00F62F46">
        <w:rPr>
          <w:color w:val="000000"/>
        </w:rPr>
        <w:t xml:space="preserve"> </w:t>
      </w:r>
      <w:r w:rsidR="00F62F46">
        <w:rPr>
          <w:color w:val="000000"/>
        </w:rPr>
        <w:fldChar w:fldCharType="begin" w:fldLock="1"/>
      </w:r>
      <w:r w:rsidR="00E63CC6">
        <w:rPr>
          <w:color w:val="000000"/>
        </w:rPr>
        <w:instrText>ADDIN CSL_CITATION { "citationItems" : [ { "id" : "ITEM-1", "itemData" : { "author" : [ { "dropping-particle" : "", "family" : "Landman", "given" : "Todd", "non-dropping-particle" : "", "parse-names" : false, "suffix" : "" } ], "container-title" : "Political Studies", "id" : "ITEM-1", "issue" : "4", "issued" : { "date-parts" : [ [ "1999" ] ] }, "page" : "607-626", "title" : "Economic Development and Democracy : the View from Latin America", "type" : "article-journal", "volume" : "47" }, "uris" : [ "http://www.mendeley.com/documents/?uuid=b37966c9-1fc4-4c5a-b14c-5a8eb21870f4" ] } ], "mendeley" : { "formattedCitation" : "(Landman, 1999)", "manualFormatting" : "(Landman 1999, p.626)", "plainTextFormattedCitation" : "(Landman, 1999)", "previouslyFormattedCitation" : "(Landman, 1999)" }, "properties" : { "noteIndex" : 0 }, "schema" : "https://github.com/citation-style-language/schema/raw/master/csl-citation.json" }</w:instrText>
      </w:r>
      <w:r w:rsidR="00F62F46">
        <w:rPr>
          <w:color w:val="000000"/>
        </w:rPr>
        <w:fldChar w:fldCharType="separate"/>
      </w:r>
      <w:r w:rsidR="00F62F46" w:rsidRPr="00F62F46">
        <w:rPr>
          <w:noProof/>
          <w:color w:val="000000"/>
        </w:rPr>
        <w:t>(Landman 1999</w:t>
      </w:r>
      <w:r w:rsidR="00F62F46">
        <w:rPr>
          <w:noProof/>
          <w:color w:val="000000"/>
        </w:rPr>
        <w:t>, p.626</w:t>
      </w:r>
      <w:r w:rsidR="00F62F46" w:rsidRPr="00F62F46">
        <w:rPr>
          <w:noProof/>
          <w:color w:val="000000"/>
        </w:rPr>
        <w:t>)</w:t>
      </w:r>
      <w:r w:rsidR="00F62F46">
        <w:rPr>
          <w:color w:val="000000"/>
        </w:rPr>
        <w:fldChar w:fldCharType="end"/>
      </w:r>
      <w:r w:rsidRPr="00930BF5">
        <w:rPr>
          <w:color w:val="000000"/>
        </w:rPr>
        <w:t xml:space="preserve">. Landman argues that other developing areas, such as Asia and Africa, must be examined to test further the universal aspirations of the </w:t>
      </w:r>
      <w:r w:rsidR="002815A8">
        <w:rPr>
          <w:color w:val="000000"/>
        </w:rPr>
        <w:t>modernization perspective (</w:t>
      </w:r>
      <w:r w:rsidR="00170FB9" w:rsidRPr="00170FB9">
        <w:rPr>
          <w:color w:val="000000"/>
        </w:rPr>
        <w:t>I</w:t>
      </w:r>
      <w:r w:rsidR="002815A8" w:rsidRPr="00170FB9">
        <w:rPr>
          <w:color w:val="000000"/>
        </w:rPr>
        <w:t>bid</w:t>
      </w:r>
      <w:r w:rsidRPr="00930BF5">
        <w:rPr>
          <w:color w:val="000000"/>
        </w:rPr>
        <w:t>).</w:t>
      </w:r>
    </w:p>
    <w:p w14:paraId="5BEFB4A7" w14:textId="1D8670CB" w:rsidR="00CF455B" w:rsidRDefault="00CF455B" w:rsidP="00C62010">
      <w:pPr>
        <w:rPr>
          <w:color w:val="000000"/>
        </w:rPr>
      </w:pPr>
      <w:r>
        <w:rPr>
          <w:color w:val="000000"/>
        </w:rPr>
        <w:t xml:space="preserve">In this approach towards democratization, citizens are examined primarily as a mass political body, driven and motivated primarily by their economic status. The poor, middle class and elite groups are often typified in homogenous ways, which is just one of the reasons it can </w:t>
      </w:r>
      <w:r w:rsidR="00AF5F91">
        <w:rPr>
          <w:color w:val="000000"/>
        </w:rPr>
        <w:t xml:space="preserve">be </w:t>
      </w:r>
      <w:r>
        <w:rPr>
          <w:color w:val="000000"/>
        </w:rPr>
        <w:t xml:space="preserve">difficult to isolate more specific mechanisms that bring about change. Drawing on this criticism, the next major development in democratization studies saw a move to focus much more on the role played by people in the process – however, with the people in this case being very much the elites who were seen as the agents of change. </w:t>
      </w:r>
    </w:p>
    <w:p w14:paraId="15F24256" w14:textId="77777777" w:rsidR="00CF455B" w:rsidRPr="00E223A2" w:rsidRDefault="00CF455B" w:rsidP="00E223A2">
      <w:pPr>
        <w:pStyle w:val="Heading3"/>
      </w:pPr>
      <w:bookmarkStart w:id="59" w:name="_Toc441069170"/>
      <w:r w:rsidRPr="00E223A2">
        <w:t>Agential</w:t>
      </w:r>
      <w:bookmarkEnd w:id="59"/>
    </w:p>
    <w:p w14:paraId="09E7A4A7" w14:textId="77777777" w:rsidR="00CF455B" w:rsidRPr="00E223A2" w:rsidRDefault="00CF455B" w:rsidP="00E223A2">
      <w:pPr>
        <w:pStyle w:val="Heading4"/>
      </w:pPr>
      <w:bookmarkStart w:id="60" w:name="_Toc441069171"/>
      <w:r w:rsidRPr="00E223A2">
        <w:t>Transitional Studies</w:t>
      </w:r>
      <w:bookmarkEnd w:id="60"/>
    </w:p>
    <w:p w14:paraId="16A4521E" w14:textId="11467DF6" w:rsidR="00CF455B" w:rsidRPr="00930BF5" w:rsidRDefault="00CF455B" w:rsidP="00C62010">
      <w:r w:rsidRPr="00930BF5">
        <w:t>The second reverse wave</w:t>
      </w:r>
      <w:r>
        <w:t xml:space="preserve"> of Huntington’s classification of the spread of democracy i</w:t>
      </w:r>
      <w:r w:rsidRPr="00930BF5">
        <w:t>n the 1960s and 1970s heralded a period of negativity in the academic literature. For a time it seemed the critics were right: a singular modernization path to democracy did not seem at all guaranteed. Substantial shifts towards autocracy were occurring in developing countries including Kenya, Thailand, Zambia, South Korea and Turkey and to a lesser extent in Lesotho, Malaysia, Somalia and the Philippines</w:t>
      </w:r>
      <w:r w:rsidR="00F62F46">
        <w:t xml:space="preserve"> </w:t>
      </w:r>
      <w:r w:rsidR="00F62F46">
        <w:fldChar w:fldCharType="begin" w:fldLock="1"/>
      </w:r>
      <w:r w:rsidR="00E63CC6">
        <w:instrText>ADDIN CSL_CITATION { "citationItems" : [ { "id" : "ITEM-1", "itemData" : { "author" : [ { "dropping-particle" : "", "family" : "Loughlin", "given" : "John O", "non-dropping-particle" : "", "parse-names" : false, "suffix" : "" }, { "dropping-particle" : "", "family" : "Ward", "given" : "Michael D", "non-dropping-particle" : "", "parse-names" : false, "suffix" : "" }, { "dropping-particle" : "", "family" : "Lofdahl", "given" : "Corey L", "non-dropping-particle" : "", "parse-names" : false, "suffix" : "" }, { "dropping-particle" : "", "family" : "Cohen", "given" : "Jordin S", "non-dropping-particle" : "", "parse-names" : false, "suffix" : "" }, { "dropping-particle" : "", "family" : "David", "given" : "S", "non-dropping-particle" : "", "parse-names" : false, "suffix" : "" }, { "dropping-particle" : "", "family" : "Loughlin", "given" : "John O", "non-dropping-particle" : "", "parse-names" : false, "suffix" : "" }, { "dropping-particle" : "", "family" : "Ward", "given" : "Michael D", "non-dropping-particle" : "", "parse-names" : false, "suffix" : "" }, { "dropping-particle" : "", "family" : "Lofdahl", "given" : "Corey L", "non-dropping-particle" : "", "parse-names" : false, "suffix" : "" }, { "dropping-particle" : "", "family" : "Cohen", "given" : "Jordin S", "non-dropping-particle" : "", "parse-names" : false, "suffix" : "" }, { "dropping-particle" : "", "family" : "Brown", "given" : "David S", "non-dropping-particle" : "", "parse-names" : false, "suffix" : "" }, { "dropping-particle" : "", "family" : "Reilly", "given" : "David", "non-dropping-particle" : "", "parse-names" : false, "suffix" : "" }, { "dropping-particle" : "", "family" : "Gleditsch", "given" : "Kristian S", "non-dropping-particle" : "", "parse-names" : false, "suffix" : "" }, { "dropping-particle" : "", "family" : "Shin", "given" : "Michael", "non-dropping-particle" : "", "parse-names" : false, "suffix" : "" } ], "container-title" : "Annals of the Association of American Geographers", "id" : "ITEM-1", "issue" : "4", "issued" : { "date-parts" : [ [ "1998" ] ] }, "page" : "545-574", "title" : "The Diffusion of Democracy , 1946-1994", "type" : "article-journal", "volume" : "88" }, "uris" : [ "http://www.mendeley.com/documents/?uuid=fd62c84a-6f4f-41f0-b265-b62d0cf01a16" ] } ], "mendeley" : { "formattedCitation" : "(Loughlin &lt;i&gt;et al.&lt;/i&gt;, 1998)", "manualFormatting" : "(Loughlin et al. 1998, p.560)", "plainTextFormattedCitation" : "(Loughlin et al., 1998)", "previouslyFormattedCitation" : "(Loughlin &lt;i&gt;et al.&lt;/i&gt;, 1998)" }, "properties" : { "noteIndex" : 0 }, "schema" : "https://github.com/citation-style-language/schema/raw/master/csl-citation.json" }</w:instrText>
      </w:r>
      <w:r w:rsidR="00F62F46">
        <w:fldChar w:fldCharType="separate"/>
      </w:r>
      <w:r w:rsidR="00F62F46" w:rsidRPr="00F62F46">
        <w:rPr>
          <w:noProof/>
        </w:rPr>
        <w:t xml:space="preserve">(Loughlin </w:t>
      </w:r>
      <w:r w:rsidR="00803848">
        <w:rPr>
          <w:noProof/>
        </w:rPr>
        <w:t>et al</w:t>
      </w:r>
      <w:r w:rsidR="00F62F46" w:rsidRPr="00F62F46">
        <w:rPr>
          <w:noProof/>
        </w:rPr>
        <w:t>. 1998</w:t>
      </w:r>
      <w:r w:rsidR="00F62F46">
        <w:rPr>
          <w:noProof/>
        </w:rPr>
        <w:t>, p.560</w:t>
      </w:r>
      <w:r w:rsidR="00F62F46" w:rsidRPr="00F62F46">
        <w:rPr>
          <w:noProof/>
        </w:rPr>
        <w:t>)</w:t>
      </w:r>
      <w:r w:rsidR="00F62F46">
        <w:fldChar w:fldCharType="end"/>
      </w:r>
      <w:r w:rsidR="00F62F46">
        <w:t>.</w:t>
      </w:r>
      <w:r w:rsidRPr="00930BF5">
        <w:t xml:space="preserve"> And poorer developing countries were not the only ones under duress. Middle-income countries</w:t>
      </w:r>
      <w:r w:rsidR="001E11B8">
        <w:t>,</w:t>
      </w:r>
      <w:r w:rsidRPr="00930BF5">
        <w:t xml:space="preserve"> </w:t>
      </w:r>
      <w:r w:rsidR="001E11B8" w:rsidRPr="00930BF5">
        <w:t xml:space="preserve">some such as Chile and Argentina </w:t>
      </w:r>
      <w:r w:rsidRPr="00930BF5">
        <w:t xml:space="preserve">with democratic histories, were also experiencing erosion of their democratic credentials. </w:t>
      </w:r>
      <w:r w:rsidR="000674E6">
        <w:t>And</w:t>
      </w:r>
      <w:r w:rsidRPr="00930BF5">
        <w:t xml:space="preserve"> Western countries appeared to be struggling too. </w:t>
      </w:r>
      <w:r w:rsidR="001E11B8">
        <w:t>There,</w:t>
      </w:r>
      <w:r w:rsidRPr="00930BF5">
        <w:t xml:space="preserve"> mass protests (often student-led) in the 1970s </w:t>
      </w:r>
      <w:r>
        <w:t>prompted a</w:t>
      </w:r>
      <w:r w:rsidRPr="00930BF5">
        <w:t>cademic studies to question if the world was ‘witnessing a crisis of democracy’</w:t>
      </w:r>
      <w:r w:rsidR="00F62F46">
        <w:t xml:space="preserve"> </w:t>
      </w:r>
      <w:r w:rsidR="00F62F46">
        <w:fldChar w:fldCharType="begin" w:fldLock="1"/>
      </w:r>
      <w:r w:rsidR="00E63CC6">
        <w:instrText>ADDIN CSL_CITATION { "citationItems" : [ { "id" : "ITEM-1", "itemData" : { "author" : [ { "dropping-particle" : "", "family" : "Crozier", "given" : "M", "non-dropping-particle" : "", "parse-names" : false, "suffix" : "" }, { "dropping-particle" : "", "family" : "Huntington", "given" : "Samuel P", "non-dropping-particle" : "", "parse-names" : false, "suffix" : "" }, { "dropping-particle" : "", "family" : "Watanuki", "given" : "J", "non-dropping-particle" : "", "parse-names" : false, "suffix" : "" } ], "id" : "ITEM-1", "issued" : { "date-parts" : [ [ "1975" ] ] }, "publisher" : "New York University Press", "publisher-place" : "New York", "title" : "The Crisis of Democracy", "type" : "book" }, "uris" : [ "http://www.mendeley.com/documents/?uuid=2a152145-f253-46e6-8f3a-f46e5f5314bb" ] } ], "mendeley" : { "formattedCitation" : "(Crozier, Huntington and Watanuki, 1975)", "manualFormatting" : "(see Crozier et al. 1975)", "plainTextFormattedCitation" : "(Crozier, Huntington and Watanuki, 1975)", "previouslyFormattedCitation" : "(Crozier, Huntington and Watanuki, 1975)" }, "properties" : { "noteIndex" : 0 }, "schema" : "https://github.com/citation-style-language/schema/raw/master/csl-citation.json" }</w:instrText>
      </w:r>
      <w:r w:rsidR="00F62F46">
        <w:fldChar w:fldCharType="separate"/>
      </w:r>
      <w:r w:rsidR="00F62F46" w:rsidRPr="00F62F46">
        <w:rPr>
          <w:noProof/>
        </w:rPr>
        <w:t>(</w:t>
      </w:r>
      <w:r w:rsidR="00F62F46">
        <w:rPr>
          <w:noProof/>
        </w:rPr>
        <w:t xml:space="preserve">see </w:t>
      </w:r>
      <w:r w:rsidR="00F62F46" w:rsidRPr="00F62F46">
        <w:rPr>
          <w:noProof/>
        </w:rPr>
        <w:t xml:space="preserve">Crozier </w:t>
      </w:r>
      <w:r w:rsidR="00803848">
        <w:rPr>
          <w:noProof/>
        </w:rPr>
        <w:t>et al</w:t>
      </w:r>
      <w:r w:rsidR="00F62F46" w:rsidRPr="00F62F46">
        <w:rPr>
          <w:noProof/>
        </w:rPr>
        <w:t>. 1975)</w:t>
      </w:r>
      <w:r w:rsidR="00F62F46">
        <w:fldChar w:fldCharType="end"/>
      </w:r>
      <w:r w:rsidRPr="00930BF5">
        <w:t>.</w:t>
      </w:r>
    </w:p>
    <w:p w14:paraId="38EF0C42" w14:textId="34CE06B6" w:rsidR="00CF455B" w:rsidRPr="00930BF5" w:rsidRDefault="00CF455B" w:rsidP="00C62010">
      <w:r w:rsidRPr="00930BF5">
        <w:t xml:space="preserve">In reality the answer </w:t>
      </w:r>
      <w:r>
        <w:t>appears to have been</w:t>
      </w:r>
      <w:r w:rsidRPr="00930BF5">
        <w:t xml:space="preserve"> ‘no’. Democratic developments may have stalled but the reverse wave did not challenge the very </w:t>
      </w:r>
      <w:r w:rsidRPr="00930BF5">
        <w:rPr>
          <w:i/>
        </w:rPr>
        <w:t xml:space="preserve">idea </w:t>
      </w:r>
      <w:r w:rsidRPr="00930BF5">
        <w:t>of democracy.  In retrospect, such predictions were exaggerated, especially for the Western democracies</w:t>
      </w:r>
      <w:r w:rsidR="001E11B8">
        <w:t>.</w:t>
      </w:r>
      <w:r w:rsidRPr="00930BF5">
        <w:t xml:space="preserve"> </w:t>
      </w:r>
      <w:r w:rsidR="001E11B8">
        <w:t>I</w:t>
      </w:r>
      <w:r w:rsidR="00F62F46">
        <w:t xml:space="preserve">n fact Crozier </w:t>
      </w:r>
      <w:r w:rsidR="00803848">
        <w:t>et al</w:t>
      </w:r>
      <w:r w:rsidR="00F62F46">
        <w:t xml:space="preserve"> (1975, p.</w:t>
      </w:r>
      <w:r w:rsidRPr="00930BF5">
        <w:t xml:space="preserve">113), concluded that what was occurring was “excess of democracy” in the West, with too much participation within institutions making the system ungovernable. This conclusion highlights quite clearly the different theoretical assessments of democracy that could occur between elite-focused liberal democrats and deliberative democrats. </w:t>
      </w:r>
    </w:p>
    <w:p w14:paraId="45B62521" w14:textId="589CBC4D" w:rsidR="00CF455B" w:rsidRDefault="00CF455B" w:rsidP="00C62010">
      <w:r w:rsidRPr="00930BF5">
        <w:t xml:space="preserve">In general, as </w:t>
      </w:r>
      <w:r w:rsidR="00F62F46">
        <w:t xml:space="preserve">noted by </w:t>
      </w:r>
      <w:r w:rsidRPr="00930BF5">
        <w:t xml:space="preserve">Dalton </w:t>
      </w:r>
      <w:r w:rsidR="00F62F46">
        <w:fldChar w:fldCharType="begin" w:fldLock="1"/>
      </w:r>
      <w:r w:rsidR="00E63CC6">
        <w:instrText>ADDIN CSL_CITATION { "citationItems" : [ { "id" : "ITEM-1", "itemData" : { "author" : [ { "dropping-particle" : "", "family" : "Dalton", "given" : "R.", "non-dropping-particle" : "", "parse-names" : false, "suffix" : "" } ], "id" : "ITEM-1", "issued" : { "date-parts" : [ [ "2004" ] ] }, "publisher" : "Oxford University Press", "publisher-place" : "Oxford", "title" : "Democratic Challenges, Democratic Choics: The Erosion of Poltical Support in Advanced Industrial Democracies", "type" : "book" }, "uris" : [ "http://www.mendeley.com/documents/?uuid=f11d2d91-4aab-4e65-a07c-b6bf2f87cb9f" ] } ], "mendeley" : { "formattedCitation" : "(Dalton, 2004)", "manualFormatting" : "(Dalton 2004, p.21)", "plainTextFormattedCitation" : "(Dalton, 2004)", "previouslyFormattedCitation" : "(Dalton, 2004)" }, "properties" : { "noteIndex" : 0 }, "schema" : "https://github.com/citation-style-language/schema/raw/master/csl-citation.json" }</w:instrText>
      </w:r>
      <w:r w:rsidR="00F62F46">
        <w:fldChar w:fldCharType="separate"/>
      </w:r>
      <w:r w:rsidR="00F62F46" w:rsidRPr="00F62F46">
        <w:rPr>
          <w:noProof/>
        </w:rPr>
        <w:t>(Dalton 2004</w:t>
      </w:r>
      <w:r w:rsidR="00F62F46">
        <w:rPr>
          <w:noProof/>
        </w:rPr>
        <w:t>, p.21</w:t>
      </w:r>
      <w:r w:rsidR="00F62F46" w:rsidRPr="00F62F46">
        <w:rPr>
          <w:noProof/>
        </w:rPr>
        <w:t>)</w:t>
      </w:r>
      <w:r w:rsidR="00F62F46">
        <w:fldChar w:fldCharType="end"/>
      </w:r>
      <w:r w:rsidRPr="00930BF5">
        <w:t xml:space="preserve">, these accounts of crisis, particularly in the West, ‘often lacked substantive evidence to support their negative evaluations about the state of democracy’, whilst the ‘empirical evidence was very mixed’. However, if there was not a crisis of the core ideals of democracy, it remained clear that the modernization paradigm was struggling to explain many scenarios of change occurring in the real world. </w:t>
      </w:r>
      <w:r w:rsidR="000D2F92">
        <w:t>T</w:t>
      </w:r>
      <w:r w:rsidRPr="00930BF5">
        <w:t>here occurred a shift in academic focus away from structural forces of change towards change focused on individuals.</w:t>
      </w:r>
      <w:r w:rsidR="00D567BA">
        <w:t xml:space="preserve"> As Boix </w:t>
      </w:r>
      <w:r w:rsidR="00D567BA">
        <w:fldChar w:fldCharType="begin" w:fldLock="1"/>
      </w:r>
      <w:r w:rsidR="00E63CC6">
        <w:instrText>ADDIN CSL_CITATION { "citationItems" : [ { "id" : "ITEM-1", "itemData" : { "author" : [ { "dropping-particle" : "", "family" : "Boix", "given" : "C.", "non-dropping-particle" : "", "parse-names" : false, "suffix" : "" } ], "id" : "ITEM-1", "issued" : { "date-parts" : [ [ "2003" ] ] }, "publisher" : "Cambridge University Press", "publisher-place" : "Cambridge", "title" : "Democracy and Redistribution", "type" : "book" }, "uris" : [ "http://www.mendeley.com/documents/?uuid=97ffbb21-ec68-4129-b5a1-bfdc4cb08382" ] } ], "mendeley" : { "formattedCitation" : "(Boix, 2003)", "manualFormatting" : "(2003, p.233)", "plainTextFormattedCitation" : "(Boix, 2003)", "previouslyFormattedCitation" : "(Boix, 2003)" }, "properties" : { "noteIndex" : 0 }, "schema" : "https://github.com/citation-style-language/schema/raw/master/csl-citation.json" }</w:instrText>
      </w:r>
      <w:r w:rsidR="00D567BA">
        <w:fldChar w:fldCharType="separate"/>
      </w:r>
      <w:r w:rsidR="00D567BA" w:rsidRPr="00D567BA">
        <w:rPr>
          <w:noProof/>
        </w:rPr>
        <w:t>(2003</w:t>
      </w:r>
      <w:r w:rsidR="00D567BA">
        <w:rPr>
          <w:noProof/>
        </w:rPr>
        <w:t>, p.233</w:t>
      </w:r>
      <w:r w:rsidR="00D567BA" w:rsidRPr="00D567BA">
        <w:rPr>
          <w:noProof/>
        </w:rPr>
        <w:t>)</w:t>
      </w:r>
      <w:r w:rsidR="00D567BA">
        <w:fldChar w:fldCharType="end"/>
      </w:r>
      <w:r w:rsidR="00D567BA">
        <w:t xml:space="preserve"> outlined:</w:t>
      </w:r>
    </w:p>
    <w:p w14:paraId="7FB59EFA" w14:textId="701C41A3" w:rsidR="00D567BA" w:rsidRPr="00930BF5" w:rsidRDefault="00D567BA" w:rsidP="00D567BA">
      <w:pPr>
        <w:pStyle w:val="Quote"/>
      </w:pPr>
      <w:r>
        <w:t>“The authoritarian spell of Latin America and the solid redemocratization of Southern Europe in the 1970s pushed most researchers…to emphasize the autonomy of political elites. Accordingly, the democratization literature focused on examining the negoti</w:t>
      </w:r>
      <w:r w:rsidR="006069A8">
        <w:t xml:space="preserve">ating skills of politicians as </w:t>
      </w:r>
      <w:r>
        <w:t>well as the ways in which different constitutional structures may contribute to the stability of democracies.”</w:t>
      </w:r>
    </w:p>
    <w:p w14:paraId="77BB4511" w14:textId="043358D9" w:rsidR="00CF455B" w:rsidRPr="00930BF5" w:rsidRDefault="00D567BA" w:rsidP="00C62010">
      <w:r>
        <w:t>Such</w:t>
      </w:r>
      <w:r w:rsidR="00CF455B" w:rsidRPr="00930BF5">
        <w:t xml:space="preserve"> </w:t>
      </w:r>
      <w:r w:rsidR="00CF455B" w:rsidRPr="00930BF5">
        <w:rPr>
          <w:i/>
        </w:rPr>
        <w:t>agent</w:t>
      </w:r>
      <w:r w:rsidR="00CF455B" w:rsidRPr="00930BF5">
        <w:t xml:space="preserve">-led analyses </w:t>
      </w:r>
      <w:r w:rsidR="00C51DBA">
        <w:t>had an approach arguably</w:t>
      </w:r>
      <w:r w:rsidR="00CF455B" w:rsidRPr="00930BF5">
        <w:t xml:space="preserve"> more dynamic than one grounded in structural analysis. In their seminal work</w:t>
      </w:r>
      <w:r w:rsidR="006D6C6D">
        <w:t>,</w:t>
      </w:r>
      <w:r w:rsidR="00CF455B" w:rsidRPr="00930BF5">
        <w:t xml:space="preserve"> </w:t>
      </w:r>
      <w:r w:rsidR="00CF455B" w:rsidRPr="00930BF5">
        <w:rPr>
          <w:i/>
          <w:iCs/>
        </w:rPr>
        <w:t>Transitions from Authoritarian Rule</w:t>
      </w:r>
      <w:r w:rsidR="00F62F46">
        <w:t>,</w:t>
      </w:r>
      <w:r w:rsidR="00CF455B" w:rsidRPr="00930BF5">
        <w:t xml:space="preserve"> </w:t>
      </w:r>
      <w:r w:rsidR="00F62F46">
        <w:fldChar w:fldCharType="begin" w:fldLock="1"/>
      </w:r>
      <w:r w:rsidR="00E63CC6">
        <w:instrText>ADDIN CSL_CITATION { "citationItems" : [ { "id" : "ITEM-1", "itemData" : { "author" : [ { "dropping-particle" : "", "family" : "O'Donnell", "given" : "G", "non-dropping-particle" : "", "parse-names" : false, "suffix" : "" }, { "dropping-particle" : "", "family" : "Schmitter", "given" : "P.S", "non-dropping-particle" : "", "parse-names" : false, "suffix" : "" } ], "id" : "ITEM-1", "issued" : { "date-parts" : [ [ "1986" ] ] }, "publisher" : "John Hopkins University Press", "publisher-place" : "Baltimore", "title" : "Transitions from authoritarian rule - Tentative conclusions about uncertain democracies", "type" : "book" }, "uris" : [ "http://www.mendeley.com/documents/?uuid=c05cae8f-fc63-4629-9f4d-98f4a048a390" ] } ], "mendeley" : { "formattedCitation" : "(O\u2019Donnell and Schmitter, 1986)", "manualFormatting" : "O\u2019Donnell and Schmitter (1986, p.4)", "plainTextFormattedCitation" : "(O\u2019Donnell and Schmitter, 1986)", "previouslyFormattedCitation" : "(O\u2019Donnell and Schmitter, 1986)" }, "properties" : { "noteIndex" : 0 }, "schema" : "https://github.com/citation-style-language/schema/raw/master/csl-citation.json" }</w:instrText>
      </w:r>
      <w:r w:rsidR="00F62F46">
        <w:fldChar w:fldCharType="separate"/>
      </w:r>
      <w:r w:rsidR="00F62F46">
        <w:rPr>
          <w:noProof/>
        </w:rPr>
        <w:t>O’Donnell and</w:t>
      </w:r>
      <w:r w:rsidR="00F62F46" w:rsidRPr="00F62F46">
        <w:rPr>
          <w:noProof/>
        </w:rPr>
        <w:t xml:space="preserve"> Schmitter </w:t>
      </w:r>
      <w:r w:rsidR="00F62F46">
        <w:rPr>
          <w:noProof/>
        </w:rPr>
        <w:t>(</w:t>
      </w:r>
      <w:r w:rsidR="00F62F46" w:rsidRPr="00F62F46">
        <w:rPr>
          <w:noProof/>
        </w:rPr>
        <w:t>1986</w:t>
      </w:r>
      <w:r w:rsidR="00F62F46">
        <w:rPr>
          <w:noProof/>
        </w:rPr>
        <w:t>, p.4</w:t>
      </w:r>
      <w:r w:rsidR="00F62F46" w:rsidRPr="00F62F46">
        <w:rPr>
          <w:noProof/>
        </w:rPr>
        <w:t>)</w:t>
      </w:r>
      <w:r w:rsidR="00F62F46">
        <w:fldChar w:fldCharType="end"/>
      </w:r>
      <w:r w:rsidR="00CF455B" w:rsidRPr="00930BF5">
        <w:t xml:space="preserve"> argued:</w:t>
      </w:r>
    </w:p>
    <w:p w14:paraId="66559476" w14:textId="54E1C3F2" w:rsidR="00CF455B" w:rsidRPr="00930BF5" w:rsidRDefault="00CF455B" w:rsidP="00C62010">
      <w:pPr>
        <w:pStyle w:val="Quote"/>
      </w:pPr>
      <w:r w:rsidRPr="00930BF5">
        <w:t>“When studying an established political regime, one can rely on relatively stable economic, social, cultural, and partisan categories to identify, analyse, and evaluate the identities and strategies of those defending the status quo and those struggling to reform or transform it. We believe that this “normal science methodology” is inappropriate in rapidly changing si</w:t>
      </w:r>
      <w:r w:rsidR="00E845F8">
        <w:t>tuations where</w:t>
      </w:r>
      <w:r w:rsidRPr="00930BF5">
        <w:t xml:space="preserve"> those very parameters of</w:t>
      </w:r>
      <w:r w:rsidR="00E845F8">
        <w:t xml:space="preserve"> political action are in flux.”</w:t>
      </w:r>
    </w:p>
    <w:p w14:paraId="7C2D534C" w14:textId="7395DAD7" w:rsidR="00CF455B" w:rsidRPr="00930BF5" w:rsidRDefault="000D2F92" w:rsidP="00C62010">
      <w:r>
        <w:t>The</w:t>
      </w:r>
      <w:r w:rsidR="00CF455B" w:rsidRPr="00930BF5">
        <w:t xml:space="preserve"> agency </w:t>
      </w:r>
      <w:r w:rsidR="00CF455B">
        <w:t>approach emphasized</w:t>
      </w:r>
      <w:r w:rsidR="00CF455B" w:rsidRPr="00930BF5">
        <w:t xml:space="preserve"> the importance of elite-led bargaining and pacts, control of military factions, hard and soft-liners within the incumbent regime and the opposition and the strength of civil society. There is </w:t>
      </w:r>
      <w:r w:rsidR="006D6C6D">
        <w:t xml:space="preserve">an </w:t>
      </w:r>
      <w:r w:rsidR="00CF455B" w:rsidRPr="00930BF5">
        <w:t>implicit focus on identifying sites of power, and attempting to predict how they will behave.</w:t>
      </w:r>
    </w:p>
    <w:p w14:paraId="71E1820B" w14:textId="2B436A5C" w:rsidR="00CF455B" w:rsidRPr="00930BF5" w:rsidRDefault="004A3D61" w:rsidP="00C62010">
      <w:r>
        <w:t>Critics of</w:t>
      </w:r>
      <w:r w:rsidR="00CF455B" w:rsidRPr="00930BF5">
        <w:t xml:space="preserve"> this approach have argued that that by squarely favouring specificity and micro-analysis instead of generalizations, the agency-centred approac</w:t>
      </w:r>
      <w:r w:rsidR="00B41AD1">
        <w:t>hed ‘</w:t>
      </w:r>
      <w:r w:rsidR="00CF455B" w:rsidRPr="00930BF5">
        <w:t>strip</w:t>
      </w:r>
      <w:r w:rsidR="00B41AD1">
        <w:t>ped</w:t>
      </w:r>
      <w:r w:rsidR="00CF455B" w:rsidRPr="00930BF5">
        <w:t xml:space="preserve"> politics from its social moorings</w:t>
      </w:r>
      <w:r w:rsidR="00B41AD1">
        <w:t>’</w:t>
      </w:r>
      <w:r w:rsidR="00CF455B" w:rsidRPr="00930BF5">
        <w:t xml:space="preserve"> and become</w:t>
      </w:r>
      <w:r w:rsidR="00212918">
        <w:t>s</w:t>
      </w:r>
      <w:r w:rsidR="00CF455B" w:rsidRPr="00930BF5">
        <w:t xml:space="preserve"> limited by a focus on specific historical conjunctures</w:t>
      </w:r>
      <w:r w:rsidR="00B41AD1">
        <w:t xml:space="preserve"> </w:t>
      </w:r>
      <w:r w:rsidR="00B41AD1">
        <w:fldChar w:fldCharType="begin" w:fldLock="1"/>
      </w:r>
      <w:r w:rsidR="00E63CC6">
        <w:instrText>ADDIN CSL_CITATION { "citationItems" : [ { "id" : "ITEM-1", "itemData" : { "author" : [ { "dropping-particle" : "", "family" : "Remmer", "given" : "Karen L", "non-dropping-particle" : "", "parse-names" : false, "suffix" : "" } ], "container-title" : "Comparative Politics", "id" : "ITEM-1", "issue" : "4", "issued" : { "date-parts" : [ [ "1991" ] ] }, "page" : "479-495", "title" : "Review : New Wine or Old Bottlenecks ? The Study of Latin American Democracy", "type" : "article-journal", "volume" : "23" }, "uris" : [ "http://www.mendeley.com/documents/?uuid=05884576-8aa9-4e08-9766-8946c648b887" ] } ], "mendeley" : { "formattedCitation" : "(Remmer, 1991)", "manualFormatting" : "(Remmer 1991, p.482)", "plainTextFormattedCitation" : "(Remmer, 1991)", "previouslyFormattedCitation" : "(Remmer, 1991)" }, "properties" : { "noteIndex" : 0 }, "schema" : "https://github.com/citation-style-language/schema/raw/master/csl-citation.json" }</w:instrText>
      </w:r>
      <w:r w:rsidR="00B41AD1">
        <w:fldChar w:fldCharType="separate"/>
      </w:r>
      <w:r w:rsidR="00B41AD1" w:rsidRPr="00B41AD1">
        <w:rPr>
          <w:noProof/>
        </w:rPr>
        <w:t>(Remmer 1991</w:t>
      </w:r>
      <w:r w:rsidR="00B41AD1">
        <w:rPr>
          <w:noProof/>
        </w:rPr>
        <w:t>, p.482</w:t>
      </w:r>
      <w:r w:rsidR="00B41AD1" w:rsidRPr="00B41AD1">
        <w:rPr>
          <w:noProof/>
        </w:rPr>
        <w:t>)</w:t>
      </w:r>
      <w:r w:rsidR="00B41AD1">
        <w:fldChar w:fldCharType="end"/>
      </w:r>
      <w:r w:rsidR="00CF455B" w:rsidRPr="00930BF5">
        <w:t xml:space="preserve">. In a </w:t>
      </w:r>
      <w:r w:rsidR="00B41AD1">
        <w:t>similar</w:t>
      </w:r>
      <w:r w:rsidR="00CF455B" w:rsidRPr="00930BF5">
        <w:t xml:space="preserve"> critique, </w:t>
      </w:r>
      <w:r w:rsidR="00F62F46">
        <w:fldChar w:fldCharType="begin" w:fldLock="1"/>
      </w:r>
      <w:r w:rsidR="00E63CC6">
        <w:instrText>ADDIN CSL_CITATION { "citationItems" : [ { "id" : "ITEM-1", "itemData" : { "author" : [ { "dropping-particle" : "", "family" : "Levine", "given" : "Daniel H", "non-dropping-particle" : "", "parse-names" : false, "suffix" : "" } ], "container-title" : "World Politics", "id" : "ITEM-1", "issue" : "3", "issued" : { "date-parts" : [ [ "1988" ] ] }, "page" : "377-394", "title" : "Review Articles Paradign Lost : Dependence to Democracy", "type" : "article-journal", "volume" : "40" }, "uris" : [ "http://www.mendeley.com/documents/?uuid=7fa69279-5e5a-45d3-8750-645c908e745f" ] } ], "mendeley" : { "formattedCitation" : "(Levine, 1988)", "manualFormatting" : "Levine (1988)", "plainTextFormattedCitation" : "(Levine, 1988)", "previouslyFormattedCitation" : "(Levine, 1988)" }, "properties" : { "noteIndex" : 0 }, "schema" : "https://github.com/citation-style-language/schema/raw/master/csl-citation.json" }</w:instrText>
      </w:r>
      <w:r w:rsidR="00F62F46">
        <w:fldChar w:fldCharType="separate"/>
      </w:r>
      <w:r w:rsidR="00F62F46" w:rsidRPr="00F62F46">
        <w:rPr>
          <w:noProof/>
        </w:rPr>
        <w:t xml:space="preserve">Levine </w:t>
      </w:r>
      <w:r w:rsidR="00F62F46">
        <w:rPr>
          <w:noProof/>
        </w:rPr>
        <w:t>(</w:t>
      </w:r>
      <w:r w:rsidR="00F62F46" w:rsidRPr="00F62F46">
        <w:rPr>
          <w:noProof/>
        </w:rPr>
        <w:t>1988)</w:t>
      </w:r>
      <w:r w:rsidR="00F62F46">
        <w:fldChar w:fldCharType="end"/>
      </w:r>
      <w:r w:rsidR="00F62F46">
        <w:t xml:space="preserve"> argued</w:t>
      </w:r>
      <w:r w:rsidR="00CF455B" w:rsidRPr="00930BF5">
        <w:t xml:space="preserve"> that a focus on actors must be grounded within some overall democratic theory. If the nature of the democracy a country develops towards is not outlined, then there is potential to be left with an ‘empty set of concepts’ or a descriptive, rather than a</w:t>
      </w:r>
      <w:r w:rsidR="002815A8">
        <w:t>nalytical approach (Levine 1988, p.</w:t>
      </w:r>
      <w:r w:rsidR="00CF455B" w:rsidRPr="00930BF5">
        <w:t>385).</w:t>
      </w:r>
      <w:r w:rsidR="00CF455B">
        <w:t xml:space="preserve"> This led some to describe transitions studies as ‘a literature rich in description but relatively poor in testable hypotheses’ </w:t>
      </w:r>
      <w:r w:rsidR="00F62F46">
        <w:fldChar w:fldCharType="begin" w:fldLock="1"/>
      </w:r>
      <w:r w:rsidR="00E63CC6">
        <w:instrText>ADDIN CSL_CITATION { "citationItems" : [ { "id" : "ITEM-1", "itemData" : { "DOI" : "10.2307/2501122", "ISSN" : "0037-6779", "abstract" : "Critical comment on Schmitter and Karl; From the introduction: The collapse of state socialism in eastern Europe has led to a proliferation of studies analyzing ascpects of democratization throughout the region. Central to many of these studies (particularly those by none-specialists) is an assumption that postcommunism is but a variation on a larger theme, that is, recent transitions from authoritarian to democratic rule. In a recent issue of Slavic Review, Philippe C. Schmitter and Terry Lynn Karl provide a spirited defense of this assumption by arguing that democratization on eastern Europe can and should be compared with democratization in southern Europe an Latin America...", "author" : [ { "dropping-particle" : "", "family" : "Bunce", "given" : "Valerie", "non-dropping-particle" : "", "parse-names" : false, "suffix" : "" } ], "container-title" : "Slavic Review", "id" : "ITEM-1", "issue" : "1", "issued" : { "date-parts" : [ [ "1995" ] ] }, "page" : "111-127", "title" : "Should Transitologists Be Grounded?", "type" : "article-journal", "volume" : "54" }, "uris" : [ "http://www.mendeley.com/documents/?uuid=52ff00a7-0d6e-4420-bfa2-21a9c2117c54" ] } ], "mendeley" : { "formattedCitation" : "(Bunce, 1995b)", "manualFormatting" : "(Bunce 1995, p.122)", "plainTextFormattedCitation" : "(Bunce, 1995b)", "previouslyFormattedCitation" : "(Bunce, 1995b)" }, "properties" : { "noteIndex" : 0 }, "schema" : "https://github.com/citation-style-language/schema/raw/master/csl-citation.json" }</w:instrText>
      </w:r>
      <w:r w:rsidR="00F62F46">
        <w:fldChar w:fldCharType="separate"/>
      </w:r>
      <w:r w:rsidR="00F62F46" w:rsidRPr="00F62F46">
        <w:rPr>
          <w:noProof/>
        </w:rPr>
        <w:t>(Bunce 1995</w:t>
      </w:r>
      <w:r w:rsidR="00F62F46">
        <w:rPr>
          <w:noProof/>
        </w:rPr>
        <w:t>, p.122</w:t>
      </w:r>
      <w:r w:rsidR="00F62F46" w:rsidRPr="00F62F46">
        <w:rPr>
          <w:noProof/>
        </w:rPr>
        <w:t>)</w:t>
      </w:r>
      <w:r w:rsidR="00F62F46">
        <w:fldChar w:fldCharType="end"/>
      </w:r>
      <w:r w:rsidR="00CF455B">
        <w:t xml:space="preserve">. </w:t>
      </w:r>
      <w:r w:rsidR="00CF455B" w:rsidRPr="00930BF5">
        <w:t>Indeed, O’Donnell and Schmitter (1986) admit</w:t>
      </w:r>
      <w:r w:rsidR="00F62F46">
        <w:t>ted</w:t>
      </w:r>
      <w:r w:rsidR="00CF455B" w:rsidRPr="00930BF5">
        <w:t xml:space="preserve"> themselves that</w:t>
      </w:r>
      <w:r w:rsidR="009A21AB">
        <w:t xml:space="preserve"> the process which </w:t>
      </w:r>
      <w:r w:rsidR="00CF455B" w:rsidRPr="00930BF5">
        <w:t>tends to be analysed is change from authoritarian rule to</w:t>
      </w:r>
      <w:r w:rsidR="00B41AD1">
        <w:t xml:space="preserve"> an often unidentified</w:t>
      </w:r>
      <w:r w:rsidR="00CF455B" w:rsidRPr="00930BF5">
        <w:t xml:space="preserve"> ‘somethin</w:t>
      </w:r>
      <w:r w:rsidR="00F62F46">
        <w:t>g</w:t>
      </w:r>
      <w:r w:rsidR="002815A8">
        <w:t xml:space="preserve"> else’. Levine’s critique (1988, p.</w:t>
      </w:r>
      <w:r w:rsidR="00F62F46">
        <w:t>338) added</w:t>
      </w:r>
      <w:r w:rsidR="00CF455B" w:rsidRPr="00930BF5">
        <w:t xml:space="preserve"> that:</w:t>
      </w:r>
    </w:p>
    <w:p w14:paraId="7346CE83" w14:textId="2979D8B3" w:rsidR="00CF455B" w:rsidRPr="00930BF5" w:rsidRDefault="00CF455B" w:rsidP="00C62010">
      <w:pPr>
        <w:pStyle w:val="Quote"/>
      </w:pPr>
      <w:r w:rsidRPr="00930BF5">
        <w:t xml:space="preserve">“Leaders and </w:t>
      </w:r>
      <w:r w:rsidR="00212918" w:rsidRPr="00930BF5">
        <w:t>followers cannot</w:t>
      </w:r>
      <w:r w:rsidRPr="00930BF5">
        <w:t xml:space="preserve">  be examined  in  isolation,  but must  be grasped  through  the  construction  of  organized  social  and political  relationships,  and  through  the  day-to-day  struggle  whereby  issues  are  framed and  legitimating  arguments  advanced in concrete  societies  and social groups.”</w:t>
      </w:r>
    </w:p>
    <w:p w14:paraId="7E6D74CB" w14:textId="52500AF4" w:rsidR="00CF455B" w:rsidRDefault="00CF455B" w:rsidP="00C62010">
      <w:r w:rsidRPr="00930BF5">
        <w:t>By attempting to address the short-comings of modernization theory and focusing on micro</w:t>
      </w:r>
      <w:r w:rsidR="00212918">
        <w:t>-level developments, transitional</w:t>
      </w:r>
      <w:r w:rsidRPr="00930BF5">
        <w:t xml:space="preserve"> studies were susceptible to neglecting the strengths of such an approach, assigning individual agents and elites too much power, and underestimating structural considerations. </w:t>
      </w:r>
      <w:r w:rsidR="00F62F46">
        <w:t>As Bunce (1995, p.</w:t>
      </w:r>
      <w:r>
        <w:t>124) put it, in a strong critique of ‘transitology’:</w:t>
      </w:r>
    </w:p>
    <w:p w14:paraId="48267DAA" w14:textId="77777777" w:rsidR="00CF455B" w:rsidRPr="00DD3A17" w:rsidRDefault="00CF455B" w:rsidP="00C62010">
      <w:pPr>
        <w:pStyle w:val="Quote"/>
      </w:pPr>
      <w:r w:rsidRPr="00DD3A17">
        <w:t xml:space="preserve">“…one has to wonder whether, in focusing so heavily on the machinations of elites, transitologists have not committed the very transgression they have lamented in the work of area scholars: the preference for a particularistic and voluntaristic understanding of social reality over one which is more general and structural.”  </w:t>
      </w:r>
    </w:p>
    <w:p w14:paraId="07AFCE95" w14:textId="1ADD78A5" w:rsidR="00CF455B" w:rsidRDefault="00CF455B" w:rsidP="00C62010">
      <w:r>
        <w:t xml:space="preserve">Here, area studies referred to literature with a specialised focus on a particular place, an approach sometimes deemed to be more descriptive than analytical, and without a focus on the generalization and empirical comparisons favoured by scholars in other academic disciplines that examine democratization </w:t>
      </w:r>
      <w:r w:rsidR="00F62F46">
        <w:fldChar w:fldCharType="begin" w:fldLock="1"/>
      </w:r>
      <w:r w:rsidR="00E63CC6">
        <w:instrText>ADDIN CSL_CITATION { "citationItems" : [ { "id" : "ITEM-1", "itemData" : { "DOI" : "10.2307/2500331", "ISBN" : "00376779", "ISSN" : "00376779", "abstract" : "P. 175: difference between transition and consolidation. The authors make the hunch that the different world regions affected by the 3. wave of democratisation should be compared with each other. This is the starting article of a series of discussions with Valerie Bunce about the viability of inter-regional comparisons. P. 173: \"embryonic subdisciplines\"", "author" : [ { "dropping-particle" : "", "family" : "Schmitter", "given" : "Philippe C", "non-dropping-particle" : "", "parse-names" : false, "suffix" : "" }, { "dropping-particle" : "", "family" : "Karl", "given" : "Terry Lynn", "non-dropping-particle" : "", "parse-names" : false, "suffix" : "" } ], "container-title" : "Slavic Review", "id" : "ITEM-1", "issue" : "1", "issued" : { "date-parts" : [ [ "1994" ] ] }, "page" : "173-185", "title" : "The Conceptual Travels of Transitologists and Consolidologists: How Far to the East Should They Attempt to Go?", "type" : "article-journal", "volume" : "53" }, "uris" : [ "http://www.mendeley.com/documents/?uuid=6a934620-7bb0-449e-93e4-257769de311e" ] } ], "mendeley" : { "formattedCitation" : "(Schmitter and Karl, 1994)", "manualFormatting" : "(see Schmitter &amp; Karl 1994)", "plainTextFormattedCitation" : "(Schmitter and Karl, 1994)", "previouslyFormattedCitation" : "(Schmitter and Karl, 1994)" }, "properties" : { "noteIndex" : 0 }, "schema" : "https://github.com/citation-style-language/schema/raw/master/csl-citation.json" }</w:instrText>
      </w:r>
      <w:r w:rsidR="00F62F46">
        <w:fldChar w:fldCharType="separate"/>
      </w:r>
      <w:r w:rsidR="00F62F46" w:rsidRPr="00F62F46">
        <w:rPr>
          <w:noProof/>
        </w:rPr>
        <w:t>(</w:t>
      </w:r>
      <w:r w:rsidR="00F62F46">
        <w:rPr>
          <w:noProof/>
        </w:rPr>
        <w:t xml:space="preserve">see </w:t>
      </w:r>
      <w:r w:rsidR="00F62F46" w:rsidRPr="00F62F46">
        <w:rPr>
          <w:noProof/>
        </w:rPr>
        <w:t>Schmitter &amp; Karl 1994)</w:t>
      </w:r>
      <w:r w:rsidR="00F62F46">
        <w:fldChar w:fldCharType="end"/>
      </w:r>
      <w:r>
        <w:t>. Much critique towards transition studies stemmed from the</w:t>
      </w:r>
      <w:r w:rsidR="00F62F46">
        <w:t xml:space="preserve"> collapse of the USSR, and the</w:t>
      </w:r>
      <w:r>
        <w:t xml:space="preserve"> attempt</w:t>
      </w:r>
      <w:r w:rsidR="00F62F46">
        <w:t xml:space="preserve"> of scholars</w:t>
      </w:r>
      <w:r>
        <w:t xml:space="preserve"> to study events in Eastern Europe using approaches developed in the analysis of Latin America and Southern Europe. The focus on elites then led to an overlooking of citizens once again, as they had been seen as ‘demobilized’ during regime changes and democratization in Latin America and Southern Europe</w:t>
      </w:r>
      <w:r w:rsidR="00341E96">
        <w:t>.</w:t>
      </w:r>
      <w:r>
        <w:t xml:space="preserve"> </w:t>
      </w:r>
      <w:r w:rsidR="00341E96">
        <w:t>Y</w:t>
      </w:r>
      <w:r>
        <w:t>et they were central to the revolutions in Eastern Europe</w:t>
      </w:r>
      <w:r w:rsidR="00F62F46">
        <w:t xml:space="preserve"> </w:t>
      </w:r>
      <w:r w:rsidR="00F62F46">
        <w:fldChar w:fldCharType="begin" w:fldLock="1"/>
      </w:r>
      <w:r w:rsidR="00E63CC6">
        <w:instrText>ADDIN CSL_CITATION { "citationItems" : [ { "id" : "ITEM-1", "itemData" : { "author" : [ { "dropping-particle" : "", "family" : "Bunce", "given" : "Valerie", "non-dropping-particle" : "", "parse-names" : false, "suffix" : "" } ], "container-title" : "Journal of Democracy", "id" : "ITEM-1", "issue" : "3", "issued" : { "date-parts" : [ [ "1995" ] ] }, "page" : "87-100", "title" : "Comparing East and South", "type" : "article-journal", "volume" : "6" }, "uris" : [ "http://www.mendeley.com/documents/?uuid=c57e8dce-3088-4f13-b358-0510031d3acf" ] } ], "mendeley" : { "formattedCitation" : "(Bunce, 1995a)", "plainTextFormattedCitation" : "(Bunce, 1995a)", "previouslyFormattedCitation" : "(Bunce, 1995a)" }, "properties" : { "noteIndex" : 0 }, "schema" : "https://github.com/citation-style-language/schema/raw/master/csl-citation.json" }</w:instrText>
      </w:r>
      <w:r w:rsidR="00F62F46">
        <w:fldChar w:fldCharType="separate"/>
      </w:r>
      <w:r w:rsidR="00E63CC6" w:rsidRPr="00E63CC6">
        <w:rPr>
          <w:noProof/>
        </w:rPr>
        <w:t>(Bunce, 1995a)</w:t>
      </w:r>
      <w:r w:rsidR="00F62F46">
        <w:fldChar w:fldCharType="end"/>
      </w:r>
      <w:r>
        <w:t xml:space="preserve">. </w:t>
      </w:r>
    </w:p>
    <w:p w14:paraId="7E94EC36" w14:textId="15A17FC5" w:rsidR="00CF455B" w:rsidRPr="00930BF5" w:rsidRDefault="00CF455B" w:rsidP="00C62010">
      <w:r>
        <w:t xml:space="preserve">This critique of transitological approaches was never truly resolved. However, as </w:t>
      </w:r>
      <w:r w:rsidR="00341E96">
        <w:t xml:space="preserve">the </w:t>
      </w:r>
      <w:r>
        <w:t xml:space="preserve">collapse of the USSR took many by surprise, in particular its timing and speed, in the rush to catch up there followed another shift in the academic literature on democratization, this time towards the process of what become called ‘consolidation’ (with some naming themselves consolidologists), that is, how democratic regimes </w:t>
      </w:r>
      <w:r w:rsidRPr="006042B5">
        <w:rPr>
          <w:i/>
        </w:rPr>
        <w:t>survived</w:t>
      </w:r>
      <w:r>
        <w:t>.</w:t>
      </w:r>
    </w:p>
    <w:p w14:paraId="3236DBC3" w14:textId="77777777" w:rsidR="00CF455B" w:rsidRPr="00930BF5" w:rsidRDefault="00CF455B" w:rsidP="00E223A2">
      <w:pPr>
        <w:pStyle w:val="Heading4"/>
      </w:pPr>
      <w:bookmarkStart w:id="61" w:name="_Toc441069172"/>
      <w:r w:rsidRPr="00930BF5">
        <w:t>Converging Perspectives: Consolidation and Post-Modernization</w:t>
      </w:r>
      <w:bookmarkEnd w:id="61"/>
    </w:p>
    <w:p w14:paraId="7D99A353" w14:textId="310F2744" w:rsidR="00CF455B" w:rsidRPr="00930BF5" w:rsidRDefault="00CF455B" w:rsidP="00C62010">
      <w:r w:rsidRPr="00930BF5">
        <w:t>Starting in South America in the early 1980s and followed by the collapse of the Soviet Union and subsequent end of the Cold War, the third wave of democratization was by far the biggest in history. Such dramatic change brought about widespread optimism for the future of democracy and the idea of a new world order. A natural endpoint for the trail of theories outlined so far lies in the consolidation literature, which focuses on how systems stabilize and protect themselves over time. Although predominantly occupied with examining how democracies establish themselves, consolidation studies have also examined how autocracies manage to retain power and stay in existence for as long as possible</w:t>
      </w:r>
      <w:r w:rsidR="00F62F46">
        <w:t xml:space="preserve"> </w:t>
      </w:r>
      <w:r w:rsidR="00F62F46">
        <w:fldChar w:fldCharType="begin" w:fldLock="1"/>
      </w:r>
      <w:r w:rsidR="00E63CC6">
        <w:instrText>ADDIN CSL_CITATION { "citationItems" : [ { "id" : "ITEM-1", "itemData" : { "author" : [ { "dropping-particle" : "", "family" : "Besley", "given" : "Timothy", "non-dropping-particle" : "", "parse-names" : false, "suffix" : "" }, { "dropping-particle" : "", "family" : "Kudamatsu", "given" : "Masayuki", "non-dropping-particle" : "", "parse-names" : false, "suffix" : "" } ], "container-title" : "Development Economics Discussion Paper Series", "id" : "ITEM-1", "issue" : "May", "issued" : { "date-parts" : [ [ "2007" ] ] }, "page" : "1-75", "title" : "Making Autocracy Work", "type" : "article-journal", "volume" : "48" }, "uris" : [ "http://www.mendeley.com/documents/?uuid=75d3b267-2201-4dd3-8161-b0b3ebc02d0e" ] } ], "mendeley" : { "formattedCitation" : "(Besley and Kudamatsu, 2007)", "plainTextFormattedCitation" : "(Besley and Kudamatsu, 2007)", "previouslyFormattedCitation" : "(Besley and Kudamatsu, 2007)" }, "properties" : { "noteIndex" : 0 }, "schema" : "https://github.com/citation-style-language/schema/raw/master/csl-citation.json" }</w:instrText>
      </w:r>
      <w:r w:rsidR="00F62F46">
        <w:fldChar w:fldCharType="separate"/>
      </w:r>
      <w:r w:rsidR="00E63CC6" w:rsidRPr="00E63CC6">
        <w:rPr>
          <w:noProof/>
        </w:rPr>
        <w:t>(Besley and Kudamatsu, 2007)</w:t>
      </w:r>
      <w:r w:rsidR="00F62F46">
        <w:fldChar w:fldCharType="end"/>
      </w:r>
      <w:r w:rsidRPr="00930BF5">
        <w:t xml:space="preserve">. </w:t>
      </w:r>
    </w:p>
    <w:p w14:paraId="0A1B9F0B" w14:textId="56A8493A" w:rsidR="00CF455B" w:rsidRPr="00930BF5" w:rsidRDefault="00CF455B" w:rsidP="00C62010">
      <w:r>
        <w:t xml:space="preserve">In her overview on the development </w:t>
      </w:r>
      <w:r w:rsidR="00341E96">
        <w:t xml:space="preserve">of </w:t>
      </w:r>
      <w:r>
        <w:t xml:space="preserve">democratization studies, </w:t>
      </w:r>
      <w:r w:rsidR="00F62F46">
        <w:fldChar w:fldCharType="begin" w:fldLock="1"/>
      </w:r>
      <w:r w:rsidR="00E63CC6">
        <w:instrText>ADDIN CSL_CITATION { "citationItems" : [ { "id" : "ITEM-1", "itemData" : { "author" : [ { "dropping-particle" : "", "family" : "Grugel", "given" : "J", "non-dropping-particle" : "", "parse-names" : false, "suffix" : "" } ], "container-title" : "Government and Opposition", "id" : "ITEM-1", "issue" : "2", "issued" : { "date-parts" : [ [ "2003" ] ] }, "page" : "238-264", "title" : "Democratization Studies: Citizenship, Globalization and Governance", "type" : "article-journal", "volume" : "38" }, "uris" : [ "http://www.mendeley.com/documents/?uuid=7cbcb31e-51f8-4a98-bb79-4b21a924a330" ] } ], "mendeley" : { "formattedCitation" : "(Grugel, 2003)", "manualFormatting" : "Grugel (2003, p.242-243)", "plainTextFormattedCitation" : "(Grugel, 2003)", "previouslyFormattedCitation" : "(Grugel, 2003)" }, "properties" : { "noteIndex" : 0 }, "schema" : "https://github.com/citation-style-language/schema/raw/master/csl-citation.json" }</w:instrText>
      </w:r>
      <w:r w:rsidR="00F62F46">
        <w:fldChar w:fldCharType="separate"/>
      </w:r>
      <w:r w:rsidR="00F62F46" w:rsidRPr="00F62F46">
        <w:rPr>
          <w:noProof/>
        </w:rPr>
        <w:t xml:space="preserve">Grugel </w:t>
      </w:r>
      <w:r w:rsidR="00F62F46">
        <w:rPr>
          <w:noProof/>
        </w:rPr>
        <w:t>(</w:t>
      </w:r>
      <w:r w:rsidR="00F62F46" w:rsidRPr="00F62F46">
        <w:rPr>
          <w:noProof/>
        </w:rPr>
        <w:t>2003</w:t>
      </w:r>
      <w:r w:rsidR="00F62F46">
        <w:rPr>
          <w:noProof/>
        </w:rPr>
        <w:t>, p.242-243</w:t>
      </w:r>
      <w:r w:rsidR="00F62F46" w:rsidRPr="00F62F46">
        <w:rPr>
          <w:noProof/>
        </w:rPr>
        <w:t>)</w:t>
      </w:r>
      <w:r w:rsidR="00F62F46">
        <w:fldChar w:fldCharType="end"/>
      </w:r>
      <w:r w:rsidR="00F62F46">
        <w:t xml:space="preserve"> pointed</w:t>
      </w:r>
      <w:r>
        <w:t xml:space="preserve"> to the importance of scholars such as Przeworski, and the way they </w:t>
      </w:r>
      <w:r w:rsidRPr="00930BF5">
        <w:t>‘opened a dialogue with modernization’ arguing that economic growth is beneficial to th</w:t>
      </w:r>
      <w:r w:rsidR="00F62F46">
        <w:t>e consolidation of democracies</w:t>
      </w:r>
      <w:r w:rsidRPr="00930BF5">
        <w:t xml:space="preserve">. Przeworski </w:t>
      </w:r>
      <w:r w:rsidR="00F62F46">
        <w:fldChar w:fldCharType="begin" w:fldLock="1"/>
      </w:r>
      <w:r w:rsidR="00E63CC6">
        <w:instrText>ADDIN CSL_CITATION { "citationItems" : [ { "id" : "ITEM-1", "itemData" : { "DOI" : "10.1007/s11127-005-7163-4", "ISSN" : "0048-5829", "author" : [ { "dropping-particle" : "", "family" : "Przeworski", "given" : "Adam", "non-dropping-particle" : "", "parse-names" : false, "suffix" : "" } ], "container-title" : "Public Choice", "id" : "ITEM-1", "issue" : "3-4", "issued" : { "date-parts" : [ [ "2005", "6" ] ] }, "page" : "253-273", "title" : "Democracy as an equilibrium", "type" : "article-journal", "volume" : "123" }, "uris" : [ "http://www.mendeley.com/documents/?uuid=600ab424-2a23-4a39-870d-fa4703b1bcdb" ] } ], "mendeley" : { "formattedCitation" : "(Przeworski, 2005)", "manualFormatting" : "(2005, p.253)", "plainTextFormattedCitation" : "(Przeworski, 2005)", "previouslyFormattedCitation" : "(Przeworski, 2005)" }, "properties" : { "noteIndex" : 0 }, "schema" : "https://github.com/citation-style-language/schema/raw/master/csl-citation.json" }</w:instrText>
      </w:r>
      <w:r w:rsidR="00F62F46">
        <w:fldChar w:fldCharType="separate"/>
      </w:r>
      <w:r w:rsidR="00F62F46" w:rsidRPr="00F62F46">
        <w:rPr>
          <w:noProof/>
        </w:rPr>
        <w:t>(2005</w:t>
      </w:r>
      <w:r w:rsidR="00F62F46">
        <w:rPr>
          <w:noProof/>
        </w:rPr>
        <w:t>, p.253</w:t>
      </w:r>
      <w:r w:rsidR="00F62F46" w:rsidRPr="00F62F46">
        <w:rPr>
          <w:noProof/>
        </w:rPr>
        <w:t>)</w:t>
      </w:r>
      <w:r w:rsidR="00F62F46">
        <w:fldChar w:fldCharType="end"/>
      </w:r>
      <w:r w:rsidR="00F62F46">
        <w:t xml:space="preserve"> has himself insisted</w:t>
      </w:r>
      <w:r w:rsidRPr="00930BF5">
        <w:t xml:space="preserve"> that democracies with a per capita annual income higher than $6055 (</w:t>
      </w:r>
      <w:r>
        <w:t xml:space="preserve">which matches that of </w:t>
      </w:r>
      <w:r w:rsidRPr="00930BF5">
        <w:t>Argentina in 1997) ar</w:t>
      </w:r>
      <w:r w:rsidR="00F62F46">
        <w:t>e impregnable. Przeworksi (2005, p.</w:t>
      </w:r>
      <w:r w:rsidRPr="00930BF5">
        <w:t xml:space="preserve">254) also purposefully </w:t>
      </w:r>
      <w:r w:rsidR="00F62F46">
        <w:t>circumvented</w:t>
      </w:r>
      <w:r w:rsidR="00341E96" w:rsidRPr="00930BF5">
        <w:t xml:space="preserve"> </w:t>
      </w:r>
      <w:r w:rsidRPr="00930BF5">
        <w:t>the difficulties experienced by those studying transitions by keeping his analysis focused on a more straightforward issue:</w:t>
      </w:r>
    </w:p>
    <w:p w14:paraId="60B10E15" w14:textId="77777777" w:rsidR="00CF455B" w:rsidRPr="007F0EAD" w:rsidRDefault="00CF455B" w:rsidP="00C62010">
      <w:pPr>
        <w:pStyle w:val="Quote"/>
      </w:pPr>
      <w:r w:rsidRPr="007F0EAD">
        <w:t>“Note that I say nothing about the mechanisms that give rise to democracy – I believe that we do not know enough to model them – but only ask what makes democracies survive once they are established.”</w:t>
      </w:r>
    </w:p>
    <w:p w14:paraId="03763877" w14:textId="21B5D923" w:rsidR="00CF455B" w:rsidRPr="00930BF5" w:rsidRDefault="000D2F92" w:rsidP="00C62010">
      <w:r>
        <w:t>T</w:t>
      </w:r>
      <w:r w:rsidR="00CF455B" w:rsidRPr="00930BF5">
        <w:t>he crux of consolidation studies is</w:t>
      </w:r>
      <w:r>
        <w:t xml:space="preserve"> therefore</w:t>
      </w:r>
      <w:r w:rsidR="00CF455B" w:rsidRPr="00930BF5">
        <w:t xml:space="preserve"> simple: </w:t>
      </w:r>
      <w:r w:rsidR="00CF455B" w:rsidRPr="00930BF5">
        <w:rPr>
          <w:i/>
          <w:iCs/>
        </w:rPr>
        <w:t>regime survival</w:t>
      </w:r>
      <w:r w:rsidR="00CF455B" w:rsidRPr="00930BF5">
        <w:t xml:space="preserve">. Beyond references to economic baselines and political institutionalism, consolidation studies also integrate the role of civil society. </w:t>
      </w:r>
      <w:r w:rsidR="00F62F46">
        <w:t>Grugel (2003, p.243) pointed</w:t>
      </w:r>
      <w:r w:rsidR="00CF455B">
        <w:t xml:space="preserve"> to the work of Larry </w:t>
      </w:r>
      <w:r w:rsidR="00CF455B" w:rsidRPr="00930BF5">
        <w:t>Diamond</w:t>
      </w:r>
      <w:r w:rsidR="00CF455B">
        <w:t>, noting that he</w:t>
      </w:r>
      <w:r w:rsidR="00CF455B" w:rsidRPr="00930BF5">
        <w:t xml:space="preserve"> </w:t>
      </w:r>
      <w:r w:rsidR="00CF455B">
        <w:t>“</w:t>
      </w:r>
      <w:r w:rsidR="00CF455B" w:rsidRPr="00930BF5">
        <w:t>pulls together an emphasis on the role of culture and capitalism with a conservative assumption that it is primarily the b</w:t>
      </w:r>
      <w:r w:rsidR="00CF455B">
        <w:t>ehaviour of elites that matter”</w:t>
      </w:r>
      <w:r w:rsidR="00CF455B" w:rsidRPr="00930BF5">
        <w:t xml:space="preserve">. </w:t>
      </w:r>
      <w:r w:rsidR="00CF455B">
        <w:t xml:space="preserve">Diamond </w:t>
      </w:r>
      <w:r w:rsidR="00F62F46">
        <w:fldChar w:fldCharType="begin" w:fldLock="1"/>
      </w:r>
      <w:r w:rsidR="00E63CC6">
        <w:instrText>ADDIN CSL_CITATION { "citationItems" : [ { "id" : "ITEM-1", "itemData" : { "author" : [ { "dropping-particle" : "", "family" : "Diamond", "given" : "L.", "non-dropping-particle" : "", "parse-names" : false, "suffix" : "" } ], "id" : "ITEM-1", "issued" : { "date-parts" : [ [ "1999" ] ] }, "publisher" : "John Hopkins University Press", "publisher-place" : "Baltimore", "title" : "Developing Democracy: Toward Consolidation", "type" : "book" }, "uris" : [ "http://www.mendeley.com/documents/?uuid=1992403d-171a-492b-bf27-199ac84abfad" ] } ], "mendeley" : { "formattedCitation" : "(Diamond, 1999)", "manualFormatting" : "(1999, p.65)", "plainTextFormattedCitation" : "(Diamond, 1999)", "previouslyFormattedCitation" : "(Diamond, 1999)" }, "properties" : { "noteIndex" : 0 }, "schema" : "https://github.com/citation-style-language/schema/raw/master/csl-citation.json" }</w:instrText>
      </w:r>
      <w:r w:rsidR="00F62F46">
        <w:fldChar w:fldCharType="separate"/>
      </w:r>
      <w:r w:rsidR="00F62F46" w:rsidRPr="00F62F46">
        <w:rPr>
          <w:noProof/>
        </w:rPr>
        <w:t>(1999</w:t>
      </w:r>
      <w:r w:rsidR="00F62F46">
        <w:rPr>
          <w:noProof/>
        </w:rPr>
        <w:t>, p.65</w:t>
      </w:r>
      <w:r w:rsidR="00F62F46" w:rsidRPr="00F62F46">
        <w:rPr>
          <w:noProof/>
        </w:rPr>
        <w:t>)</w:t>
      </w:r>
      <w:r w:rsidR="00F62F46">
        <w:fldChar w:fldCharType="end"/>
      </w:r>
      <w:r w:rsidR="00CF455B" w:rsidRPr="00930BF5">
        <w:t xml:space="preserve"> uses the notion of the ‘only game in town’ as his benchmark: </w:t>
      </w:r>
    </w:p>
    <w:p w14:paraId="6960D1DE" w14:textId="77777777" w:rsidR="00CF455B" w:rsidRPr="00930BF5" w:rsidRDefault="00CF455B" w:rsidP="00C62010">
      <w:pPr>
        <w:pStyle w:val="Quote"/>
      </w:pPr>
      <w:r w:rsidRPr="007F0EAD">
        <w:t>“…consolidation is most usefully construed as the process of achieving broad and deep legitimation, such that all significant political actors, at both the elite and mass levels, believe that the democratic regime is the most right and appropriate for their society, better than any other realistic alternative they can imagine.”</w:t>
      </w:r>
      <w:r w:rsidRPr="00930BF5">
        <w:t xml:space="preserve"> </w:t>
      </w:r>
    </w:p>
    <w:p w14:paraId="42602B08" w14:textId="6754EAAC" w:rsidR="00CF455B" w:rsidRPr="00930BF5" w:rsidRDefault="00CF455B" w:rsidP="00C62010">
      <w:r w:rsidRPr="00930BF5">
        <w:t>It is perhaps not surprising that after such upheaval and changes of government across the world the focus of theory moved towards how a democratic regime might go on to survive. However, just as the undertow of the second reverse wave prompted unsubstantiated negativity, the unprecedented scale of the third wave may have over-egged some of the assessments being made</w:t>
      </w:r>
      <w:r w:rsidR="00E845F8">
        <w:t xml:space="preserve"> </w:t>
      </w:r>
      <w:r w:rsidR="00E845F8">
        <w:fldChar w:fldCharType="begin" w:fldLock="1"/>
      </w:r>
      <w:r w:rsidR="00E63CC6">
        <w:instrText>ADDIN CSL_CITATION { "citationItems" : [ { "id" : "ITEM-1", "itemData" : { "author" : [ { "dropping-particle" : "", "family" : "Fukuyama", "given" : "F", "non-dropping-particle" : "", "parse-names" : false, "suffix" : "" } ], "id" : "ITEM-1", "issued" : { "date-parts" : [ [ "1992" ] ] }, "publisher" : "Hamish Hamilton", "publisher-place" : "London", "title" : "The End of History and the Last Man", "type" : "book" }, "uris" : [ "http://www.mendeley.com/documents/?uuid=c82efe32-6b4e-4950-b2c0-3fcbc9418f06" ] } ], "mendeley" : { "formattedCitation" : "(Fukuyama, 1992)", "manualFormatting" : "(see Fukuyama 1992)", "plainTextFormattedCitation" : "(Fukuyama, 1992)", "previouslyFormattedCitation" : "(Fukuyama, 1992)" }, "properties" : { "noteIndex" : 0 }, "schema" : "https://github.com/citation-style-language/schema/raw/master/csl-citation.json" }</w:instrText>
      </w:r>
      <w:r w:rsidR="00E845F8">
        <w:fldChar w:fldCharType="separate"/>
      </w:r>
      <w:r w:rsidR="00E845F8" w:rsidRPr="00E845F8">
        <w:rPr>
          <w:noProof/>
        </w:rPr>
        <w:t>(</w:t>
      </w:r>
      <w:r w:rsidR="00E845F8">
        <w:rPr>
          <w:noProof/>
        </w:rPr>
        <w:t xml:space="preserve">see </w:t>
      </w:r>
      <w:r w:rsidR="00E845F8" w:rsidRPr="00E845F8">
        <w:rPr>
          <w:noProof/>
        </w:rPr>
        <w:t>Fukuyama 1992)</w:t>
      </w:r>
      <w:r w:rsidR="00E845F8">
        <w:fldChar w:fldCharType="end"/>
      </w:r>
      <w:r w:rsidR="00E845F8">
        <w:t>. F</w:t>
      </w:r>
      <w:r w:rsidRPr="00930BF5">
        <w:t>or the year 1995 Diamond (1999) classified 117 out of 191 countries in the world as electoral democra</w:t>
      </w:r>
      <w:r w:rsidR="00F62F46">
        <w:t xml:space="preserve">cies. As Merkel pointed </w:t>
      </w:r>
      <w:r w:rsidR="002815A8">
        <w:fldChar w:fldCharType="begin" w:fldLock="1"/>
      </w:r>
      <w:r w:rsidR="00E63CC6">
        <w:instrText>ADDIN CSL_CITATION { "citationItems" : [ { "id" : "ITEM-1", "itemData" : { "DOI" : "10.1080/13569771003593839", "ISBN" : "1356977100359", "ISSN" : "1356-9775", "author" : [ { "dropping-particle" : "", "family" : "Merkel", "given" : "Wolfgang", "non-dropping-particle" : "", "parse-names" : false, "suffix" : "" } ], "container-title" : "Contemporary Politics", "id" : "ITEM-1", "issue" : "1", "issued" : { "date-parts" : [ [ "2010", "3" ] ] }, "page" : "17-31", "title" : "Are dictatorships returning? Revisiting the \u2018democratic rollback\u2019 hypothesis", "type" : "article-journal", "volume" : "16" }, "uris" : [ "http://www.mendeley.com/documents/?uuid=16ed933e-640f-436e-89a9-5730d5bb1392" ] } ], "mendeley" : { "formattedCitation" : "(Merkel, 2010)", "manualFormatting" : "(2010, p.19)", "plainTextFormattedCitation" : "(Merkel, 2010)", "previouslyFormattedCitation" : "(Merkel, 2010)" }, "properties" : { "noteIndex" : 0 }, "schema" : "https://github.com/citation-style-language/schema/raw/master/csl-citation.json" }</w:instrText>
      </w:r>
      <w:r w:rsidR="002815A8">
        <w:fldChar w:fldCharType="separate"/>
      </w:r>
      <w:r w:rsidR="002815A8" w:rsidRPr="002815A8">
        <w:rPr>
          <w:noProof/>
        </w:rPr>
        <w:t>(2010</w:t>
      </w:r>
      <w:r w:rsidR="002815A8">
        <w:rPr>
          <w:noProof/>
        </w:rPr>
        <w:t>, p.19</w:t>
      </w:r>
      <w:r w:rsidR="002815A8" w:rsidRPr="002815A8">
        <w:rPr>
          <w:noProof/>
        </w:rPr>
        <w:t>)</w:t>
      </w:r>
      <w:r w:rsidR="002815A8">
        <w:fldChar w:fldCharType="end"/>
      </w:r>
      <w:r w:rsidRPr="00930BF5">
        <w:t xml:space="preserve"> out: </w:t>
      </w:r>
    </w:p>
    <w:p w14:paraId="7E5FB5A2" w14:textId="77777777" w:rsidR="00CF455B" w:rsidRPr="003D3032" w:rsidRDefault="00CF455B" w:rsidP="00C62010">
      <w:pPr>
        <w:pStyle w:val="Quote"/>
      </w:pPr>
      <w:r w:rsidRPr="003D3032">
        <w:t>“[Diamond’s] list included Yeltsin’s oligarchic kleptocracy, the corrupt regime in Georgia at the beginning of the 1990s, the by no means transformed Belarus, the crony system in the Philippines, the anarchy of Bangladesh, and Sierra Leone shaken as it was by the throes of civil war, along with Finland, Sweden, Switzerland, and Great Britain. Even a mildly critical glance suffices to show that there was a substantial difference between the logic of political rule in the first group of countries and the regime logic in the second group of established democracies.”</w:t>
      </w:r>
    </w:p>
    <w:p w14:paraId="38C7FEFD" w14:textId="77777777" w:rsidR="00CF455B" w:rsidRPr="00C62010" w:rsidRDefault="00CF455B" w:rsidP="00C62010">
      <w:pPr>
        <w:rPr>
          <w:rStyle w:val="IntenseEmphasis"/>
          <w:b w:val="0"/>
        </w:rPr>
      </w:pPr>
      <w:r w:rsidRPr="00C62010">
        <w:rPr>
          <w:rStyle w:val="IntenseEmphasis"/>
          <w:b w:val="0"/>
        </w:rPr>
        <w:t>Such an assessment highlights the importance of whether a ‘thin’ or ‘thick’ understanding of democracy is being utilised, as it can clearly lead to different conclusion on the state of democracy in the world.</w:t>
      </w:r>
    </w:p>
    <w:p w14:paraId="6B8E028E" w14:textId="098B5C09" w:rsidR="00CF455B" w:rsidRPr="00C62010" w:rsidRDefault="00CF455B" w:rsidP="00C62010">
      <w:pPr>
        <w:rPr>
          <w:rStyle w:val="IntenseEmphasis"/>
          <w:b w:val="0"/>
        </w:rPr>
      </w:pPr>
      <w:r w:rsidRPr="00C62010">
        <w:rPr>
          <w:rStyle w:val="IntenseEmphasis"/>
          <w:b w:val="0"/>
        </w:rPr>
        <w:t>And in fact, this type of optimist</w:t>
      </w:r>
      <w:r w:rsidR="002C2B90">
        <w:rPr>
          <w:rStyle w:val="IntenseEmphasis"/>
          <w:b w:val="0"/>
        </w:rPr>
        <w:t>ic</w:t>
      </w:r>
      <w:r w:rsidRPr="00C62010">
        <w:rPr>
          <w:rStyle w:val="IntenseEmphasis"/>
          <w:b w:val="0"/>
        </w:rPr>
        <w:t xml:space="preserve"> assessment was rather short-lived. Back during democracy’s ‘crisis’ i</w:t>
      </w:r>
      <w:r w:rsidR="00F62F46">
        <w:rPr>
          <w:rStyle w:val="IntenseEmphasis"/>
          <w:b w:val="0"/>
        </w:rPr>
        <w:t xml:space="preserve">n the 1970s Crozier </w:t>
      </w:r>
      <w:r w:rsidR="00803848">
        <w:rPr>
          <w:rStyle w:val="IntenseEmphasis"/>
          <w:b w:val="0"/>
        </w:rPr>
        <w:t>et al</w:t>
      </w:r>
      <w:r w:rsidR="00F62F46">
        <w:rPr>
          <w:rStyle w:val="IntenseEmphasis"/>
          <w:b w:val="0"/>
        </w:rPr>
        <w:t xml:space="preserve"> (1975, p.</w:t>
      </w:r>
      <w:r w:rsidRPr="00C62010">
        <w:rPr>
          <w:rStyle w:val="IntenseEmphasis"/>
          <w:b w:val="0"/>
        </w:rPr>
        <w:t>160) declared that there also seemed to be a, “dissipation of religion, the withering away of nationalism, the decline—if not the end—of class-based ideology.” In the 1990s and early 2000s this statement was severely undermined. Ethno-nationalist politics led to genocide in Yugoslavia whilst the 9/11 attacks on New York highlighted a seemingly global form of terrorism underpinned by Islamic fundamentalism. The order was turning to disorder. In terms of democratic developments, by the 2000s there was clear deterioration of democratic practices in Russia, Georgia, Ukraine, Belarus, Venezuela, Bolivia and Thailand. A decade after his optimistic list of democracies, Diamond</w:t>
      </w:r>
      <w:r w:rsidR="00F62F46">
        <w:rPr>
          <w:rStyle w:val="IntenseEmphasis"/>
          <w:b w:val="0"/>
        </w:rPr>
        <w:t xml:space="preserve"> </w:t>
      </w:r>
      <w:r w:rsidR="00F62F46">
        <w:rPr>
          <w:rStyle w:val="IntenseEmphasis"/>
          <w:b w:val="0"/>
        </w:rPr>
        <w:fldChar w:fldCharType="begin" w:fldLock="1"/>
      </w:r>
      <w:r w:rsidR="00E63CC6">
        <w:rPr>
          <w:rStyle w:val="IntenseEmphasis"/>
          <w:b w:val="0"/>
        </w:rPr>
        <w:instrText>ADDIN CSL_CITATION { "citationItems" : [ { "id" : "ITEM-1", "itemData" : { "author" : [ { "dropping-particle" : "", "family" : "Diamond", "given" : "Larry", "non-dropping-particle" : "", "parse-names" : false, "suffix" : "" } ], "container-title" : "Foreign Affairs", "id" : "ITEM-1", "issue" : "2", "issued" : { "date-parts" : [ [ "2008" ] ] }, "page" : "36-48", "title" : "The Democratic Rollback", "type" : "article-journal", "volume" : "87" }, "uris" : [ "http://www.mendeley.com/documents/?uuid=6cf74acd-263b-405d-ab3a-748da98392f6" ] } ], "mendeley" : { "formattedCitation" : "(Diamond, 2008b)", "manualFormatting" : "(2008b)", "plainTextFormattedCitation" : "(Diamond, 2008b)", "previouslyFormattedCitation" : "(Diamond, 2008b)" }, "properties" : { "noteIndex" : 0 }, "schema" : "https://github.com/citation-style-language/schema/raw/master/csl-citation.json" }</w:instrText>
      </w:r>
      <w:r w:rsidR="00F62F46">
        <w:rPr>
          <w:rStyle w:val="IntenseEmphasis"/>
          <w:b w:val="0"/>
        </w:rPr>
        <w:fldChar w:fldCharType="separate"/>
      </w:r>
      <w:r w:rsidR="00F62F46" w:rsidRPr="00F62F46">
        <w:rPr>
          <w:rStyle w:val="IntenseEmphasis"/>
          <w:b w:val="0"/>
          <w:noProof/>
        </w:rPr>
        <w:t>(2008b)</w:t>
      </w:r>
      <w:r w:rsidR="00F62F46">
        <w:rPr>
          <w:rStyle w:val="IntenseEmphasis"/>
          <w:b w:val="0"/>
        </w:rPr>
        <w:fldChar w:fldCharType="end"/>
      </w:r>
      <w:r w:rsidRPr="00C62010">
        <w:rPr>
          <w:rStyle w:val="IntenseEmphasis"/>
          <w:b w:val="0"/>
        </w:rPr>
        <w:t xml:space="preserve"> turned to outlining fears of a ‘democratic rollback’ across the world; it appeared a new reverse wave was taking hold and dragging democracies under.</w:t>
      </w:r>
    </w:p>
    <w:p w14:paraId="4204E8D6" w14:textId="6E991370" w:rsidR="00CF455B" w:rsidRPr="00C62010" w:rsidRDefault="00C85619" w:rsidP="00C62010">
      <w:pPr>
        <w:rPr>
          <w:rStyle w:val="IntenseEmphasis"/>
          <w:b w:val="0"/>
        </w:rPr>
      </w:pPr>
      <w:r>
        <w:rPr>
          <w:rStyle w:val="IntenseEmphasis"/>
          <w:b w:val="0"/>
        </w:rPr>
        <w:t>M</w:t>
      </w:r>
      <w:r w:rsidR="00CF455B" w:rsidRPr="00C62010">
        <w:rPr>
          <w:rStyle w:val="IntenseEmphasis"/>
          <w:b w:val="0"/>
        </w:rPr>
        <w:t>uch of the problem with the consolidation literature lies with the static, ‘tick-box’ approach it has towards analysis. The list of requirements is very much built around the concept of liberal democracy, and by taking them as ‘there or not’, shades of graduations and shifts within the system (regressive or progressive) can be lost. Bunce</w:t>
      </w:r>
      <w:r w:rsidR="00F32ECE">
        <w:rPr>
          <w:rStyle w:val="IntenseEmphasis"/>
          <w:b w:val="0"/>
        </w:rPr>
        <w:t xml:space="preserve"> </w:t>
      </w:r>
      <w:r w:rsidR="00F32ECE">
        <w:rPr>
          <w:rStyle w:val="IntenseEmphasis"/>
          <w:b w:val="0"/>
        </w:rPr>
        <w:fldChar w:fldCharType="begin" w:fldLock="1"/>
      </w:r>
      <w:r w:rsidR="00E63CC6">
        <w:rPr>
          <w:rStyle w:val="IntenseEmphasis"/>
          <w:b w:val="0"/>
        </w:rPr>
        <w:instrText>ADDIN CSL_CITATION { "citationItems" : [ { "id" : "ITEM-1", "itemData" : { "DOI" : "10.2307/2501122", "ISSN" : "0037-6779", "abstract" : "Critical comment on Schmitter and Karl; From the introduction: The collapse of state socialism in eastern Europe has led to a proliferation of studies analyzing ascpects of democratization throughout the region. Central to many of these studies (particularly those by none-specialists) is an assumption that postcommunism is but a variation on a larger theme, that is, recent transitions from authoritarian to democratic rule. In a recent issue of Slavic Review, Philippe C. Schmitter and Terry Lynn Karl provide a spirited defense of this assumption by arguing that democratization on eastern Europe can and should be compared with democratization in southern Europe an Latin America...", "author" : [ { "dropping-particle" : "", "family" : "Bunce", "given" : "Valerie", "non-dropping-particle" : "", "parse-names" : false, "suffix" : "" } ], "container-title" : "Slavic Review", "id" : "ITEM-1", "issue" : "1", "issued" : { "date-parts" : [ [ "1995" ] ] }, "page" : "111-127", "title" : "Should Transitologists Be Grounded?", "type" : "article-journal", "volume" : "54" }, "locator" : "124-125", "uris" : [ "http://www.mendeley.com/documents/?uuid=52ff00a7-0d6e-4420-bfa2-21a9c2117c54" ] } ], "mendeley" : { "formattedCitation" : "(Bunce, 1995b, pp. 124\u2013125)", "manualFormatting" : "(1995, pp.124\u2013125)", "plainTextFormattedCitation" : "(Bunce, 1995b, pp. 124\u2013125)", "previouslyFormattedCitation" : "(Bunce, 1995b, pp. 124\u2013125)" }, "properties" : { "noteIndex" : 0 }, "schema" : "https://github.com/citation-style-language/schema/raw/master/csl-citation.json" }</w:instrText>
      </w:r>
      <w:r w:rsidR="00F32ECE">
        <w:rPr>
          <w:rStyle w:val="IntenseEmphasis"/>
          <w:b w:val="0"/>
        </w:rPr>
        <w:fldChar w:fldCharType="separate"/>
      </w:r>
      <w:r w:rsidR="00F32ECE">
        <w:rPr>
          <w:rStyle w:val="IntenseEmphasis"/>
          <w:b w:val="0"/>
          <w:noProof/>
        </w:rPr>
        <w:t>(</w:t>
      </w:r>
      <w:r w:rsidR="00F32ECE" w:rsidRPr="00F32ECE">
        <w:rPr>
          <w:rStyle w:val="IntenseEmphasis"/>
          <w:b w:val="0"/>
          <w:noProof/>
        </w:rPr>
        <w:t>1995, pp.124–125)</w:t>
      </w:r>
      <w:r w:rsidR="00F32ECE">
        <w:rPr>
          <w:rStyle w:val="IntenseEmphasis"/>
          <w:b w:val="0"/>
        </w:rPr>
        <w:fldChar w:fldCharType="end"/>
      </w:r>
      <w:r w:rsidR="00CF455B" w:rsidRPr="00C62010">
        <w:rPr>
          <w:rStyle w:val="IntenseEmphasis"/>
          <w:b w:val="0"/>
        </w:rPr>
        <w:t xml:space="preserve"> </w:t>
      </w:r>
      <w:r w:rsidR="00F62F46">
        <w:rPr>
          <w:rStyle w:val="IntenseEmphasis"/>
          <w:b w:val="0"/>
        </w:rPr>
        <w:t>took</w:t>
      </w:r>
      <w:r w:rsidR="00CF455B" w:rsidRPr="00C62010">
        <w:rPr>
          <w:rStyle w:val="IntenseEmphasis"/>
          <w:b w:val="0"/>
        </w:rPr>
        <w:t xml:space="preserve"> this issue further by asking is democratic consolidation then, just a matter of time? What about the system capacity to withstand crises? And finally, deliberative and radic</w:t>
      </w:r>
      <w:r w:rsidR="00212918">
        <w:rPr>
          <w:rStyle w:val="IntenseEmphasis"/>
          <w:b w:val="0"/>
        </w:rPr>
        <w:t>al democratic theorists were also pointing</w:t>
      </w:r>
      <w:r w:rsidR="00CF455B" w:rsidRPr="00C62010">
        <w:rPr>
          <w:rStyle w:val="IntenseEmphasis"/>
          <w:b w:val="0"/>
        </w:rPr>
        <w:t xml:space="preserve"> towards a re</w:t>
      </w:r>
      <w:r w:rsidR="001E3FD2">
        <w:rPr>
          <w:rStyle w:val="IntenseEmphasis"/>
          <w:b w:val="0"/>
        </w:rPr>
        <w:t>conceptualis</w:t>
      </w:r>
      <w:r w:rsidR="00CF455B" w:rsidRPr="00C62010">
        <w:rPr>
          <w:rStyle w:val="IntenseEmphasis"/>
          <w:b w:val="0"/>
        </w:rPr>
        <w:t>ation of democracy as, “a process, not a result</w:t>
      </w:r>
      <w:r w:rsidR="00212918">
        <w:rPr>
          <w:rStyle w:val="IntenseEmphasis"/>
          <w:b w:val="0"/>
        </w:rPr>
        <w:t>”, questioning if “</w:t>
      </w:r>
      <w:r w:rsidR="00CF455B" w:rsidRPr="00C62010">
        <w:rPr>
          <w:rStyle w:val="IntenseEmphasis"/>
          <w:b w:val="0"/>
        </w:rPr>
        <w:t>the democratic project can never be completed, then how can we understand the term ‘consolidation’ with its implication of democracy as an end state?”</w:t>
      </w:r>
      <w:r w:rsidR="00F32ECE">
        <w:rPr>
          <w:rStyle w:val="IntenseEmphasis"/>
          <w:b w:val="0"/>
        </w:rPr>
        <w:t xml:space="preserve"> </w:t>
      </w:r>
      <w:r w:rsidR="00F32ECE">
        <w:rPr>
          <w:rStyle w:val="IntenseEmphasis"/>
          <w:b w:val="0"/>
        </w:rPr>
        <w:fldChar w:fldCharType="begin" w:fldLock="1"/>
      </w:r>
      <w:r w:rsidR="00E63CC6">
        <w:rPr>
          <w:rStyle w:val="IntenseEmphasis"/>
          <w:b w:val="0"/>
        </w:rPr>
        <w:instrText>ADDIN CSL_CITATION { "citationItems" : [ { "id" : "ITEM-1", "itemData" : { "DOI" : "10.2307/2501122", "ISSN" : "0037-6779", "abstract" : "Critical comment on Schmitter and Karl; From the introduction: The collapse of state socialism in eastern Europe has led to a proliferation of studies analyzing ascpects of democratization throughout the region. Central to many of these studies (particularly those by none-specialists) is an assumption that postcommunism is but a variation on a larger theme, that is, recent transitions from authoritarian to democratic rule. In a recent issue of Slavic Review, Philippe C. Schmitter and Terry Lynn Karl provide a spirited defense of this assumption by arguing that democratization on eastern Europe can and should be compared with democratization in southern Europe an Latin America...", "author" : [ { "dropping-particle" : "", "family" : "Bunce", "given" : "Valerie", "non-dropping-particle" : "", "parse-names" : false, "suffix" : "" } ], "container-title" : "Slavic Review", "id" : "ITEM-1", "issue" : "1", "issued" : { "date-parts" : [ [ "1995" ] ] }, "page" : "111-127", "title" : "Should Transitologists Be Grounded?", "type" : "article-journal", "volume" : "54" }, "locator" : "125", "uris" : [ "http://www.mendeley.com/documents/?uuid=52ff00a7-0d6e-4420-bfa2-21a9c2117c54" ] } ], "mendeley" : { "formattedCitation" : "(Bunce, 1995b, p. 125)", "plainTextFormattedCitation" : "(Bunce, 1995b, p. 125)", "previouslyFormattedCitation" : "(Bunce, 1995b, p. 125)" }, "properties" : { "noteIndex" : 0 }, "schema" : "https://github.com/citation-style-language/schema/raw/master/csl-citation.json" }</w:instrText>
      </w:r>
      <w:r w:rsidR="00F32ECE">
        <w:rPr>
          <w:rStyle w:val="IntenseEmphasis"/>
          <w:b w:val="0"/>
        </w:rPr>
        <w:fldChar w:fldCharType="separate"/>
      </w:r>
      <w:r w:rsidR="00E63CC6" w:rsidRPr="00E63CC6">
        <w:rPr>
          <w:rStyle w:val="IntenseEmphasis"/>
          <w:b w:val="0"/>
          <w:noProof/>
        </w:rPr>
        <w:t>(Bunce, 1995b, p. 125)</w:t>
      </w:r>
      <w:r w:rsidR="00F32ECE">
        <w:rPr>
          <w:rStyle w:val="IntenseEmphasis"/>
          <w:b w:val="0"/>
        </w:rPr>
        <w:fldChar w:fldCharType="end"/>
      </w:r>
      <w:r w:rsidR="00F32ECE">
        <w:rPr>
          <w:rStyle w:val="IntenseEmphasis"/>
          <w:b w:val="0"/>
        </w:rPr>
        <w:t>.</w:t>
      </w:r>
    </w:p>
    <w:p w14:paraId="51653F45" w14:textId="6BF112E3" w:rsidR="00CF455B" w:rsidRPr="00C62010" w:rsidRDefault="00CF455B" w:rsidP="00C62010">
      <w:pPr>
        <w:rPr>
          <w:rStyle w:val="IntenseEmphasis"/>
          <w:b w:val="0"/>
        </w:rPr>
      </w:pPr>
      <w:r w:rsidRPr="00C62010">
        <w:rPr>
          <w:rStyle w:val="IntenseEmphasis"/>
          <w:b w:val="0"/>
        </w:rPr>
        <w:t xml:space="preserve">However, many theorists have rallied against this barrage of </w:t>
      </w:r>
      <w:r w:rsidR="00132A70">
        <w:rPr>
          <w:rStyle w:val="IntenseEmphasis"/>
          <w:b w:val="0"/>
        </w:rPr>
        <w:t>criticism</w:t>
      </w:r>
      <w:r w:rsidR="00F62F46">
        <w:rPr>
          <w:rStyle w:val="IntenseEmphasis"/>
          <w:b w:val="0"/>
        </w:rPr>
        <w:t xml:space="preserve">. Welzel </w:t>
      </w:r>
      <w:r w:rsidR="005E61E9">
        <w:rPr>
          <w:rStyle w:val="IntenseEmphasis"/>
          <w:b w:val="0"/>
        </w:rPr>
        <w:fldChar w:fldCharType="begin" w:fldLock="1"/>
      </w:r>
      <w:r w:rsidR="00E63CC6">
        <w:rPr>
          <w:rStyle w:val="IntenseEmphasis"/>
          <w:b w:val="0"/>
        </w:rPr>
        <w:instrText>ADDIN CSL_CITATION { "citationItems" : [ { "id" : "ITEM-1", "itemData" : { "author" : [ { "dropping-particle" : "", "family" : "Welzel", "given" : "C.", "non-dropping-particle" : "", "parse-names" : false, "suffix" : "" } ], "chapter-number" : "6", "container-title" : "Democratization", "editor" : [ { "dropping-particle" : "", "family" : "Haerpfer", "given" : "C. W.", "non-dropping-particle" : "", "parse-names" : false, "suffix" : "" }, { "dropping-particle" : "", "family" : "Inglehart", "given" : "Ronald F", "non-dropping-particle" : "", "parse-names" : false, "suffix" : "" }, { "dropping-particle" : "", "family" : "Welzel", "given" : "Christian", "non-dropping-particle" : "", "parse-names" : false, "suffix" : "" }, { "dropping-particle" : "", "family" : "Bernhagen", "given" : "P", "non-dropping-particle" : "", "parse-names" : false, "suffix" : "" } ], "id" : "ITEM-1", "issued" : { "date-parts" : [ [ "2009" ] ] }, "publisher" : "Oxford University Press", "publisher-place" : "Oxford", "title" : "Theories of Democratization", "type" : "chapter" }, "uris" : [ "http://www.mendeley.com/documents/?uuid=bd4d908d-1ceb-4c06-8c41-d47b80325dce" ] } ], "mendeley" : { "formattedCitation" : "(Welzel, 2009)", "manualFormatting" : "(2009, p.80)", "plainTextFormattedCitation" : "(Welzel, 2009)", "previouslyFormattedCitation" : "(Welzel, 2009)" }, "properties" : { "noteIndex" : 0 }, "schema" : "https://github.com/citation-style-language/schema/raw/master/csl-citation.json" }</w:instrText>
      </w:r>
      <w:r w:rsidR="005E61E9">
        <w:rPr>
          <w:rStyle w:val="IntenseEmphasis"/>
          <w:b w:val="0"/>
        </w:rPr>
        <w:fldChar w:fldCharType="separate"/>
      </w:r>
      <w:r w:rsidR="005E61E9" w:rsidRPr="005E61E9">
        <w:rPr>
          <w:rStyle w:val="IntenseEmphasis"/>
          <w:b w:val="0"/>
          <w:noProof/>
        </w:rPr>
        <w:t>(2009</w:t>
      </w:r>
      <w:r w:rsidR="005E61E9">
        <w:rPr>
          <w:rStyle w:val="IntenseEmphasis"/>
          <w:b w:val="0"/>
          <w:noProof/>
        </w:rPr>
        <w:t>, p.80</w:t>
      </w:r>
      <w:r w:rsidR="005E61E9" w:rsidRPr="005E61E9">
        <w:rPr>
          <w:rStyle w:val="IntenseEmphasis"/>
          <w:b w:val="0"/>
          <w:noProof/>
        </w:rPr>
        <w:t>)</w:t>
      </w:r>
      <w:r w:rsidR="005E61E9">
        <w:rPr>
          <w:rStyle w:val="IntenseEmphasis"/>
          <w:b w:val="0"/>
        </w:rPr>
        <w:fldChar w:fldCharType="end"/>
      </w:r>
      <w:r w:rsidR="00F62F46">
        <w:rPr>
          <w:rStyle w:val="IntenseEmphasis"/>
          <w:b w:val="0"/>
        </w:rPr>
        <w:t xml:space="preserve"> looked</w:t>
      </w:r>
      <w:r w:rsidRPr="00C62010">
        <w:rPr>
          <w:rStyle w:val="IntenseEmphasis"/>
          <w:b w:val="0"/>
        </w:rPr>
        <w:t xml:space="preserve"> again at </w:t>
      </w:r>
      <w:r w:rsidR="00132A70">
        <w:rPr>
          <w:rStyle w:val="IntenseEmphasis"/>
          <w:b w:val="0"/>
        </w:rPr>
        <w:t xml:space="preserve">the </w:t>
      </w:r>
      <w:r w:rsidRPr="00C62010">
        <w:rPr>
          <w:rStyle w:val="IntenseEmphasis"/>
          <w:b w:val="0"/>
        </w:rPr>
        <w:t xml:space="preserve">modernization thesis and </w:t>
      </w:r>
      <w:r w:rsidR="005E61E9">
        <w:rPr>
          <w:rStyle w:val="IntenseEmphasis"/>
          <w:b w:val="0"/>
        </w:rPr>
        <w:t>argued</w:t>
      </w:r>
      <w:r w:rsidRPr="00C62010">
        <w:rPr>
          <w:rStyle w:val="IntenseEmphasis"/>
          <w:b w:val="0"/>
        </w:rPr>
        <w:t xml:space="preserve"> that whilst </w:t>
      </w:r>
      <w:r w:rsidR="00132A70">
        <w:rPr>
          <w:rStyle w:val="IntenseEmphasis"/>
          <w:b w:val="0"/>
        </w:rPr>
        <w:t xml:space="preserve">it </w:t>
      </w:r>
      <w:r w:rsidRPr="00C62010">
        <w:rPr>
          <w:rStyle w:val="IntenseEmphasis"/>
          <w:b w:val="0"/>
        </w:rPr>
        <w:t xml:space="preserve">has been repeatedly challenged, time and time again it has been re-established. It has certainly responded to the criticism levelled at it across the years. For instance, nearly all contemporary interpretations of modernization theory drop the straightforward linear causality of earlier work and attempt to integrate civil society and civic freedoms into the model. Focus shifted away from the genesis of democracy towards its consolidation. Perhaps its most substantial reworking has been in the work of Inglehart and Welzel (see </w:t>
      </w:r>
      <w:r w:rsidR="005E61E9">
        <w:rPr>
          <w:rStyle w:val="IntenseEmphasis"/>
          <w:b w:val="0"/>
        </w:rPr>
        <w:fldChar w:fldCharType="begin" w:fldLock="1"/>
      </w:r>
      <w:r w:rsidR="00E63CC6">
        <w:rPr>
          <w:rStyle w:val="IntenseEmphasis"/>
          <w:b w:val="0"/>
        </w:rPr>
        <w:instrText>ADDIN CSL_CITATION { "citationItems" : [ { "id" : "ITEM-1", "itemData" : { "DOI" : "10.1017/S1537592710001258", "abstract" : "A revised version of modernization theory implies that certain cultural variables (deeply-instilled attitudes among the public of a society) play an important role in democratizationsoftbut we do not attempt to demonstrate them here. Previous research has tested some of these linkages, finding support for causal interpretations, but conclusive tests of all the linkages shown here would require several book-length treatments. We briefly review some of the evidence supporting the conclusion that modernization leads to enduring mass attitudinal changes that are conducive to democracy.", "author" : [ { "dropping-particle" : "", "family" : "Inglehart", "given" : "Ronald", "non-dropping-particle" : "", "parse-names" : false, "suffix" : "" }, { "dropping-particle" : "", "family" : "Welzel", "given" : "Christian", "non-dropping-particle" : "", "parse-names" : false, "suffix" : "" } ], "container-title" : "Perspectives on Politics", "id" : "ITEM-1", "issue" : "2", "issued" : { "date-parts" : [ [ "2010" ] ] }, "page" : "551-567", "title" : "Changing Mass Priorities: The Link between Modernization and Democracy", "type" : "article-journal", "volume" : "8" }, "uris" : [ "http://www.mendeley.com/documents/?uuid=2fc3257d-21cb-4c07-b8ac-878e2d2f31a4" ] }, { "id" : "ITEM-2", "itemData" : { "DOI" : "10.1177/0192512107079640", "abstract" : "Recent findings by Inglehart and Welzel indicate that emancipative mass attitudes show a significantly positive effect on subsequent democracy, controlling for previous democracy and a number of socio-structural and socioeconomic factors. However, on an important theoretical point these prior findings remain inconclusive: the causal mechanism of why and how emancipative mass attitudes favor democracy. This article specifies such a mechanism, arguing that emancipative attitudes motivate mass actions that demonstrate people's willingness to struggle for democratic achievements, be it to establish democracy when it is denied or to defend it when it is challenged. Based on World Values Surveys rounds two to four, the empirical analyses strongly confirm these hypotheses, supporting what has recently been introduced as an \"emancipative theory of democracy.\" 10.1177/0192512107079640", "author" : [ { "dropping-particle" : "", "family" : "Welzel", "given" : "Christian", "non-dropping-particle" : "", "parse-names" : false, "suffix" : "" } ], "container-title" : "International Political Science Review", "id" : "ITEM-2", "issue" : "4", "issued" : { "date-parts" : [ [ "2007", "9" ] ] }, "page" : "397-424", "title" : "Are Levels of Democracy Affected by Mass Attitudes? Testing Attainment and Sustainment Effects on Democracy", "type" : "article-journal", "volume" : "28" }, "uris" : [ "http://www.mendeley.com/documents/?uuid=48fa432a-8d98-4017-a57b-47ce8589a1cd" ] }, { "id" : "ITEM-3", "itemData" : { "author" : [ { "dropping-particle" : "", "family" : "Inglehart", "given" : "R.", "non-dropping-particle" : "", "parse-names" : false, "suffix" : "" } ], "id" : "ITEM-3", "issued" : { "date-parts" : [ [ "1997" ] ] }, "publisher" : "Princeton University Press", "publisher-place" : "New Jersey", "title" : "Modernization and Post Modernization", "type" : "book" }, "uris" : [ "http://www.mendeley.com/documents/?uuid=0cfd9f52-cee3-4240-b382-4e8a2b6cf7ae" ] }, { "id" : "ITEM-4", "itemData" : { "DOI" : "10.1017/S1049096503001689", "ISBN" : "10490965", "ISSN" : "1049-0965", "author" : [ { "dropping-particle" : "", "family" : "Inglehart", "given" : "Ronald", "non-dropping-particle" : "", "parse-names" : false, "suffix" : "" } ], "container-title" : "PS: Political Science &amp; Politics", "id" : "ITEM-4", "issue" : "01", "issued" : { "date-parts" : [ [ "2003" ] ] }, "page" : "51-58", "title" : "How Solid is Mass Support for Democracy\u2014And How Can We Measure It?", "type" : "article-journal", "volume" : "36" }, "uris" : [ "http://www.mendeley.com/documents/?uuid=a32483b3-698d-4edf-b60f-97dd0e9b8bbb" ] }, { "id" : "ITEM-5", "itemData" : { "DOI" : "10.1111/1475-6765.00086", "ISBN" : "Scarrow, S. ( 2001 ). Parties and the expansion of direct democracy. Party Politics ( 5 ): 341 \u2013 362.", "ISSN" : "03044130", "abstract" : "This article demonstrates that socioeconomic development, emancipative cultural change and democratization constitute a coherent syndrome of social progress \u2013 a syndrome whose common focus has not been properly specified by classical modernization theory.We specify this syndrome as \u2018human development\u2019, arguing that its three components have a common focus on broadening human choice. Socioeconomic development gives people the objective means of choice by increasing individual resources; rising emancipative values strengthen people\u2019s subjective orientation towards choice; and democratization provides legal guarantees of choice by institutionalizing freedom rights. Analysis of data from the World Values Surveys demonstrates that the linkage between individual resources, emancipative values and freedom rights is universal in its presence across nations, regions and cultural zones; that this human development syndrome is shaped by a causal effect of individual resources and emancipative values on freedom rights; and that this effect operates through its impact on elite integrity, as the factor which makes freedom rights effective. Introdu", "author" : [ { "dropping-particle" : "", "family" : "Welzel", "given" : "Christian", "non-dropping-particle" : "", "parse-names" : false, "suffix" : "" }, { "dropping-particle" : "", "family" : "Inglehart", "given" : "Ronald F.", "non-dropping-particle" : "", "parse-names" : false, "suffix" : "" }, { "dropping-particle" : "", "family" : "Klingemann", "given" : "Hans-Dieter", "non-dropping-particle" : "", "parse-names" : false, "suffix" : "" } ], "container-title" : "European Journal of Political Research", "id" : "ITEM-5", "issue" : "3", "issued" : { "date-parts" : [ [ "2003" ] ] }, "page" : "341-379", "title" : "The theory of human development: A cross-cultural analysis", "type" : "article-journal", "volume" : "42" }, "uris" : [ "http://www.mendeley.com/documents/?uuid=4c999c46-0d02-45db-b23c-d331c020a4d9" ] }, { "id" : "ITEM-6", "itemData" : { "DOI" : "10.1007/s11205-009-9557-z", "ISSN" : "0303-8300", "abstract" : "Abstract&amp;nbsp;&amp;nbsp;This paper argues that feelings of agency are linked to human well-being through a sequence of adaptive mechanisms that promote human development, once existential conditions become permissive. In the first part, we elaborate on the evolutionary logic of this model and outline why an evolutionary perspective is helpful to understand changes in values that give feelings of agency greater weight in shaping human well-being. In the second part, we test the key links in this model with data from the World Values Surveys using ecological regressions and multi-level models, covering some 80 societies worldwide. Empirically, we demonstrate evidence for the following sequence: (1) in response to widening opportunities of life, people place stronger emphasis on emancipative values, (2) in response to a stronger emphasis on emancipative values, feelings of agency gain greater weight in shaping people's life satisfaction, (3) in response to a greater impact of agency feelings on life satisfaction, the level of life satisfaction itself rises. Further analyses show that this model is culturally universal because taking into account the strength of a society's western tradition does not render insignificant these adaptive linkages. Precisely because of its universality, this is indeed a 'human' development model in a most general sense.", "author" : [ { "dropping-particle" : "", "family" : "Welzel", "given" : "Christian", "non-dropping-particle" : "", "parse-names" : false, "suffix" : "" }, { "dropping-particle" : "", "family" : "Inglehart", "given" : "Ronald", "non-dropping-particle" : "", "parse-names" : false, "suffix" : "" } ], "container-title" : "Social Indicators Research", "id" : "ITEM-6", "issue" : "1", "issued" : { "date-parts" : [ [ "2010", "2" ] ] }, "note" : "(private-note)contains variable and loading to produce sel-emancipative values", "page" : "43-63", "title" : "Agency, Values, and Well-Being: A Human Development Model", "type" : "article-journal", "volume" : "97" }, "uris" : [ "http://www.mendeley.com/documents/?uuid=798cd809-3bfc-460e-94d5-b66f944f67c2" ] } ], "mendeley" : { "formattedCitation" : "(Inglehart, 1997, 2003; Welzel, Inglehart and Klingemann, 2003; Welzel, 2007; Inglehart and Welzel, 2010; Welzel and Inglehart, 2010)", "manualFormatting" : "Inglehart &amp; Welzel 2010; Welzel &amp; Inglehart 2010; Welzel 2007; Welzel et al. 2003; Inglehart 2003; Inglehart 1997)", "plainTextFormattedCitation" : "(Inglehart, 1997, 2003; Welzel, Inglehart and Klingemann, 2003; Welzel, 2007; Inglehart and Welzel, 2010; Welzel and Inglehart, 2010)", "previouslyFormattedCitation" : "(Inglehart, 1997, 2003; Welzel, Inglehart and Klingemann, 2003; Welzel, 2007; Inglehart and Welzel, 2010; Welzel and Inglehart, 2010)" }, "properties" : { "noteIndex" : 0 }, "schema" : "https://github.com/citation-style-language/schema/raw/master/csl-citation.json" }</w:instrText>
      </w:r>
      <w:r w:rsidR="005E61E9">
        <w:rPr>
          <w:rStyle w:val="IntenseEmphasis"/>
          <w:b w:val="0"/>
        </w:rPr>
        <w:fldChar w:fldCharType="separate"/>
      </w:r>
      <w:r w:rsidR="005E61E9" w:rsidRPr="005E61E9">
        <w:rPr>
          <w:rStyle w:val="IntenseEmphasis"/>
          <w:b w:val="0"/>
          <w:noProof/>
        </w:rPr>
        <w:t>Inglehart &amp; Welzel 2010; Welzel &amp; Inglehart 2010</w:t>
      </w:r>
      <w:r w:rsidR="005E61E9">
        <w:rPr>
          <w:rStyle w:val="IntenseEmphasis"/>
          <w:b w:val="0"/>
          <w:noProof/>
        </w:rPr>
        <w:t xml:space="preserve">; </w:t>
      </w:r>
      <w:r w:rsidR="005E61E9" w:rsidRPr="005E61E9">
        <w:rPr>
          <w:rStyle w:val="IntenseEmphasis"/>
          <w:b w:val="0"/>
          <w:noProof/>
        </w:rPr>
        <w:t xml:space="preserve">Welzel 2007; Welzel </w:t>
      </w:r>
      <w:r w:rsidR="00803848">
        <w:rPr>
          <w:rStyle w:val="IntenseEmphasis"/>
          <w:b w:val="0"/>
          <w:noProof/>
        </w:rPr>
        <w:t>et al</w:t>
      </w:r>
      <w:r w:rsidR="005E61E9" w:rsidRPr="005E61E9">
        <w:rPr>
          <w:rStyle w:val="IntenseEmphasis"/>
          <w:b w:val="0"/>
          <w:noProof/>
        </w:rPr>
        <w:t>. 2003</w:t>
      </w:r>
      <w:r w:rsidR="005E61E9">
        <w:rPr>
          <w:rStyle w:val="IntenseEmphasis"/>
          <w:b w:val="0"/>
          <w:noProof/>
        </w:rPr>
        <w:t xml:space="preserve">; </w:t>
      </w:r>
      <w:r w:rsidR="005E61E9" w:rsidRPr="005E61E9">
        <w:rPr>
          <w:rStyle w:val="IntenseEmphasis"/>
          <w:b w:val="0"/>
          <w:noProof/>
        </w:rPr>
        <w:t>Inglehart 2003</w:t>
      </w:r>
      <w:r w:rsidR="005E61E9">
        <w:rPr>
          <w:rStyle w:val="IntenseEmphasis"/>
          <w:b w:val="0"/>
          <w:noProof/>
        </w:rPr>
        <w:t>; Inglehart 1997</w:t>
      </w:r>
      <w:r w:rsidR="005E61E9" w:rsidRPr="005E61E9">
        <w:rPr>
          <w:rStyle w:val="IntenseEmphasis"/>
          <w:b w:val="0"/>
          <w:noProof/>
        </w:rPr>
        <w:t>)</w:t>
      </w:r>
      <w:r w:rsidR="005E61E9">
        <w:rPr>
          <w:rStyle w:val="IntenseEmphasis"/>
          <w:b w:val="0"/>
        </w:rPr>
        <w:fldChar w:fldCharType="end"/>
      </w:r>
      <w:r w:rsidR="005E61E9">
        <w:rPr>
          <w:rStyle w:val="IntenseEmphasis"/>
          <w:b w:val="0"/>
        </w:rPr>
        <w:t xml:space="preserve"> </w:t>
      </w:r>
      <w:r w:rsidRPr="00C62010">
        <w:rPr>
          <w:rStyle w:val="IntenseEmphasis"/>
          <w:b w:val="0"/>
        </w:rPr>
        <w:t xml:space="preserve">whose ‘human development’ theory argues that economic development leads to a change in citizens’ value sets, and this human development ultimately results in the people calling for democratic institutions to meet their political agency, in a reciprocal, rather than linear, relationship. </w:t>
      </w:r>
    </w:p>
    <w:p w14:paraId="343918A1" w14:textId="77777777" w:rsidR="00CF455B" w:rsidRPr="00C62010" w:rsidRDefault="00CF455B" w:rsidP="00C62010">
      <w:pPr>
        <w:rPr>
          <w:rStyle w:val="IntenseEmphasis"/>
          <w:b w:val="0"/>
        </w:rPr>
      </w:pPr>
      <w:r w:rsidRPr="00C62010">
        <w:rPr>
          <w:rStyle w:val="IntenseEmphasis"/>
          <w:b w:val="0"/>
        </w:rPr>
        <w:t>The value change is seen as spawning from increased economic development and wealth in society which allows citizens to shift their attention away from material requirements such as shelter, and towards issues of personal autonomy. In this development of ‘postmodernization’ (Inglehart 1997), the impetus for change is far more readily ascribed to ‘people power’ as opposed to elites and their bargaining, or the determinism of structural development.</w:t>
      </w:r>
    </w:p>
    <w:p w14:paraId="0D7294CF" w14:textId="77777777" w:rsidR="00CF455B" w:rsidRPr="00E223A2" w:rsidRDefault="00CF455B" w:rsidP="00E223A2">
      <w:pPr>
        <w:pStyle w:val="Heading3"/>
      </w:pPr>
      <w:bookmarkStart w:id="62" w:name="_Toc441069173"/>
      <w:r w:rsidRPr="00E223A2">
        <w:t>Summary</w:t>
      </w:r>
      <w:bookmarkEnd w:id="62"/>
    </w:p>
    <w:p w14:paraId="7FC38523" w14:textId="77777777" w:rsidR="00CF455B" w:rsidRDefault="00CF455B" w:rsidP="00C62010">
      <w:r>
        <w:t>This section has discussed the two main approaches to the study of democratization, structural and agential, before introducing the notions of consolidation and post-modernization, which can be understood as attempts to bridge the divide inherent within these two different focuses.</w:t>
      </w:r>
    </w:p>
    <w:p w14:paraId="0AD79BE9" w14:textId="1A1ACDF8" w:rsidR="00CF455B" w:rsidRDefault="00CF455B" w:rsidP="00C62010">
      <w:r>
        <w:t>For structuralists the role of people in democratization is understood at the macro-le</w:t>
      </w:r>
      <w:r w:rsidR="00613559">
        <w:t>vel, and they are generally seen</w:t>
      </w:r>
      <w:r>
        <w:t xml:space="preserve"> to operate in rather homogenous groups (rich, poor, middle-class), with various relations to the process depending on the economic development of the country. For those taking a more agential approach, </w:t>
      </w:r>
      <w:r w:rsidR="00132A70">
        <w:t xml:space="preserve">some </w:t>
      </w:r>
      <w:r>
        <w:t xml:space="preserve">people are given far more power and agency, but </w:t>
      </w:r>
      <w:r w:rsidR="00132A70">
        <w:t xml:space="preserve">those give such power comprise </w:t>
      </w:r>
      <w:r>
        <w:t>only a very select few – elites who often already have access to levers of power in authority positions. Once a regime is in place</w:t>
      </w:r>
      <w:r w:rsidR="00132A70">
        <w:t>,</w:t>
      </w:r>
      <w:r>
        <w:t xml:space="preserve"> however, it will require legitimising by ‘the People’ if it is to consolidate and survive; citizens must be ‘on board’.</w:t>
      </w:r>
    </w:p>
    <w:p w14:paraId="0C84E76E" w14:textId="1E3431E5" w:rsidR="00CF455B" w:rsidRDefault="00CF455B" w:rsidP="00CF455B">
      <w:r>
        <w:t xml:space="preserve">However, all these theories, whether broad and structural or narrow and elite-focused still tend to neglect the more important details on exactly why it is that citizens are motivated to support democratic regimes and engage with them. It is to this issue that I turn to in the next section of this review, which looks </w:t>
      </w:r>
      <w:r w:rsidR="005B4187">
        <w:t xml:space="preserve">at </w:t>
      </w:r>
      <w:r>
        <w:t xml:space="preserve">fields of study on political support and civic culture, and which sets up the final </w:t>
      </w:r>
      <w:r w:rsidR="005B4187">
        <w:t>rationale</w:t>
      </w:r>
      <w:r>
        <w:t xml:space="preserve"> </w:t>
      </w:r>
      <w:r w:rsidR="005B4187">
        <w:t>for</w:t>
      </w:r>
      <w:r>
        <w:t xml:space="preserve"> why we must address citizen understandings of democracy. </w:t>
      </w:r>
    </w:p>
    <w:p w14:paraId="61AF19C3" w14:textId="77777777" w:rsidR="00CF455B" w:rsidRPr="00577217" w:rsidRDefault="00CF455B" w:rsidP="00577217">
      <w:pPr>
        <w:pStyle w:val="Heading2"/>
      </w:pPr>
      <w:bookmarkStart w:id="63" w:name="_Toc439170200"/>
      <w:bookmarkStart w:id="64" w:name="_Toc441069018"/>
      <w:bookmarkStart w:id="65" w:name="_Toc441069174"/>
      <w:bookmarkStart w:id="66" w:name="_Toc494034211"/>
      <w:r w:rsidRPr="00577217">
        <w:t>2.3 People and Democracy: Political Support and Civic Culture</w:t>
      </w:r>
      <w:bookmarkEnd w:id="63"/>
      <w:bookmarkEnd w:id="64"/>
      <w:bookmarkEnd w:id="65"/>
      <w:bookmarkEnd w:id="66"/>
    </w:p>
    <w:p w14:paraId="157C2D87" w14:textId="1E82F6AB" w:rsidR="00CF455B" w:rsidRPr="00930BF5" w:rsidRDefault="00CF455B" w:rsidP="00C62010">
      <w:pPr>
        <w:rPr>
          <w:lang w:eastAsia="zh-CN"/>
        </w:rPr>
      </w:pPr>
      <w:r>
        <w:rPr>
          <w:lang w:eastAsia="zh-CN"/>
        </w:rPr>
        <w:t>Compared to the theoretical fields focused on so far,</w:t>
      </w:r>
      <w:r w:rsidRPr="00930BF5">
        <w:rPr>
          <w:lang w:eastAsia="zh-CN"/>
        </w:rPr>
        <w:t xml:space="preserve"> </w:t>
      </w:r>
      <w:r>
        <w:rPr>
          <w:lang w:eastAsia="zh-CN"/>
        </w:rPr>
        <w:t xml:space="preserve">the role and behaviour of </w:t>
      </w:r>
      <w:r w:rsidRPr="00930BF5">
        <w:rPr>
          <w:lang w:eastAsia="zh-CN"/>
        </w:rPr>
        <w:t xml:space="preserve">citizens </w:t>
      </w:r>
      <w:r>
        <w:rPr>
          <w:lang w:eastAsia="zh-CN"/>
        </w:rPr>
        <w:t xml:space="preserve">is </w:t>
      </w:r>
      <w:r w:rsidR="005B4187">
        <w:rPr>
          <w:lang w:eastAsia="zh-CN"/>
        </w:rPr>
        <w:t>more at the fore front</w:t>
      </w:r>
      <w:r w:rsidRPr="00930BF5">
        <w:rPr>
          <w:lang w:eastAsia="zh-CN"/>
        </w:rPr>
        <w:t xml:space="preserve"> in studies that examine political support</w:t>
      </w:r>
      <w:r w:rsidR="00F32ECE">
        <w:rPr>
          <w:lang w:eastAsia="zh-CN"/>
        </w:rPr>
        <w:t xml:space="preserve"> of political regimes</w:t>
      </w:r>
      <w:r w:rsidRPr="00930BF5">
        <w:rPr>
          <w:lang w:eastAsia="zh-CN"/>
        </w:rPr>
        <w:t xml:space="preserve"> and civic culture. When Schumpeter notes that in a democracy political elites should be involved in a competitive struggle for people’s votes, obvious </w:t>
      </w:r>
      <w:r w:rsidR="0037437D">
        <w:rPr>
          <w:lang w:eastAsia="zh-CN"/>
        </w:rPr>
        <w:t>questions</w:t>
      </w:r>
      <w:r w:rsidR="00265E22">
        <w:rPr>
          <w:lang w:eastAsia="zh-CN"/>
        </w:rPr>
        <w:t xml:space="preserve"> to ask include</w:t>
      </w:r>
      <w:r w:rsidRPr="00930BF5">
        <w:rPr>
          <w:lang w:eastAsia="zh-CN"/>
        </w:rPr>
        <w:t xml:space="preserve">: why </w:t>
      </w:r>
      <w:r w:rsidRPr="00930BF5">
        <w:rPr>
          <w:i/>
          <w:lang w:eastAsia="zh-CN"/>
        </w:rPr>
        <w:t>do</w:t>
      </w:r>
      <w:r w:rsidRPr="00930BF5">
        <w:rPr>
          <w:lang w:eastAsia="zh-CN"/>
        </w:rPr>
        <w:t xml:space="preserve"> people vote for particular politicians</w:t>
      </w:r>
      <w:r w:rsidR="00265E22">
        <w:rPr>
          <w:lang w:eastAsia="zh-CN"/>
        </w:rPr>
        <w:t>; and h</w:t>
      </w:r>
      <w:r w:rsidRPr="00930BF5">
        <w:rPr>
          <w:lang w:eastAsia="zh-CN"/>
        </w:rPr>
        <w:t xml:space="preserve">ow and why do people support governments? Even if we take a very minimal approach to understanding democracy, there is no way to avoid the fact that politicians need a mandate to govern. Usually this is provided during election time, but in general, a culture needs to exist that allows democracy to operate. </w:t>
      </w:r>
      <w:r w:rsidR="005B4187">
        <w:rPr>
          <w:lang w:eastAsia="zh-CN"/>
        </w:rPr>
        <w:t>For</w:t>
      </w:r>
      <w:r w:rsidRPr="00930BF5">
        <w:rPr>
          <w:lang w:eastAsia="zh-CN"/>
        </w:rPr>
        <w:t xml:space="preserve"> all these considerations the behaviour of citizens is key. </w:t>
      </w:r>
    </w:p>
    <w:p w14:paraId="57EB45CB" w14:textId="77777777" w:rsidR="00CF455B" w:rsidRPr="00930BF5" w:rsidRDefault="00CF455B" w:rsidP="00C62010">
      <w:pPr>
        <w:rPr>
          <w:lang w:eastAsia="zh-CN"/>
        </w:rPr>
      </w:pPr>
      <w:r w:rsidRPr="00930BF5">
        <w:t xml:space="preserve">In this part of the literature review I trace the development of literature which examines the political support, knowledge, participation and behaviour of citizens, particularly in democracies. Throughout I raise three observations that lead into the final part of this chapter. These observations concern the importance of having an understanding of democracy, the study of mass support for democracies, and the impact this has on further analysis of political behaviour. My discussion starts with two </w:t>
      </w:r>
      <w:r w:rsidRPr="00930BF5">
        <w:rPr>
          <w:lang w:eastAsia="zh-CN"/>
        </w:rPr>
        <w:t>seminal bodies of work: the first concerns Easton’s concept of ‘political support’, the second concerns Almond &amp; Verba’s analysis of ‘civic culture’.</w:t>
      </w:r>
    </w:p>
    <w:p w14:paraId="77E16DF6" w14:textId="77777777" w:rsidR="00CF455B" w:rsidRPr="00E223A2" w:rsidRDefault="00CF455B" w:rsidP="00E223A2">
      <w:pPr>
        <w:pStyle w:val="Heading3"/>
      </w:pPr>
      <w:bookmarkStart w:id="67" w:name="_Toc379811752"/>
      <w:bookmarkStart w:id="68" w:name="_Toc441069175"/>
      <w:r w:rsidRPr="00E223A2">
        <w:t>Political Support and Civic Culture</w:t>
      </w:r>
      <w:bookmarkEnd w:id="67"/>
      <w:bookmarkEnd w:id="68"/>
    </w:p>
    <w:p w14:paraId="1E4461D1" w14:textId="401110F4" w:rsidR="00CF455B" w:rsidRPr="00930BF5" w:rsidRDefault="00CF455B" w:rsidP="00C62010">
      <w:pPr>
        <w:rPr>
          <w:rFonts w:eastAsia="Times New Roman"/>
          <w:iCs/>
        </w:rPr>
      </w:pPr>
      <w:r w:rsidRPr="00930BF5">
        <w:rPr>
          <w:rFonts w:eastAsia="Times New Roman"/>
        </w:rPr>
        <w:t>Easton</w:t>
      </w:r>
      <w:r>
        <w:rPr>
          <w:rFonts w:eastAsia="Times New Roman"/>
        </w:rPr>
        <w:t xml:space="preserve"> </w:t>
      </w:r>
      <w:r w:rsidR="00713AC3">
        <w:rPr>
          <w:rFonts w:eastAsia="Times New Roman"/>
        </w:rPr>
        <w:fldChar w:fldCharType="begin" w:fldLock="1"/>
      </w:r>
      <w:r w:rsidR="00E63CC6">
        <w:rPr>
          <w:rFonts w:eastAsia="Times New Roman"/>
        </w:rPr>
        <w:instrText>ADDIN CSL_CITATION { "citationItems" : [ { "id" : "ITEM-1", "itemData" : { "author" : [ { "dropping-particle" : "", "family" : "Easton", "given" : "David", "non-dropping-particle" : "", "parse-names" : false, "suffix" : "" } ], "container-title" : "World Politics", "id" : "ITEM-1", "issue" : "3", "issued" : { "date-parts" : [ [ "1957" ] ] }, "page" : "383-400", "title" : "An Approach to the Analysis of Political Systems", "type" : "article-journal", "volume" : "9" }, "uris" : [ "http://www.mendeley.com/documents/?uuid=64df3f5f-6faa-4bb9-87f1-bd22db60d5cf" ] }, { "id" : "ITEM-2", "itemData" : { "author" : [ { "dropping-particle" : "", "family" : "Easton", "given" : "David", "non-dropping-particle" : "", "parse-names" : false, "suffix" : "" } ], "id" : "ITEM-2", "issued" : { "date-parts" : [ [ "1965" ] ] }, "publisher" : "Wiley", "publisher-place" : "New York", "title" : "A Systems Analysis of Political Life", "type" : "book" }, "uris" : [ "http://www.mendeley.com/documents/?uuid=1953de1a-11d0-42b1-aae7-f907fa801c00" ] }, { "id" : "ITEM-3", "itemData" : { "DOI" : "10.1017/S0007123400008309", "ISSN" : "0007-1234", "author" : [ { "dropping-particle" : "", "family" : "Easton", "given" : "David", "non-dropping-particle" : "", "parse-names" : false, "suffix" : "" } ], "container-title" : "British Journal of Political Science", "id" : "ITEM-3", "issue" : "4", "issued" : { "date-parts" : [ [ "1975", "1", "27" ] ] }, "page" : "435-457", "title" : "A Re-assessment of the Concept of Political Support", "type" : "article-journal", "volume" : "5" }, "uris" : [ "http://www.mendeley.com/documents/?uuid=fcce2f39-5380-4954-ac62-ce4e4c0bf413" ] } ], "mendeley" : { "formattedCitation" : "(Easton, 1957, 1965, 1975)", "manualFormatting" : "(1957; 1965; 1975)", "plainTextFormattedCitation" : "(Easton, 1957, 1965, 1975)", "previouslyFormattedCitation" : "(Easton, 1957, 1965, 1975)" }, "properties" : { "noteIndex" : 0 }, "schema" : "https://github.com/citation-style-language/schema/raw/master/csl-citation.json" }</w:instrText>
      </w:r>
      <w:r w:rsidR="00713AC3">
        <w:rPr>
          <w:rFonts w:eastAsia="Times New Roman"/>
        </w:rPr>
        <w:fldChar w:fldCharType="separate"/>
      </w:r>
      <w:r w:rsidR="00C04D97" w:rsidRPr="00C04D97">
        <w:rPr>
          <w:rFonts w:eastAsia="Times New Roman"/>
          <w:noProof/>
        </w:rPr>
        <w:t>(1957; 1965; 1975)</w:t>
      </w:r>
      <w:r w:rsidR="00713AC3">
        <w:rPr>
          <w:rFonts w:eastAsia="Times New Roman"/>
        </w:rPr>
        <w:fldChar w:fldCharType="end"/>
      </w:r>
      <w:r w:rsidRPr="00930BF5">
        <w:rPr>
          <w:rFonts w:eastAsia="Times New Roman"/>
        </w:rPr>
        <w:t xml:space="preserve"> formulated a framework for understanding the multi-dimensionality of political support</w:t>
      </w:r>
      <w:r w:rsidR="00F32ECE">
        <w:rPr>
          <w:rFonts w:eastAsia="Times New Roman"/>
        </w:rPr>
        <w:t xml:space="preserve"> for political regimes</w:t>
      </w:r>
      <w:r w:rsidRPr="00930BF5">
        <w:rPr>
          <w:rFonts w:eastAsia="Times New Roman"/>
        </w:rPr>
        <w:t>, and provides a useful st</w:t>
      </w:r>
      <w:r w:rsidR="00C04D97">
        <w:rPr>
          <w:rFonts w:eastAsia="Times New Roman"/>
        </w:rPr>
        <w:t>arting point for discussion. Through his</w:t>
      </w:r>
      <w:r w:rsidRPr="00930BF5">
        <w:rPr>
          <w:rFonts w:eastAsia="Times New Roman"/>
        </w:rPr>
        <w:t xml:space="preserve"> schema </w:t>
      </w:r>
      <w:r w:rsidR="00C04D97">
        <w:rPr>
          <w:rFonts w:eastAsia="Times New Roman"/>
        </w:rPr>
        <w:t xml:space="preserve">he </w:t>
      </w:r>
      <w:r w:rsidRPr="00930BF5">
        <w:rPr>
          <w:rFonts w:eastAsia="Times New Roman"/>
        </w:rPr>
        <w:t xml:space="preserve">argues </w:t>
      </w:r>
      <w:r w:rsidR="00C04D97">
        <w:rPr>
          <w:rFonts w:eastAsia="Times New Roman"/>
        </w:rPr>
        <w:t xml:space="preserve">that </w:t>
      </w:r>
      <w:r w:rsidRPr="00930BF5">
        <w:rPr>
          <w:rFonts w:eastAsia="Times New Roman"/>
        </w:rPr>
        <w:t xml:space="preserve">support is not all of one piece, and </w:t>
      </w:r>
      <w:r w:rsidR="00265E22">
        <w:rPr>
          <w:rFonts w:eastAsia="Times New Roman"/>
        </w:rPr>
        <w:t xml:space="preserve">a </w:t>
      </w:r>
      <w:r w:rsidRPr="00930BF5">
        <w:rPr>
          <w:rFonts w:eastAsia="Times New Roman"/>
        </w:rPr>
        <w:t xml:space="preserve">distinction is required between </w:t>
      </w:r>
      <w:r w:rsidRPr="00930BF5">
        <w:rPr>
          <w:rFonts w:eastAsia="Times New Roman"/>
          <w:i/>
        </w:rPr>
        <w:t>diffuse</w:t>
      </w:r>
      <w:r w:rsidRPr="00930BF5">
        <w:rPr>
          <w:rFonts w:eastAsia="Times New Roman"/>
          <w:iCs/>
        </w:rPr>
        <w:t xml:space="preserve"> and </w:t>
      </w:r>
      <w:r w:rsidRPr="00930BF5">
        <w:rPr>
          <w:rFonts w:eastAsia="Times New Roman"/>
          <w:i/>
        </w:rPr>
        <w:t xml:space="preserve">specific </w:t>
      </w:r>
      <w:r w:rsidRPr="00930BF5">
        <w:rPr>
          <w:rFonts w:eastAsia="Times New Roman"/>
          <w:iCs/>
        </w:rPr>
        <w:t xml:space="preserve">support. The fundamental premise of such a division is that citizens distinguish between varying levels of abstraction when analysing their government, from the individual incumbent political party, all the way up to the ideals of the regime and attachment to the nation. </w:t>
      </w:r>
    </w:p>
    <w:p w14:paraId="406954AF" w14:textId="69A5FE7B" w:rsidR="00CF455B" w:rsidRDefault="00CF455B" w:rsidP="00C62010">
      <w:pPr>
        <w:rPr>
          <w:rFonts w:eastAsia="Times New Roman"/>
          <w:iCs/>
        </w:rPr>
      </w:pPr>
      <w:r w:rsidRPr="00930BF5">
        <w:rPr>
          <w:rFonts w:eastAsia="Times New Roman"/>
          <w:iCs/>
        </w:rPr>
        <w:t>In Easton’s</w:t>
      </w:r>
      <w:r w:rsidR="00906196">
        <w:rPr>
          <w:rFonts w:eastAsia="Times New Roman"/>
          <w:iCs/>
        </w:rPr>
        <w:t xml:space="preserve"> (1965)</w:t>
      </w:r>
      <w:r w:rsidRPr="00930BF5">
        <w:rPr>
          <w:rFonts w:eastAsia="Times New Roman"/>
          <w:iCs/>
        </w:rPr>
        <w:t xml:space="preserve"> framework, specific support refers to citizens making a rational </w:t>
      </w:r>
      <w:r w:rsidR="00265E22">
        <w:rPr>
          <w:rFonts w:eastAsia="Times New Roman"/>
          <w:iCs/>
        </w:rPr>
        <w:t>calculation based</w:t>
      </w:r>
      <w:r w:rsidR="00265E22" w:rsidRPr="00930BF5">
        <w:rPr>
          <w:rFonts w:eastAsia="Times New Roman"/>
          <w:iCs/>
        </w:rPr>
        <w:t xml:space="preserve"> </w:t>
      </w:r>
      <w:r w:rsidRPr="00930BF5">
        <w:rPr>
          <w:rFonts w:eastAsia="Times New Roman"/>
          <w:iCs/>
        </w:rPr>
        <w:t xml:space="preserve">on the actions of authorities and institutions (such as the political leaders, judiciary or bureaucracy) and determining whether they deserve any degree of support. As </w:t>
      </w:r>
      <w:r w:rsidR="00265E22">
        <w:rPr>
          <w:rFonts w:eastAsia="Times New Roman"/>
          <w:iCs/>
        </w:rPr>
        <w:t>he</w:t>
      </w:r>
      <w:r w:rsidR="00265E22" w:rsidRPr="00930BF5">
        <w:rPr>
          <w:rFonts w:eastAsia="Times New Roman"/>
          <w:iCs/>
        </w:rPr>
        <w:t xml:space="preserve"> </w:t>
      </w:r>
      <w:r w:rsidRPr="00930BF5">
        <w:rPr>
          <w:rFonts w:eastAsia="Times New Roman"/>
          <w:iCs/>
        </w:rPr>
        <w:t>notes, conceivably a person may have little trust in the political authorities and may not even believe in their legitimacy, but if the person perceives their demands have been met, they may be prepared to extend limited support to the particular in</w:t>
      </w:r>
      <w:r w:rsidR="00CD6041">
        <w:rPr>
          <w:rFonts w:eastAsia="Times New Roman"/>
          <w:iCs/>
        </w:rPr>
        <w:t>cumbents in office (Easton 1975,</w:t>
      </w:r>
      <w:r w:rsidRPr="00930BF5">
        <w:rPr>
          <w:rFonts w:eastAsia="Times New Roman"/>
          <w:iCs/>
        </w:rPr>
        <w:t xml:space="preserve"> </w:t>
      </w:r>
      <w:r w:rsidR="00CD6041">
        <w:rPr>
          <w:rFonts w:eastAsia="Times New Roman"/>
          <w:iCs/>
        </w:rPr>
        <w:t>p.</w:t>
      </w:r>
      <w:r w:rsidRPr="00930BF5">
        <w:rPr>
          <w:rFonts w:eastAsia="Times New Roman"/>
          <w:iCs/>
        </w:rPr>
        <w:t>438). In contrast, diffuse support refers to a citizen’s belief in the ideology underlining a particular system: such as democracy.</w:t>
      </w:r>
      <w:r>
        <w:rPr>
          <w:rFonts w:eastAsia="Times New Roman"/>
          <w:iCs/>
        </w:rPr>
        <w:t xml:space="preserve"> </w:t>
      </w:r>
    </w:p>
    <w:p w14:paraId="2E1766B8" w14:textId="244D32BB" w:rsidR="00906196" w:rsidRDefault="00CF455B" w:rsidP="00906196">
      <w:pPr>
        <w:rPr>
          <w:rFonts w:eastAsia="Times New Roman"/>
          <w:iCs/>
        </w:rPr>
      </w:pPr>
      <w:r>
        <w:rPr>
          <w:rFonts w:eastAsia="Times New Roman"/>
          <w:iCs/>
        </w:rPr>
        <w:t xml:space="preserve">This formulation by Easton has been highly influential. </w:t>
      </w:r>
      <w:r w:rsidR="00265E22">
        <w:rPr>
          <w:rFonts w:eastAsia="Times New Roman"/>
          <w:iCs/>
        </w:rPr>
        <w:t xml:space="preserve">His </w:t>
      </w:r>
      <w:r>
        <w:rPr>
          <w:rFonts w:eastAsia="Times New Roman"/>
          <w:iCs/>
        </w:rPr>
        <w:t>1965 text</w:t>
      </w:r>
      <w:r w:rsidR="00265E22">
        <w:rPr>
          <w:rFonts w:eastAsia="Times New Roman"/>
          <w:iCs/>
        </w:rPr>
        <w:t>,</w:t>
      </w:r>
      <w:r>
        <w:rPr>
          <w:rFonts w:eastAsia="Times New Roman"/>
          <w:iCs/>
        </w:rPr>
        <w:t xml:space="preserve"> entitled </w:t>
      </w:r>
      <w:r>
        <w:rPr>
          <w:rFonts w:eastAsia="Times New Roman"/>
          <w:i/>
          <w:iCs/>
        </w:rPr>
        <w:t xml:space="preserve">A Systems Analysis of Political </w:t>
      </w:r>
      <w:r w:rsidRPr="00B22971">
        <w:rPr>
          <w:rFonts w:eastAsia="Times New Roman"/>
          <w:i/>
          <w:iCs/>
        </w:rPr>
        <w:t>Life</w:t>
      </w:r>
      <w:r w:rsidR="00265E22">
        <w:rPr>
          <w:rFonts w:eastAsia="Times New Roman"/>
          <w:i/>
          <w:iCs/>
        </w:rPr>
        <w:t>,</w:t>
      </w:r>
      <w:r>
        <w:rPr>
          <w:rFonts w:eastAsia="Times New Roman"/>
          <w:iCs/>
        </w:rPr>
        <w:t xml:space="preserve"> is considered something of </w:t>
      </w:r>
      <w:r w:rsidR="00265E22">
        <w:rPr>
          <w:rFonts w:eastAsia="Times New Roman"/>
          <w:iCs/>
        </w:rPr>
        <w:t xml:space="preserve">a </w:t>
      </w:r>
      <w:r>
        <w:rPr>
          <w:rFonts w:eastAsia="Times New Roman"/>
          <w:iCs/>
        </w:rPr>
        <w:t>classic text in the f</w:t>
      </w:r>
      <w:r w:rsidR="00CD6041">
        <w:rPr>
          <w:rFonts w:eastAsia="Times New Roman"/>
          <w:iCs/>
        </w:rPr>
        <w:t>ield (Schedler &amp; Sarsfield 2007,</w:t>
      </w:r>
      <w:r>
        <w:rPr>
          <w:rFonts w:eastAsia="Times New Roman"/>
          <w:iCs/>
        </w:rPr>
        <w:t xml:space="preserve"> </w:t>
      </w:r>
      <w:r w:rsidR="00CD6041">
        <w:rPr>
          <w:rFonts w:eastAsia="Times New Roman"/>
          <w:iCs/>
        </w:rPr>
        <w:t>p.655;</w:t>
      </w:r>
      <w:r>
        <w:rPr>
          <w:rFonts w:eastAsia="Times New Roman"/>
          <w:iCs/>
        </w:rPr>
        <w:t xml:space="preserve"> </w:t>
      </w:r>
      <w:r w:rsidR="00CD6041">
        <w:rPr>
          <w:rFonts w:eastAsia="Times New Roman"/>
          <w:iCs/>
        </w:rPr>
        <w:fldChar w:fldCharType="begin" w:fldLock="1"/>
      </w:r>
      <w:r w:rsidR="00E63CC6">
        <w:rPr>
          <w:rFonts w:eastAsia="Times New Roman"/>
          <w:iCs/>
        </w:rPr>
        <w:instrText>ADDIN CSL_CITATION { "citationItems" : [ { "id" : "ITEM-1", "itemData" : { "DOI" : "10.1111/1475-6765.00002", "ISSN" : "0304-4130", "author" : [ { "dropping-particle" : "", "family" : "Mishler", "given" : "William", "non-dropping-particle" : "", "parse-names" : false, "suffix" : "" }, { "dropping-particle" : "", "family" : "Rose", "given" : "Richard", "non-dropping-particle" : "", "parse-names" : false, "suffix" : "" } ], "container-title" : "European Journal of Political Research", "id" : "ITEM-1", "issue" : "1", "issued" : { "date-parts" : [ [ "2002", "1" ] ] }, "page" : "5-36", "title" : "Learning and re-learning regime support: The dynamics of post-communist regimes", "type" : "article-journal", "volume" : "41" }, "uris" : [ "http://www.mendeley.com/documents/?uuid=ec62e431-34d6-447f-98dd-bbc71716619c" ] } ], "mendeley" : { "formattedCitation" : "(Mishler and Rose, 2002)", "manualFormatting" : "Mishler &amp; Rose 2002, p.6", "plainTextFormattedCitation" : "(Mishler and Rose, 2002)", "previouslyFormattedCitation" : "(Mishler and Rose, 2002)" }, "properties" : { "noteIndex" : 0 }, "schema" : "https://github.com/citation-style-language/schema/raw/master/csl-citation.json" }</w:instrText>
      </w:r>
      <w:r w:rsidR="00CD6041">
        <w:rPr>
          <w:rFonts w:eastAsia="Times New Roman"/>
          <w:iCs/>
        </w:rPr>
        <w:fldChar w:fldCharType="separate"/>
      </w:r>
      <w:r w:rsidR="00CD6041">
        <w:rPr>
          <w:rFonts w:eastAsia="Times New Roman"/>
          <w:iCs/>
          <w:noProof/>
        </w:rPr>
        <w:t>M</w:t>
      </w:r>
      <w:r w:rsidR="00CD6041" w:rsidRPr="00CD6041">
        <w:rPr>
          <w:rFonts w:eastAsia="Times New Roman"/>
          <w:iCs/>
          <w:noProof/>
        </w:rPr>
        <w:t>ishler &amp; Rose 2002</w:t>
      </w:r>
      <w:r w:rsidR="00CD6041">
        <w:rPr>
          <w:rFonts w:eastAsia="Times New Roman"/>
          <w:iCs/>
          <w:noProof/>
        </w:rPr>
        <w:t>, p.6</w:t>
      </w:r>
      <w:r w:rsidR="00CD6041">
        <w:rPr>
          <w:rFonts w:eastAsia="Times New Roman"/>
          <w:iCs/>
        </w:rPr>
        <w:fldChar w:fldCharType="end"/>
      </w:r>
      <w:r w:rsidR="00CD6041">
        <w:rPr>
          <w:rFonts w:eastAsia="Times New Roman"/>
          <w:iCs/>
        </w:rPr>
        <w:t xml:space="preserve">) </w:t>
      </w:r>
      <w:r>
        <w:rPr>
          <w:rFonts w:eastAsia="Times New Roman"/>
          <w:iCs/>
        </w:rPr>
        <w:t xml:space="preserve">and many studies have utilised this approach to undertake a more finely-grained analysis of citizen support (for instance </w:t>
      </w:r>
      <w:r w:rsidR="00CD6041">
        <w:rPr>
          <w:rFonts w:eastAsia="Times New Roman"/>
          <w:iCs/>
        </w:rPr>
        <w:fldChar w:fldCharType="begin" w:fldLock="1"/>
      </w:r>
      <w:r w:rsidR="00E63CC6">
        <w:rPr>
          <w:rFonts w:eastAsia="Times New Roman"/>
          <w:iCs/>
        </w:rPr>
        <w:instrText>ADDIN CSL_CITATION { "citationItems" : [ { "id" : "ITEM-1", "itemData" : { "DOI" : "10.1177/0192512110382029", "abstract" : "For decades, scholars of political culture have held that mass political attitudes have a profound impact on the process of democratization. In studying this impact, an increasing number of political scientists have recently theorized that the level of democratization a political system reaches depends on the extent to which its political institutions meet citizen demand for democracy. In testing such theoretical models of democratic demand and supply, however, many political scientists have mistakenly equated democratic demand with citizen preference for democracy over its alternatives. In this study, we first argue that popular demand for democracy is not the same thing as democratic regime preference or support. Instead, demand for democracy arises from dissatisfaction with democracy-in-practice. By analyzing the fourth wave of the World Values Survey, we then demonstrate that the critical orientations of democrats promote democratic development more powerfully than do the two attitudes \u2014 democratic regime support and self-expression values \u2014 that prior public opinion research has identified as the forces driving democratization.", "author" : [ { "dropping-particle" : "", "family" : "Qi", "given" : "Lingling", "non-dropping-particle" : "", "parse-names" : false, "suffix" : "" }, { "dropping-particle" : "", "family" : "Shin", "given" : "Doh C", "non-dropping-particle" : "", "parse-names" : false, "suffix" : "" } ], "container-title" : "International Political Science Review", "id" : "ITEM-1", "issue" : "3", "issued" : { "date-parts" : [ [ "2011", "6" ] ] }, "page" : "245-262", "title" : "How mass political attitudes affect democratization: Exploring the facilitating role critical democrats play in the process", "type" : "article-journal", "volume" : "32" }, "uris" : [ "http://www.mendeley.com/documents/?uuid=93736030-e9f1-408a-913d-b3d90749610b" ] }, { "id" : "ITEM-2", "itemData" : { "author" : [ { "dropping-particle" : "", "family" : "Crow", "given" : "David", "non-dropping-particle" : "", "parse-names" : false, "suffix" : "" } ], "container-title" : "Comparative Politics", "id" : "ITEM-2", "issue" : "1", "issued" : { "date-parts" : [ [ "2010" ] ] }, "page" : "41-61", "title" : "The Party's Over : Citizen Conceptions of Democracy and Political Dissatisfaction in Mexico", "type" : "article-journal", "volume" : "43" }, "uris" : [ "http://www.mendeley.com/documents/?uuid=1a66cf71-f854-442c-a79e-b012b32e98f9" ] }, { "id" : "ITEM-3", "itemData" : { "author" : [ { "dropping-particle" : "", "family" : "Norris", "given" : "P", "non-dropping-particle" : "", "parse-names" : false, "suffix" : "" } ], "container-title" : "Critical Citizens - Global Support for Democratic Governance", "editor" : [ { "dropping-particle" : "", "family" : "Norris", "given" : "P", "non-dropping-particle" : "", "parse-names" : false, "suffix" : "" } ], "id" : "ITEM-3", "issued" : { "date-parts" : [ [ "1999" ] ] }, "page" : "1-30", "publisher" : "Oxford University Press", "publisher-place" : "Oxford", "title" : "Introduction: The growth of critical citizens?", "type" : "chapter" }, "uris" : [ "http://www.mendeley.com/documents/?uuid=dfb502f5-7866-4e17-bb41-94987036ce24" ] } ], "mendeley" : { "formattedCitation" : "(Norris, 1999; Crow, 2010; Qi and Shin, 2011)", "manualFormatting" : "Qi &amp; Shin 2011; Crow 2010; Norris 1999)", "plainTextFormattedCitation" : "(Norris, 1999; Crow, 2010; Qi and Shin, 2011)", "previouslyFormattedCitation" : "(Norris, 1999; Crow, 2010; Qi and Shin, 2011)" }, "properties" : { "noteIndex" : 0 }, "schema" : "https://github.com/citation-style-language/schema/raw/master/csl-citation.json" }</w:instrText>
      </w:r>
      <w:r w:rsidR="00CD6041">
        <w:rPr>
          <w:rFonts w:eastAsia="Times New Roman"/>
          <w:iCs/>
        </w:rPr>
        <w:fldChar w:fldCharType="separate"/>
      </w:r>
      <w:r w:rsidR="00CD6041" w:rsidRPr="00CD6041">
        <w:rPr>
          <w:rFonts w:eastAsia="Times New Roman"/>
          <w:iCs/>
          <w:noProof/>
        </w:rPr>
        <w:t>Qi &amp; Shin 2011; Crow 2010; Norris 1999)</w:t>
      </w:r>
      <w:r w:rsidR="00CD6041">
        <w:rPr>
          <w:rFonts w:eastAsia="Times New Roman"/>
          <w:iCs/>
        </w:rPr>
        <w:fldChar w:fldCharType="end"/>
      </w:r>
      <w:r>
        <w:rPr>
          <w:rFonts w:eastAsia="Times New Roman"/>
          <w:iCs/>
        </w:rPr>
        <w:t xml:space="preserve">. </w:t>
      </w:r>
      <w:r w:rsidR="00906196" w:rsidRPr="00906196">
        <w:rPr>
          <w:rFonts w:eastAsia="Times New Roman"/>
          <w:iCs/>
        </w:rPr>
        <w:t xml:space="preserve"> </w:t>
      </w:r>
      <w:r w:rsidR="00906196">
        <w:rPr>
          <w:rFonts w:eastAsia="Times New Roman"/>
          <w:iCs/>
        </w:rPr>
        <w:t xml:space="preserve">Studies using this framework have shown how this differentiation of general support for the overall political system </w:t>
      </w:r>
      <w:r w:rsidR="005B4187">
        <w:rPr>
          <w:rFonts w:eastAsia="Times New Roman"/>
          <w:iCs/>
        </w:rPr>
        <w:t>to</w:t>
      </w:r>
      <w:r w:rsidR="00906196">
        <w:rPr>
          <w:rFonts w:eastAsia="Times New Roman"/>
          <w:iCs/>
        </w:rPr>
        <w:t xml:space="preserve"> support for specific governments helps explain why percentages that trust politicians can be so low, </w:t>
      </w:r>
      <w:r w:rsidR="00CD6041">
        <w:rPr>
          <w:rFonts w:eastAsia="Times New Roman"/>
          <w:iCs/>
        </w:rPr>
        <w:t>yet</w:t>
      </w:r>
      <w:r w:rsidR="00906196">
        <w:rPr>
          <w:rFonts w:eastAsia="Times New Roman"/>
          <w:iCs/>
        </w:rPr>
        <w:t xml:space="preserve"> support for the idea of democracy can be so high.</w:t>
      </w:r>
    </w:p>
    <w:p w14:paraId="3464919B" w14:textId="2FD49288" w:rsidR="00E40F18" w:rsidRDefault="00B65E00" w:rsidP="00E40F18">
      <w:r>
        <w:rPr>
          <w:rFonts w:eastAsia="Times New Roman"/>
          <w:iCs/>
        </w:rPr>
        <w:t xml:space="preserve">But when outlining the relationship expected between the people and democracy, support for a political system is not the only thing we are interested in. Also important is to look at the link between </w:t>
      </w:r>
      <w:r>
        <w:t xml:space="preserve">political attitudes and behaviour. </w:t>
      </w:r>
      <w:r w:rsidR="008D6EC4">
        <w:t>On</w:t>
      </w:r>
      <w:r>
        <w:t xml:space="preserve">e of the most influential contemporary </w:t>
      </w:r>
      <w:r w:rsidR="00E40F18">
        <w:t>examinations of</w:t>
      </w:r>
      <w:r>
        <w:t xml:space="preserve"> this issue is</w:t>
      </w:r>
      <w:r w:rsidR="00E40F18">
        <w:t xml:space="preserve"> </w:t>
      </w:r>
      <w:r w:rsidR="008D6EC4">
        <w:t xml:space="preserve">the </w:t>
      </w:r>
      <w:r w:rsidR="00E40F18">
        <w:t>path-breaking study,</w:t>
      </w:r>
      <w:r>
        <w:t xml:space="preserve"> </w:t>
      </w:r>
      <w:r w:rsidRPr="00B65E00">
        <w:rPr>
          <w:i/>
        </w:rPr>
        <w:t>The Civic Culture</w:t>
      </w:r>
      <w:r>
        <w:t xml:space="preserve"> by Almond and Verba </w:t>
      </w:r>
      <w:r>
        <w:fldChar w:fldCharType="begin" w:fldLock="1"/>
      </w:r>
      <w:r w:rsidR="00E63CC6">
        <w:instrText>ADDIN CSL_CITATION { "citationItems" : [ { "id" : "ITEM-1", "itemData" : { "author" : [ { "dropping-particle" : "", "family" : "Almond", "given" : "Gabriel A", "non-dropping-particle" : "", "parse-names" : false, "suffix" : "" }, { "dropping-particle" : "", "family" : "Verba", "given" : "S", "non-dropping-particle" : "", "parse-names" : false, "suffix" : "" } ], "id" : "ITEM-1", "issued" : { "date-parts" : [ [ "1963" ] ] }, "publisher" : "Princeton University Press", "publisher-place" : "New Jersey", "title" : "The Civic Culture - Political Attitudes and Democracy in Five Nations", "type" : "book" }, "uris" : [ "http://www.mendeley.com/documents/?uuid=3bd45123-33c5-46f4-95ea-c38f4a823591" ] } ], "mendeley" : { "formattedCitation" : "(Almond and Verba, 1963)", "manualFormatting" : "(1963)", "plainTextFormattedCitation" : "(Almond and Verba, 1963)", "previouslyFormattedCitation" : "(Almond and Verba, 1963)" }, "properties" : { "noteIndex" : 0 }, "schema" : "https://github.com/citation-style-language/schema/raw/master/csl-citation.json" }</w:instrText>
      </w:r>
      <w:r>
        <w:fldChar w:fldCharType="separate"/>
      </w:r>
      <w:r w:rsidRPr="00B65E00">
        <w:rPr>
          <w:noProof/>
        </w:rPr>
        <w:t>(1963)</w:t>
      </w:r>
      <w:r>
        <w:fldChar w:fldCharType="end"/>
      </w:r>
      <w:r w:rsidR="00E40F18">
        <w:t>. They outlined that in a nondemocratic society,</w:t>
      </w:r>
      <w:r>
        <w:t xml:space="preserve"> people </w:t>
      </w:r>
      <w:r w:rsidR="00E40F18">
        <w:t>can be</w:t>
      </w:r>
      <w:r>
        <w:t xml:space="preserve"> understood </w:t>
      </w:r>
      <w:r w:rsidR="00E40F18">
        <w:t>as</w:t>
      </w:r>
      <w:r>
        <w:t xml:space="preserve"> subjects only, </w:t>
      </w:r>
      <w:r w:rsidR="00E40F18">
        <w:t xml:space="preserve">and their behaviour is expected to be one of passivity, loyalty and acceptance of authority </w:t>
      </w:r>
      <w:r w:rsidR="00E40F18">
        <w:fldChar w:fldCharType="begin" w:fldLock="1"/>
      </w:r>
      <w:r w:rsidR="00E63CC6">
        <w:instrText>ADDIN CSL_CITATION { "citationItems" : [ { "id" : "ITEM-1", "itemData" : { "author" : [ { "dropping-particle" : "", "family" : "Almond", "given" : "Gabriel A", "non-dropping-particle" : "", "parse-names" : false, "suffix" : "" }, { "dropping-particle" : "", "family" : "Verba", "given" : "S", "non-dropping-particle" : "", "parse-names" : false, "suffix" : "" } ], "id" : "ITEM-1", "issued" : { "date-parts" : [ [ "1963" ] ] }, "publisher" : "Princeton University Press", "publisher-place" : "New Jersey", "title" : "The Civic Culture - Political Attitudes and Democracy in Five Nations", "type" : "book" }, "uris" : [ "http://www.mendeley.com/documents/?uuid=3bd45123-33c5-46f4-95ea-c38f4a823591" ] } ], "mendeley" : { "formattedCitation" : "(Almond and Verba, 1963)", "manualFormatting" : "(Almond &amp; Verba 1963, p.162)", "plainTextFormattedCitation" : "(Almond and Verba, 1963)", "previouslyFormattedCitation" : "(Almond and Verba, 1963)" }, "properties" : { "noteIndex" : 0 }, "schema" : "https://github.com/citation-style-language/schema/raw/master/csl-citation.json" }</w:instrText>
      </w:r>
      <w:r w:rsidR="00E40F18">
        <w:fldChar w:fldCharType="separate"/>
      </w:r>
      <w:r w:rsidR="00E40F18" w:rsidRPr="00E40F18">
        <w:rPr>
          <w:noProof/>
        </w:rPr>
        <w:t>(Almond &amp; Verba 1963</w:t>
      </w:r>
      <w:r w:rsidR="00E40F18">
        <w:rPr>
          <w:noProof/>
        </w:rPr>
        <w:t>, p.162</w:t>
      </w:r>
      <w:r w:rsidR="00E40F18" w:rsidRPr="00E40F18">
        <w:rPr>
          <w:noProof/>
        </w:rPr>
        <w:t>)</w:t>
      </w:r>
      <w:r w:rsidR="00E40F18">
        <w:fldChar w:fldCharType="end"/>
      </w:r>
      <w:r w:rsidR="00E40F18">
        <w:t>. However, in a democracy</w:t>
      </w:r>
      <w:r w:rsidR="005B4187">
        <w:t>,</w:t>
      </w:r>
      <w:r w:rsidR="00E40F18">
        <w:t xml:space="preserve"> things are different. The people must be subjects to an extent in that they have some loy</w:t>
      </w:r>
      <w:r w:rsidR="008D6EC4">
        <w:t>alty and acceptance (</w:t>
      </w:r>
      <w:r w:rsidR="00E40F18">
        <w:t>more on this below</w:t>
      </w:r>
      <w:r w:rsidR="008D6EC4">
        <w:t>),</w:t>
      </w:r>
      <w:r w:rsidR="00E40F18">
        <w:t xml:space="preserve"> but people in democracies are also citizens and are expected to participate:</w:t>
      </w:r>
    </w:p>
    <w:p w14:paraId="14013C80" w14:textId="6638D924" w:rsidR="00E40F18" w:rsidRPr="00E17066" w:rsidRDefault="00E40F18" w:rsidP="00E17066">
      <w:pPr>
        <w:pStyle w:val="Quote"/>
        <w:rPr>
          <w:rFonts w:eastAsia="Times New Roman"/>
        </w:rPr>
      </w:pPr>
      <w:r>
        <w:t xml:space="preserve">In democratic societies, on the other hand, his role as subject does not exhaust what is expected of him. He is expected to have the virtues of the </w:t>
      </w:r>
      <w:r w:rsidR="00E17066">
        <w:t>subject – to obey the law, to be loyal – but he is also expected to take some part in the forma</w:t>
      </w:r>
      <w:r w:rsidR="00C37B01">
        <w:t xml:space="preserve">tion of decisions.” </w:t>
      </w:r>
      <w:r w:rsidR="00C37B01" w:rsidRPr="00170FB9">
        <w:rPr>
          <w:i w:val="0"/>
        </w:rPr>
        <w:t>(i</w:t>
      </w:r>
      <w:r w:rsidR="00E17066" w:rsidRPr="00170FB9">
        <w:rPr>
          <w:i w:val="0"/>
        </w:rPr>
        <w:t>bid)</w:t>
      </w:r>
      <w:r>
        <w:t xml:space="preserve"> </w:t>
      </w:r>
    </w:p>
    <w:p w14:paraId="5B30BDA1" w14:textId="77777777" w:rsidR="00E17066" w:rsidRDefault="00E17066" w:rsidP="00C62010">
      <w:r>
        <w:t xml:space="preserve">What made this study so important was that Almond and Verba looked far beyond a Schumpeterian conceptualisation of the people in democracy – i.e. simply voters – and tried to unpack much more what attitudes and understandings gave rise to a civic society. </w:t>
      </w:r>
    </w:p>
    <w:p w14:paraId="4775A811" w14:textId="1DFDB4AA" w:rsidR="00CF455B" w:rsidRPr="00930BF5" w:rsidRDefault="00CF455B" w:rsidP="00C62010">
      <w:r w:rsidRPr="00930BF5">
        <w:t xml:space="preserve">Borrowing from other disciplines such as sociology, social psychology and pyschoanthropology </w:t>
      </w:r>
      <w:r w:rsidR="002D5979">
        <w:fldChar w:fldCharType="begin" w:fldLock="1"/>
      </w:r>
      <w:r w:rsidR="00E63CC6">
        <w:instrText>ADDIN CSL_CITATION { "citationItems" : [ { "id" : "ITEM-1", "itemData" : { "author" : [ { "dropping-particle" : "", "family" : "Almond", "given" : "Gabriel A", "non-dropping-particle" : "", "parse-names" : false, "suffix" : "" } ], "container-title" : "The Civic Culture Revisited", "editor" : [ { "dropping-particle" : "", "family" : "Almond", "given" : "Gabriel A", "non-dropping-particle" : "", "parse-names" : false, "suffix" : "" }, { "dropping-particle" : "", "family" : "Verba", "given" : "S", "non-dropping-particle" : "", "parse-names" : false, "suffix" : "" } ], "id" : "ITEM-1", "issued" : { "date-parts" : [ [ "1980" ] ] }, "page" : "1-37", "publisher" : "SAGE Publications", "publisher-place" : "London", "title" : "The Intellectual History of the Civic Culture Concept", "type" : "chapter" }, "uris" : [ "http://www.mendeley.com/documents/?uuid=3b6de735-936b-45a1-9365-fdb96b5ef051" ] } ], "mendeley" : { "formattedCitation" : "(Almond, 1980)", "manualFormatting" : "(Almond 1980, pp.10-15)", "plainTextFormattedCitation" : "(Almond, 1980)", "previouslyFormattedCitation" : "(Almond, 1980)" }, "properties" : { "noteIndex" : 0 }, "schema" : "https://github.com/citation-style-language/schema/raw/master/csl-citation.json" }</w:instrText>
      </w:r>
      <w:r w:rsidR="002D5979">
        <w:fldChar w:fldCharType="separate"/>
      </w:r>
      <w:r w:rsidR="002D5979" w:rsidRPr="002D5979">
        <w:rPr>
          <w:noProof/>
        </w:rPr>
        <w:t>(Almond 1980</w:t>
      </w:r>
      <w:r w:rsidR="002D5979">
        <w:rPr>
          <w:noProof/>
        </w:rPr>
        <w:t>, pp.10-15</w:t>
      </w:r>
      <w:r w:rsidR="002D5979" w:rsidRPr="002D5979">
        <w:rPr>
          <w:noProof/>
        </w:rPr>
        <w:t>)</w:t>
      </w:r>
      <w:r w:rsidR="002D5979">
        <w:fldChar w:fldCharType="end"/>
      </w:r>
      <w:r w:rsidRPr="00930BF5">
        <w:t>, the study argued that if citizens are to make demands of a democratic system, it is important to understand the nature of these demands, and whether citizens might withdraw their support for democrac</w:t>
      </w:r>
      <w:r w:rsidR="00E17066">
        <w:t>y if their demands are not met.</w:t>
      </w:r>
    </w:p>
    <w:p w14:paraId="07BD7117" w14:textId="57306F48" w:rsidR="00CF455B" w:rsidRPr="00930BF5" w:rsidRDefault="00CF455B" w:rsidP="00C62010">
      <w:r>
        <w:t xml:space="preserve">Using survey data analysis, </w:t>
      </w:r>
      <w:r w:rsidRPr="00930BF5">
        <w:t xml:space="preserve">Almond and Verba analysed the cultural orientations required for citizens </w:t>
      </w:r>
      <w:r w:rsidR="00E17066">
        <w:t>not only to</w:t>
      </w:r>
      <w:r w:rsidRPr="00930BF5">
        <w:t xml:space="preserve"> </w:t>
      </w:r>
      <w:r w:rsidR="00E17066">
        <w:t xml:space="preserve">attitudinally </w:t>
      </w:r>
      <w:r w:rsidRPr="00930BF5">
        <w:t xml:space="preserve">support </w:t>
      </w:r>
      <w:r w:rsidR="00E17066">
        <w:t>a democratic system but also to get involved and be active in their local community and political affairs</w:t>
      </w:r>
      <w:r w:rsidRPr="00930BF5">
        <w:t>. Socioeconomic development was argued to be central as it fostered trust, tolerance and developed mass education, central to strengthening values that supported capitalism and democracy. Key to a stable democracy was a ‘mixed political culture’, a balance between citizen demands (voting, lobbying) and their acceptance</w:t>
      </w:r>
      <w:r w:rsidR="00E17066">
        <w:t xml:space="preserve"> of policy outputs if the democratic process was fair</w:t>
      </w:r>
      <w:r w:rsidRPr="00930BF5">
        <w:t xml:space="preserve"> (loyalty). Such examination was furthered </w:t>
      </w:r>
      <w:r w:rsidR="005B4187">
        <w:t>by using surveys to measure issues such as</w:t>
      </w:r>
      <w:r w:rsidRPr="00930BF5">
        <w:t xml:space="preserve"> citizen’s pride in certain aspects of their country, satisfaction with the participation processes available to them, and perceptions of what qualities made popular leaders (Almond </w:t>
      </w:r>
      <w:r w:rsidR="002D5979">
        <w:t>&amp;</w:t>
      </w:r>
      <w:r w:rsidRPr="00930BF5">
        <w:t xml:space="preserve"> Verba 1963).</w:t>
      </w:r>
    </w:p>
    <w:p w14:paraId="5F5859FD" w14:textId="38609CE8" w:rsidR="00CF455B" w:rsidRDefault="00CF455B" w:rsidP="00C62010">
      <w:pPr>
        <w:rPr>
          <w:noProof/>
        </w:rPr>
      </w:pPr>
      <w:r w:rsidRPr="00930BF5">
        <w:t>Upholding this balance requires a knowledgeable citizenry because “voters who are knowledgeable about politics are better able to process new information, weigh the pros and cons of different proposals, identify and connect their own preferences to those of political parties and candidates, and they are more likely to participate by voting in elections”</w:t>
      </w:r>
      <w:r w:rsidR="00EE6A75">
        <w:t xml:space="preserve"> </w:t>
      </w:r>
      <w:r w:rsidR="002D5979">
        <w:fldChar w:fldCharType="begin" w:fldLock="1"/>
      </w:r>
      <w:r w:rsidR="00E63CC6">
        <w:instrText>ADDIN CSL_CITATION { "citationItems" : [ { "id" : "ITEM-1", "itemData" : { "author" : [ { "dropping-particle" : "", "family" : "Shehata", "given" : "Adam", "non-dropping-particle" : "", "parse-names" : false, "suffix" : "" } ], "container-title" : "Journal of Elections, Public Opinion &amp; Parties", "id" : "ITEM-1", "issue" : "2", "issued" : { "date-parts" : [ [ "2013" ] ] }, "page" : "200-222", "title" : "Active or Passive Learning From Television ? Political Information Opportunities and Knowledge Gaps During Election Campaigns", "type" : "article-journal", "volume" : "23" }, "uris" : [ "http://www.mendeley.com/documents/?uuid=84f3b2ef-7b26-42bf-9286-4054a13c3249" ] } ], "mendeley" : { "formattedCitation" : "(Shehata, 2013)", "manualFormatting" : "(Shehata 2013, p.200)", "plainTextFormattedCitation" : "(Shehata, 2013)", "previouslyFormattedCitation" : "(Shehata, 2013)" }, "properties" : { "noteIndex" : 0 }, "schema" : "https://github.com/citation-style-language/schema/raw/master/csl-citation.json" }</w:instrText>
      </w:r>
      <w:r w:rsidR="002D5979">
        <w:fldChar w:fldCharType="separate"/>
      </w:r>
      <w:r w:rsidR="002D5979" w:rsidRPr="002D5979">
        <w:rPr>
          <w:noProof/>
        </w:rPr>
        <w:t>(Shehata 2013</w:t>
      </w:r>
      <w:r w:rsidR="002D5979">
        <w:rPr>
          <w:noProof/>
        </w:rPr>
        <w:t>, p.200</w:t>
      </w:r>
      <w:r w:rsidR="002D5979" w:rsidRPr="002D5979">
        <w:rPr>
          <w:noProof/>
        </w:rPr>
        <w:t>)</w:t>
      </w:r>
      <w:r w:rsidR="002D5979">
        <w:fldChar w:fldCharType="end"/>
      </w:r>
      <w:r w:rsidR="00EE6A75">
        <w:t>. Not only that</w:t>
      </w:r>
      <w:r w:rsidRPr="00930BF5">
        <w:t xml:space="preserve"> but</w:t>
      </w:r>
      <w:r w:rsidR="00EE6A75">
        <w:t>,</w:t>
      </w:r>
      <w:r w:rsidRPr="00930BF5">
        <w:t xml:space="preserve"> for balance, they must be aware of the limits of participation and the types of demands that a democracy can handle.</w:t>
      </w:r>
    </w:p>
    <w:p w14:paraId="5B813A17" w14:textId="3754D626" w:rsidR="00CF455B" w:rsidRDefault="008D6EC4" w:rsidP="00C62010">
      <w:r>
        <w:t>T</w:t>
      </w:r>
      <w:r w:rsidR="00CF455B">
        <w:t>his approach</w:t>
      </w:r>
      <w:r>
        <w:t xml:space="preserve"> to analysing political behaviour, looking at attitudes, values and support for democracy</w:t>
      </w:r>
      <w:r w:rsidR="00826D36">
        <w:t>,</w:t>
      </w:r>
      <w:r w:rsidR="00CF455B">
        <w:t xml:space="preserve"> has spawned something of an academic ‘industry’, </w:t>
      </w:r>
      <w:r>
        <w:t xml:space="preserve">but </w:t>
      </w:r>
      <w:r w:rsidR="00CF455B">
        <w:t xml:space="preserve">it has not gone uncriticised </w:t>
      </w:r>
      <w:r w:rsidR="00833E46">
        <w:fldChar w:fldCharType="begin" w:fldLock="1"/>
      </w:r>
      <w:r w:rsidR="00E63CC6">
        <w:instrText>ADDIN CSL_CITATION { "citationItems" : [ { "id" : "ITEM-1", "itemData" : { "author" : [ { "dropping-particle" : "", "family" : "Przeworski", "given" : "Adam", "non-dropping-particle" : "", "parse-names" : false, "suffix" : "" } ], "container-title" : "Democracy and the rule of law", "editor" : [ { "dropping-particle" : "", "family" : "Maravall", "given" : "JM", "non-dropping-particle" : "", "parse-names" : false, "suffix" : "" }, { "dropping-particle" : "", "family" : "Przeworski", "given" : "Adam", "non-dropping-particle" : "", "parse-names" : false, "suffix" : "" } ], "id" : "ITEM-1", "issued" : { "date-parts" : [ [ "2003" ] ] }, "publisher" : "Cambridge University Press", "publisher-place" : "Cambridge", "title" : "Why do parties obey results of elections?", "type" : "chapter" }, "uris" : [ "http://www.mendeley.com/documents/?uuid=aed90ccc-bc5c-421f-9300-d43efa64a8e9" ] }, { "id" : "ITEM-2", "itemData" : { "author" : [ { "dropping-particle" : "", "family" : "Barry", "given" : "B", "non-dropping-particle" : "", "parse-names" : false, "suffix" : "" } ], "id" : "ITEM-2", "issued" : { "date-parts" : [ [ "1978" ] ] }, "publisher" : "University of Chicago Press", "publisher-place" : "Chicago", "title" : "Sociologists, Economists, and Democracy", "type" : "book" }, "uris" : [ "http://www.mendeley.com/documents/?uuid=62532f60-5450-4755-8f82-bbc02e0224cb" ] } ], "mendeley" : { "formattedCitation" : "(Barry, 1978; Przeworski, 2003)", "plainTextFormattedCitation" : "(Barry, 1978; Przeworski, 2003)", "previouslyFormattedCitation" : "(Barry, 1978; Przeworski, 2003)" }, "properties" : { "noteIndex" : 0 }, "schema" : "https://github.com/citation-style-language/schema/raw/master/csl-citation.json" }</w:instrText>
      </w:r>
      <w:r w:rsidR="00833E46">
        <w:fldChar w:fldCharType="separate"/>
      </w:r>
      <w:r w:rsidR="00E63CC6" w:rsidRPr="00E63CC6">
        <w:rPr>
          <w:noProof/>
        </w:rPr>
        <w:t>(Barry, 1978; Przeworski, 2003)</w:t>
      </w:r>
      <w:r w:rsidR="00833E46">
        <w:fldChar w:fldCharType="end"/>
      </w:r>
      <w:r w:rsidR="0010443D">
        <w:t>.</w:t>
      </w:r>
      <w:r w:rsidR="00CF455B">
        <w:t xml:space="preserve"> One issue raised is that the idea of ‘political culture’ is really analogous to early work on ‘national character’, an approac</w:t>
      </w:r>
      <w:r w:rsidR="0010443D">
        <w:t>h which Barry (1978, pp.</w:t>
      </w:r>
      <w:r w:rsidR="00826D36">
        <w:t>8-9) argued</w:t>
      </w:r>
      <w:r w:rsidR="00CF455B">
        <w:t xml:space="preserve"> is somewhat conservative in nature, drawing from a strain of political sociological literature which understood events such as the collapse of the Weimar Republic and the Russia Revolution as evidence that popular participation leads to absolutism. When survey data results were interpreted to demonstrate that people were fre</w:t>
      </w:r>
      <w:r w:rsidR="00826D36">
        <w:t>quently irrational, Barry argued</w:t>
      </w:r>
      <w:r w:rsidR="00CF455B">
        <w:t xml:space="preserve"> the regressive focus then becomes: how can social order be maintained?   </w:t>
      </w:r>
    </w:p>
    <w:p w14:paraId="079E75E0" w14:textId="606AE4D1" w:rsidR="00CF455B" w:rsidRDefault="00826D36" w:rsidP="00C62010">
      <w:r>
        <w:t>Przeworski (2003) highlighted</w:t>
      </w:r>
      <w:r w:rsidR="00CF455B">
        <w:t xml:space="preserve"> the conceptual and methodological pitfalls which Barry noted over two decades previously and expands upon his own critique which is that in these studies what is often outlined is how particular elements might coincide (high educational attainment and high participation) but this line of ‘theorising’ does not pick away at </w:t>
      </w:r>
      <w:r w:rsidR="00CF455B">
        <w:rPr>
          <w:i/>
        </w:rPr>
        <w:t>why</w:t>
      </w:r>
      <w:r w:rsidR="00CF455B">
        <w:t xml:space="preserve"> this is the case, as opposed to rationalist models based on game theory for instance, which are more focused on trying to explain the </w:t>
      </w:r>
      <w:r w:rsidR="00CF455B" w:rsidRPr="00E15668">
        <w:rPr>
          <w:i/>
        </w:rPr>
        <w:t>why</w:t>
      </w:r>
      <w:r w:rsidR="00CF455B">
        <w:rPr>
          <w:i/>
        </w:rPr>
        <w:t xml:space="preserve"> </w:t>
      </w:r>
      <w:r w:rsidR="00CF455B">
        <w:t>part of the story.</w:t>
      </w:r>
    </w:p>
    <w:p w14:paraId="651CCCF8" w14:textId="245577A6" w:rsidR="00CF455B" w:rsidRDefault="00CF455B" w:rsidP="00C62010">
      <w:r>
        <w:t xml:space="preserve">However, these criticisms aside, it cannot be overstated </w:t>
      </w:r>
      <w:r w:rsidR="00652014">
        <w:t xml:space="preserve">how </w:t>
      </w:r>
      <w:r>
        <w:t>importan</w:t>
      </w:r>
      <w:r w:rsidR="00652014">
        <w:t>t</w:t>
      </w:r>
      <w:r>
        <w:t xml:space="preserve"> </w:t>
      </w:r>
      <w:r w:rsidR="00652014">
        <w:t xml:space="preserve">the Civic Culture </w:t>
      </w:r>
      <w:r>
        <w:t xml:space="preserve">research </w:t>
      </w:r>
      <w:r w:rsidR="00652014">
        <w:t xml:space="preserve">has been </w:t>
      </w:r>
      <w:r>
        <w:t xml:space="preserve">in informing </w:t>
      </w:r>
      <w:r w:rsidR="00652014">
        <w:t>sub</w:t>
      </w:r>
      <w:r>
        <w:t xml:space="preserve">sequent </w:t>
      </w:r>
      <w:r w:rsidR="00652014">
        <w:t xml:space="preserve">work </w:t>
      </w:r>
      <w:r>
        <w:t>on conceptualising political support and helping us to understand why certain patterns of support are as they are, especially the consistent finding that democracy has such strong support, and politicians suffer from such low support.</w:t>
      </w:r>
      <w:r w:rsidR="00676928" w:rsidRPr="00676928">
        <w:t xml:space="preserve"> </w:t>
      </w:r>
    </w:p>
    <w:p w14:paraId="27947A46" w14:textId="3F529686" w:rsidR="00676928" w:rsidRDefault="00676928" w:rsidP="00676928">
      <w:pPr>
        <w:rPr>
          <w:rFonts w:eastAsia="Times New Roman"/>
        </w:rPr>
      </w:pPr>
      <w:r>
        <w:rPr>
          <w:rFonts w:eastAsia="Times New Roman"/>
        </w:rPr>
        <w:t>Figure 2.2</w:t>
      </w:r>
      <w:r w:rsidR="0010443D">
        <w:rPr>
          <w:rFonts w:eastAsia="Times New Roman"/>
        </w:rPr>
        <w:t xml:space="preserve"> demonstrates how Norris</w:t>
      </w:r>
      <w:r w:rsidR="00DE393B">
        <w:rPr>
          <w:rFonts w:eastAsia="Times New Roman"/>
        </w:rPr>
        <w:t xml:space="preserve"> </w:t>
      </w:r>
      <w:r w:rsidR="0010443D">
        <w:rPr>
          <w:rFonts w:eastAsia="Times New Roman"/>
        </w:rPr>
        <w:fldChar w:fldCharType="begin" w:fldLock="1"/>
      </w:r>
      <w:r w:rsidR="00DE393B">
        <w:rPr>
          <w:rFonts w:eastAsia="Times New Roman"/>
        </w:rPr>
        <w:instrText>ADDIN CSL_CITATION { "citationItems" : [ { "id" : "ITEM-1", "itemData" : { "author" : [ { "dropping-particle" : "", "family" : "Norris", "given" : "P", "non-dropping-particle" : "", "parse-names" : false, "suffix" : "" } ], "container-title" : "Critical Citizens - Global Support for Democratic Governance", "editor" : [ { "dropping-particle" : "", "family" : "Norris", "given" : "P", "non-dropping-particle" : "", "parse-names" : false, "suffix" : "" } ], "id" : "ITEM-1", "issued" : { "date-parts" : [ [ "1999" ] ] }, "page" : "1-30", "publisher" : "Oxford University Press", "publisher-place" : "Oxford", "title" : "Introduction: The growth of critical citizens?", "type" : "chapter" }, "uris" : [ "http://www.mendeley.com/documents/?uuid=dfb502f5-7866-4e17-bb41-94987036ce24" ] } ], "mendeley" : { "formattedCitation" : "(Norris, 1999)", "manualFormatting" : "(1999, p.10)", "plainTextFormattedCitation" : "(Norris, 1999)", "previouslyFormattedCitation" : "(Norris, 1999)" }, "properties" : { "noteIndex" : 0 }, "schema" : "https://github.com/citation-style-language/schema/raw/master/csl-citation.json" }</w:instrText>
      </w:r>
      <w:r w:rsidR="0010443D">
        <w:rPr>
          <w:rFonts w:eastAsia="Times New Roman"/>
        </w:rPr>
        <w:fldChar w:fldCharType="separate"/>
      </w:r>
      <w:r w:rsidR="0010443D" w:rsidRPr="0010443D">
        <w:rPr>
          <w:rFonts w:eastAsia="Times New Roman"/>
          <w:noProof/>
        </w:rPr>
        <w:t>(1999</w:t>
      </w:r>
      <w:r w:rsidR="0010443D">
        <w:rPr>
          <w:rFonts w:eastAsia="Times New Roman"/>
          <w:noProof/>
        </w:rPr>
        <w:t>, p.10</w:t>
      </w:r>
      <w:r w:rsidR="0010443D" w:rsidRPr="0010443D">
        <w:rPr>
          <w:rFonts w:eastAsia="Times New Roman"/>
          <w:noProof/>
        </w:rPr>
        <w:t>)</w:t>
      </w:r>
      <w:r w:rsidR="0010443D">
        <w:rPr>
          <w:rFonts w:eastAsia="Times New Roman"/>
        </w:rPr>
        <w:fldChar w:fldCharType="end"/>
      </w:r>
      <w:r w:rsidRPr="00930BF5">
        <w:rPr>
          <w:rFonts w:eastAsia="Times New Roman"/>
        </w:rPr>
        <w:t xml:space="preserve"> and Dalton</w:t>
      </w:r>
      <w:r w:rsidR="0010443D">
        <w:rPr>
          <w:rFonts w:eastAsia="Times New Roman"/>
        </w:rPr>
        <w:t xml:space="preserve"> </w:t>
      </w:r>
      <w:r w:rsidR="0010443D">
        <w:rPr>
          <w:rFonts w:eastAsia="Times New Roman"/>
        </w:rPr>
        <w:fldChar w:fldCharType="begin" w:fldLock="1"/>
      </w:r>
      <w:r w:rsidR="00DE393B">
        <w:rPr>
          <w:rFonts w:eastAsia="Times New Roman"/>
        </w:rPr>
        <w:instrText>ADDIN CSL_CITATION { "citationItems" : [ { "id" : "ITEM-1", "itemData" : { "author" : [ { "dropping-particle" : "", "family" : "Dalton", "given" : "RJ", "non-dropping-particle" : "", "parse-names" : false, "suffix" : "" } ], "container-title" : "Critical Citizens - Global Support for Democratic Governance", "editor" : [ { "dropping-particle" : "", "family" : "Norris", "given" : "P", "non-dropping-particle" : "", "parse-names" : false, "suffix" : "" } ], "id" : "ITEM-1", "issued" : { "date-parts" : [ [ "1999" ] ] }, "page" : "57-78", "publisher" : "Oxford University Press", "publisher-place" : "Oxford", "title" : "Political Support in Advanced Industrial Nations", "type" : "chapter" }, "uris" : [ "http://www.mendeley.com/documents/?uuid=b35cab17-68c5-474b-9cea-bded1fd7273e" ] } ], "mendeley" : { "formattedCitation" : "(Dalton, 1999)", "manualFormatting" : "(1999, p.58)", "plainTextFormattedCitation" : "(Dalton, 1999)", "previouslyFormattedCitation" : "(Dalton, 1999)" }, "properties" : { "noteIndex" : 0 }, "schema" : "https://github.com/citation-style-language/schema/raw/master/csl-citation.json" }</w:instrText>
      </w:r>
      <w:r w:rsidR="0010443D">
        <w:rPr>
          <w:rFonts w:eastAsia="Times New Roman"/>
        </w:rPr>
        <w:fldChar w:fldCharType="separate"/>
      </w:r>
      <w:r w:rsidR="0010443D" w:rsidRPr="0010443D">
        <w:rPr>
          <w:rFonts w:eastAsia="Times New Roman"/>
          <w:noProof/>
        </w:rPr>
        <w:t>(1999</w:t>
      </w:r>
      <w:r w:rsidR="0010443D">
        <w:rPr>
          <w:rFonts w:eastAsia="Times New Roman"/>
          <w:noProof/>
        </w:rPr>
        <w:t>, p.58</w:t>
      </w:r>
      <w:r w:rsidR="0010443D" w:rsidRPr="0010443D">
        <w:rPr>
          <w:rFonts w:eastAsia="Times New Roman"/>
          <w:noProof/>
        </w:rPr>
        <w:t>)</w:t>
      </w:r>
      <w:r w:rsidR="0010443D">
        <w:rPr>
          <w:rFonts w:eastAsia="Times New Roman"/>
        </w:rPr>
        <w:fldChar w:fldCharType="end"/>
      </w:r>
      <w:r w:rsidRPr="00930BF5">
        <w:rPr>
          <w:rFonts w:eastAsia="Times New Roman"/>
        </w:rPr>
        <w:t xml:space="preserve"> </w:t>
      </w:r>
      <w:r w:rsidR="0010443D">
        <w:rPr>
          <w:rFonts w:eastAsia="Times New Roman"/>
        </w:rPr>
        <w:t>have</w:t>
      </w:r>
      <w:r w:rsidRPr="00930BF5">
        <w:rPr>
          <w:rFonts w:eastAsia="Times New Roman"/>
        </w:rPr>
        <w:t xml:space="preserve"> update</w:t>
      </w:r>
      <w:r w:rsidR="0010443D">
        <w:rPr>
          <w:rFonts w:eastAsia="Times New Roman"/>
        </w:rPr>
        <w:t>d</w:t>
      </w:r>
      <w:r w:rsidRPr="00930BF5">
        <w:rPr>
          <w:rFonts w:eastAsia="Times New Roman"/>
        </w:rPr>
        <w:t xml:space="preserve"> Easton’s framework of political support and the concepts highlighted in Almond and Verba’s civic culture study to systematically examine political support for democratic governance. The </w:t>
      </w:r>
      <w:r>
        <w:rPr>
          <w:rFonts w:eastAsia="Times New Roman"/>
        </w:rPr>
        <w:t xml:space="preserve">scale from diffuse support through to </w:t>
      </w:r>
      <w:r w:rsidRPr="00930BF5">
        <w:rPr>
          <w:rFonts w:eastAsia="Times New Roman"/>
        </w:rPr>
        <w:t>specific</w:t>
      </w:r>
      <w:r>
        <w:rPr>
          <w:rFonts w:eastAsia="Times New Roman"/>
        </w:rPr>
        <w:t xml:space="preserve"> support</w:t>
      </w:r>
      <w:r w:rsidRPr="00930BF5">
        <w:rPr>
          <w:rFonts w:eastAsia="Times New Roman"/>
        </w:rPr>
        <w:t xml:space="preserve"> is split into </w:t>
      </w:r>
      <w:r w:rsidR="00EE6A75">
        <w:rPr>
          <w:rFonts w:eastAsia="Times New Roman"/>
        </w:rPr>
        <w:t>particular</w:t>
      </w:r>
      <w:r w:rsidRPr="00930BF5">
        <w:rPr>
          <w:rFonts w:eastAsia="Times New Roman"/>
        </w:rPr>
        <w:t xml:space="preserve"> </w:t>
      </w:r>
      <w:r>
        <w:rPr>
          <w:rFonts w:eastAsia="Times New Roman"/>
        </w:rPr>
        <w:t>levels of focus; community, regime and authorities. The community is the most diffuse, and relates to values of national pride. The regime is more specific. It a democracy it can be examined by looking at support for democracy as a system (see Chapter 1)</w:t>
      </w:r>
      <w:r w:rsidR="008E0C64">
        <w:rPr>
          <w:rFonts w:eastAsia="Times New Roman"/>
        </w:rPr>
        <w:t xml:space="preserve"> but also performance of the governments and trusts in the party system. Finally, at the most specific level, we can examine feelings towards party leaders and strength of partisanship. </w:t>
      </w:r>
    </w:p>
    <w:p w14:paraId="1DC054AB" w14:textId="77777777" w:rsidR="00676928" w:rsidRDefault="00676928" w:rsidP="00676928">
      <w:pPr>
        <w:rPr>
          <w:rFonts w:eastAsia="Times New Roman"/>
        </w:rPr>
      </w:pPr>
    </w:p>
    <w:p w14:paraId="32F30832" w14:textId="77777777" w:rsidR="00676928" w:rsidRPr="00930BF5" w:rsidRDefault="00676928" w:rsidP="00C62010">
      <w:pPr>
        <w:sectPr w:rsidR="00676928" w:rsidRPr="00930BF5" w:rsidSect="0052597C">
          <w:footerReference w:type="default" r:id="rId13"/>
          <w:pgSz w:w="11906" w:h="16838"/>
          <w:pgMar w:top="1440" w:right="1440" w:bottom="1440" w:left="1440" w:header="708" w:footer="708" w:gutter="357"/>
          <w:pgNumType w:start="1"/>
          <w:cols w:space="708"/>
          <w:docGrid w:linePitch="360"/>
        </w:sectPr>
      </w:pPr>
    </w:p>
    <w:tbl>
      <w:tblPr>
        <w:tblpPr w:leftFromText="180" w:rightFromText="180" w:vertAnchor="page" w:horzAnchor="margin" w:tblpY="2215"/>
        <w:tblW w:w="14174" w:type="dxa"/>
        <w:tblLayout w:type="fixed"/>
        <w:tblCellMar>
          <w:left w:w="10" w:type="dxa"/>
          <w:right w:w="10" w:type="dxa"/>
        </w:tblCellMar>
        <w:tblLook w:val="04A0" w:firstRow="1" w:lastRow="0" w:firstColumn="1" w:lastColumn="0" w:noHBand="0" w:noVBand="1"/>
      </w:tblPr>
      <w:tblGrid>
        <w:gridCol w:w="2318"/>
        <w:gridCol w:w="1945"/>
        <w:gridCol w:w="2977"/>
        <w:gridCol w:w="3627"/>
        <w:gridCol w:w="3307"/>
      </w:tblGrid>
      <w:tr w:rsidR="00CF455B" w:rsidRPr="0061714A" w14:paraId="1B58C936" w14:textId="77777777" w:rsidTr="008814DE">
        <w:tc>
          <w:tcPr>
            <w:tcW w:w="2318" w:type="dxa"/>
          </w:tcPr>
          <w:p w14:paraId="1CF02195" w14:textId="77777777" w:rsidR="00CF455B" w:rsidRPr="0061714A" w:rsidRDefault="00CF455B" w:rsidP="008814DE">
            <w:pPr>
              <w:tabs>
                <w:tab w:val="left" w:pos="2190"/>
              </w:tabs>
              <w:spacing w:before="100" w:beforeAutospacing="1"/>
              <w:rPr>
                <w:rFonts w:eastAsia="SimSun"/>
                <w:b/>
                <w:bCs/>
                <w:sz w:val="20"/>
                <w:szCs w:val="20"/>
                <w:lang w:eastAsia="zh-CN"/>
              </w:rPr>
            </w:pPr>
            <w:r w:rsidRPr="0061714A">
              <w:rPr>
                <w:rFonts w:eastAsia="SimSun"/>
                <w:b/>
                <w:bCs/>
                <w:sz w:val="20"/>
                <w:szCs w:val="20"/>
                <w:lang w:eastAsia="zh-CN"/>
              </w:rPr>
              <w:t>Type of Support</w:t>
            </w:r>
          </w:p>
        </w:tc>
        <w:tc>
          <w:tcPr>
            <w:tcW w:w="1945" w:type="dxa"/>
            <w:vAlign w:val="bottom"/>
          </w:tcPr>
          <w:p w14:paraId="434522A7" w14:textId="77777777" w:rsidR="00CF455B" w:rsidRPr="0061714A" w:rsidRDefault="00CF455B" w:rsidP="008814DE">
            <w:pPr>
              <w:tabs>
                <w:tab w:val="left" w:pos="2190"/>
              </w:tabs>
              <w:spacing w:before="100" w:beforeAutospacing="1"/>
              <w:rPr>
                <w:rFonts w:eastAsia="SimSun"/>
                <w:b/>
                <w:bCs/>
                <w:sz w:val="20"/>
                <w:szCs w:val="20"/>
                <w:lang w:eastAsia="zh-CN"/>
              </w:rPr>
            </w:pPr>
            <w:r w:rsidRPr="0061714A">
              <w:rPr>
                <w:rFonts w:eastAsia="SimSun"/>
                <w:b/>
                <w:bCs/>
                <w:sz w:val="20"/>
                <w:szCs w:val="20"/>
                <w:lang w:eastAsia="zh-CN"/>
              </w:rPr>
              <w:t>Level of analysis</w:t>
            </w:r>
          </w:p>
        </w:tc>
        <w:tc>
          <w:tcPr>
            <w:tcW w:w="2977" w:type="dxa"/>
            <w:tcMar>
              <w:top w:w="0" w:type="dxa"/>
              <w:left w:w="108" w:type="dxa"/>
              <w:bottom w:w="0" w:type="dxa"/>
              <w:right w:w="108" w:type="dxa"/>
            </w:tcMar>
            <w:vAlign w:val="bottom"/>
            <w:hideMark/>
          </w:tcPr>
          <w:p w14:paraId="4E4F2C1F" w14:textId="77777777" w:rsidR="00CF455B" w:rsidRPr="0061714A" w:rsidRDefault="00CF455B" w:rsidP="008814DE">
            <w:pPr>
              <w:tabs>
                <w:tab w:val="left" w:pos="2190"/>
              </w:tabs>
              <w:spacing w:before="100" w:beforeAutospacing="1"/>
              <w:rPr>
                <w:rFonts w:eastAsia="SimSun"/>
                <w:b/>
                <w:bCs/>
                <w:sz w:val="20"/>
                <w:szCs w:val="20"/>
                <w:lang w:eastAsia="zh-CN"/>
              </w:rPr>
            </w:pPr>
            <w:r w:rsidRPr="0061714A">
              <w:rPr>
                <w:rFonts w:eastAsia="SimSun"/>
                <w:b/>
                <w:bCs/>
                <w:sz w:val="20"/>
                <w:szCs w:val="20"/>
                <w:lang w:eastAsia="zh-CN"/>
              </w:rPr>
              <w:t>Affective orientations</w:t>
            </w:r>
          </w:p>
        </w:tc>
        <w:tc>
          <w:tcPr>
            <w:tcW w:w="3627" w:type="dxa"/>
            <w:tcMar>
              <w:top w:w="0" w:type="dxa"/>
              <w:left w:w="108" w:type="dxa"/>
              <w:bottom w:w="0" w:type="dxa"/>
              <w:right w:w="108" w:type="dxa"/>
            </w:tcMar>
            <w:vAlign w:val="bottom"/>
            <w:hideMark/>
          </w:tcPr>
          <w:p w14:paraId="4E5C77BA" w14:textId="77777777" w:rsidR="00CF455B" w:rsidRPr="0061714A" w:rsidRDefault="00CF455B" w:rsidP="008814DE">
            <w:pPr>
              <w:tabs>
                <w:tab w:val="left" w:pos="2190"/>
              </w:tabs>
              <w:spacing w:before="100" w:beforeAutospacing="1"/>
              <w:rPr>
                <w:rFonts w:eastAsia="SimSun"/>
                <w:b/>
                <w:bCs/>
                <w:sz w:val="20"/>
                <w:szCs w:val="20"/>
                <w:lang w:eastAsia="zh-CN"/>
              </w:rPr>
            </w:pPr>
            <w:r w:rsidRPr="0061714A">
              <w:rPr>
                <w:rFonts w:eastAsia="SimSun"/>
                <w:b/>
                <w:bCs/>
                <w:sz w:val="20"/>
                <w:szCs w:val="20"/>
                <w:lang w:eastAsia="zh-CN"/>
              </w:rPr>
              <w:t>Instrumental evaluations</w:t>
            </w:r>
          </w:p>
        </w:tc>
        <w:tc>
          <w:tcPr>
            <w:tcW w:w="3307" w:type="dxa"/>
          </w:tcPr>
          <w:p w14:paraId="4C6A0BF0" w14:textId="77777777" w:rsidR="00CF455B" w:rsidRPr="0061714A" w:rsidRDefault="00CF455B" w:rsidP="008814DE">
            <w:pPr>
              <w:tabs>
                <w:tab w:val="left" w:pos="2190"/>
              </w:tabs>
              <w:spacing w:before="100" w:beforeAutospacing="1"/>
              <w:rPr>
                <w:rFonts w:eastAsia="SimSun"/>
                <w:b/>
                <w:bCs/>
                <w:sz w:val="20"/>
                <w:szCs w:val="20"/>
                <w:lang w:eastAsia="zh-CN"/>
              </w:rPr>
            </w:pPr>
            <w:r w:rsidRPr="0061714A">
              <w:rPr>
                <w:rFonts w:eastAsia="SimSun"/>
                <w:b/>
                <w:bCs/>
                <w:sz w:val="20"/>
                <w:szCs w:val="20"/>
                <w:lang w:eastAsia="zh-CN"/>
              </w:rPr>
              <w:t>Summary of Trends</w:t>
            </w:r>
          </w:p>
        </w:tc>
      </w:tr>
      <w:tr w:rsidR="00CF455B" w:rsidRPr="0061714A" w14:paraId="67C7BADF" w14:textId="77777777" w:rsidTr="008814DE">
        <w:tc>
          <w:tcPr>
            <w:tcW w:w="2318" w:type="dxa"/>
            <w:vAlign w:val="center"/>
          </w:tcPr>
          <w:p w14:paraId="382BD9FC" w14:textId="77777777" w:rsidR="00CF455B" w:rsidRPr="0061714A" w:rsidRDefault="00CF455B" w:rsidP="008814DE">
            <w:pPr>
              <w:tabs>
                <w:tab w:val="left" w:pos="2190"/>
              </w:tabs>
              <w:spacing w:before="100" w:beforeAutospacing="1"/>
              <w:rPr>
                <w:rFonts w:eastAsia="Times New Roman"/>
                <w:i/>
                <w:sz w:val="20"/>
                <w:szCs w:val="20"/>
              </w:rPr>
            </w:pPr>
            <w:r w:rsidRPr="0061714A">
              <w:rPr>
                <w:rFonts w:eastAsia="Times New Roman"/>
                <w:i/>
                <w:sz w:val="20"/>
                <w:szCs w:val="20"/>
              </w:rPr>
              <w:t>Diffuse Support</w:t>
            </w:r>
          </w:p>
        </w:tc>
        <w:tc>
          <w:tcPr>
            <w:tcW w:w="1945" w:type="dxa"/>
            <w:vAlign w:val="center"/>
          </w:tcPr>
          <w:p w14:paraId="05566953" w14:textId="77777777" w:rsidR="00CF455B" w:rsidRPr="0061714A" w:rsidRDefault="00CF455B" w:rsidP="008814DE">
            <w:pPr>
              <w:tabs>
                <w:tab w:val="left" w:pos="2190"/>
              </w:tabs>
              <w:spacing w:before="100" w:beforeAutospacing="1"/>
              <w:rPr>
                <w:rFonts w:eastAsia="SimSun"/>
                <w:i/>
                <w:iCs/>
                <w:sz w:val="20"/>
                <w:szCs w:val="20"/>
                <w:lang w:eastAsia="zh-CN"/>
              </w:rPr>
            </w:pPr>
            <w:r w:rsidRPr="0061714A">
              <w:rPr>
                <w:rFonts w:eastAsia="SimSun"/>
                <w:i/>
                <w:iCs/>
                <w:sz w:val="20"/>
                <w:szCs w:val="20"/>
                <w:lang w:eastAsia="zh-CN"/>
              </w:rPr>
              <w:t>Community</w:t>
            </w:r>
          </w:p>
        </w:tc>
        <w:tc>
          <w:tcPr>
            <w:tcW w:w="2977" w:type="dxa"/>
            <w:tcMar>
              <w:top w:w="0" w:type="dxa"/>
              <w:left w:w="108" w:type="dxa"/>
              <w:bottom w:w="0" w:type="dxa"/>
              <w:right w:w="108" w:type="dxa"/>
            </w:tcMar>
          </w:tcPr>
          <w:p w14:paraId="5F134149" w14:textId="77777777" w:rsidR="00CF455B" w:rsidRPr="0061714A" w:rsidRDefault="00CF455B" w:rsidP="008814DE">
            <w:pPr>
              <w:tabs>
                <w:tab w:val="left" w:pos="2190"/>
              </w:tabs>
              <w:spacing w:before="100" w:beforeAutospacing="1"/>
              <w:rPr>
                <w:rFonts w:eastAsia="SimSun"/>
                <w:sz w:val="20"/>
                <w:szCs w:val="20"/>
                <w:lang w:eastAsia="zh-CN"/>
              </w:rPr>
            </w:pPr>
          </w:p>
        </w:tc>
        <w:tc>
          <w:tcPr>
            <w:tcW w:w="3627" w:type="dxa"/>
            <w:tcMar>
              <w:top w:w="0" w:type="dxa"/>
              <w:left w:w="108" w:type="dxa"/>
              <w:bottom w:w="0" w:type="dxa"/>
              <w:right w:w="108" w:type="dxa"/>
            </w:tcMar>
          </w:tcPr>
          <w:p w14:paraId="00BC66D7" w14:textId="77777777" w:rsidR="00CF455B" w:rsidRPr="0061714A" w:rsidRDefault="00CF455B" w:rsidP="008814DE">
            <w:pPr>
              <w:tabs>
                <w:tab w:val="left" w:pos="2190"/>
              </w:tabs>
              <w:spacing w:before="100" w:beforeAutospacing="1"/>
              <w:rPr>
                <w:rFonts w:eastAsia="SimSun"/>
                <w:sz w:val="20"/>
                <w:szCs w:val="20"/>
                <w:lang w:eastAsia="zh-CN"/>
              </w:rPr>
            </w:pPr>
          </w:p>
        </w:tc>
        <w:tc>
          <w:tcPr>
            <w:tcW w:w="3307" w:type="dxa"/>
          </w:tcPr>
          <w:p w14:paraId="56C1E6FF" w14:textId="77777777" w:rsidR="00CF455B" w:rsidRPr="0061714A" w:rsidRDefault="00CF455B" w:rsidP="008814DE">
            <w:pPr>
              <w:spacing w:before="100" w:beforeAutospacing="1"/>
              <w:rPr>
                <w:rFonts w:eastAsia="Times New Roman"/>
                <w:i/>
                <w:sz w:val="20"/>
                <w:szCs w:val="20"/>
              </w:rPr>
            </w:pPr>
          </w:p>
        </w:tc>
      </w:tr>
      <w:tr w:rsidR="00CF455B" w:rsidRPr="0061714A" w14:paraId="0C9969AA" w14:textId="77777777" w:rsidTr="008814DE">
        <w:tc>
          <w:tcPr>
            <w:tcW w:w="2318" w:type="dxa"/>
            <w:vMerge w:val="restart"/>
          </w:tcPr>
          <w:p w14:paraId="7458FA70"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Times New Roman"/>
                <w:iCs/>
                <w:noProof/>
                <w:sz w:val="20"/>
                <w:szCs w:val="20"/>
                <w:lang w:eastAsia="zh-CN"/>
              </w:rPr>
              <mc:AlternateContent>
                <mc:Choice Requires="wps">
                  <w:drawing>
                    <wp:anchor distT="0" distB="0" distL="114300" distR="114300" simplePos="0" relativeHeight="251659776" behindDoc="0" locked="0" layoutInCell="1" allowOverlap="1" wp14:anchorId="7FFC42FE" wp14:editId="316B9BE2">
                      <wp:simplePos x="0" y="0"/>
                      <wp:positionH relativeFrom="column">
                        <wp:posOffset>691116</wp:posOffset>
                      </wp:positionH>
                      <wp:positionV relativeFrom="paragraph">
                        <wp:posOffset>238657</wp:posOffset>
                      </wp:positionV>
                      <wp:extent cx="0" cy="3615069"/>
                      <wp:effectExtent l="95250" t="38100" r="57150" b="61595"/>
                      <wp:wrapNone/>
                      <wp:docPr id="2" name="Straight Arrow Connector 2"/>
                      <wp:cNvGraphicFramePr/>
                      <a:graphic xmlns:a="http://schemas.openxmlformats.org/drawingml/2006/main">
                        <a:graphicData uri="http://schemas.microsoft.com/office/word/2010/wordprocessingShape">
                          <wps:wsp>
                            <wps:cNvCnPr/>
                            <wps:spPr>
                              <a:xfrm>
                                <a:off x="0" y="0"/>
                                <a:ext cx="0" cy="3615069"/>
                              </a:xfrm>
                              <a:prstGeom prst="straightConnector1">
                                <a:avLst/>
                              </a:prstGeom>
                              <a:ln w="19050">
                                <a:solidFill>
                                  <a:schemeClr val="tx1">
                                    <a:lumMod val="95000"/>
                                    <a:lumOff val="5000"/>
                                  </a:schemeClr>
                                </a:solidFill>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EB114CB" id="_x0000_t32" coordsize="21600,21600" o:spt="32" o:oned="t" path="m,l21600,21600e" filled="f">
                      <v:path arrowok="t" fillok="f" o:connecttype="none"/>
                      <o:lock v:ext="edit" shapetype="t"/>
                    </v:shapetype>
                    <v:shape id="Straight Arrow Connector 2" o:spid="_x0000_s1026" type="#_x0000_t32" style="position:absolute;margin-left:54.4pt;margin-top:18.8pt;width:0;height:28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" strokecolor="#0d0d0d [3069]" strokeweight="1.5pt">
                      <v:stroke startarrow="open" endarrow="open"/>
                    </v:shape>
                  </w:pict>
                </mc:Fallback>
              </mc:AlternateContent>
            </w:r>
          </w:p>
        </w:tc>
        <w:tc>
          <w:tcPr>
            <w:tcW w:w="1945" w:type="dxa"/>
            <w:vAlign w:val="center"/>
          </w:tcPr>
          <w:p w14:paraId="148C9D71" w14:textId="77777777" w:rsidR="00CF455B" w:rsidRPr="0061714A" w:rsidRDefault="00CF455B" w:rsidP="008814DE">
            <w:pPr>
              <w:tabs>
                <w:tab w:val="left" w:pos="2190"/>
              </w:tabs>
              <w:spacing w:before="100" w:beforeAutospacing="1"/>
              <w:rPr>
                <w:rFonts w:eastAsia="SimSun"/>
                <w:i/>
                <w:iCs/>
                <w:sz w:val="20"/>
                <w:szCs w:val="20"/>
                <w:lang w:eastAsia="zh-CN"/>
              </w:rPr>
            </w:pPr>
          </w:p>
        </w:tc>
        <w:tc>
          <w:tcPr>
            <w:tcW w:w="2977" w:type="dxa"/>
            <w:tcMar>
              <w:top w:w="0" w:type="dxa"/>
              <w:left w:w="108" w:type="dxa"/>
              <w:bottom w:w="0" w:type="dxa"/>
              <w:right w:w="108" w:type="dxa"/>
            </w:tcMar>
            <w:vAlign w:val="center"/>
            <w:hideMark/>
          </w:tcPr>
          <w:p w14:paraId="7180AA2D"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National Pride</w:t>
            </w:r>
          </w:p>
        </w:tc>
        <w:tc>
          <w:tcPr>
            <w:tcW w:w="3627" w:type="dxa"/>
            <w:vMerge w:val="restart"/>
            <w:tcBorders>
              <w:right w:val="single" w:sz="4" w:space="0" w:color="auto"/>
            </w:tcBorders>
            <w:tcMar>
              <w:top w:w="0" w:type="dxa"/>
              <w:left w:w="108" w:type="dxa"/>
              <w:bottom w:w="0" w:type="dxa"/>
              <w:right w:w="108" w:type="dxa"/>
            </w:tcMar>
            <w:vAlign w:val="center"/>
            <w:hideMark/>
          </w:tcPr>
          <w:p w14:paraId="700D6E0A"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Best nation to live in</w:t>
            </w:r>
          </w:p>
        </w:tc>
        <w:tc>
          <w:tcPr>
            <w:tcW w:w="3307" w:type="dxa"/>
            <w:vMerge w:val="restart"/>
            <w:tcBorders>
              <w:left w:val="single" w:sz="4" w:space="0" w:color="auto"/>
            </w:tcBorders>
            <w:vAlign w:val="center"/>
          </w:tcPr>
          <w:p w14:paraId="4E4372D6" w14:textId="77777777" w:rsidR="00CF455B" w:rsidRPr="0061714A" w:rsidRDefault="00CF455B" w:rsidP="008814DE">
            <w:pPr>
              <w:spacing w:before="100" w:beforeAutospacing="1"/>
              <w:rPr>
                <w:rFonts w:eastAsia="Times New Roman"/>
                <w:iCs/>
                <w:sz w:val="20"/>
                <w:szCs w:val="20"/>
              </w:rPr>
            </w:pPr>
            <w:r w:rsidRPr="0061714A">
              <w:rPr>
                <w:rFonts w:eastAsia="Times New Roman"/>
                <w:i/>
                <w:sz w:val="20"/>
                <w:szCs w:val="20"/>
              </w:rPr>
              <w:t>High</w:t>
            </w:r>
            <w:r w:rsidRPr="0061714A">
              <w:rPr>
                <w:rFonts w:eastAsia="Times New Roman"/>
                <w:iCs/>
                <w:sz w:val="20"/>
                <w:szCs w:val="20"/>
              </w:rPr>
              <w:t xml:space="preserve"> levels of support</w:t>
            </w:r>
          </w:p>
        </w:tc>
      </w:tr>
      <w:tr w:rsidR="00CF455B" w:rsidRPr="0061714A" w14:paraId="0BC3ED66" w14:textId="77777777" w:rsidTr="008814DE">
        <w:tc>
          <w:tcPr>
            <w:tcW w:w="2318" w:type="dxa"/>
            <w:vMerge/>
          </w:tcPr>
          <w:p w14:paraId="74776423"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23499A90" w14:textId="77777777" w:rsidR="00CF455B" w:rsidRPr="0061714A" w:rsidRDefault="00CF455B" w:rsidP="008814DE">
            <w:pPr>
              <w:tabs>
                <w:tab w:val="left" w:pos="2190"/>
              </w:tabs>
              <w:spacing w:before="100" w:beforeAutospacing="1"/>
              <w:rPr>
                <w:rFonts w:eastAsia="SimSun"/>
                <w:i/>
                <w:iCs/>
                <w:sz w:val="20"/>
                <w:szCs w:val="20"/>
                <w:lang w:eastAsia="zh-CN"/>
              </w:rPr>
            </w:pPr>
          </w:p>
        </w:tc>
        <w:tc>
          <w:tcPr>
            <w:tcW w:w="2977" w:type="dxa"/>
            <w:tcMar>
              <w:top w:w="0" w:type="dxa"/>
              <w:left w:w="108" w:type="dxa"/>
              <w:bottom w:w="0" w:type="dxa"/>
              <w:right w:w="108" w:type="dxa"/>
            </w:tcMar>
            <w:vAlign w:val="center"/>
            <w:hideMark/>
          </w:tcPr>
          <w:p w14:paraId="59BB45ED"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National Identity</w:t>
            </w:r>
          </w:p>
        </w:tc>
        <w:tc>
          <w:tcPr>
            <w:tcW w:w="3627" w:type="dxa"/>
            <w:vMerge/>
            <w:tcBorders>
              <w:right w:val="single" w:sz="4" w:space="0" w:color="auto"/>
            </w:tcBorders>
            <w:tcMar>
              <w:top w:w="0" w:type="dxa"/>
              <w:left w:w="108" w:type="dxa"/>
              <w:bottom w:w="0" w:type="dxa"/>
              <w:right w:w="108" w:type="dxa"/>
            </w:tcMar>
          </w:tcPr>
          <w:p w14:paraId="0076771C" w14:textId="77777777" w:rsidR="00CF455B" w:rsidRPr="0061714A" w:rsidRDefault="00CF455B" w:rsidP="008814DE">
            <w:pPr>
              <w:tabs>
                <w:tab w:val="left" w:pos="2190"/>
              </w:tabs>
              <w:spacing w:before="100" w:beforeAutospacing="1"/>
              <w:rPr>
                <w:rFonts w:eastAsia="SimSun"/>
                <w:sz w:val="20"/>
                <w:szCs w:val="20"/>
                <w:lang w:eastAsia="zh-CN"/>
              </w:rPr>
            </w:pPr>
          </w:p>
        </w:tc>
        <w:tc>
          <w:tcPr>
            <w:tcW w:w="3307" w:type="dxa"/>
            <w:vMerge/>
            <w:tcBorders>
              <w:left w:val="single" w:sz="4" w:space="0" w:color="auto"/>
            </w:tcBorders>
          </w:tcPr>
          <w:p w14:paraId="5BC410C3" w14:textId="77777777" w:rsidR="00CF455B" w:rsidRPr="0061714A" w:rsidRDefault="00CF455B" w:rsidP="008814DE">
            <w:pPr>
              <w:spacing w:before="100" w:beforeAutospacing="1"/>
              <w:rPr>
                <w:rFonts w:eastAsia="Times New Roman"/>
                <w:iCs/>
                <w:sz w:val="20"/>
                <w:szCs w:val="20"/>
              </w:rPr>
            </w:pPr>
          </w:p>
        </w:tc>
      </w:tr>
      <w:tr w:rsidR="00CF455B" w:rsidRPr="0061714A" w14:paraId="7CBEBEAE" w14:textId="77777777" w:rsidTr="008814DE">
        <w:tc>
          <w:tcPr>
            <w:tcW w:w="2318" w:type="dxa"/>
            <w:vMerge/>
          </w:tcPr>
          <w:p w14:paraId="767717DA"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51DAF011" w14:textId="77777777" w:rsidR="00CF455B" w:rsidRPr="0061714A" w:rsidRDefault="00CF455B" w:rsidP="008814DE">
            <w:pPr>
              <w:tabs>
                <w:tab w:val="left" w:pos="2190"/>
              </w:tabs>
              <w:spacing w:before="100" w:beforeAutospacing="1"/>
              <w:rPr>
                <w:rFonts w:eastAsia="SimSun"/>
                <w:i/>
                <w:iCs/>
                <w:sz w:val="20"/>
                <w:szCs w:val="20"/>
                <w:lang w:eastAsia="zh-CN"/>
              </w:rPr>
            </w:pPr>
          </w:p>
          <w:p w14:paraId="5738AF57" w14:textId="77777777" w:rsidR="00CF455B" w:rsidRPr="0061714A" w:rsidRDefault="00CF455B" w:rsidP="008814DE">
            <w:pPr>
              <w:tabs>
                <w:tab w:val="left" w:pos="2190"/>
              </w:tabs>
              <w:spacing w:before="100" w:beforeAutospacing="1"/>
              <w:rPr>
                <w:rFonts w:eastAsia="SimSun"/>
                <w:i/>
                <w:iCs/>
                <w:sz w:val="20"/>
                <w:szCs w:val="20"/>
                <w:lang w:eastAsia="zh-CN"/>
              </w:rPr>
            </w:pPr>
            <w:r w:rsidRPr="0061714A">
              <w:rPr>
                <w:rFonts w:eastAsia="SimSun"/>
                <w:i/>
                <w:iCs/>
                <w:sz w:val="20"/>
                <w:szCs w:val="20"/>
                <w:lang w:eastAsia="zh-CN"/>
              </w:rPr>
              <w:t>Regime</w:t>
            </w:r>
          </w:p>
        </w:tc>
        <w:tc>
          <w:tcPr>
            <w:tcW w:w="2977" w:type="dxa"/>
            <w:tcMar>
              <w:top w:w="0" w:type="dxa"/>
              <w:left w:w="108" w:type="dxa"/>
              <w:bottom w:w="0" w:type="dxa"/>
              <w:right w:w="108" w:type="dxa"/>
            </w:tcMar>
            <w:vAlign w:val="center"/>
          </w:tcPr>
          <w:p w14:paraId="34AB7D6A" w14:textId="77777777" w:rsidR="00CF455B" w:rsidRPr="0061714A" w:rsidRDefault="00CF455B" w:rsidP="008814DE">
            <w:pPr>
              <w:tabs>
                <w:tab w:val="left" w:pos="2190"/>
              </w:tabs>
              <w:spacing w:before="100" w:beforeAutospacing="1"/>
              <w:rPr>
                <w:rFonts w:eastAsia="SimSun"/>
                <w:sz w:val="20"/>
                <w:szCs w:val="20"/>
                <w:lang w:eastAsia="zh-CN"/>
              </w:rPr>
            </w:pPr>
          </w:p>
        </w:tc>
        <w:tc>
          <w:tcPr>
            <w:tcW w:w="3627" w:type="dxa"/>
            <w:tcMar>
              <w:top w:w="0" w:type="dxa"/>
              <w:left w:w="108" w:type="dxa"/>
              <w:bottom w:w="0" w:type="dxa"/>
              <w:right w:w="108" w:type="dxa"/>
            </w:tcMar>
          </w:tcPr>
          <w:p w14:paraId="31F7190F" w14:textId="77777777" w:rsidR="00CF455B" w:rsidRPr="0061714A" w:rsidRDefault="00CF455B" w:rsidP="008814DE">
            <w:pPr>
              <w:tabs>
                <w:tab w:val="left" w:pos="2190"/>
              </w:tabs>
              <w:spacing w:before="100" w:beforeAutospacing="1"/>
              <w:rPr>
                <w:rFonts w:eastAsia="SimSun"/>
                <w:sz w:val="20"/>
                <w:szCs w:val="20"/>
                <w:lang w:eastAsia="zh-CN"/>
              </w:rPr>
            </w:pPr>
          </w:p>
        </w:tc>
        <w:tc>
          <w:tcPr>
            <w:tcW w:w="3307" w:type="dxa"/>
          </w:tcPr>
          <w:p w14:paraId="6F892E36" w14:textId="77777777" w:rsidR="00CF455B" w:rsidRPr="0061714A" w:rsidRDefault="00CF455B" w:rsidP="008814DE">
            <w:pPr>
              <w:spacing w:before="100" w:beforeAutospacing="1"/>
              <w:rPr>
                <w:rFonts w:eastAsia="Times New Roman"/>
                <w:iCs/>
                <w:sz w:val="20"/>
                <w:szCs w:val="20"/>
              </w:rPr>
            </w:pPr>
          </w:p>
        </w:tc>
      </w:tr>
      <w:tr w:rsidR="00CF455B" w:rsidRPr="0061714A" w14:paraId="58713CD4" w14:textId="77777777" w:rsidTr="008814DE">
        <w:tc>
          <w:tcPr>
            <w:tcW w:w="2318" w:type="dxa"/>
            <w:vMerge/>
          </w:tcPr>
          <w:p w14:paraId="3CA61D29"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4BB982CA" w14:textId="77777777" w:rsidR="00CF455B" w:rsidRPr="0061714A" w:rsidRDefault="00CF455B" w:rsidP="002032DF">
            <w:pPr>
              <w:pStyle w:val="ListParagraph"/>
              <w:numPr>
                <w:ilvl w:val="0"/>
                <w:numId w:val="2"/>
              </w:numPr>
              <w:tabs>
                <w:tab w:val="left" w:pos="2190"/>
              </w:tabs>
              <w:suppressAutoHyphens/>
              <w:spacing w:before="100" w:beforeAutospacing="1"/>
              <w:ind w:left="0"/>
              <w:rPr>
                <w:rFonts w:eastAsia="SimSun"/>
                <w:sz w:val="20"/>
                <w:szCs w:val="20"/>
              </w:rPr>
            </w:pPr>
            <w:r w:rsidRPr="0061714A">
              <w:rPr>
                <w:rFonts w:eastAsia="SimSun"/>
                <w:sz w:val="20"/>
                <w:szCs w:val="20"/>
              </w:rPr>
              <w:t>Principles</w:t>
            </w:r>
          </w:p>
        </w:tc>
        <w:tc>
          <w:tcPr>
            <w:tcW w:w="2977" w:type="dxa"/>
            <w:tcMar>
              <w:top w:w="0" w:type="dxa"/>
              <w:left w:w="108" w:type="dxa"/>
              <w:bottom w:w="0" w:type="dxa"/>
              <w:right w:w="108" w:type="dxa"/>
            </w:tcMar>
            <w:vAlign w:val="center"/>
            <w:hideMark/>
          </w:tcPr>
          <w:p w14:paraId="26DB5182"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Democratic Values</w:t>
            </w:r>
          </w:p>
        </w:tc>
        <w:tc>
          <w:tcPr>
            <w:tcW w:w="3627" w:type="dxa"/>
            <w:tcBorders>
              <w:right w:val="single" w:sz="4" w:space="0" w:color="auto"/>
            </w:tcBorders>
            <w:tcMar>
              <w:top w:w="0" w:type="dxa"/>
              <w:left w:w="108" w:type="dxa"/>
              <w:bottom w:w="0" w:type="dxa"/>
              <w:right w:w="108" w:type="dxa"/>
            </w:tcMar>
            <w:vAlign w:val="center"/>
            <w:hideMark/>
          </w:tcPr>
          <w:p w14:paraId="46D29EB3"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Democracy best form of government</w:t>
            </w:r>
          </w:p>
        </w:tc>
        <w:tc>
          <w:tcPr>
            <w:tcW w:w="3307" w:type="dxa"/>
            <w:vMerge w:val="restart"/>
            <w:tcBorders>
              <w:left w:val="single" w:sz="4" w:space="0" w:color="auto"/>
            </w:tcBorders>
            <w:vAlign w:val="center"/>
          </w:tcPr>
          <w:p w14:paraId="191F14E4" w14:textId="77777777" w:rsidR="00CF455B" w:rsidRPr="0061714A" w:rsidRDefault="00CF455B" w:rsidP="008814DE">
            <w:pPr>
              <w:spacing w:before="100" w:beforeAutospacing="1"/>
              <w:rPr>
                <w:rFonts w:eastAsia="Times New Roman"/>
                <w:iCs/>
                <w:sz w:val="20"/>
                <w:szCs w:val="20"/>
              </w:rPr>
            </w:pPr>
            <w:r w:rsidRPr="0061714A">
              <w:rPr>
                <w:rFonts w:eastAsia="Times New Roman"/>
                <w:i/>
                <w:sz w:val="20"/>
                <w:szCs w:val="20"/>
              </w:rPr>
              <w:t>Varied</w:t>
            </w:r>
            <w:r w:rsidRPr="0061714A">
              <w:rPr>
                <w:rFonts w:eastAsia="Times New Roman"/>
                <w:iCs/>
                <w:sz w:val="20"/>
                <w:szCs w:val="20"/>
              </w:rPr>
              <w:t xml:space="preserve"> satisfaction with the workings of the regime</w:t>
            </w:r>
          </w:p>
        </w:tc>
      </w:tr>
      <w:tr w:rsidR="00CF455B" w:rsidRPr="0061714A" w14:paraId="67F95869" w14:textId="77777777" w:rsidTr="008814DE">
        <w:tc>
          <w:tcPr>
            <w:tcW w:w="2318" w:type="dxa"/>
            <w:vMerge/>
          </w:tcPr>
          <w:p w14:paraId="0B376E3B"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688C7F69" w14:textId="77777777" w:rsidR="00CF455B" w:rsidRPr="0061714A" w:rsidRDefault="00CF455B" w:rsidP="008814DE">
            <w:pPr>
              <w:tabs>
                <w:tab w:val="left" w:pos="2190"/>
              </w:tabs>
              <w:spacing w:before="100" w:beforeAutospacing="1"/>
              <w:rPr>
                <w:rFonts w:eastAsia="SimSun"/>
                <w:sz w:val="20"/>
                <w:szCs w:val="20"/>
              </w:rPr>
            </w:pPr>
          </w:p>
        </w:tc>
        <w:tc>
          <w:tcPr>
            <w:tcW w:w="2977" w:type="dxa"/>
            <w:tcMar>
              <w:top w:w="0" w:type="dxa"/>
              <w:left w:w="108" w:type="dxa"/>
              <w:bottom w:w="0" w:type="dxa"/>
              <w:right w:w="108" w:type="dxa"/>
            </w:tcMar>
            <w:vAlign w:val="center"/>
          </w:tcPr>
          <w:p w14:paraId="7100BEE6" w14:textId="77777777" w:rsidR="00CF455B" w:rsidRPr="0061714A" w:rsidRDefault="00CF455B" w:rsidP="008814DE">
            <w:pPr>
              <w:tabs>
                <w:tab w:val="left" w:pos="2190"/>
              </w:tabs>
              <w:spacing w:before="100" w:beforeAutospacing="1"/>
              <w:rPr>
                <w:rFonts w:eastAsia="SimSun"/>
                <w:sz w:val="20"/>
                <w:szCs w:val="20"/>
                <w:lang w:eastAsia="zh-CN"/>
              </w:rPr>
            </w:pPr>
          </w:p>
        </w:tc>
        <w:tc>
          <w:tcPr>
            <w:tcW w:w="3627" w:type="dxa"/>
            <w:tcBorders>
              <w:right w:val="single" w:sz="4" w:space="0" w:color="auto"/>
            </w:tcBorders>
            <w:tcMar>
              <w:top w:w="0" w:type="dxa"/>
              <w:left w:w="108" w:type="dxa"/>
              <w:bottom w:w="0" w:type="dxa"/>
              <w:right w:w="108" w:type="dxa"/>
            </w:tcMar>
            <w:vAlign w:val="center"/>
          </w:tcPr>
          <w:p w14:paraId="44A88301" w14:textId="77777777" w:rsidR="00CF455B" w:rsidRPr="0061714A" w:rsidRDefault="00CF455B" w:rsidP="008814DE">
            <w:pPr>
              <w:tabs>
                <w:tab w:val="left" w:pos="2190"/>
              </w:tabs>
              <w:spacing w:before="100" w:beforeAutospacing="1"/>
              <w:rPr>
                <w:rFonts w:eastAsia="SimSun"/>
                <w:sz w:val="20"/>
                <w:szCs w:val="20"/>
                <w:lang w:eastAsia="zh-CN"/>
              </w:rPr>
            </w:pPr>
          </w:p>
        </w:tc>
        <w:tc>
          <w:tcPr>
            <w:tcW w:w="3307" w:type="dxa"/>
            <w:vMerge/>
            <w:tcBorders>
              <w:left w:val="single" w:sz="4" w:space="0" w:color="auto"/>
            </w:tcBorders>
          </w:tcPr>
          <w:p w14:paraId="0FB6842C" w14:textId="77777777" w:rsidR="00CF455B" w:rsidRPr="0061714A" w:rsidRDefault="00CF455B" w:rsidP="008814DE">
            <w:pPr>
              <w:spacing w:before="100" w:beforeAutospacing="1"/>
              <w:rPr>
                <w:rFonts w:eastAsia="Times New Roman"/>
                <w:iCs/>
                <w:sz w:val="20"/>
                <w:szCs w:val="20"/>
              </w:rPr>
            </w:pPr>
          </w:p>
        </w:tc>
      </w:tr>
      <w:tr w:rsidR="00CF455B" w:rsidRPr="0061714A" w14:paraId="71060E33" w14:textId="77777777" w:rsidTr="008814DE">
        <w:tc>
          <w:tcPr>
            <w:tcW w:w="2318" w:type="dxa"/>
            <w:vMerge/>
          </w:tcPr>
          <w:p w14:paraId="63C19879"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15033C1E" w14:textId="77777777" w:rsidR="00CF455B" w:rsidRPr="0061714A" w:rsidRDefault="00CF455B" w:rsidP="002032DF">
            <w:pPr>
              <w:pStyle w:val="ListParagraph"/>
              <w:numPr>
                <w:ilvl w:val="0"/>
                <w:numId w:val="2"/>
              </w:numPr>
              <w:tabs>
                <w:tab w:val="left" w:pos="2190"/>
              </w:tabs>
              <w:suppressAutoHyphens/>
              <w:spacing w:before="100" w:beforeAutospacing="1"/>
              <w:ind w:left="0"/>
              <w:rPr>
                <w:rFonts w:eastAsia="SimSun"/>
                <w:sz w:val="20"/>
                <w:szCs w:val="20"/>
              </w:rPr>
            </w:pPr>
            <w:r w:rsidRPr="0061714A">
              <w:rPr>
                <w:rFonts w:eastAsia="SimSun"/>
                <w:sz w:val="20"/>
                <w:szCs w:val="20"/>
              </w:rPr>
              <w:t>Performance</w:t>
            </w:r>
          </w:p>
        </w:tc>
        <w:tc>
          <w:tcPr>
            <w:tcW w:w="2977" w:type="dxa"/>
            <w:tcMar>
              <w:top w:w="0" w:type="dxa"/>
              <w:left w:w="108" w:type="dxa"/>
              <w:bottom w:w="0" w:type="dxa"/>
              <w:right w:w="108" w:type="dxa"/>
            </w:tcMar>
            <w:vAlign w:val="center"/>
          </w:tcPr>
          <w:p w14:paraId="3825FC6D"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Participatory Rights</w:t>
            </w:r>
          </w:p>
        </w:tc>
        <w:tc>
          <w:tcPr>
            <w:tcW w:w="3627" w:type="dxa"/>
            <w:tcBorders>
              <w:right w:val="single" w:sz="4" w:space="0" w:color="auto"/>
            </w:tcBorders>
            <w:tcMar>
              <w:top w:w="0" w:type="dxa"/>
              <w:left w:w="108" w:type="dxa"/>
              <w:bottom w:w="0" w:type="dxa"/>
              <w:right w:w="108" w:type="dxa"/>
            </w:tcMar>
            <w:vAlign w:val="center"/>
          </w:tcPr>
          <w:p w14:paraId="2451BDE9"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Satisfaction with democratic process</w:t>
            </w:r>
          </w:p>
        </w:tc>
        <w:tc>
          <w:tcPr>
            <w:tcW w:w="3307" w:type="dxa"/>
            <w:vMerge/>
            <w:tcBorders>
              <w:left w:val="single" w:sz="4" w:space="0" w:color="auto"/>
            </w:tcBorders>
          </w:tcPr>
          <w:p w14:paraId="6EEF6517" w14:textId="77777777" w:rsidR="00CF455B" w:rsidRPr="0061714A" w:rsidRDefault="00CF455B" w:rsidP="008814DE">
            <w:pPr>
              <w:spacing w:before="100" w:beforeAutospacing="1"/>
              <w:rPr>
                <w:rFonts w:eastAsia="Times New Roman"/>
                <w:iCs/>
                <w:sz w:val="20"/>
                <w:szCs w:val="20"/>
              </w:rPr>
            </w:pPr>
          </w:p>
        </w:tc>
      </w:tr>
      <w:tr w:rsidR="00CF455B" w:rsidRPr="0061714A" w14:paraId="30EF2260" w14:textId="77777777" w:rsidTr="008814DE">
        <w:tc>
          <w:tcPr>
            <w:tcW w:w="2318" w:type="dxa"/>
            <w:vMerge/>
          </w:tcPr>
          <w:p w14:paraId="105BBBA2"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2A39E821" w14:textId="77777777" w:rsidR="00CF455B" w:rsidRPr="0061714A" w:rsidRDefault="00CF455B" w:rsidP="008814DE">
            <w:pPr>
              <w:pStyle w:val="ListParagraph"/>
              <w:tabs>
                <w:tab w:val="left" w:pos="2190"/>
              </w:tabs>
              <w:suppressAutoHyphens/>
              <w:spacing w:before="100" w:beforeAutospacing="1"/>
              <w:ind w:left="0"/>
              <w:rPr>
                <w:rFonts w:eastAsia="SimSun"/>
                <w:sz w:val="20"/>
                <w:szCs w:val="20"/>
              </w:rPr>
            </w:pPr>
          </w:p>
        </w:tc>
        <w:tc>
          <w:tcPr>
            <w:tcW w:w="2977" w:type="dxa"/>
            <w:tcMar>
              <w:top w:w="0" w:type="dxa"/>
              <w:left w:w="108" w:type="dxa"/>
              <w:bottom w:w="0" w:type="dxa"/>
              <w:right w:w="108" w:type="dxa"/>
            </w:tcMar>
            <w:vAlign w:val="center"/>
            <w:hideMark/>
          </w:tcPr>
          <w:p w14:paraId="0A8B0F43"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Political Rights</w:t>
            </w:r>
          </w:p>
        </w:tc>
        <w:tc>
          <w:tcPr>
            <w:tcW w:w="3627" w:type="dxa"/>
            <w:tcBorders>
              <w:right w:val="single" w:sz="4" w:space="0" w:color="auto"/>
            </w:tcBorders>
            <w:tcMar>
              <w:top w:w="0" w:type="dxa"/>
              <w:left w:w="108" w:type="dxa"/>
              <w:bottom w:w="0" w:type="dxa"/>
              <w:right w:w="108" w:type="dxa"/>
            </w:tcMar>
            <w:vAlign w:val="center"/>
            <w:hideMark/>
          </w:tcPr>
          <w:p w14:paraId="13D52594"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Evaluations of rights</w:t>
            </w:r>
          </w:p>
        </w:tc>
        <w:tc>
          <w:tcPr>
            <w:tcW w:w="3307" w:type="dxa"/>
            <w:vMerge/>
            <w:tcBorders>
              <w:left w:val="single" w:sz="4" w:space="0" w:color="auto"/>
            </w:tcBorders>
          </w:tcPr>
          <w:p w14:paraId="730F66FE" w14:textId="77777777" w:rsidR="00CF455B" w:rsidRPr="0061714A" w:rsidRDefault="00CF455B" w:rsidP="008814DE">
            <w:pPr>
              <w:spacing w:before="100" w:beforeAutospacing="1"/>
              <w:rPr>
                <w:rFonts w:eastAsia="Times New Roman"/>
                <w:iCs/>
                <w:sz w:val="20"/>
                <w:szCs w:val="20"/>
              </w:rPr>
            </w:pPr>
          </w:p>
        </w:tc>
      </w:tr>
      <w:tr w:rsidR="00CF455B" w:rsidRPr="0061714A" w14:paraId="11EF6D1A" w14:textId="77777777" w:rsidTr="008814DE">
        <w:tc>
          <w:tcPr>
            <w:tcW w:w="2318" w:type="dxa"/>
            <w:vMerge/>
          </w:tcPr>
          <w:p w14:paraId="61067957"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5069EED9" w14:textId="77777777" w:rsidR="00CF455B" w:rsidRPr="0061714A" w:rsidRDefault="00CF455B" w:rsidP="008814DE">
            <w:pPr>
              <w:tabs>
                <w:tab w:val="left" w:pos="2190"/>
              </w:tabs>
              <w:spacing w:before="100" w:beforeAutospacing="1"/>
              <w:rPr>
                <w:rFonts w:eastAsia="SimSun"/>
                <w:sz w:val="20"/>
                <w:szCs w:val="20"/>
              </w:rPr>
            </w:pPr>
          </w:p>
        </w:tc>
        <w:tc>
          <w:tcPr>
            <w:tcW w:w="2977" w:type="dxa"/>
            <w:tcMar>
              <w:top w:w="0" w:type="dxa"/>
              <w:left w:w="108" w:type="dxa"/>
              <w:bottom w:w="0" w:type="dxa"/>
              <w:right w:w="108" w:type="dxa"/>
            </w:tcMar>
            <w:vAlign w:val="center"/>
          </w:tcPr>
          <w:p w14:paraId="0AFCD86C" w14:textId="77777777" w:rsidR="00CF455B" w:rsidRPr="0061714A" w:rsidRDefault="00CF455B" w:rsidP="008814DE">
            <w:pPr>
              <w:tabs>
                <w:tab w:val="left" w:pos="2190"/>
              </w:tabs>
              <w:spacing w:before="100" w:beforeAutospacing="1"/>
              <w:rPr>
                <w:rFonts w:eastAsia="SimSun"/>
                <w:sz w:val="20"/>
                <w:szCs w:val="20"/>
                <w:lang w:eastAsia="zh-CN"/>
              </w:rPr>
            </w:pPr>
          </w:p>
        </w:tc>
        <w:tc>
          <w:tcPr>
            <w:tcW w:w="3627" w:type="dxa"/>
            <w:tcMar>
              <w:top w:w="0" w:type="dxa"/>
              <w:left w:w="108" w:type="dxa"/>
              <w:bottom w:w="0" w:type="dxa"/>
              <w:right w:w="108" w:type="dxa"/>
            </w:tcMar>
            <w:vAlign w:val="center"/>
          </w:tcPr>
          <w:p w14:paraId="210755B1" w14:textId="77777777" w:rsidR="00CF455B" w:rsidRPr="0061714A" w:rsidRDefault="00CF455B" w:rsidP="008814DE">
            <w:pPr>
              <w:tabs>
                <w:tab w:val="left" w:pos="2190"/>
              </w:tabs>
              <w:spacing w:before="100" w:beforeAutospacing="1"/>
              <w:rPr>
                <w:rFonts w:eastAsia="SimSun"/>
                <w:sz w:val="20"/>
                <w:szCs w:val="20"/>
                <w:lang w:eastAsia="zh-CN"/>
              </w:rPr>
            </w:pPr>
          </w:p>
        </w:tc>
        <w:tc>
          <w:tcPr>
            <w:tcW w:w="3307" w:type="dxa"/>
            <w:vAlign w:val="center"/>
          </w:tcPr>
          <w:p w14:paraId="316F3274" w14:textId="77777777" w:rsidR="00CF455B" w:rsidRPr="0061714A" w:rsidRDefault="00CF455B" w:rsidP="008814DE">
            <w:pPr>
              <w:tabs>
                <w:tab w:val="left" w:pos="2190"/>
              </w:tabs>
              <w:spacing w:before="100" w:beforeAutospacing="1"/>
              <w:rPr>
                <w:rFonts w:eastAsia="Times New Roman"/>
                <w:i/>
                <w:sz w:val="20"/>
                <w:szCs w:val="20"/>
              </w:rPr>
            </w:pPr>
          </w:p>
        </w:tc>
      </w:tr>
      <w:tr w:rsidR="00CF455B" w:rsidRPr="0061714A" w14:paraId="1B2A3C6F" w14:textId="77777777" w:rsidTr="008814DE">
        <w:tc>
          <w:tcPr>
            <w:tcW w:w="2318" w:type="dxa"/>
            <w:vMerge/>
          </w:tcPr>
          <w:p w14:paraId="29393392"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vAlign w:val="center"/>
          </w:tcPr>
          <w:p w14:paraId="127C3990" w14:textId="77777777" w:rsidR="00CF455B" w:rsidRPr="0061714A" w:rsidRDefault="00CF455B" w:rsidP="002032DF">
            <w:pPr>
              <w:pStyle w:val="ListParagraph"/>
              <w:numPr>
                <w:ilvl w:val="0"/>
                <w:numId w:val="2"/>
              </w:numPr>
              <w:tabs>
                <w:tab w:val="left" w:pos="2190"/>
              </w:tabs>
              <w:suppressAutoHyphens/>
              <w:spacing w:before="100" w:beforeAutospacing="1"/>
              <w:ind w:left="0"/>
              <w:rPr>
                <w:rFonts w:eastAsia="SimSun"/>
                <w:sz w:val="20"/>
                <w:szCs w:val="20"/>
              </w:rPr>
            </w:pPr>
            <w:r w:rsidRPr="0061714A">
              <w:rPr>
                <w:rFonts w:eastAsia="SimSun"/>
                <w:sz w:val="20"/>
                <w:szCs w:val="20"/>
              </w:rPr>
              <w:t>Institutions</w:t>
            </w:r>
          </w:p>
        </w:tc>
        <w:tc>
          <w:tcPr>
            <w:tcW w:w="2977" w:type="dxa"/>
            <w:tcMar>
              <w:top w:w="0" w:type="dxa"/>
              <w:left w:w="108" w:type="dxa"/>
              <w:bottom w:w="0" w:type="dxa"/>
              <w:right w:w="108" w:type="dxa"/>
            </w:tcMar>
            <w:vAlign w:val="center"/>
            <w:hideMark/>
          </w:tcPr>
          <w:p w14:paraId="42B914C4"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Institutional expectations</w:t>
            </w:r>
          </w:p>
        </w:tc>
        <w:tc>
          <w:tcPr>
            <w:tcW w:w="3627" w:type="dxa"/>
            <w:tcBorders>
              <w:right w:val="single" w:sz="4" w:space="0" w:color="auto"/>
            </w:tcBorders>
            <w:tcMar>
              <w:top w:w="0" w:type="dxa"/>
              <w:left w:w="108" w:type="dxa"/>
              <w:bottom w:w="0" w:type="dxa"/>
              <w:right w:w="108" w:type="dxa"/>
            </w:tcMar>
            <w:vAlign w:val="center"/>
            <w:hideMark/>
          </w:tcPr>
          <w:p w14:paraId="515E79AB"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Trust in institutions</w:t>
            </w:r>
          </w:p>
        </w:tc>
        <w:tc>
          <w:tcPr>
            <w:tcW w:w="3307" w:type="dxa"/>
            <w:vMerge w:val="restart"/>
            <w:tcBorders>
              <w:left w:val="single" w:sz="4" w:space="0" w:color="auto"/>
            </w:tcBorders>
            <w:vAlign w:val="center"/>
          </w:tcPr>
          <w:p w14:paraId="306E867D"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Times New Roman"/>
                <w:i/>
                <w:sz w:val="20"/>
                <w:szCs w:val="20"/>
              </w:rPr>
              <w:t xml:space="preserve">Declining </w:t>
            </w:r>
            <w:r w:rsidRPr="0061714A">
              <w:rPr>
                <w:rFonts w:eastAsia="Times New Roman"/>
                <w:iCs/>
                <w:sz w:val="20"/>
                <w:szCs w:val="20"/>
              </w:rPr>
              <w:t xml:space="preserve">confidence in government institutions; </w:t>
            </w:r>
            <w:r w:rsidRPr="0061714A">
              <w:rPr>
                <w:rFonts w:eastAsia="Times New Roman"/>
                <w:i/>
                <w:sz w:val="20"/>
                <w:szCs w:val="20"/>
              </w:rPr>
              <w:t>low</w:t>
            </w:r>
            <w:r w:rsidRPr="0061714A">
              <w:rPr>
                <w:rFonts w:eastAsia="Times New Roman"/>
                <w:iCs/>
                <w:sz w:val="20"/>
                <w:szCs w:val="20"/>
              </w:rPr>
              <w:t xml:space="preserve"> levels of support in many newer democracies</w:t>
            </w:r>
          </w:p>
        </w:tc>
      </w:tr>
      <w:tr w:rsidR="00CF455B" w:rsidRPr="0061714A" w14:paraId="59774B83" w14:textId="77777777" w:rsidTr="008814DE">
        <w:tc>
          <w:tcPr>
            <w:tcW w:w="2318" w:type="dxa"/>
            <w:vMerge/>
          </w:tcPr>
          <w:p w14:paraId="3E5D2BB1" w14:textId="77777777" w:rsidR="00CF455B" w:rsidRPr="0061714A" w:rsidRDefault="00CF455B" w:rsidP="008814DE">
            <w:pPr>
              <w:tabs>
                <w:tab w:val="left" w:pos="2190"/>
              </w:tabs>
              <w:spacing w:before="100" w:beforeAutospacing="1"/>
              <w:rPr>
                <w:rFonts w:eastAsia="Times New Roman"/>
                <w:b/>
                <w:bCs/>
                <w:iCs/>
                <w:sz w:val="20"/>
                <w:szCs w:val="20"/>
              </w:rPr>
            </w:pPr>
          </w:p>
        </w:tc>
        <w:tc>
          <w:tcPr>
            <w:tcW w:w="1945" w:type="dxa"/>
            <w:vAlign w:val="center"/>
          </w:tcPr>
          <w:p w14:paraId="1761F614" w14:textId="77777777" w:rsidR="00CF455B" w:rsidRPr="0061714A" w:rsidRDefault="00CF455B" w:rsidP="008814DE">
            <w:pPr>
              <w:tabs>
                <w:tab w:val="left" w:pos="2190"/>
              </w:tabs>
              <w:spacing w:before="100" w:beforeAutospacing="1"/>
              <w:rPr>
                <w:rFonts w:eastAsia="SimSun"/>
                <w:i/>
                <w:iCs/>
                <w:sz w:val="20"/>
                <w:szCs w:val="20"/>
                <w:lang w:eastAsia="zh-CN"/>
              </w:rPr>
            </w:pPr>
          </w:p>
        </w:tc>
        <w:tc>
          <w:tcPr>
            <w:tcW w:w="2977" w:type="dxa"/>
            <w:tcMar>
              <w:top w:w="0" w:type="dxa"/>
              <w:left w:w="108" w:type="dxa"/>
              <w:bottom w:w="0" w:type="dxa"/>
              <w:right w:w="108" w:type="dxa"/>
            </w:tcMar>
            <w:vAlign w:val="center"/>
          </w:tcPr>
          <w:p w14:paraId="242A0967"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Support for parties</w:t>
            </w:r>
          </w:p>
        </w:tc>
        <w:tc>
          <w:tcPr>
            <w:tcW w:w="3627" w:type="dxa"/>
            <w:tcBorders>
              <w:right w:val="single" w:sz="4" w:space="0" w:color="auto"/>
            </w:tcBorders>
            <w:tcMar>
              <w:top w:w="0" w:type="dxa"/>
              <w:left w:w="108" w:type="dxa"/>
              <w:bottom w:w="0" w:type="dxa"/>
              <w:right w:w="108" w:type="dxa"/>
            </w:tcMar>
            <w:vAlign w:val="center"/>
          </w:tcPr>
          <w:p w14:paraId="7BB7675E"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Trust in party system</w:t>
            </w:r>
          </w:p>
        </w:tc>
        <w:tc>
          <w:tcPr>
            <w:tcW w:w="3307" w:type="dxa"/>
            <w:vMerge/>
            <w:tcBorders>
              <w:left w:val="single" w:sz="4" w:space="0" w:color="auto"/>
            </w:tcBorders>
          </w:tcPr>
          <w:p w14:paraId="46056EC5" w14:textId="77777777" w:rsidR="00CF455B" w:rsidRPr="0061714A" w:rsidRDefault="00CF455B" w:rsidP="008814DE">
            <w:pPr>
              <w:tabs>
                <w:tab w:val="left" w:pos="2190"/>
              </w:tabs>
              <w:spacing w:before="100" w:beforeAutospacing="1"/>
              <w:rPr>
                <w:rFonts w:eastAsia="Times New Roman"/>
                <w:i/>
                <w:sz w:val="20"/>
                <w:szCs w:val="20"/>
              </w:rPr>
            </w:pPr>
          </w:p>
        </w:tc>
      </w:tr>
      <w:tr w:rsidR="00CF455B" w:rsidRPr="0061714A" w14:paraId="2633CB04" w14:textId="77777777" w:rsidTr="008814DE">
        <w:tc>
          <w:tcPr>
            <w:tcW w:w="2318" w:type="dxa"/>
            <w:vMerge/>
          </w:tcPr>
          <w:p w14:paraId="5098D986" w14:textId="77777777" w:rsidR="00CF455B" w:rsidRPr="0061714A" w:rsidRDefault="00CF455B" w:rsidP="008814DE">
            <w:pPr>
              <w:tabs>
                <w:tab w:val="left" w:pos="2190"/>
              </w:tabs>
              <w:spacing w:before="100" w:beforeAutospacing="1"/>
              <w:rPr>
                <w:rFonts w:eastAsia="Times New Roman"/>
                <w:b/>
                <w:bCs/>
                <w:iCs/>
                <w:sz w:val="20"/>
                <w:szCs w:val="20"/>
              </w:rPr>
            </w:pPr>
          </w:p>
        </w:tc>
        <w:tc>
          <w:tcPr>
            <w:tcW w:w="1945" w:type="dxa"/>
            <w:vAlign w:val="center"/>
          </w:tcPr>
          <w:p w14:paraId="12DDC9F7" w14:textId="77777777" w:rsidR="00CF455B" w:rsidRPr="0061714A" w:rsidRDefault="00CF455B" w:rsidP="008814DE">
            <w:pPr>
              <w:tabs>
                <w:tab w:val="left" w:pos="2190"/>
              </w:tabs>
              <w:spacing w:before="100" w:beforeAutospacing="1"/>
              <w:rPr>
                <w:rFonts w:eastAsia="SimSun"/>
                <w:i/>
                <w:iCs/>
                <w:sz w:val="20"/>
                <w:szCs w:val="20"/>
                <w:lang w:eastAsia="zh-CN"/>
              </w:rPr>
            </w:pPr>
          </w:p>
        </w:tc>
        <w:tc>
          <w:tcPr>
            <w:tcW w:w="2977" w:type="dxa"/>
            <w:tcMar>
              <w:top w:w="0" w:type="dxa"/>
              <w:left w:w="108" w:type="dxa"/>
              <w:bottom w:w="0" w:type="dxa"/>
              <w:right w:w="108" w:type="dxa"/>
            </w:tcMar>
            <w:vAlign w:val="center"/>
          </w:tcPr>
          <w:p w14:paraId="6199CBDD"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Output expectations</w:t>
            </w:r>
          </w:p>
        </w:tc>
        <w:tc>
          <w:tcPr>
            <w:tcW w:w="3627" w:type="dxa"/>
            <w:tcBorders>
              <w:right w:val="single" w:sz="4" w:space="0" w:color="auto"/>
            </w:tcBorders>
            <w:tcMar>
              <w:top w:w="0" w:type="dxa"/>
              <w:left w:w="108" w:type="dxa"/>
              <w:bottom w:w="0" w:type="dxa"/>
              <w:right w:w="108" w:type="dxa"/>
            </w:tcMar>
            <w:vAlign w:val="center"/>
          </w:tcPr>
          <w:p w14:paraId="642ED3E5"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Performance judgements</w:t>
            </w:r>
          </w:p>
        </w:tc>
        <w:tc>
          <w:tcPr>
            <w:tcW w:w="3307" w:type="dxa"/>
            <w:vMerge/>
            <w:tcBorders>
              <w:left w:val="single" w:sz="4" w:space="0" w:color="auto"/>
            </w:tcBorders>
          </w:tcPr>
          <w:p w14:paraId="7383E6A2" w14:textId="77777777" w:rsidR="00CF455B" w:rsidRPr="0061714A" w:rsidRDefault="00CF455B" w:rsidP="008814DE">
            <w:pPr>
              <w:tabs>
                <w:tab w:val="left" w:pos="2190"/>
              </w:tabs>
              <w:spacing w:before="100" w:beforeAutospacing="1"/>
              <w:rPr>
                <w:rFonts w:eastAsia="Times New Roman"/>
                <w:i/>
                <w:sz w:val="20"/>
                <w:szCs w:val="20"/>
              </w:rPr>
            </w:pPr>
          </w:p>
        </w:tc>
      </w:tr>
      <w:tr w:rsidR="00CF455B" w:rsidRPr="0061714A" w14:paraId="70D03603" w14:textId="77777777" w:rsidTr="008814DE">
        <w:tc>
          <w:tcPr>
            <w:tcW w:w="2318" w:type="dxa"/>
            <w:vMerge/>
          </w:tcPr>
          <w:p w14:paraId="2C001D2A" w14:textId="77777777" w:rsidR="00CF455B" w:rsidRPr="0061714A" w:rsidRDefault="00CF455B" w:rsidP="008814DE">
            <w:pPr>
              <w:tabs>
                <w:tab w:val="left" w:pos="2190"/>
              </w:tabs>
              <w:spacing w:before="100" w:beforeAutospacing="1"/>
              <w:rPr>
                <w:rFonts w:eastAsia="Times New Roman"/>
                <w:b/>
                <w:bCs/>
                <w:iCs/>
                <w:sz w:val="20"/>
                <w:szCs w:val="20"/>
              </w:rPr>
            </w:pPr>
          </w:p>
        </w:tc>
        <w:tc>
          <w:tcPr>
            <w:tcW w:w="1945" w:type="dxa"/>
            <w:vAlign w:val="center"/>
          </w:tcPr>
          <w:p w14:paraId="1B6B9D64" w14:textId="77777777" w:rsidR="00CF455B" w:rsidRPr="0061714A" w:rsidRDefault="00CF455B" w:rsidP="008814DE">
            <w:pPr>
              <w:tabs>
                <w:tab w:val="left" w:pos="2190"/>
              </w:tabs>
              <w:spacing w:before="100" w:beforeAutospacing="1"/>
              <w:rPr>
                <w:rFonts w:eastAsia="SimSun"/>
                <w:i/>
                <w:iCs/>
                <w:sz w:val="20"/>
                <w:szCs w:val="20"/>
                <w:lang w:eastAsia="zh-CN"/>
              </w:rPr>
            </w:pPr>
          </w:p>
          <w:p w14:paraId="0A81C399" w14:textId="77777777" w:rsidR="00CF455B" w:rsidRPr="0061714A" w:rsidRDefault="00CF455B" w:rsidP="008814DE">
            <w:pPr>
              <w:tabs>
                <w:tab w:val="left" w:pos="2190"/>
              </w:tabs>
              <w:spacing w:before="100" w:beforeAutospacing="1"/>
              <w:rPr>
                <w:rFonts w:eastAsia="SimSun"/>
                <w:i/>
                <w:iCs/>
                <w:sz w:val="20"/>
                <w:szCs w:val="20"/>
                <w:lang w:eastAsia="zh-CN"/>
              </w:rPr>
            </w:pPr>
            <w:r w:rsidRPr="0061714A">
              <w:rPr>
                <w:rFonts w:eastAsia="SimSun"/>
                <w:i/>
                <w:iCs/>
                <w:sz w:val="20"/>
                <w:szCs w:val="20"/>
                <w:lang w:eastAsia="zh-CN"/>
              </w:rPr>
              <w:t>Authorities</w:t>
            </w:r>
          </w:p>
        </w:tc>
        <w:tc>
          <w:tcPr>
            <w:tcW w:w="2977" w:type="dxa"/>
            <w:tcMar>
              <w:top w:w="0" w:type="dxa"/>
              <w:left w:w="108" w:type="dxa"/>
              <w:bottom w:w="0" w:type="dxa"/>
              <w:right w:w="108" w:type="dxa"/>
            </w:tcMar>
            <w:vAlign w:val="center"/>
          </w:tcPr>
          <w:p w14:paraId="2F3975E3" w14:textId="77777777" w:rsidR="00CF455B" w:rsidRPr="0061714A" w:rsidRDefault="00CF455B" w:rsidP="008814DE">
            <w:pPr>
              <w:tabs>
                <w:tab w:val="left" w:pos="2190"/>
              </w:tabs>
              <w:spacing w:before="100" w:beforeAutospacing="1"/>
              <w:rPr>
                <w:rFonts w:eastAsia="SimSun"/>
                <w:sz w:val="20"/>
                <w:szCs w:val="20"/>
                <w:lang w:eastAsia="zh-CN"/>
              </w:rPr>
            </w:pPr>
          </w:p>
        </w:tc>
        <w:tc>
          <w:tcPr>
            <w:tcW w:w="3627" w:type="dxa"/>
            <w:tcMar>
              <w:top w:w="0" w:type="dxa"/>
              <w:left w:w="108" w:type="dxa"/>
              <w:bottom w:w="0" w:type="dxa"/>
              <w:right w:w="108" w:type="dxa"/>
            </w:tcMar>
          </w:tcPr>
          <w:p w14:paraId="4A6C4CDF" w14:textId="77777777" w:rsidR="00CF455B" w:rsidRPr="0061714A" w:rsidRDefault="00CF455B" w:rsidP="008814DE">
            <w:pPr>
              <w:tabs>
                <w:tab w:val="left" w:pos="2190"/>
              </w:tabs>
              <w:spacing w:before="100" w:beforeAutospacing="1"/>
              <w:rPr>
                <w:rFonts w:eastAsia="SimSun"/>
                <w:sz w:val="20"/>
                <w:szCs w:val="20"/>
                <w:lang w:eastAsia="zh-CN"/>
              </w:rPr>
            </w:pPr>
          </w:p>
        </w:tc>
        <w:tc>
          <w:tcPr>
            <w:tcW w:w="3307" w:type="dxa"/>
          </w:tcPr>
          <w:p w14:paraId="37CDE4D3" w14:textId="77777777" w:rsidR="00CF455B" w:rsidRPr="0061714A" w:rsidRDefault="00CF455B" w:rsidP="008814DE">
            <w:pPr>
              <w:tabs>
                <w:tab w:val="left" w:pos="2190"/>
              </w:tabs>
              <w:spacing w:before="100" w:beforeAutospacing="1"/>
              <w:rPr>
                <w:rFonts w:eastAsia="Times New Roman"/>
                <w:i/>
                <w:sz w:val="20"/>
                <w:szCs w:val="20"/>
              </w:rPr>
            </w:pPr>
          </w:p>
        </w:tc>
      </w:tr>
      <w:tr w:rsidR="00CF455B" w:rsidRPr="0061714A" w14:paraId="564A1B0B" w14:textId="77777777" w:rsidTr="008814DE">
        <w:tc>
          <w:tcPr>
            <w:tcW w:w="2318" w:type="dxa"/>
            <w:vMerge/>
          </w:tcPr>
          <w:p w14:paraId="7EB4F63D" w14:textId="77777777" w:rsidR="00CF455B" w:rsidRPr="0061714A" w:rsidRDefault="00CF455B" w:rsidP="008814DE">
            <w:pPr>
              <w:tabs>
                <w:tab w:val="left" w:pos="2190"/>
              </w:tabs>
              <w:spacing w:before="100" w:beforeAutospacing="1"/>
              <w:rPr>
                <w:rFonts w:eastAsia="SimSun"/>
                <w:sz w:val="20"/>
                <w:szCs w:val="20"/>
                <w:lang w:eastAsia="zh-CN"/>
              </w:rPr>
            </w:pPr>
          </w:p>
        </w:tc>
        <w:tc>
          <w:tcPr>
            <w:tcW w:w="1945" w:type="dxa"/>
          </w:tcPr>
          <w:p w14:paraId="7F578AC0" w14:textId="77777777" w:rsidR="00CF455B" w:rsidRPr="0061714A" w:rsidRDefault="00CF455B" w:rsidP="008814DE">
            <w:pPr>
              <w:tabs>
                <w:tab w:val="left" w:pos="2190"/>
              </w:tabs>
              <w:spacing w:before="100" w:beforeAutospacing="1"/>
              <w:rPr>
                <w:rFonts w:eastAsia="SimSun"/>
                <w:i/>
                <w:iCs/>
                <w:sz w:val="20"/>
                <w:szCs w:val="20"/>
                <w:lang w:eastAsia="zh-CN"/>
              </w:rPr>
            </w:pPr>
          </w:p>
        </w:tc>
        <w:tc>
          <w:tcPr>
            <w:tcW w:w="2977" w:type="dxa"/>
            <w:tcMar>
              <w:top w:w="0" w:type="dxa"/>
              <w:left w:w="108" w:type="dxa"/>
              <w:bottom w:w="0" w:type="dxa"/>
              <w:right w:w="108" w:type="dxa"/>
            </w:tcMar>
            <w:vAlign w:val="center"/>
            <w:hideMark/>
          </w:tcPr>
          <w:p w14:paraId="5C72ED0C"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Feelings towards party leaders</w:t>
            </w:r>
          </w:p>
        </w:tc>
        <w:tc>
          <w:tcPr>
            <w:tcW w:w="3627" w:type="dxa"/>
            <w:vMerge w:val="restart"/>
            <w:tcBorders>
              <w:right w:val="single" w:sz="4" w:space="0" w:color="auto"/>
            </w:tcBorders>
            <w:tcMar>
              <w:top w:w="0" w:type="dxa"/>
              <w:left w:w="108" w:type="dxa"/>
              <w:bottom w:w="0" w:type="dxa"/>
              <w:right w:w="108" w:type="dxa"/>
            </w:tcMar>
            <w:vAlign w:val="center"/>
            <w:hideMark/>
          </w:tcPr>
          <w:p w14:paraId="3FFCC498"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Evaluations of politicians</w:t>
            </w:r>
          </w:p>
        </w:tc>
        <w:tc>
          <w:tcPr>
            <w:tcW w:w="3307" w:type="dxa"/>
            <w:vMerge w:val="restart"/>
            <w:tcBorders>
              <w:left w:val="single" w:sz="4" w:space="0" w:color="auto"/>
            </w:tcBorders>
            <w:vAlign w:val="center"/>
          </w:tcPr>
          <w:p w14:paraId="5F0ECFE3"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Times New Roman"/>
                <w:i/>
                <w:sz w:val="20"/>
                <w:szCs w:val="20"/>
              </w:rPr>
              <w:t xml:space="preserve">Mixed </w:t>
            </w:r>
            <w:r w:rsidRPr="0061714A">
              <w:rPr>
                <w:rFonts w:eastAsia="Times New Roman"/>
                <w:iCs/>
                <w:sz w:val="20"/>
                <w:szCs w:val="20"/>
              </w:rPr>
              <w:t>trends in trust in politicians</w:t>
            </w:r>
          </w:p>
        </w:tc>
      </w:tr>
      <w:tr w:rsidR="00CF455B" w:rsidRPr="0061714A" w14:paraId="707FBCE2" w14:textId="77777777" w:rsidTr="008814DE">
        <w:tc>
          <w:tcPr>
            <w:tcW w:w="2318" w:type="dxa"/>
          </w:tcPr>
          <w:p w14:paraId="73FC5E31" w14:textId="77777777" w:rsidR="00CF455B" w:rsidRPr="0061714A" w:rsidRDefault="00CF455B" w:rsidP="008814DE">
            <w:pPr>
              <w:tabs>
                <w:tab w:val="left" w:pos="2190"/>
              </w:tabs>
              <w:spacing w:before="100" w:beforeAutospacing="1"/>
              <w:rPr>
                <w:rFonts w:eastAsia="Times New Roman"/>
                <w:i/>
                <w:sz w:val="20"/>
                <w:szCs w:val="20"/>
              </w:rPr>
            </w:pPr>
            <w:r w:rsidRPr="0061714A">
              <w:rPr>
                <w:rFonts w:eastAsia="Times New Roman"/>
                <w:i/>
                <w:sz w:val="20"/>
                <w:szCs w:val="20"/>
              </w:rPr>
              <w:t>Specific Support</w:t>
            </w:r>
          </w:p>
        </w:tc>
        <w:tc>
          <w:tcPr>
            <w:tcW w:w="1945" w:type="dxa"/>
          </w:tcPr>
          <w:p w14:paraId="33B67EE7" w14:textId="77777777" w:rsidR="00CF455B" w:rsidRPr="0061714A" w:rsidRDefault="00CF455B" w:rsidP="008814DE">
            <w:pPr>
              <w:tabs>
                <w:tab w:val="left" w:pos="2190"/>
              </w:tabs>
              <w:spacing w:before="100" w:beforeAutospacing="1"/>
              <w:rPr>
                <w:rFonts w:eastAsia="SimSun"/>
                <w:i/>
                <w:iCs/>
                <w:sz w:val="20"/>
                <w:szCs w:val="20"/>
                <w:lang w:eastAsia="zh-CN"/>
              </w:rPr>
            </w:pPr>
          </w:p>
        </w:tc>
        <w:tc>
          <w:tcPr>
            <w:tcW w:w="2977" w:type="dxa"/>
            <w:tcMar>
              <w:top w:w="0" w:type="dxa"/>
              <w:left w:w="108" w:type="dxa"/>
              <w:bottom w:w="0" w:type="dxa"/>
              <w:right w:w="108" w:type="dxa"/>
            </w:tcMar>
            <w:vAlign w:val="center"/>
          </w:tcPr>
          <w:p w14:paraId="7B2F3C8E" w14:textId="77777777" w:rsidR="00CF455B" w:rsidRPr="0061714A" w:rsidRDefault="00CF455B" w:rsidP="008814DE">
            <w:pPr>
              <w:tabs>
                <w:tab w:val="left" w:pos="2190"/>
              </w:tabs>
              <w:spacing w:before="100" w:beforeAutospacing="1"/>
              <w:rPr>
                <w:rFonts w:eastAsia="SimSun"/>
                <w:sz w:val="20"/>
                <w:szCs w:val="20"/>
                <w:lang w:eastAsia="zh-CN"/>
              </w:rPr>
            </w:pPr>
            <w:r w:rsidRPr="0061714A">
              <w:rPr>
                <w:rFonts w:eastAsia="SimSun"/>
                <w:sz w:val="20"/>
                <w:szCs w:val="20"/>
                <w:lang w:eastAsia="zh-CN"/>
              </w:rPr>
              <w:t>Party identification</w:t>
            </w:r>
          </w:p>
        </w:tc>
        <w:tc>
          <w:tcPr>
            <w:tcW w:w="3627" w:type="dxa"/>
            <w:vMerge/>
            <w:tcBorders>
              <w:right w:val="single" w:sz="4" w:space="0" w:color="auto"/>
            </w:tcBorders>
            <w:tcMar>
              <w:top w:w="0" w:type="dxa"/>
              <w:left w:w="108" w:type="dxa"/>
              <w:bottom w:w="0" w:type="dxa"/>
              <w:right w:w="108" w:type="dxa"/>
            </w:tcMar>
          </w:tcPr>
          <w:p w14:paraId="5E330F37" w14:textId="77777777" w:rsidR="00CF455B" w:rsidRPr="0061714A" w:rsidRDefault="00CF455B" w:rsidP="008814DE">
            <w:pPr>
              <w:tabs>
                <w:tab w:val="left" w:pos="2190"/>
              </w:tabs>
              <w:spacing w:before="100" w:beforeAutospacing="1"/>
              <w:rPr>
                <w:rFonts w:eastAsia="SimSun"/>
                <w:sz w:val="20"/>
                <w:szCs w:val="20"/>
                <w:lang w:eastAsia="zh-CN"/>
              </w:rPr>
            </w:pPr>
          </w:p>
        </w:tc>
        <w:tc>
          <w:tcPr>
            <w:tcW w:w="3307" w:type="dxa"/>
            <w:vMerge/>
            <w:tcBorders>
              <w:left w:val="single" w:sz="4" w:space="0" w:color="auto"/>
            </w:tcBorders>
          </w:tcPr>
          <w:p w14:paraId="67DBA617" w14:textId="77777777" w:rsidR="00CF455B" w:rsidRPr="0061714A" w:rsidRDefault="00CF455B" w:rsidP="008814DE">
            <w:pPr>
              <w:tabs>
                <w:tab w:val="left" w:pos="2190"/>
              </w:tabs>
              <w:spacing w:before="100" w:beforeAutospacing="1"/>
              <w:rPr>
                <w:rFonts w:eastAsia="Times New Roman"/>
                <w:i/>
                <w:sz w:val="20"/>
                <w:szCs w:val="20"/>
              </w:rPr>
            </w:pPr>
          </w:p>
        </w:tc>
      </w:tr>
    </w:tbl>
    <w:p w14:paraId="6F7E25F5" w14:textId="43E133C7" w:rsidR="00CF455B" w:rsidRPr="00994662" w:rsidRDefault="00722D2E" w:rsidP="00722D2E">
      <w:pPr>
        <w:pStyle w:val="Caption"/>
        <w:rPr>
          <w:rFonts w:ascii="Segoe UI" w:hAnsi="Segoe UI" w:cs="Segoe UI"/>
          <w:i w:val="0"/>
          <w:sz w:val="20"/>
          <w:szCs w:val="20"/>
        </w:rPr>
      </w:pPr>
      <w:bookmarkStart w:id="69" w:name="_Toc494687135"/>
      <w:r w:rsidRPr="00994662">
        <w:rPr>
          <w:rFonts w:ascii="Segoe UI" w:hAnsi="Segoe UI" w:cs="Segoe UI"/>
          <w:i w:val="0"/>
        </w:rPr>
        <w:t xml:space="preserve">Figure </w:t>
      </w:r>
      <w:r w:rsidR="00994662" w:rsidRPr="00994662">
        <w:rPr>
          <w:rFonts w:ascii="Segoe UI" w:hAnsi="Segoe UI" w:cs="Segoe UI"/>
          <w:i w:val="0"/>
        </w:rPr>
        <w:fldChar w:fldCharType="begin"/>
      </w:r>
      <w:r w:rsidR="00994662" w:rsidRPr="00994662">
        <w:rPr>
          <w:rFonts w:ascii="Segoe UI" w:hAnsi="Segoe UI" w:cs="Segoe UI"/>
          <w:i w:val="0"/>
        </w:rPr>
        <w:instrText xml:space="preserve"> STYLEREF 1 \s </w:instrText>
      </w:r>
      <w:r w:rsidR="00994662" w:rsidRPr="00994662">
        <w:rPr>
          <w:rFonts w:ascii="Segoe UI" w:hAnsi="Segoe UI" w:cs="Segoe UI"/>
          <w:i w:val="0"/>
        </w:rPr>
        <w:fldChar w:fldCharType="separate"/>
      </w:r>
      <w:r w:rsidR="00306E67" w:rsidRPr="00994662">
        <w:rPr>
          <w:rFonts w:ascii="Segoe UI" w:hAnsi="Segoe UI" w:cs="Segoe UI"/>
          <w:i w:val="0"/>
          <w:noProof/>
        </w:rPr>
        <w:t>2</w:t>
      </w:r>
      <w:r w:rsidR="00994662" w:rsidRPr="00994662">
        <w:rPr>
          <w:rFonts w:ascii="Segoe UI" w:hAnsi="Segoe UI" w:cs="Segoe UI"/>
          <w:i w:val="0"/>
          <w:noProof/>
        </w:rPr>
        <w:fldChar w:fldCharType="end"/>
      </w:r>
      <w:r w:rsidR="00D9151E" w:rsidRPr="00994662">
        <w:rPr>
          <w:rFonts w:ascii="Segoe UI" w:hAnsi="Segoe UI" w:cs="Segoe UI"/>
          <w:i w:val="0"/>
        </w:rPr>
        <w:t>:</w:t>
      </w:r>
      <w:r w:rsidR="00994662" w:rsidRPr="00994662">
        <w:rPr>
          <w:rFonts w:ascii="Segoe UI" w:hAnsi="Segoe UI" w:cs="Segoe UI"/>
          <w:i w:val="0"/>
        </w:rPr>
        <w:fldChar w:fldCharType="begin"/>
      </w:r>
      <w:r w:rsidR="00994662" w:rsidRPr="00994662">
        <w:rPr>
          <w:rFonts w:ascii="Segoe UI" w:hAnsi="Segoe UI" w:cs="Segoe UI"/>
          <w:i w:val="0"/>
        </w:rPr>
        <w:instrText xml:space="preserve"> SEQ Figure \* ARABIC \s 1 </w:instrText>
      </w:r>
      <w:r w:rsidR="00994662" w:rsidRPr="00994662">
        <w:rPr>
          <w:rFonts w:ascii="Segoe UI" w:hAnsi="Segoe UI" w:cs="Segoe UI"/>
          <w:i w:val="0"/>
        </w:rPr>
        <w:fldChar w:fldCharType="separate"/>
      </w:r>
      <w:r w:rsidR="00306E67" w:rsidRPr="00994662">
        <w:rPr>
          <w:rFonts w:ascii="Segoe UI" w:hAnsi="Segoe UI" w:cs="Segoe UI"/>
          <w:i w:val="0"/>
          <w:noProof/>
        </w:rPr>
        <w:t>2</w:t>
      </w:r>
      <w:r w:rsidR="00994662" w:rsidRPr="00994662">
        <w:rPr>
          <w:rFonts w:ascii="Segoe UI" w:hAnsi="Segoe UI" w:cs="Segoe UI"/>
          <w:i w:val="0"/>
          <w:noProof/>
        </w:rPr>
        <w:fldChar w:fldCharType="end"/>
      </w:r>
      <w:r w:rsidRPr="00994662">
        <w:rPr>
          <w:rFonts w:ascii="Segoe UI" w:hAnsi="Segoe UI" w:cs="Segoe UI"/>
          <w:i w:val="0"/>
        </w:rPr>
        <w:t xml:space="preserve"> </w:t>
      </w:r>
      <w:r w:rsidR="00994662">
        <w:rPr>
          <w:rFonts w:ascii="Segoe UI" w:hAnsi="Segoe UI" w:cs="Segoe UI"/>
          <w:i w:val="0"/>
        </w:rPr>
        <w:t xml:space="preserve">Conceptualising </w:t>
      </w:r>
      <w:r w:rsidRPr="00994662">
        <w:rPr>
          <w:rFonts w:ascii="Segoe UI" w:hAnsi="Segoe UI" w:cs="Segoe UI"/>
          <w:i w:val="0"/>
        </w:rPr>
        <w:t>Political Support (adapted from Norris 1999, p.10 and Dalton 1999, p.58)</w:t>
      </w:r>
      <w:bookmarkEnd w:id="69"/>
    </w:p>
    <w:p w14:paraId="55830B95" w14:textId="77777777" w:rsidR="00722D2E" w:rsidRPr="0061714A" w:rsidRDefault="00722D2E" w:rsidP="00722D2E">
      <w:pPr>
        <w:keepNext/>
        <w:spacing w:before="100" w:beforeAutospacing="1"/>
        <w:rPr>
          <w:sz w:val="20"/>
          <w:szCs w:val="20"/>
        </w:rPr>
        <w:sectPr w:rsidR="00722D2E" w:rsidRPr="0061714A" w:rsidSect="0052597C">
          <w:pgSz w:w="16838" w:h="11906" w:orient="landscape"/>
          <w:pgMar w:top="1440" w:right="1440" w:bottom="1440" w:left="1440" w:header="709" w:footer="709" w:gutter="357"/>
          <w:cols w:space="708"/>
          <w:docGrid w:linePitch="360"/>
        </w:sectPr>
      </w:pPr>
    </w:p>
    <w:p w14:paraId="49FA1D20" w14:textId="4C4C0AAA" w:rsidR="00CF455B" w:rsidRPr="00930BF5" w:rsidRDefault="00CF455B" w:rsidP="00C62010">
      <w:r w:rsidRPr="00930BF5">
        <w:t xml:space="preserve">The affective orientations and instrumental evaluations columns </w:t>
      </w:r>
      <w:r w:rsidR="00EE6A75">
        <w:t>in F</w:t>
      </w:r>
      <w:r w:rsidR="009C1930">
        <w:t xml:space="preserve">igure 2,2 </w:t>
      </w:r>
      <w:r w:rsidRPr="00930BF5">
        <w:t xml:space="preserve">outline the important elements of aspects of civic culture at each level of support. When it comes to regime principles for a democratic state, ‘democratic values’ are obviously the most important. </w:t>
      </w:r>
      <w:r w:rsidR="003B2C60">
        <w:t>Norris (1999, p.</w:t>
      </w:r>
      <w:r w:rsidRPr="00930BF5">
        <w:t>11) notes that this dimension refers to ‘“idealist” definitions of democracy derived from classic liberal theory’. However, she goes on</w:t>
      </w:r>
      <w:r w:rsidR="009C1930">
        <w:t xml:space="preserve"> </w:t>
      </w:r>
      <w:r w:rsidRPr="00930BF5">
        <w:t>to acknowledge that democracy is ‘an essentially contested concept, open to multiple meanings [and] there is no consensus about which values should be nominated as important’ (</w:t>
      </w:r>
      <w:r w:rsidR="00170FB9">
        <w:t>i</w:t>
      </w:r>
      <w:r w:rsidR="003B2C60" w:rsidRPr="00170FB9">
        <w:t>bid</w:t>
      </w:r>
      <w:r w:rsidRPr="00930BF5">
        <w:t>).</w:t>
      </w:r>
    </w:p>
    <w:p w14:paraId="0BE15308" w14:textId="464C65C1" w:rsidR="00676928" w:rsidRDefault="00CF455B" w:rsidP="00C62010">
      <w:pPr>
        <w:rPr>
          <w:i/>
          <w:color w:val="000000"/>
        </w:rPr>
      </w:pPr>
      <w:r>
        <w:t>What t</w:t>
      </w:r>
      <w:r w:rsidRPr="00930BF5">
        <w:t xml:space="preserve">his means </w:t>
      </w:r>
      <w:r>
        <w:t xml:space="preserve">is </w:t>
      </w:r>
      <w:r w:rsidRPr="00930BF5">
        <w:t>that empirical testing of support for democracy has been undertaken using very narrow questions which only ascertain whether the respondent thinks democracy is a good thi</w:t>
      </w:r>
      <w:r w:rsidR="0010443D">
        <w:t>ng or not. As Qi and Shin (2011, p.</w:t>
      </w:r>
      <w:r w:rsidRPr="00930BF5">
        <w:t xml:space="preserve">247) put it: “In testing this demand-driven model of democratization, a standard practice has been to measure citizen demand for democracy solely in terms of mass support for democracy as a regime.” The questions used for this measurement are often along the lines of: </w:t>
      </w:r>
      <w:r w:rsidRPr="00930BF5">
        <w:rPr>
          <w:i/>
        </w:rPr>
        <w:t>“</w:t>
      </w:r>
      <w:r w:rsidRPr="00930BF5">
        <w:rPr>
          <w:i/>
          <w:lang w:eastAsia="zh-CN"/>
        </w:rPr>
        <w:t>On the whole are you very satisfied, rather satisfied, not very satisfied or not at all satisfied with the way democracy is developing in our country?”</w:t>
      </w:r>
      <w:r w:rsidRPr="00930BF5">
        <w:rPr>
          <w:lang w:eastAsia="zh-CN"/>
        </w:rPr>
        <w:t xml:space="preserve"> Questions like this tap into support for the term ‘democracy’ only: it is not clear how the term is understood by the respondent. Other questions, such as </w:t>
      </w:r>
      <w:r w:rsidRPr="00930BF5">
        <w:t>“</w:t>
      </w:r>
      <w:r w:rsidRPr="00930BF5">
        <w:rPr>
          <w:i/>
          <w:color w:val="000000"/>
        </w:rPr>
        <w:t>How democratically is this country being governed today (on a scale of one to ten)?</w:t>
      </w:r>
      <w:r w:rsidRPr="00930BF5">
        <w:rPr>
          <w:color w:val="000000"/>
        </w:rPr>
        <w:t xml:space="preserve">” or levels of agreement with phrases like </w:t>
      </w:r>
      <w:r w:rsidRPr="00930BF5">
        <w:rPr>
          <w:i/>
          <w:color w:val="000000"/>
        </w:rPr>
        <w:t xml:space="preserve">“Democracies are indecisive and have too much squabbling” </w:t>
      </w:r>
      <w:r w:rsidRPr="00930BF5">
        <w:rPr>
          <w:color w:val="000000"/>
        </w:rPr>
        <w:t>and</w:t>
      </w:r>
      <w:r w:rsidRPr="00930BF5">
        <w:rPr>
          <w:i/>
          <w:color w:val="000000"/>
        </w:rPr>
        <w:t xml:space="preserve"> “Democracies aren’t good at maintaining order”</w:t>
      </w:r>
      <w:r w:rsidRPr="00930BF5">
        <w:rPr>
          <w:color w:val="000000"/>
        </w:rPr>
        <w:t xml:space="preserve"> </w:t>
      </w:r>
      <w:r w:rsidR="009C1930">
        <w:rPr>
          <w:color w:val="000000"/>
        </w:rPr>
        <w:t>delve</w:t>
      </w:r>
      <w:r w:rsidR="009C1930" w:rsidRPr="00930BF5">
        <w:rPr>
          <w:color w:val="000000"/>
        </w:rPr>
        <w:t xml:space="preserve"> </w:t>
      </w:r>
      <w:r w:rsidRPr="00930BF5">
        <w:rPr>
          <w:color w:val="000000"/>
        </w:rPr>
        <w:t>slightly deeper into issues of quality, yet they share the same difficulty: we still don’t know what democracy means to those answering the question.</w:t>
      </w:r>
      <w:r w:rsidRPr="00930BF5">
        <w:rPr>
          <w:i/>
          <w:color w:val="000000"/>
        </w:rPr>
        <w:t xml:space="preserve"> </w:t>
      </w:r>
    </w:p>
    <w:p w14:paraId="6E006636" w14:textId="499D1369" w:rsidR="00CF455B" w:rsidRPr="0069396A" w:rsidRDefault="00CF455B" w:rsidP="00C62010">
      <w:pPr>
        <w:rPr>
          <w:iCs/>
          <w:color w:val="000000"/>
        </w:rPr>
      </w:pPr>
      <w:r>
        <w:rPr>
          <w:iCs/>
          <w:color w:val="000000"/>
        </w:rPr>
        <w:t xml:space="preserve">From this discussion, we can take two consequent points. </w:t>
      </w:r>
      <w:r w:rsidRPr="00930BF5">
        <w:t xml:space="preserve">If political knowledge has such an important role in generating support for democracy and prompting participation, awareness of what democracy means must be widespread amongst citizens – otherwise there would be an unworkable disjuncture between regime capabilities and public expectations. </w:t>
      </w:r>
      <w:r w:rsidR="009C1930">
        <w:t>Hence</w:t>
      </w:r>
      <w:r w:rsidRPr="00930BF5">
        <w:t>:</w:t>
      </w:r>
    </w:p>
    <w:p w14:paraId="205E1B2F" w14:textId="77777777" w:rsidR="00CF455B" w:rsidRPr="00C62010" w:rsidRDefault="00CF455B" w:rsidP="00C62010">
      <w:pPr>
        <w:rPr>
          <w:rFonts w:eastAsiaTheme="majorEastAsia"/>
          <w:b/>
        </w:rPr>
      </w:pPr>
      <w:r w:rsidRPr="00C62010">
        <w:rPr>
          <w:b/>
        </w:rPr>
        <w:t>1</w:t>
      </w:r>
      <w:r w:rsidR="0073718B" w:rsidRPr="00C62010">
        <w:rPr>
          <w:b/>
        </w:rPr>
        <w:t>)</w:t>
      </w:r>
      <w:r w:rsidRPr="00C62010">
        <w:rPr>
          <w:b/>
        </w:rPr>
        <w:t xml:space="preserve"> To effectively support democracy, citizens must be knowledgeable of democracy</w:t>
      </w:r>
    </w:p>
    <w:p w14:paraId="55458D66" w14:textId="29657ED8" w:rsidR="00CF455B" w:rsidRPr="00930BF5" w:rsidRDefault="00C37B01" w:rsidP="00C62010">
      <w:r>
        <w:t>However, secondly</w:t>
      </w:r>
      <w:r w:rsidR="00CF455B">
        <w:t>:</w:t>
      </w:r>
    </w:p>
    <w:p w14:paraId="684E6C27" w14:textId="77777777" w:rsidR="00CF455B" w:rsidRPr="00C62010" w:rsidRDefault="00CF455B" w:rsidP="00C62010">
      <w:pPr>
        <w:rPr>
          <w:b/>
        </w:rPr>
      </w:pPr>
      <w:r w:rsidRPr="00C62010">
        <w:rPr>
          <w:b/>
        </w:rPr>
        <w:t>2</w:t>
      </w:r>
      <w:r w:rsidR="0073718B" w:rsidRPr="00C62010">
        <w:rPr>
          <w:b/>
        </w:rPr>
        <w:t>)</w:t>
      </w:r>
      <w:r w:rsidRPr="00C62010">
        <w:rPr>
          <w:b/>
        </w:rPr>
        <w:t xml:space="preserve"> Examinations of citizen support for democracy frequently </w:t>
      </w:r>
      <w:r w:rsidRPr="00C62010">
        <w:rPr>
          <w:b/>
          <w:i/>
        </w:rPr>
        <w:t>assume</w:t>
      </w:r>
      <w:r w:rsidRPr="00C62010">
        <w:rPr>
          <w:b/>
        </w:rPr>
        <w:t xml:space="preserve"> a shared understanding of democracy</w:t>
      </w:r>
    </w:p>
    <w:p w14:paraId="2397F5CD" w14:textId="587AB0C0" w:rsidR="00CF455B" w:rsidRDefault="00CF455B" w:rsidP="00C62010">
      <w:r w:rsidRPr="00930BF5">
        <w:t xml:space="preserve">In the </w:t>
      </w:r>
      <w:r w:rsidRPr="00930BF5">
        <w:rPr>
          <w:i/>
        </w:rPr>
        <w:t>Summary of Trends</w:t>
      </w:r>
      <w:r w:rsidRPr="00930BF5">
        <w:t xml:space="preserve"> column o</w:t>
      </w:r>
      <w:r w:rsidR="0073718B">
        <w:t>f Figure 2.2</w:t>
      </w:r>
      <w:r>
        <w:t xml:space="preserve"> it is clear that at the diffuse level, </w:t>
      </w:r>
      <w:r w:rsidRPr="00930BF5">
        <w:t xml:space="preserve">political support </w:t>
      </w:r>
      <w:r>
        <w:t xml:space="preserve">for the political community within countries tends to be high. We know from numerous examples outlined in Chapter One that support for democracy as a concept, as a term, is very high. </w:t>
      </w:r>
      <w:r w:rsidRPr="00930BF5">
        <w:t xml:space="preserve">Using the World Values Survey (WVS), Diamond </w:t>
      </w:r>
      <w:r w:rsidR="00993367">
        <w:fldChar w:fldCharType="begin" w:fldLock="1"/>
      </w:r>
      <w:r w:rsidR="00E63CC6">
        <w:instrText>ADDIN CSL_CITATION { "citationItems" : [ { "id" : "ITEM-1", "itemData" : { "author" : [ { "dropping-particle" : "", "family" : "Diamond", "given" : "Larry", "non-dropping-particle" : "", "parse-names" : false, "suffix" : "" } ], "container-title" : "How People View Democracy", "editor" : [ { "dropping-particle" : "", "family" : "Diamond", "given" : "L", "non-dropping-particle" : "", "parse-names" : false, "suffix" : "" }, { "dropping-particle" : "", "family" : "Plattner", "given" : "M F", "non-dropping-particle" : "", "parse-names" : false, "suffix" : "" } ], "id" : "ITEM-1", "issued" : { "date-parts" : [ [ "2008" ] ] }, "publisher" : "John Hopkins University Press", "publisher-place" : "Baltimore", "title" : "Introduction", "type" : "chapter" }, "uris" : [ "http://www.mendeley.com/documents/?uuid=acdd4d23-a3d9-42f3-8e7d-aff01792a8a1" ] } ], "mendeley" : { "formattedCitation" : "(Diamond, 2008a)", "manualFormatting" : "(Diamond 2008a, p.xi)", "plainTextFormattedCitation" : "(Diamond, 2008a)", "previouslyFormattedCitation" : "(Diamond, 2008a)" }, "properties" : { "noteIndex" : 0 }, "schema" : "https://github.com/citation-style-language/schema/raw/master/csl-citation.json" }</w:instrText>
      </w:r>
      <w:r w:rsidR="00993367">
        <w:fldChar w:fldCharType="separate"/>
      </w:r>
      <w:r w:rsidR="00993367" w:rsidRPr="00993367">
        <w:rPr>
          <w:noProof/>
        </w:rPr>
        <w:t>(Diamond 2008a</w:t>
      </w:r>
      <w:r w:rsidR="00993367">
        <w:rPr>
          <w:noProof/>
        </w:rPr>
        <w:t>, p.xi</w:t>
      </w:r>
      <w:r w:rsidR="00993367" w:rsidRPr="00993367">
        <w:rPr>
          <w:noProof/>
        </w:rPr>
        <w:t>)</w:t>
      </w:r>
      <w:r w:rsidR="00993367">
        <w:fldChar w:fldCharType="end"/>
      </w:r>
      <w:r w:rsidRPr="00930BF5">
        <w:t xml:space="preserve"> calculated that 80% of respondents thought democracy was the best form of government, whether they came from Western European countries, the former Soviet Union or the democracy-deprived Middle East.</w:t>
      </w:r>
      <w:r w:rsidRPr="00245A6C">
        <w:t xml:space="preserve"> </w:t>
      </w:r>
      <w:r w:rsidRPr="00930BF5">
        <w:t xml:space="preserve">Support for democracy as an ideal is high in most industrialised Western nations, and continues to increase in many </w:t>
      </w:r>
      <w:r w:rsidR="00993367">
        <w:fldChar w:fldCharType="begin" w:fldLock="1"/>
      </w:r>
      <w:r w:rsidR="00E63CC6">
        <w:instrText>ADDIN CSL_CITATION { "citationItems" : [ { "id" : "ITEM-1", "itemData" : { "author" : [ { "dropping-particle" : "", "family" : "Norris", "given" : "P", "non-dropping-particle" : "", "parse-names" : false, "suffix" : "" } ], "container-title" : "Critical Citizens - Global Support for Democratic Governance", "editor" : [ { "dropping-particle" : "", "family" : "Norris", "given" : "P", "non-dropping-particle" : "", "parse-names" : false, "suffix" : "" } ], "id" : "ITEM-1", "issued" : { "date-parts" : [ [ "1999" ] ] }, "page" : "1-30", "publisher" : "Oxford University Press", "publisher-place" : "Oxford", "title" : "Introduction: The growth of critical citizens?", "type" : "chapter" }, "uris" : [ "http://www.mendeley.com/documents/?uuid=dfb502f5-7866-4e17-bb41-94987036ce24" ] }, { "id" : "ITEM-2", "itemData" : { "author" : [ { "dropping-particle" : "", "family" : "Klingemann", "given" : "Hans-Dieter", "non-dropping-particle" : "", "parse-names" : false, "suffix" : "" } ], "container-title" : "Critical Citizens - Global Support for Democratic Governance", "editor" : [ { "dropping-particle" : "", "family" : "Norris", "given" : "Pippa", "non-dropping-particle" : "", "parse-names" : false, "suffix" : "" } ], "id" : "ITEM-2", "issued" : { "date-parts" : [ [ "1998" ] ] }, "page" : "31-57", "publisher" : "Oxford University Press", "publisher-place" : "Oxford", "title" : "Mapping Political Support in the 1990s: A Global Analysis", "type" : "chapter" }, "uris" : [ "http://www.mendeley.com/documents/?uuid=f17a1bce-7807-4552-bdda-38032e615ed4" ] }, { "id" : "ITEM-3", "itemData" : { "author" : [ { "dropping-particle" : "", "family" : "Dalton", "given" : "RJ", "non-dropping-particle" : "", "parse-names" : false, "suffix" : "" } ], "container-title" : "Critical Citizens - Global Support for Democratic Governance", "editor" : [ { "dropping-particle" : "", "family" : "Norris", "given" : "P", "non-dropping-particle" : "", "parse-names" : false, "suffix" : "" } ], "id" : "ITEM-3", "issued" : { "date-parts" : [ [ "1999" ] ] }, "page" : "57-78", "publisher" : "Oxford University Press", "publisher-place" : "Oxford", "title" : "Political Support in Advanced Industrial Nations", "type" : "chapter" }, "uris" : [ "http://www.mendeley.com/documents/?uuid=b35cab17-68c5-474b-9cea-bded1fd7273e" ] } ], "mendeley" : { "formattedCitation" : "(Klingemann, 1998; Dalton, 1999; Norris, 1999)", "plainTextFormattedCitation" : "(Klingemann, 1998; Dalton, 1999; Norris, 1999)", "previouslyFormattedCitation" : "(Klingemann, 1998; Dalton, 1999; Norris, 1999)" }, "properties" : { "noteIndex" : 0 }, "schema" : "https://github.com/citation-style-language/schema/raw/master/csl-citation.json" }</w:instrText>
      </w:r>
      <w:r w:rsidR="00993367">
        <w:fldChar w:fldCharType="separate"/>
      </w:r>
      <w:r w:rsidR="00E63CC6" w:rsidRPr="00E63CC6">
        <w:rPr>
          <w:noProof/>
        </w:rPr>
        <w:t>(Klingemann, 1998; Dalton, 1999; Norris, 1999)</w:t>
      </w:r>
      <w:r w:rsidR="00993367">
        <w:fldChar w:fldCharType="end"/>
      </w:r>
      <w:r w:rsidRPr="00930BF5">
        <w:t xml:space="preserve">. </w:t>
      </w:r>
    </w:p>
    <w:p w14:paraId="17BD86F4" w14:textId="011A24DC" w:rsidR="00CF455B" w:rsidRPr="00C50013" w:rsidRDefault="00CF455B" w:rsidP="00C62010">
      <w:r>
        <w:t xml:space="preserve">However, </w:t>
      </w:r>
      <w:r w:rsidR="00993367">
        <w:t>what these studies rarely assess in any detail is what citizens have in mind when they say they support democracy. We</w:t>
      </w:r>
      <w:r>
        <w:t xml:space="preserve"> </w:t>
      </w:r>
      <w:r w:rsidR="00993367">
        <w:t xml:space="preserve">know that </w:t>
      </w:r>
      <w:r>
        <w:t xml:space="preserve">support for more specific things, such as institutions or politicians, is mixed </w:t>
      </w:r>
      <w:r w:rsidR="00993367">
        <w:t>and more often than not low (</w:t>
      </w:r>
      <w:r>
        <w:t xml:space="preserve"> </w:t>
      </w:r>
      <w:r w:rsidR="00993367">
        <w:fldChar w:fldCharType="begin" w:fldLock="1"/>
      </w:r>
      <w:r w:rsidR="00E63CC6">
        <w:instrText>ADDIN CSL_CITATION { "citationItems" : [ { "id" : "ITEM-1", "itemData" : { "author" : [ { "dropping-particle" : "", "family" : "Dalton", "given" : "RJ", "non-dropping-particle" : "", "parse-names" : false, "suffix" : "" } ], "container-title" : "Critical Citizens - Global Support for Democratic Governance", "editor" : [ { "dropping-particle" : "", "family" : "Norris", "given" : "P", "non-dropping-particle" : "", "parse-names" : false, "suffix" : "" } ], "id" : "ITEM-1", "issued" : { "date-parts" : [ [ "1999" ] ] }, "page" : "57-78", "publisher" : "Oxford University Press", "publisher-place" : "Oxford", "title" : "Political Support in Advanced Industrial Nations", "type" : "chapter" }, "uris" : [ "http://www.mendeley.com/documents/?uuid=b35cab17-68c5-474b-9cea-bded1fd7273e" ] }, { "id" : "ITEM-2", "itemData" : { "author" : [ { "dropping-particle" : "", "family" : "Klingemann", "given" : "Hans-Dieter", "non-dropping-particle" : "", "parse-names" : false, "suffix" : "" } ], "container-title" : "Critical Citizens - Global Support for Democratic Governance", "editor" : [ { "dropping-particle" : "", "family" : "Norris", "given" : "Pippa", "non-dropping-particle" : "", "parse-names" : false, "suffix" : "" } ], "id" : "ITEM-2", "issued" : { "date-parts" : [ [ "1998" ] ] }, "page" : "31-57", "publisher" : "Oxford University Press", "publisher-place" : "Oxford", "title" : "Mapping Political Support in the 1990s: A Global Analysis", "type" : "chapter" }, "uris" : [ "http://www.mendeley.com/documents/?uuid=f17a1bce-7807-4552-bdda-38032e615ed4" ] }, { "id" : "ITEM-3", "itemData" : { "author" : [ { "dropping-particle" : "", "family" : "Holmberg", "given" : "S", "non-dropping-particle" : "", "parse-names" : false, "suffix" : "" } ], "container-title" : "Critical Citizens - Global Support for Democratic Governance", "editor" : [ { "dropping-particle" : "", "family" : "Norris", "given" : "P", "non-dropping-particle" : "", "parse-names" : false, "suffix" : "" } ], "id" : "ITEM-3", "issued" : { "date-parts" : [ [ "1999" ] ] }, "page" : "103-123", "publisher" : "Oxford University Press", "publisher-place" : "Oxford", "title" : "Down and Down We Go: Political Trust in Sweden", "type" : "chapter" }, "uris" : [ "http://www.mendeley.com/documents/?uuid=e10b0335-0d2c-41a6-80c3-041149dcbf4e" ] } ], "mendeley" : { "formattedCitation" : "(Klingemann, 1998; Dalton, 1999; Holmberg, 1999)", "plainTextFormattedCitation" : "(Klingemann, 1998; Dalton, 1999; Holmberg, 1999)", "previouslyFormattedCitation" : "(Klingemann, 1998; Dalton, 1999; Holmberg, 1999)" }, "properties" : { "noteIndex" : 0 }, "schema" : "https://github.com/citation-style-language/schema/raw/master/csl-citation.json" }</w:instrText>
      </w:r>
      <w:r w:rsidR="00993367">
        <w:fldChar w:fldCharType="separate"/>
      </w:r>
      <w:r w:rsidR="00E63CC6" w:rsidRPr="00E63CC6">
        <w:rPr>
          <w:noProof/>
        </w:rPr>
        <w:t>(Klingemann, 1998; Dalton, 1999; Holmberg, 1999)</w:t>
      </w:r>
      <w:r w:rsidR="00993367">
        <w:fldChar w:fldCharType="end"/>
      </w:r>
      <w:r>
        <w:t xml:space="preserve">. </w:t>
      </w:r>
      <w:r w:rsidR="00993367">
        <w:t>So i</w:t>
      </w:r>
      <w:r w:rsidRPr="00930BF5">
        <w:t>t</w:t>
      </w:r>
      <w:r>
        <w:t xml:space="preserve"> appears that it </w:t>
      </w:r>
      <w:r w:rsidRPr="00930BF5">
        <w:t>is not democracy</w:t>
      </w:r>
      <w:r>
        <w:t xml:space="preserve"> – the term –</w:t>
      </w:r>
      <w:r w:rsidRPr="00930BF5">
        <w:t xml:space="preserve"> citizens dislike, but their governments and representatives. </w:t>
      </w:r>
      <w:r>
        <w:t>Indeed, t</w:t>
      </w:r>
      <w:r w:rsidRPr="00930BF5">
        <w:t xml:space="preserve">his schism between the strength of diffuse and specific political support forms the nexus of Norris’s </w:t>
      </w:r>
      <w:r w:rsidR="00993367">
        <w:fldChar w:fldCharType="begin" w:fldLock="1"/>
      </w:r>
      <w:r w:rsidR="00E63CC6">
        <w:instrText>ADDIN CSL_CITATION { "citationItems" : [ { "id" : "ITEM-1", "itemData" : { "author" : [ { "dropping-particle" : "", "family" : "Norris", "given" : "P", "non-dropping-particle" : "", "parse-names" : false, "suffix" : "" } ], "id" : "ITEM-1", "issued" : { "date-parts" : [ [ "2011" ] ] }, "publisher" : "Cambridge University Press", "publisher-place" : "Cambridge", "title" : "Democratic Deficit - Critical Citizens Revisited", "type" : "book" }, "uris" : [ "http://www.mendeley.com/documents/?uuid=767d7bfd-72a9-4ffe-ba7a-ed7860204ebd" ] }, { "id" : "ITEM-2", "itemData" : { "author" : [ { "dropping-particle" : "", "family" : "Norris", "given" : "P", "non-dropping-particle" : "", "parse-names" : false, "suffix" : "" } ], "container-title" : "Critical Citizens - Global Support for Democratic Governance", "editor" : [ { "dropping-particle" : "", "family" : "Norris", "given" : "P", "non-dropping-particle" : "", "parse-names" : false, "suffix" : "" } ], "id" : "ITEM-2", "issued" : { "date-parts" : [ [ "1999" ] ] }, "page" : "1-30", "publisher" : "Oxford University Press", "publisher-place" : "Oxford", "title" : "Introduction: The growth of critical citizens?", "type" : "chapter" }, "uris" : [ "http://www.mendeley.com/documents/?uuid=dfb502f5-7866-4e17-bb41-94987036ce24" ] } ], "mendeley" : { "formattedCitation" : "(Norris, 1999, 2011)", "manualFormatting" : "(2011; 1999)", "plainTextFormattedCitation" : "(Norris, 1999, 2011)", "previouslyFormattedCitation" : "(Norris, 1999, 2011)" }, "properties" : { "noteIndex" : 0 }, "schema" : "https://github.com/citation-style-language/schema/raw/master/csl-citation.json" }</w:instrText>
      </w:r>
      <w:r w:rsidR="00993367">
        <w:fldChar w:fldCharType="separate"/>
      </w:r>
      <w:r w:rsidR="00993367" w:rsidRPr="00993367">
        <w:rPr>
          <w:noProof/>
        </w:rPr>
        <w:t>(2011; 1999)</w:t>
      </w:r>
      <w:r w:rsidR="00993367">
        <w:fldChar w:fldCharType="end"/>
      </w:r>
      <w:r w:rsidRPr="00930BF5">
        <w:t xml:space="preserve"> concept of ‘critical citizens’ or, alternatively, ‘dissatisfied democrats’. Norris argues that there has been a growth of more critical citizens who value democracy as an ideal yet who remain dissatisfied with the performance of their political system, and particularly the core institutions of represe</w:t>
      </w:r>
      <w:r w:rsidR="00993367">
        <w:t>ntative government (Norris 1999, p.</w:t>
      </w:r>
      <w:r w:rsidRPr="00930BF5">
        <w:t>269). This idea was bolstered by further evidence from a wider selection of countries a decade later (Norris 2011).</w:t>
      </w:r>
    </w:p>
    <w:p w14:paraId="5CEEEB12" w14:textId="38E0A8C1" w:rsidR="00CF455B" w:rsidRPr="00930BF5" w:rsidRDefault="00CF455B" w:rsidP="00C62010">
      <w:pPr>
        <w:rPr>
          <w:rFonts w:cstheme="majorBidi"/>
        </w:rPr>
      </w:pPr>
      <w:r w:rsidRPr="00930BF5">
        <w:rPr>
          <w:rFonts w:cstheme="majorBidi"/>
        </w:rPr>
        <w:t xml:space="preserve">For Norris, the growth of these critical citizens is not </w:t>
      </w:r>
      <w:r>
        <w:rPr>
          <w:rFonts w:cstheme="majorBidi"/>
        </w:rPr>
        <w:t xml:space="preserve">necessarily </w:t>
      </w:r>
      <w:r w:rsidRPr="00930BF5">
        <w:rPr>
          <w:rFonts w:cstheme="majorBidi"/>
        </w:rPr>
        <w:t>a negative</w:t>
      </w:r>
      <w:r>
        <w:rPr>
          <w:rFonts w:cstheme="majorBidi"/>
        </w:rPr>
        <w:t xml:space="preserve"> development</w:t>
      </w:r>
      <w:r w:rsidRPr="00930BF5">
        <w:rPr>
          <w:rFonts w:cstheme="majorBidi"/>
        </w:rPr>
        <w:t>. For studies of citizen opinions, emphasis revolves around political support, trust and part</w:t>
      </w:r>
      <w:r w:rsidR="00993367">
        <w:rPr>
          <w:rFonts w:cstheme="majorBidi"/>
        </w:rPr>
        <w:t>icipation. Norris (1999, pp.</w:t>
      </w:r>
      <w:r w:rsidRPr="00930BF5">
        <w:rPr>
          <w:rFonts w:cstheme="majorBidi"/>
        </w:rPr>
        <w:t xml:space="preserve"> 257-270) argued that within established democracies, those citizens who show distrust in politicians and institutions could act as a check on state power, through non-institutional activities such as protest marches, boycotting, occupy movements, unofficial strikes or petitions</w:t>
      </w:r>
      <w:r w:rsidR="005C2C1D">
        <w:rPr>
          <w:rFonts w:cstheme="majorBidi"/>
        </w:rPr>
        <w:t xml:space="preserve"> alongside conventional participation such as voting</w:t>
      </w:r>
      <w:r w:rsidRPr="00930BF5">
        <w:rPr>
          <w:rFonts w:cstheme="majorBidi"/>
        </w:rPr>
        <w:t>. As long as they continue to ac</w:t>
      </w:r>
      <w:r>
        <w:rPr>
          <w:rFonts w:cstheme="majorBidi"/>
        </w:rPr>
        <w:t>t democratically, they bolster</w:t>
      </w:r>
      <w:r w:rsidRPr="00930BF5">
        <w:rPr>
          <w:rFonts w:cstheme="majorBidi"/>
        </w:rPr>
        <w:t xml:space="preserve"> democracy. </w:t>
      </w:r>
      <w:r w:rsidR="00A94C54">
        <w:rPr>
          <w:rFonts w:cstheme="majorBidi"/>
        </w:rPr>
        <w:t>Critics</w:t>
      </w:r>
      <w:r w:rsidR="00A94C54" w:rsidRPr="00930BF5">
        <w:rPr>
          <w:rFonts w:cstheme="majorBidi"/>
        </w:rPr>
        <w:t xml:space="preserve"> </w:t>
      </w:r>
      <w:r w:rsidRPr="00930BF5">
        <w:rPr>
          <w:rFonts w:cstheme="majorBidi"/>
        </w:rPr>
        <w:t>of this theory however have pointed out that those who lack trust in politicians can a</w:t>
      </w:r>
      <w:r w:rsidR="00EE6A75">
        <w:rPr>
          <w:rFonts w:cstheme="majorBidi"/>
        </w:rPr>
        <w:t>lso lack trust in society.</w:t>
      </w:r>
      <w:r w:rsidR="005C2C1D">
        <w:rPr>
          <w:rFonts w:cstheme="majorBidi"/>
        </w:rPr>
        <w:t xml:space="preserve"> </w:t>
      </w:r>
      <w:r w:rsidR="00EE6A75">
        <w:rPr>
          <w:rFonts w:cstheme="majorBidi"/>
        </w:rPr>
        <w:t>T</w:t>
      </w:r>
      <w:r w:rsidR="005C2C1D">
        <w:rPr>
          <w:rFonts w:cstheme="majorBidi"/>
        </w:rPr>
        <w:t>o see the rise in critical citi</w:t>
      </w:r>
      <w:r w:rsidR="000C6DEB">
        <w:rPr>
          <w:rFonts w:cstheme="majorBidi"/>
        </w:rPr>
        <w:t>zens as a good thing could be masking</w:t>
      </w:r>
      <w:r w:rsidR="005C2C1D">
        <w:rPr>
          <w:rFonts w:cstheme="majorBidi"/>
        </w:rPr>
        <w:t xml:space="preserve"> </w:t>
      </w:r>
      <w:r w:rsidRPr="00930BF5">
        <w:rPr>
          <w:rFonts w:cstheme="majorBidi"/>
        </w:rPr>
        <w:t>problem</w:t>
      </w:r>
      <w:r w:rsidR="000C6DEB">
        <w:rPr>
          <w:rFonts w:cstheme="majorBidi"/>
        </w:rPr>
        <w:t>s</w:t>
      </w:r>
      <w:r w:rsidRPr="00930BF5">
        <w:rPr>
          <w:rFonts w:cstheme="majorBidi"/>
        </w:rPr>
        <w:t xml:space="preserve"> of institutional failure</w:t>
      </w:r>
      <w:r w:rsidR="005C2C1D">
        <w:rPr>
          <w:rFonts w:cstheme="majorBidi"/>
        </w:rPr>
        <w:t xml:space="preserve"> </w:t>
      </w:r>
      <w:r w:rsidR="005C2C1D">
        <w:rPr>
          <w:rFonts w:cstheme="majorBidi"/>
        </w:rPr>
        <w:fldChar w:fldCharType="begin" w:fldLock="1"/>
      </w:r>
      <w:r w:rsidR="00E63CC6">
        <w:rPr>
          <w:rFonts w:cstheme="majorBidi"/>
        </w:rPr>
        <w:instrText>ADDIN CSL_CITATION { "citationItems" : [ { "id" : "ITEM-1", "itemData" : { "author" : [ { "dropping-particle" : "", "family" : "Tr\u00e4g\u00e5rdh", "given" : "Lars", "non-dropping-particle" : "", "parse-names" : false, "suffix" : "" } ], "container-title" : "Journal of Civil Society", "id" : "ITEM-1", "issue" : "1", "issued" : { "date-parts" : [ [ "2013" ] ] }, "page" : "100-104", "title" : "Commentary : The Politics of Distrust Commentary : The Politics of Distrust", "type" : "article-journal", "volume" : "9" }, "uris" : [ "http://www.mendeley.com/documents/?uuid=6a77b657-6674-4694-b7b6-94fa0ad4cc49" ] } ], "mendeley" : { "formattedCitation" : "(Tr\u00e4g\u00e5rdh, 2013)", "manualFormatting" : "(Tr\u00e4g\u00e5rdh 2013, p.102)", "plainTextFormattedCitation" : "(Tr\u00e4g\u00e5rdh, 2013)", "previouslyFormattedCitation" : "(Tr\u00e4g\u00e5rdh, 2013)" }, "properties" : { "noteIndex" : 0 }, "schema" : "https://github.com/citation-style-language/schema/raw/master/csl-citation.json" }</w:instrText>
      </w:r>
      <w:r w:rsidR="005C2C1D">
        <w:rPr>
          <w:rFonts w:cstheme="majorBidi"/>
        </w:rPr>
        <w:fldChar w:fldCharType="separate"/>
      </w:r>
      <w:r w:rsidR="005C2C1D" w:rsidRPr="005C2C1D">
        <w:rPr>
          <w:rFonts w:cstheme="majorBidi"/>
          <w:noProof/>
        </w:rPr>
        <w:t>(Trägårdh 2013</w:t>
      </w:r>
      <w:r w:rsidR="00C37B01">
        <w:rPr>
          <w:rFonts w:cstheme="majorBidi"/>
          <w:noProof/>
        </w:rPr>
        <w:t>, p.</w:t>
      </w:r>
      <w:r w:rsidR="005C2C1D">
        <w:rPr>
          <w:rFonts w:cstheme="majorBidi"/>
          <w:noProof/>
        </w:rPr>
        <w:t>102</w:t>
      </w:r>
      <w:r w:rsidR="005C2C1D" w:rsidRPr="005C2C1D">
        <w:rPr>
          <w:rFonts w:cstheme="majorBidi"/>
          <w:noProof/>
        </w:rPr>
        <w:t>)</w:t>
      </w:r>
      <w:r w:rsidR="005C2C1D">
        <w:rPr>
          <w:rFonts w:cstheme="majorBidi"/>
        </w:rPr>
        <w:fldChar w:fldCharType="end"/>
      </w:r>
      <w:r w:rsidR="005C2C1D">
        <w:rPr>
          <w:rFonts w:cstheme="majorBidi"/>
        </w:rPr>
        <w:t xml:space="preserve">. </w:t>
      </w:r>
      <w:r w:rsidRPr="00930BF5">
        <w:rPr>
          <w:rFonts w:cstheme="majorBidi"/>
        </w:rPr>
        <w:t xml:space="preserve">Others have demonstrated negative behavioural traits associated with low levels of political trust, </w:t>
      </w:r>
      <w:r w:rsidR="005C2C1D">
        <w:rPr>
          <w:rFonts w:cstheme="majorBidi"/>
        </w:rPr>
        <w:t>showing that those who can be classed as a critical citizen appear</w:t>
      </w:r>
      <w:r w:rsidRPr="00930BF5">
        <w:rPr>
          <w:rFonts w:cstheme="majorBidi"/>
        </w:rPr>
        <w:t xml:space="preserve"> more likely</w:t>
      </w:r>
      <w:r w:rsidR="005C2C1D">
        <w:rPr>
          <w:rFonts w:cstheme="majorBidi"/>
        </w:rPr>
        <w:t xml:space="preserve"> than more supportive citizens</w:t>
      </w:r>
      <w:r w:rsidRPr="00930BF5">
        <w:rPr>
          <w:rFonts w:cstheme="majorBidi"/>
        </w:rPr>
        <w:t xml:space="preserve"> </w:t>
      </w:r>
      <w:r w:rsidR="00A94C54">
        <w:rPr>
          <w:rFonts w:cstheme="majorBidi"/>
        </w:rPr>
        <w:t xml:space="preserve">to </w:t>
      </w:r>
      <w:r w:rsidRPr="00930BF5">
        <w:rPr>
          <w:rFonts w:cstheme="majorBidi"/>
        </w:rPr>
        <w:t>accept illegal behaviour such as tax fraud</w:t>
      </w:r>
      <w:r w:rsidR="005C2C1D">
        <w:rPr>
          <w:rFonts w:cstheme="majorBidi"/>
        </w:rPr>
        <w:t xml:space="preserve"> </w:t>
      </w:r>
      <w:r w:rsidR="005C2C1D">
        <w:rPr>
          <w:rFonts w:cstheme="majorBidi"/>
        </w:rPr>
        <w:fldChar w:fldCharType="begin" w:fldLock="1"/>
      </w:r>
      <w:r w:rsidR="00E63CC6">
        <w:rPr>
          <w:rFonts w:cstheme="majorBidi"/>
        </w:rPr>
        <w:instrText>ADDIN CSL_CITATION { "citationItems" : [ { "id" : "ITEM-1", "itemData" : { "DOI" : "10.1111/j.1475-6765.2010.01930.x", "abstract" : "Abstract Scholars have repeatedly expressed concern about the consequences low levels of political trust might have for the stability of democratic political systems. Empirical support and the identification of causal mechanisms for this concern, however, are often lacking. In this article, the relation between political trust and law-abiding attitudes is investigated. It is expected that citizens with low levels of trust in the institutions of the political system will find it more acceptable to break the law. As a result, low levels of political trust might undermine the effectiveness and legitimacy of government action and its ability to implement legislation. Based on survey data from 33 European countries using the 1999\u20132001 European Values Study (N = 41,125), the relation between political trust and legal permissiveness is examined using a multilevel ordered logistic regression analysis. The results show that respondents with low levels of political trust are significantly more likely to accept illegal behaviour such as tax fraud than respondents with high levels of political trust. Since it is known from earlier research that actors who are permissive towards law-breaking behaviour are more likely to commit these acts themselves, the hypothesis that low levels of political trust will be associated with less law compliance within a society is supported.", "author" : [ { "dropping-particle" : "", "family" : "Marien", "given" : "Sofie", "non-dropping-particle" : "", "parse-names" : false, "suffix" : "" }, { "dropping-particle" : "", "family" : "Hooghe", "given" : "Marc", "non-dropping-particle" : "", "parse-names" : false, "suffix" : "" } ], "container-title" : "European Journal of Political Research", "id" : "ITEM-1", "issue" : "2", "issued" : { "date-parts" : [ [ "2011" ] ] }, "page" : "267-291", "publisher" : "Blackwell Publishing Ltd", "title" : "Does political trust matter? An empirical investigation into the relation between political trust and support for law compliance", "type" : "article-journal", "volume" : "50" }, "uris" : [ "http://www.mendeley.com/documents/?uuid=6e018838-110c-4512-9799-8e0d15f9a4d8" ] } ], "mendeley" : { "formattedCitation" : "(Marien and Hooghe, 2011)", "plainTextFormattedCitation" : "(Marien and Hooghe, 2011)", "previouslyFormattedCitation" : "(Marien and Hooghe, 2011)" }, "properties" : { "noteIndex" : 0 }, "schema" : "https://github.com/citation-style-language/schema/raw/master/csl-citation.json" }</w:instrText>
      </w:r>
      <w:r w:rsidR="005C2C1D">
        <w:rPr>
          <w:rFonts w:cstheme="majorBidi"/>
        </w:rPr>
        <w:fldChar w:fldCharType="separate"/>
      </w:r>
      <w:r w:rsidR="00E63CC6" w:rsidRPr="00E63CC6">
        <w:rPr>
          <w:rFonts w:cstheme="majorBidi"/>
          <w:noProof/>
        </w:rPr>
        <w:t>(Marien and Hooghe, 2011)</w:t>
      </w:r>
      <w:r w:rsidR="005C2C1D">
        <w:rPr>
          <w:rFonts w:cstheme="majorBidi"/>
        </w:rPr>
        <w:fldChar w:fldCharType="end"/>
      </w:r>
      <w:r w:rsidRPr="00930BF5">
        <w:rPr>
          <w:rFonts w:cstheme="majorBidi"/>
        </w:rPr>
        <w:t>.</w:t>
      </w:r>
    </w:p>
    <w:p w14:paraId="54BD06BA" w14:textId="77C80E1A" w:rsidR="00CF455B" w:rsidRPr="00930BF5" w:rsidRDefault="00CF455B" w:rsidP="00C62010">
      <w:r w:rsidRPr="00930BF5">
        <w:t>These studies</w:t>
      </w:r>
      <w:r>
        <w:t xml:space="preserve"> are still built around political support </w:t>
      </w:r>
      <w:r w:rsidR="0094244D">
        <w:t>but</w:t>
      </w:r>
      <w:r>
        <w:t xml:space="preserve"> with only a secondary emphasis</w:t>
      </w:r>
      <w:r w:rsidRPr="00930BF5">
        <w:t xml:space="preserve"> on understanding. Having such a large majority of support for a </w:t>
      </w:r>
      <w:r w:rsidR="00CB700D">
        <w:t>contested</w:t>
      </w:r>
      <w:r w:rsidRPr="00930BF5">
        <w:t xml:space="preserve"> term </w:t>
      </w:r>
      <w:r>
        <w:t xml:space="preserve">actually </w:t>
      </w:r>
      <w:r w:rsidRPr="00930BF5">
        <w:t xml:space="preserve">makes it difficult to examine this political support further, for instance, to examine Norris’s idea further and scrutinize whether </w:t>
      </w:r>
      <w:r w:rsidR="0094244D">
        <w:t xml:space="preserve">citizens’ </w:t>
      </w:r>
      <w:r w:rsidRPr="00930BF5">
        <w:t>understanding</w:t>
      </w:r>
      <w:r w:rsidR="0094244D">
        <w:t>s</w:t>
      </w:r>
      <w:r w:rsidRPr="00930BF5">
        <w:t xml:space="preserve"> of what democracy </w:t>
      </w:r>
      <w:r w:rsidRPr="00C50013">
        <w:rPr>
          <w:i/>
        </w:rPr>
        <w:t>is</w:t>
      </w:r>
      <w:r w:rsidRPr="00930BF5">
        <w:t xml:space="preserve"> </w:t>
      </w:r>
      <w:r w:rsidR="0094244D">
        <w:t>influences</w:t>
      </w:r>
      <w:r w:rsidRPr="00930BF5">
        <w:t xml:space="preserve"> the</w:t>
      </w:r>
      <w:r w:rsidR="0094244D">
        <w:t>ir</w:t>
      </w:r>
      <w:r w:rsidRPr="00930BF5">
        <w:t xml:space="preserve"> political behaviour </w:t>
      </w:r>
      <w:r w:rsidR="00CB700D">
        <w:t>as</w:t>
      </w:r>
      <w:r w:rsidRPr="00930BF5">
        <w:t xml:space="preserve"> citizens. There is a difficulty in establishing the precise impact of the decline in institutional confidence in an</w:t>
      </w:r>
      <w:r w:rsidR="0010443D">
        <w:t>y quantifiable way (Norris 1999, p.</w:t>
      </w:r>
      <w:r w:rsidRPr="00930BF5">
        <w:t>257).</w:t>
      </w:r>
    </w:p>
    <w:p w14:paraId="72B7EAB4" w14:textId="51D7F850" w:rsidR="00CF455B" w:rsidRPr="00930BF5" w:rsidRDefault="00CF455B" w:rsidP="00C62010">
      <w:r>
        <w:t xml:space="preserve">Returning to </w:t>
      </w:r>
      <w:r w:rsidRPr="00930BF5">
        <w:t>Przeworksi</w:t>
      </w:r>
      <w:r>
        <w:t>’s critique</w:t>
      </w:r>
      <w:r w:rsidRPr="00930BF5">
        <w:t xml:space="preserve"> </w:t>
      </w:r>
      <w:r w:rsidR="0010443D">
        <w:rPr>
          <w:bCs/>
        </w:rPr>
        <w:t>(2003, p.</w:t>
      </w:r>
      <w:r w:rsidRPr="00930BF5">
        <w:rPr>
          <w:bCs/>
        </w:rPr>
        <w:t>119)</w:t>
      </w:r>
      <w:r>
        <w:rPr>
          <w:bCs/>
        </w:rPr>
        <w:t>, he</w:t>
      </w:r>
      <w:r w:rsidRPr="00930BF5">
        <w:t xml:space="preserve"> expressed scepticism with the focus on support, and its one-dimensional measurement, complaining that: </w:t>
      </w:r>
    </w:p>
    <w:p w14:paraId="14B3F321" w14:textId="77777777" w:rsidR="00CF455B" w:rsidRPr="00C50013" w:rsidRDefault="00CF455B" w:rsidP="00C62010">
      <w:pPr>
        <w:pStyle w:val="Quote"/>
      </w:pPr>
      <w:r w:rsidRPr="00C50013">
        <w:t>‘…pages of academic journals are filled with percentages of Americans, Spaniards, Poles or Kazaks saying that they like or do not like democracy…and there is not a shred of evidence that these answers have anything to do with the actual survival of democracy’.</w:t>
      </w:r>
    </w:p>
    <w:p w14:paraId="5682F6A7" w14:textId="1661F3B5" w:rsidR="00CF455B" w:rsidRDefault="00CF455B" w:rsidP="00C62010">
      <w:r>
        <w:t>Furthermore,</w:t>
      </w:r>
      <w:r w:rsidRPr="00930BF5">
        <w:t xml:space="preserve"> </w:t>
      </w:r>
      <w:r w:rsidR="005C2C1D">
        <w:fldChar w:fldCharType="begin" w:fldLock="1"/>
      </w:r>
      <w:r w:rsidR="00E63CC6">
        <w:instrText>ADDIN CSL_CITATION { "citationItems" : [ { "id" : "ITEM-1", "itemData" : { "DOI" : "10.2307/4150160", "ISSN" : "00104159", "abstract" : "Do individual-level attitudes play a significant role in sustaining democratic institutions at the societal level? In a recent article in Comparative Politics, Seligson argued that the strong aggregate-level correlations Inglehart found between political culture and stable democracy were spurious because there are no individual-level correlations between political culture and overt support for democracy. Seligson's analysis exemplifies the sort of cross-level fallacy he attributes to Inglehart: he equates individual-level support for democracy with the presence of democratic institutions. However, individual-level support of democracy is only weakly linked with societal-level democracy. Democracy currently has a positive image almost everywhere, but favorable opinions are often superficial. Unless they are accompanied by more deeply rooted orientations of tolerance, trust, and participation, chances for effective democracy are poor.", "author" : [ { "dropping-particle" : "", "family" : "Inglehart", "given" : "Ronald", "non-dropping-particle" : "", "parse-names" : false, "suffix" : "" }, { "dropping-particle" : "", "family" : "Welzel", "given" : "Christian", "non-dropping-particle" : "", "parse-names" : false, "suffix" : "" } ], "container-title" : "Comparative Politics", "id" : "ITEM-1", "issue" : "1", "issued" : { "date-parts" : [ [ "2003" ] ] }, "page" : "61-79", "publisher" : "Ph.D. Program in Political Science of the City University of New York", "title" : "Political Culture and Democracy: Analyzing Cross-Level Linkages", "type" : "article-journal", "volume" : "36" }, "uris" : [ "http://www.mendeley.com/documents/?uuid=75f16c93-f5d9-40bb-8e6f-2b4113901583" ] } ], "mendeley" : { "formattedCitation" : "(Inglehart and Welzel, 2003)", "manualFormatting" : "Inglehart and Welzel (2003, p.72)", "plainTextFormattedCitation" : "(Inglehart and Welzel, 2003)", "previouslyFormattedCitation" : "(Inglehart and Welzel, 2003)" }, "properties" : { "noteIndex" : 0 }, "schema" : "https://github.com/citation-style-language/schema/raw/master/csl-citation.json" }</w:instrText>
      </w:r>
      <w:r w:rsidR="005C2C1D">
        <w:fldChar w:fldCharType="separate"/>
      </w:r>
      <w:r w:rsidR="005C2C1D">
        <w:rPr>
          <w:noProof/>
        </w:rPr>
        <w:t>Inglehart and</w:t>
      </w:r>
      <w:r w:rsidR="005C2C1D" w:rsidRPr="005C2C1D">
        <w:rPr>
          <w:noProof/>
        </w:rPr>
        <w:t xml:space="preserve"> Welzel </w:t>
      </w:r>
      <w:r w:rsidR="005C2C1D">
        <w:rPr>
          <w:noProof/>
        </w:rPr>
        <w:t>(</w:t>
      </w:r>
      <w:r w:rsidR="005C2C1D" w:rsidRPr="005C2C1D">
        <w:rPr>
          <w:noProof/>
        </w:rPr>
        <w:t>2003</w:t>
      </w:r>
      <w:r w:rsidR="005C2C1D">
        <w:rPr>
          <w:noProof/>
        </w:rPr>
        <w:t>, p.72</w:t>
      </w:r>
      <w:r w:rsidR="005C2C1D" w:rsidRPr="005C2C1D">
        <w:rPr>
          <w:noProof/>
        </w:rPr>
        <w:t>)</w:t>
      </w:r>
      <w:r w:rsidR="005C2C1D">
        <w:fldChar w:fldCharType="end"/>
      </w:r>
      <w:r w:rsidR="005C2C1D">
        <w:t xml:space="preserve"> argued </w:t>
      </w:r>
      <w:r w:rsidRPr="00930BF5">
        <w:t xml:space="preserve">that these high levels of support for democracy are simply paying lip service to an abstract idea, and there is little evidence to say that they are necessarily linked to a belief in democratic values. </w:t>
      </w:r>
    </w:p>
    <w:p w14:paraId="793D5150" w14:textId="2AD20ECD" w:rsidR="00CF455B" w:rsidRPr="00930BF5" w:rsidRDefault="00CF455B" w:rsidP="00C62010">
      <w:r w:rsidRPr="00930BF5">
        <w:t>It is not difficult to see where this mass support</w:t>
      </w:r>
      <w:r>
        <w:t xml:space="preserve"> for democracy might come from. </w:t>
      </w:r>
      <w:r w:rsidRPr="00930BF5">
        <w:t xml:space="preserve">Democracy is consistently held up as an idea tied to concepts such as freedom, fairness, equality and justice. Today, the United Nations holds the promotion of democracy as a core ideal </w:t>
      </w:r>
      <w:r w:rsidR="005C2C1D">
        <w:fldChar w:fldCharType="begin" w:fldLock="1"/>
      </w:r>
      <w:r w:rsidR="00E63CC6">
        <w:instrText>ADDIN CSL_CITATION { "citationItems" : [ { "id" : "ITEM-1", "itemData" : { "author" : [ { "dropping-particle" : "", "family" : "Newman", "given" : "E", "non-dropping-particle" : "", "parse-names" : false, "suffix" : "" }, { "dropping-particle" : "", "family" : "Rich", "given" : "R", "non-dropping-particle" : "", "parse-names" : false, "suffix" : "" } ], "id" : "ITEM-1", "issued" : { "date-parts" : [ [ "2004" ] ] }, "publisher" : "United Nations University", "publisher-place" : "USA", "title" : "The UN Role in Promoting Democracy - Between ideas and reality", "type" : "book" }, "uris" : [ "http://www.mendeley.com/documents/?uuid=4bf59c98-7329-4e6a-94ff-fb6a6b2a1031" ] } ], "mendeley" : { "formattedCitation" : "(Newman and Rich, 2004)", "plainTextFormattedCitation" : "(Newman and Rich, 2004)", "previouslyFormattedCitation" : "(Newman and Rich, 2004)" }, "properties" : { "noteIndex" : 0 }, "schema" : "https://github.com/citation-style-language/schema/raw/master/csl-citation.json" }</w:instrText>
      </w:r>
      <w:r w:rsidR="005C2C1D">
        <w:fldChar w:fldCharType="separate"/>
      </w:r>
      <w:r w:rsidR="00E63CC6" w:rsidRPr="00E63CC6">
        <w:rPr>
          <w:noProof/>
        </w:rPr>
        <w:t>(Newman and Rich, 2004)</w:t>
      </w:r>
      <w:r w:rsidR="005C2C1D">
        <w:fldChar w:fldCharType="end"/>
      </w:r>
      <w:r w:rsidRPr="00930BF5">
        <w:t xml:space="preserve">. International organisations, private foundations, corporations and individual governments have all taken active roles in the promotion of democracy </w:t>
      </w:r>
      <w:r w:rsidR="005C2C1D">
        <w:fldChar w:fldCharType="begin" w:fldLock="1"/>
      </w:r>
      <w:r w:rsidR="00E63CC6">
        <w:instrText>ADDIN CSL_CITATION { "citationItems" : [ { "id" : "ITEM-1", "itemData" : { "DOI" : "10.1111/0004-5608.00112", "abstract" : "We examine the relationship between the temporal and spatial aspects of democratic diffusion in the world system since 1946. We find strong and consistent evidence of temporal clustering of democratic and autocratic trends, as well as strong spatial association (or autocorrelation) of democratization. The analysis uses an exploratory data approach in a longitudinal framework to understand global and regional trends in changes in authority structures. Our work reveals discrete changes in regimes that run counter to the dominant aggregate trends of democratic waves or sequences, demonstrating how the ebb and flow of democracy varies among the world's regions. We conclude that further analysis of the process of regime change from autocracy to democracy, as well as reversals, should start from a \u0093domain-specific\u0094 position that dis-aggregates the globe into its regional mosaics.", "author" : [ { "dropping-particle" : "", "family" : "O'Loughlin", "given" : "John", "non-dropping-particle" : "", "parse-names" : false, "suffix" : "" }, { "dropping-particle" : "", "family" : "Ward", "given" : "Michael D", "non-dropping-particle" : "", "parse-names" : false, "suffix" : "" }, { "dropping-particle" : "", "family" : "Lofdahl", "given" : "Corey L", "non-dropping-particle" : "", "parse-names" : false, "suffix" : "" }, { "dropping-particle" : "", "family" : "Cohen", "given" : "Jordin S", "non-dropping-particle" : "", "parse-names" : false, "suffix" : "" }, { "dropping-particle" : "", "family" : "Brown", "given" : "David S", "non-dropping-particle" : "", "parse-names" : false, "suffix" : "" }, { "dropping-particle" : "", "family" : "Reilly", "given" : "David", "non-dropping-particle" : "", "parse-names" : false, "suffix" : "" }, { "dropping-particle" : "", "family" : "Gleditsch", "given" : "Kristian S", "non-dropping-particle" : "", "parse-names" : false, "suffix" : "" }, { "dropping-particle" : "", "family" : "Shin", "given" : "Michael", "non-dropping-particle" : "", "parse-names" : false, "suffix" : "" } ], "container-title" : "Annals of the Association of American Geographers", "id" : "ITEM-1", "issue" : "4", "issued" : { "date-parts" : [ [ "1998" ] ] }, "note" : "(private-note)Kep point of paper is that democracy and it's spread has geographic elements to it, ie. external contagion effects from both neighbors experiencing similar transistions/reversals, to the role of policy promotion from outside forces, such as the US or Japan. Useful section on the growth and spread of democracy which outlines key theories and trends in studies of democracy see notes", "page" : "545-574", "publisher" : "Routledge", "title" : "The Diffusion of Democracy, 1946-\u00961994", "type" : "article-journal", "volume" : "88" }, "uris" : [ "http://www.mendeley.com/documents/?uuid=cd152e7e-4bf2-4236-8ab2-988d4064bd27" ] } ], "mendeley" : { "formattedCitation" : "(John O\u2019Loughlin &lt;i&gt;et al.&lt;/i&gt;, 1998)", "plainTextFormattedCitation" : "(John O\u2019Loughlin et al., 1998)", "previouslyFormattedCitation" : "(John O\u2019Loughlin &lt;i&gt;et al.&lt;/i&gt;, 1998)" }, "properties" : { "noteIndex" : 0 }, "schema" : "https://github.com/citation-style-language/schema/raw/master/csl-citation.json" }</w:instrText>
      </w:r>
      <w:r w:rsidR="005C2C1D">
        <w:fldChar w:fldCharType="separate"/>
      </w:r>
      <w:r w:rsidR="00E63CC6" w:rsidRPr="00E63CC6">
        <w:rPr>
          <w:noProof/>
        </w:rPr>
        <w:t xml:space="preserve">(John O’Loughlin </w:t>
      </w:r>
      <w:r w:rsidR="00E63CC6" w:rsidRPr="00E63CC6">
        <w:rPr>
          <w:i/>
          <w:noProof/>
        </w:rPr>
        <w:t>et al.</w:t>
      </w:r>
      <w:r w:rsidR="00E63CC6" w:rsidRPr="00E63CC6">
        <w:rPr>
          <w:noProof/>
        </w:rPr>
        <w:t>, 1998)</w:t>
      </w:r>
      <w:r w:rsidR="005C2C1D">
        <w:fldChar w:fldCharType="end"/>
      </w:r>
      <w:r w:rsidR="005C2C1D">
        <w:t>.</w:t>
      </w:r>
      <w:r w:rsidRPr="00930BF5">
        <w:t xml:space="preserve"> Survey respondents are </w:t>
      </w:r>
      <w:r w:rsidR="005C2C1D">
        <w:t xml:space="preserve">quite </w:t>
      </w:r>
      <w:r w:rsidRPr="00930BF5">
        <w:t>likely then to believe it is socially desirable to answer a question on democracy in a positive fashion.</w:t>
      </w:r>
    </w:p>
    <w:p w14:paraId="40655270" w14:textId="14DDF074" w:rsidR="00CF455B" w:rsidRPr="00930BF5" w:rsidRDefault="00CF455B" w:rsidP="00C62010">
      <w:r w:rsidRPr="00930BF5">
        <w:t xml:space="preserve">Overall, then, from an analytical point of view this </w:t>
      </w:r>
      <w:r w:rsidR="00B579AE">
        <w:t>means high levels of ostensible support for democracy in surveys worldwide might simply reflect a</w:t>
      </w:r>
      <w:r w:rsidR="00B579AE" w:rsidRPr="00930BF5">
        <w:t xml:space="preserve"> </w:t>
      </w:r>
      <w:r w:rsidRPr="00930BF5">
        <w:t xml:space="preserve">social desirability </w:t>
      </w:r>
      <w:r w:rsidR="00B579AE">
        <w:t xml:space="preserve">bias </w:t>
      </w:r>
      <w:r w:rsidRPr="00930BF5">
        <w:t xml:space="preserve">and </w:t>
      </w:r>
      <w:r w:rsidR="00B579AE">
        <w:t xml:space="preserve">hence </w:t>
      </w:r>
      <w:r w:rsidRPr="00930BF5">
        <w:t>mass support for democracy as a concept is problematic, as we cannot be sure that it stands as a proxy for democratic values and knowledge.</w:t>
      </w:r>
      <w:r w:rsidR="00C85619">
        <w:t xml:space="preserve"> F</w:t>
      </w:r>
      <w:r w:rsidRPr="00930BF5">
        <w:t>urther analysis of how different understandings of democracy affect the behaviour of citizens is limited. This is point three:</w:t>
      </w:r>
    </w:p>
    <w:p w14:paraId="0A186D94" w14:textId="77777777" w:rsidR="00CF455B" w:rsidRPr="00C62010" w:rsidRDefault="00CF455B" w:rsidP="00C62010">
      <w:pPr>
        <w:rPr>
          <w:rFonts w:eastAsia="Times New Roman"/>
          <w:b/>
        </w:rPr>
      </w:pPr>
      <w:r w:rsidRPr="00C62010">
        <w:rPr>
          <w:rFonts w:eastAsia="Times New Roman"/>
          <w:b/>
        </w:rPr>
        <w:t>3</w:t>
      </w:r>
      <w:r w:rsidR="00216839" w:rsidRPr="00C62010">
        <w:rPr>
          <w:rFonts w:eastAsia="Times New Roman"/>
          <w:b/>
        </w:rPr>
        <w:t>)</w:t>
      </w:r>
      <w:r w:rsidRPr="00C62010">
        <w:rPr>
          <w:rFonts w:eastAsia="Times New Roman"/>
          <w:b/>
        </w:rPr>
        <w:t xml:space="preserve"> Reported levels of support for democracy have a limited theoretical ability to explain political behaviour </w:t>
      </w:r>
    </w:p>
    <w:p w14:paraId="663086E7" w14:textId="401FC149" w:rsidR="00CF455B" w:rsidRPr="00C62010" w:rsidRDefault="00CF455B" w:rsidP="00CF455B">
      <w:r w:rsidRPr="00930BF5">
        <w:t xml:space="preserve">The three points made throughout this section of the literature review </w:t>
      </w:r>
      <w:r w:rsidR="00B579AE">
        <w:t>provide</w:t>
      </w:r>
      <w:r w:rsidR="00B579AE" w:rsidRPr="00930BF5">
        <w:t xml:space="preserve"> </w:t>
      </w:r>
      <w:r w:rsidRPr="00930BF5">
        <w:t>the motivation behind this thesis and form the focus for the research. In sum, without knowing what knowledge, or understanding, a citizen has of democracy, their support for it becomes meaningless, and we are unable to see if there is an effect of understanding on participation and behaviour. The following and final section of this chapter examines what steps have been taken so far to remedy this situation, and demonstrates where this thesis fits into this body of literature.</w:t>
      </w:r>
    </w:p>
    <w:p w14:paraId="6EB43856" w14:textId="77777777" w:rsidR="00CF455B" w:rsidRPr="00577217" w:rsidRDefault="00CF455B" w:rsidP="00577217">
      <w:pPr>
        <w:pStyle w:val="Heading2"/>
      </w:pPr>
      <w:bookmarkStart w:id="70" w:name="_Toc439170201"/>
      <w:bookmarkStart w:id="71" w:name="_Toc441069019"/>
      <w:bookmarkStart w:id="72" w:name="_Toc441069176"/>
      <w:bookmarkStart w:id="73" w:name="_Toc494034212"/>
      <w:r w:rsidRPr="00577217">
        <w:t xml:space="preserve">2.4 How Do Citizens </w:t>
      </w:r>
      <w:r w:rsidR="008508DA" w:rsidRPr="00577217">
        <w:t xml:space="preserve">Themselves </w:t>
      </w:r>
      <w:r w:rsidRPr="00577217">
        <w:t>Understand Democracy?</w:t>
      </w:r>
      <w:bookmarkEnd w:id="70"/>
      <w:bookmarkEnd w:id="71"/>
      <w:bookmarkEnd w:id="72"/>
      <w:bookmarkEnd w:id="73"/>
    </w:p>
    <w:p w14:paraId="12E23514" w14:textId="18E5EB55" w:rsidR="00CF455B" w:rsidRPr="00930BF5" w:rsidRDefault="00CF455B" w:rsidP="00C62010">
      <w:r w:rsidRPr="00930BF5">
        <w:t xml:space="preserve">The three points made in the last section make a clear case; </w:t>
      </w:r>
      <w:r>
        <w:t>further</w:t>
      </w:r>
      <w:r w:rsidRPr="00930BF5">
        <w:t xml:space="preserve"> research</w:t>
      </w:r>
      <w:r>
        <w:t xml:space="preserve"> is needed</w:t>
      </w:r>
      <w:r w:rsidRPr="00930BF5">
        <w:t xml:space="preserve"> into how citizens understand democracy, </w:t>
      </w:r>
      <w:r>
        <w:t>not just whether they support it or not</w:t>
      </w:r>
      <w:r w:rsidRPr="00930BF5">
        <w:t xml:space="preserve">. </w:t>
      </w:r>
      <w:r>
        <w:t>Since democracy is such a contested idea, when it comes to the previous studies on democratic support, ‘the con</w:t>
      </w:r>
      <w:r w:rsidRPr="002F0528">
        <w:t>cept of democracy people have in their minds, will have an impact on the responses to any empirical measure</w:t>
      </w:r>
      <w:r>
        <w:t>’</w:t>
      </w:r>
      <w:r w:rsidR="005C2C1D">
        <w:t xml:space="preserve"> </w:t>
      </w:r>
      <w:r w:rsidR="005C2C1D">
        <w:fldChar w:fldCharType="begin" w:fldLock="1"/>
      </w:r>
      <w:r w:rsidR="00E63CC6">
        <w:instrText>ADDIN CSL_CITATION { "citationItems" : [ { "id" : "ITEM-1", "itemData" : { "author" : [ { "dropping-particle" : "", "family" : "Lagos", "given" : "Marta", "non-dropping-particle" : "", "parse-names" : false, "suffix" : "" } ], "container-title" : "International Journal of Public Opinion Research", "id" : "ITEM-1", "issue" : "4", "issued" : { "date-parts" : [ [ "2003" ] ] }, "page" : "471-487", "title" : "Support for and satisfaction with democracy", "type" : "article-journal", "volume" : "15" }, "uris" : [ "http://www.mendeley.com/documents/?uuid=60f2c5a3-1a6c-48d6-89e4-4077fc6a4a3c" ] } ], "mendeley" : { "formattedCitation" : "(Lagos, 2003)", "manualFormatting" : "(Lagos 2003, p.471)", "plainTextFormattedCitation" : "(Lagos, 2003)", "previouslyFormattedCitation" : "(Lagos, 2003)" }, "properties" : { "noteIndex" : 0 }, "schema" : "https://github.com/citation-style-language/schema/raw/master/csl-citation.json" }</w:instrText>
      </w:r>
      <w:r w:rsidR="005C2C1D">
        <w:fldChar w:fldCharType="separate"/>
      </w:r>
      <w:r w:rsidR="005C2C1D" w:rsidRPr="005C2C1D">
        <w:rPr>
          <w:noProof/>
        </w:rPr>
        <w:t>(Lagos 2003</w:t>
      </w:r>
      <w:r w:rsidR="005C2C1D">
        <w:rPr>
          <w:noProof/>
        </w:rPr>
        <w:t>, p.471</w:t>
      </w:r>
      <w:r w:rsidR="005C2C1D" w:rsidRPr="005C2C1D">
        <w:rPr>
          <w:noProof/>
        </w:rPr>
        <w:t>)</w:t>
      </w:r>
      <w:r w:rsidR="005C2C1D">
        <w:fldChar w:fldCharType="end"/>
      </w:r>
      <w:r w:rsidRPr="002F0528">
        <w:t>.</w:t>
      </w:r>
      <w:r>
        <w:t xml:space="preserve">The </w:t>
      </w:r>
      <w:r w:rsidRPr="00930BF5">
        <w:t>is</w:t>
      </w:r>
      <w:r>
        <w:t>sue here is</w:t>
      </w:r>
      <w:r w:rsidRPr="00930BF5">
        <w:t xml:space="preserve"> probably put best by Canache </w:t>
      </w:r>
      <w:r w:rsidR="005C2C1D">
        <w:fldChar w:fldCharType="begin" w:fldLock="1"/>
      </w:r>
      <w:r w:rsidR="00E63CC6">
        <w:instrText>ADDIN CSL_CITATION { "citationItems" : [ { "id" : "ITEM-1", "itemData" : { "DOI" : "10.1177/0010414011434009", "ISSN" : "0010-4140", "author" : [ { "dropping-particle" : "", "family" : "Canache", "given" : "D", "non-dropping-particle" : "", "parse-names" : false, "suffix" : "" } ], "container-title" : "Comparative Political Studies", "id" : "ITEM-1", "issue" : "9", "issued" : { "date-parts" : [ [ "2012", "1", "24" ] ] }, "page" : "1132-1158", "title" : "Citizens' Conceptualizations of Democracy: Structural Complexity, Substantive Content, and Political Significance", "type" : "article-journal", "volume" : "45" }, "uris" : [ "http://www.mendeley.com/documents/?uuid=338e5bc3-eb6a-4664-8915-47162e791e87" ] } ], "mendeley" : { "formattedCitation" : "(D Canache, 2012)", "manualFormatting" : "(2012, p.1150)", "plainTextFormattedCitation" : "(D Canache, 2012)", "previouslyFormattedCitation" : "(D Canache, 2012)" }, "properties" : { "noteIndex" : 0 }, "schema" : "https://github.com/citation-style-language/schema/raw/master/csl-citation.json" }</w:instrText>
      </w:r>
      <w:r w:rsidR="005C2C1D">
        <w:fldChar w:fldCharType="separate"/>
      </w:r>
      <w:r w:rsidR="005C2C1D">
        <w:rPr>
          <w:noProof/>
        </w:rPr>
        <w:t>(</w:t>
      </w:r>
      <w:r w:rsidR="005C2C1D" w:rsidRPr="005C2C1D">
        <w:rPr>
          <w:noProof/>
        </w:rPr>
        <w:t>2012</w:t>
      </w:r>
      <w:r w:rsidR="005C2C1D">
        <w:rPr>
          <w:noProof/>
        </w:rPr>
        <w:t>, p.1150</w:t>
      </w:r>
      <w:r w:rsidR="005C2C1D" w:rsidRPr="005C2C1D">
        <w:rPr>
          <w:noProof/>
        </w:rPr>
        <w:t>)</w:t>
      </w:r>
      <w:r w:rsidR="005C2C1D">
        <w:fldChar w:fldCharType="end"/>
      </w:r>
      <w:r w:rsidR="005C2C1D">
        <w:t xml:space="preserve"> who noted</w:t>
      </w:r>
      <w:r w:rsidRPr="00930BF5">
        <w:t xml:space="preserve"> that our focus on support for democracy puts “the cart before the horse” and so we would be “well advised to step back and ask more fundamental questions regarding what citizens think democracy </w:t>
      </w:r>
      <w:r w:rsidRPr="00930BF5">
        <w:rPr>
          <w:i/>
          <w:iCs/>
        </w:rPr>
        <w:t>is</w:t>
      </w:r>
      <w:r w:rsidRPr="00930BF5">
        <w:t xml:space="preserve">” </w:t>
      </w:r>
      <w:r>
        <w:t>(</w:t>
      </w:r>
      <w:r w:rsidRPr="00930BF5">
        <w:t>emphasis added).</w:t>
      </w:r>
      <w:r>
        <w:t xml:space="preserve"> </w:t>
      </w:r>
      <w:r w:rsidRPr="00930BF5">
        <w:t xml:space="preserve"> Similarly, </w:t>
      </w:r>
      <w:r w:rsidR="005C2C1D">
        <w:fldChar w:fldCharType="begin" w:fldLock="1"/>
      </w:r>
      <w:r w:rsidR="00E63CC6">
        <w:instrText>ADDIN CSL_CITATION { "citationItems" : [ { "id" : "ITEM-1", "itemData" : { "DOI" : "10.1111/j.1475-6765.2007.00708.x", "ISSN" : "0304-4130", "author" : [ { "dropping-particle" : "", "family" : "Schedler", "given" : "Andreas", "non-dropping-particle" : "", "parse-names" : false, "suffix" : "" }, { "dropping-particle" : "", "family" : "Sarsfield", "given" : "Rodolfo", "non-dropping-particle" : "", "parse-names" : false, "suffix" : "" } ], "container-title" : "European Journal of Political Research", "id" : "ITEM-1", "issue" : "5", "issued" : { "date-parts" : [ [ "2007", "8" ] ] }, "page" : "637-659", "title" : "Democrats with adjectives: Linking direct and indirect measures of democratic support", "type" : "article-journal", "volume" : "46" }, "uris" : [ "http://www.mendeley.com/documents/?uuid=a78fe851-821a-4d65-8f7f-3beda8b72034" ] } ], "mendeley" : { "formattedCitation" : "(Schedler and Sarsfield, 2007)", "manualFormatting" : "Schedler and Sarsfield (2007, p.654)", "plainTextFormattedCitation" : "(Schedler and Sarsfield, 2007)", "previouslyFormattedCitation" : "(Schedler and Sarsfield, 2007)" }, "properties" : { "noteIndex" : 0 }, "schema" : "https://github.com/citation-style-language/schema/raw/master/csl-citation.json" }</w:instrText>
      </w:r>
      <w:r w:rsidR="005C2C1D">
        <w:fldChar w:fldCharType="separate"/>
      </w:r>
      <w:r w:rsidR="005C2C1D" w:rsidRPr="005C2C1D">
        <w:rPr>
          <w:noProof/>
        </w:rPr>
        <w:t>Schedler</w:t>
      </w:r>
      <w:r w:rsidR="005C2C1D">
        <w:rPr>
          <w:noProof/>
        </w:rPr>
        <w:t xml:space="preserve"> and</w:t>
      </w:r>
      <w:r w:rsidR="005C2C1D" w:rsidRPr="005C2C1D">
        <w:rPr>
          <w:noProof/>
        </w:rPr>
        <w:t xml:space="preserve"> Sarsfield </w:t>
      </w:r>
      <w:r w:rsidR="005C2C1D">
        <w:rPr>
          <w:noProof/>
        </w:rPr>
        <w:t>(</w:t>
      </w:r>
      <w:r w:rsidR="005C2C1D" w:rsidRPr="005C2C1D">
        <w:rPr>
          <w:noProof/>
        </w:rPr>
        <w:t>2007</w:t>
      </w:r>
      <w:r w:rsidR="005C2C1D">
        <w:rPr>
          <w:noProof/>
        </w:rPr>
        <w:t>, p.654</w:t>
      </w:r>
      <w:r w:rsidR="005C2C1D" w:rsidRPr="005C2C1D">
        <w:rPr>
          <w:noProof/>
        </w:rPr>
        <w:t>)</w:t>
      </w:r>
      <w:r w:rsidR="005C2C1D">
        <w:fldChar w:fldCharType="end"/>
      </w:r>
      <w:r w:rsidRPr="00930BF5">
        <w:t xml:space="preserve"> suggest</w:t>
      </w:r>
      <w:r w:rsidR="005C2C1D">
        <w:t>ed</w:t>
      </w:r>
      <w:r w:rsidRPr="00930BF5">
        <w:t xml:space="preserve"> that:</w:t>
      </w:r>
    </w:p>
    <w:p w14:paraId="0B1B013B" w14:textId="77777777" w:rsidR="00CF455B" w:rsidRPr="00930BF5" w:rsidRDefault="00CF455B" w:rsidP="00C62010">
      <w:pPr>
        <w:pStyle w:val="Quote"/>
      </w:pPr>
      <w:r w:rsidRPr="00930BF5">
        <w:t>“Rather than resigning ourselves to the meaninglessness of overt democratic support, we should strive to uncover its structure of meaning by reading it in the context of individual attitudes towards more specific components of liberal democracy – be they conceptual, institutional or normative.”</w:t>
      </w:r>
    </w:p>
    <w:p w14:paraId="378A86B5" w14:textId="77777777" w:rsidR="003B2C60" w:rsidRDefault="00CF455B" w:rsidP="00C62010">
      <w:r w:rsidRPr="00930BF5">
        <w:t xml:space="preserve">There are two points to pick up from these quotes. The first is how recently Canache’s suggestion was made: 2012. It is only in the last decade or so that interest has turned seriously towards examining how citizens understand democracy. </w:t>
      </w:r>
    </w:p>
    <w:p w14:paraId="260AFA6B" w14:textId="1A65AD50" w:rsidR="00CF455B" w:rsidRPr="00930BF5" w:rsidRDefault="00CF455B" w:rsidP="00C62010">
      <w:r w:rsidRPr="00930BF5">
        <w:t xml:space="preserve">Of course this field of interest is not without precedent. </w:t>
      </w:r>
      <w:r w:rsidR="005C2C1D">
        <w:fldChar w:fldCharType="begin" w:fldLock="1"/>
      </w:r>
      <w:r w:rsidR="00E63CC6">
        <w:instrText>ADDIN CSL_CITATION { "citationItems" : [ { "id" : "ITEM-1", "itemData" : { "author" : [ { "dropping-particle" : "", "family" : "Prothro", "given" : "James W", "non-dropping-particle" : "", "parse-names" : false, "suffix" : "" }, { "dropping-particle" : "", "family" : "Grigg", "given" : "Charles M", "non-dropping-particle" : "", "parse-names" : false, "suffix" : "" } ], "container-title" : "The Journal of Politics", "id" : "ITEM-1", "issue" : "2", "issued" : { "date-parts" : [ [ "1960" ] ] }, "page" : "276-294", "title" : "Fundamental Principles of Democracy : Bases of Agreement and Disagreement", "type" : "article-journal", "volume" : "22" }, "uris" : [ "http://www.mendeley.com/documents/?uuid=40ae2de8-cad3-409b-9b08-aba9178eebaa" ] } ], "mendeley" : { "formattedCitation" : "(Prothro and Grigg, 1960)", "manualFormatting" : "Prothro and Grigg (1960)", "plainTextFormattedCitation" : "(Prothro and Grigg, 1960)", "previouslyFormattedCitation" : "(Prothro and Grigg, 1960)" }, "properties" : { "noteIndex" : 0 }, "schema" : "https://github.com/citation-style-language/schema/raw/master/csl-citation.json" }</w:instrText>
      </w:r>
      <w:r w:rsidR="005C2C1D">
        <w:fldChar w:fldCharType="separate"/>
      </w:r>
      <w:r w:rsidR="005C2C1D">
        <w:rPr>
          <w:noProof/>
        </w:rPr>
        <w:t>Prothro and</w:t>
      </w:r>
      <w:r w:rsidR="005C2C1D" w:rsidRPr="005C2C1D">
        <w:rPr>
          <w:noProof/>
        </w:rPr>
        <w:t xml:space="preserve"> Grigg </w:t>
      </w:r>
      <w:r w:rsidR="005C2C1D">
        <w:rPr>
          <w:noProof/>
        </w:rPr>
        <w:t>(</w:t>
      </w:r>
      <w:r w:rsidR="005C2C1D" w:rsidRPr="005C2C1D">
        <w:rPr>
          <w:noProof/>
        </w:rPr>
        <w:t>1960)</w:t>
      </w:r>
      <w:r w:rsidR="005C2C1D">
        <w:fldChar w:fldCharType="end"/>
      </w:r>
      <w:r w:rsidRPr="00930BF5">
        <w:t xml:space="preserve"> examined this topic over 50 years ago and found consensus for</w:t>
      </w:r>
      <w:r w:rsidR="00B338EE">
        <w:t xml:space="preserve"> supporting democracy in the abstract</w:t>
      </w:r>
      <w:r w:rsidRPr="00930BF5">
        <w:t>, but this consensus disappeared when specific questions were asked</w:t>
      </w:r>
      <w:r w:rsidR="00B338EE">
        <w:t xml:space="preserve"> concerning for instance, issues of free speech and minority representation</w:t>
      </w:r>
      <w:r w:rsidRPr="00930BF5">
        <w:t>. However, Prothro and Grigg</w:t>
      </w:r>
      <w:r w:rsidR="002877B8">
        <w:t xml:space="preserve"> used</w:t>
      </w:r>
      <w:r w:rsidRPr="00930BF5">
        <w:t xml:space="preserve"> a very small sample (less than 250), and </w:t>
      </w:r>
      <w:r w:rsidR="002877B8">
        <w:t xml:space="preserve">their study was </w:t>
      </w:r>
      <w:r w:rsidRPr="00930BF5">
        <w:t xml:space="preserve">limited to two communities in the US. It is only in more recent years that surveys with large sample sizes have allowed robust cross-national comparison and included results from newer </w:t>
      </w:r>
      <w:r w:rsidR="005C2C1D">
        <w:t>or even non-democracies (Norris 1999, p.</w:t>
      </w:r>
      <w:r w:rsidRPr="00930BF5">
        <w:t>13).</w:t>
      </w:r>
      <w:r w:rsidR="003B2C60">
        <w:t xml:space="preserve"> Thomassen </w:t>
      </w:r>
      <w:r w:rsidR="003B2C60">
        <w:fldChar w:fldCharType="begin" w:fldLock="1"/>
      </w:r>
      <w:r w:rsidR="00E63CC6">
        <w:instrText>ADDIN CSL_CITATION { "citationItems" : [ { "id" : "ITEM-1", "itemData" : { "author" : [ { "dropping-particle" : "", "family" : "Thomassen", "given" : "J", "non-dropping-particle" : "", "parse-names" : false, "suffix" : "" } ], "container-title" : "Citizens and the State", "editor" : [ { "dropping-particle" : "", "family" : "Klingemann", "given" : "Hans-Dieter", "non-dropping-particle" : "", "parse-names" : false, "suffix" : "" }, { "dropping-particle" : "", "family" : "Fuchs", "given" : "Dieter", "non-dropping-particle" : "", "parse-names" : false, "suffix" : "" } ], "id" : "ITEM-1", "issued" : { "date-parts" : [ [ "1998" ] ] }, "page" : "383-416", "publisher" : "Oxford University Press", "publisher-place" : "Oxford", "title" : "Support for Democratic Values", "type" : "chapter" }, "uris" : [ "http://www.mendeley.com/documents/?uuid=1a8e6e91-c507-433b-b728-1235a2bd6395" ] } ], "mendeley" : { "formattedCitation" : "(Thomassen, 1998)", "manualFormatting" : "(1998)", "plainTextFormattedCitation" : "(Thomassen, 1998)", "previouslyFormattedCitation" : "(Thomassen, 1998)" }, "properties" : { "noteIndex" : 0 }, "schema" : "https://github.com/citation-style-language/schema/raw/master/csl-citation.json" }</w:instrText>
      </w:r>
      <w:r w:rsidR="003B2C60">
        <w:fldChar w:fldCharType="separate"/>
      </w:r>
      <w:r w:rsidR="003B2C60" w:rsidRPr="003B2C60">
        <w:rPr>
          <w:noProof/>
        </w:rPr>
        <w:t>(1998)</w:t>
      </w:r>
      <w:r w:rsidR="003B2C60">
        <w:fldChar w:fldCharType="end"/>
      </w:r>
      <w:r w:rsidR="003B2C60">
        <w:t xml:space="preserve"> examined in more detail whether people in democracies might prioritise the liberal or equality elements to democracy, although this study was predominantly limited to citizens within mature democracies in Western Europe. </w:t>
      </w:r>
    </w:p>
    <w:p w14:paraId="0E35A760" w14:textId="77777777" w:rsidR="00CF455B" w:rsidRDefault="00CF455B" w:rsidP="00C62010">
      <w:r w:rsidRPr="00930BF5">
        <w:t>The second point is Schedler and Sarsfield’s suggestion that research should engage in unpacking the meanings behind public support for democracy, which advocates the use of liberal democracy as a comparative baseline for our studies. This will be examined in more detail throughout the final part of this literature review. This last section examines the studies which have been done into citizen understandings of democracy. These have mainly undertaken at three levels – global, regional and national. I discuss the studies using these groupings.</w:t>
      </w:r>
    </w:p>
    <w:p w14:paraId="3B62D2CF" w14:textId="77777777" w:rsidR="00CF455B" w:rsidRPr="00E223A2" w:rsidRDefault="00CF455B" w:rsidP="00E223A2">
      <w:pPr>
        <w:pStyle w:val="Heading3"/>
      </w:pPr>
      <w:bookmarkStart w:id="74" w:name="_Toc379811754"/>
      <w:bookmarkStart w:id="75" w:name="_Toc441069177"/>
      <w:r w:rsidRPr="00E223A2">
        <w:t>Global Level Studies</w:t>
      </w:r>
      <w:bookmarkEnd w:id="74"/>
      <w:bookmarkEnd w:id="75"/>
      <w:r w:rsidRPr="00E223A2">
        <w:t xml:space="preserve"> </w:t>
      </w:r>
    </w:p>
    <w:p w14:paraId="593E2D3C" w14:textId="699FF68D" w:rsidR="00CF455B" w:rsidRPr="00930BF5" w:rsidRDefault="00CF455B" w:rsidP="00C62010">
      <w:r w:rsidRPr="00930BF5">
        <w:t xml:space="preserve">In one of the first studies to examine this issue at the global scale, </w:t>
      </w:r>
      <w:r w:rsidR="00BE1640">
        <w:fldChar w:fldCharType="begin" w:fldLock="1"/>
      </w:r>
      <w:r w:rsidR="00E63CC6">
        <w:instrText>ADDIN CSL_CITATION { "citationItems" : [ { "id" : "ITEM-1", "itemData" : { "author" : [ { "dropping-particle" : "", "family" : "Dalton", "given" : "R", "non-dropping-particle" : "", "parse-names" : false, "suffix" : "" }, { "dropping-particle" : "", "family" : "Shin", "given" : "D C", "non-dropping-particle" : "", "parse-names" : false, "suffix" : "" }, { "dropping-particle" : "", "family" : "Jou", "given" : "W", "non-dropping-particle" : "", "parse-names" : false, "suffix" : "" } ], "container-title" : "How People View Democracy", "editor" : [ { "dropping-particle" : "", "family" : "Diamond", "given" : "L", "non-dropping-particle" : "", "parse-names" : false, "suffix" : "" }, { "dropping-particle" : "", "family" : "Plattner", "given" : "MF", "non-dropping-particle" : "", "parse-names" : false, "suffix" : "" } ], "id" : "ITEM-1", "issued" : { "date-parts" : [ [ "2008" ] ] }, "page" : "1-15", "publisher" : "The Johns Hopkins University Press", "publisher-place" : "Baltimore", "title" : "How People Understand Democracy", "type" : "chapter" }, "uris" : [ "http://www.mendeley.com/documents/?uuid=9f17365d-198f-4e11-8f1a-52431e9abff9" ] } ], "mendeley" : { "formattedCitation" : "(Dalton, Shin and Jou, 2008)", "manualFormatting" : "Dalton et al. (2008)", "plainTextFormattedCitation" : "(Dalton, Shin and Jou, 2008)", "previouslyFormattedCitation" : "(Dalton, Shin and Jou, 2008)" }, "properties" : { "noteIndex" : 0 }, "schema" : "https://github.com/citation-style-language/schema/raw/master/csl-citation.json" }</w:instrText>
      </w:r>
      <w:r w:rsidR="00BE1640">
        <w:fldChar w:fldCharType="separate"/>
      </w:r>
      <w:r w:rsidR="00BE1640" w:rsidRPr="00BE1640">
        <w:rPr>
          <w:noProof/>
        </w:rPr>
        <w:t xml:space="preserve">Dalton </w:t>
      </w:r>
      <w:r w:rsidR="00803848">
        <w:rPr>
          <w:i/>
          <w:noProof/>
        </w:rPr>
        <w:t>et al</w:t>
      </w:r>
      <w:r w:rsidR="00BE1640" w:rsidRPr="00BE1640">
        <w:rPr>
          <w:i/>
          <w:noProof/>
        </w:rPr>
        <w:t>.</w:t>
      </w:r>
      <w:r w:rsidR="00BE1640" w:rsidRPr="00BE1640">
        <w:rPr>
          <w:noProof/>
        </w:rPr>
        <w:t xml:space="preserve"> </w:t>
      </w:r>
      <w:r w:rsidR="00BE1640">
        <w:rPr>
          <w:noProof/>
        </w:rPr>
        <w:t>(</w:t>
      </w:r>
      <w:r w:rsidR="00BE1640" w:rsidRPr="00BE1640">
        <w:rPr>
          <w:noProof/>
        </w:rPr>
        <w:t>2008)</w:t>
      </w:r>
      <w:r w:rsidR="00BE1640">
        <w:fldChar w:fldCharType="end"/>
      </w:r>
      <w:r w:rsidRPr="00930BF5">
        <w:t xml:space="preserve"> examined open-ended definitions of democracy provided by citizens from 49 countries in five groups of states (Established Democracies, African, Eastern European, Asian, and Latin American). The definitions provided by respondents were then classed as “Liberty/Freedom”, “Institutions/Procedures”, “Social Benefits”, “Other” and “Don’t Know”. The study recorded two important findings. First, those in established democracies are no more likely to offer a definition of democracy than those in non-democracies (</w:t>
      </w:r>
      <w:r w:rsidR="00C37B01" w:rsidRPr="00170FB9">
        <w:t>ibid</w:t>
      </w:r>
      <w:r w:rsidR="00BE1640">
        <w:t>, pp.</w:t>
      </w:r>
      <w:r w:rsidRPr="00930BF5">
        <w:t>3-6). Second, contrary to what sceptics might expect, respondents’ understanding</w:t>
      </w:r>
      <w:r w:rsidR="00CB700D">
        <w:t>s</w:t>
      </w:r>
      <w:r w:rsidRPr="00930BF5">
        <w:t xml:space="preserve"> of democracy conforme</w:t>
      </w:r>
      <w:r w:rsidR="003A2545">
        <w:t>d to liberal democratic ideals:</w:t>
      </w:r>
      <w:r w:rsidRPr="00930BF5">
        <w:t xml:space="preserve"> “the identification of democracy with greater freedom and liberty has broadly diffused across the globe” (</w:t>
      </w:r>
      <w:r w:rsidR="00C37B01" w:rsidRPr="00170FB9">
        <w:t>ibid</w:t>
      </w:r>
      <w:r w:rsidR="00BE1640">
        <w:t>, p.</w:t>
      </w:r>
      <w:r w:rsidRPr="00930BF5">
        <w:t xml:space="preserve">9). In other words, respondents </w:t>
      </w:r>
      <w:r w:rsidR="00CB700D">
        <w:t xml:space="preserve">were seen to </w:t>
      </w:r>
      <w:r w:rsidRPr="00930BF5">
        <w:t xml:space="preserve">understand democracy in the ‘correct’ liberal democratic way, and </w:t>
      </w:r>
      <w:r w:rsidR="00CB700D">
        <w:t>did</w:t>
      </w:r>
      <w:r w:rsidRPr="00930BF5">
        <w:t xml:space="preserve"> not </w:t>
      </w:r>
      <w:r w:rsidR="00E96F84">
        <w:t>confuse</w:t>
      </w:r>
      <w:r w:rsidR="00E96F84" w:rsidRPr="00930BF5">
        <w:t xml:space="preserve"> </w:t>
      </w:r>
      <w:r w:rsidRPr="00930BF5">
        <w:t xml:space="preserve">it with any social benefits, such as increased wealth or prosperity. </w:t>
      </w:r>
    </w:p>
    <w:p w14:paraId="415A2F10" w14:textId="70EF988C" w:rsidR="00CF455B" w:rsidRPr="00930BF5" w:rsidRDefault="00CF455B" w:rsidP="00C62010">
      <w:r w:rsidRPr="003A2545">
        <w:rPr>
          <w:highlight w:val="yellow"/>
        </w:rPr>
        <w:t xml:space="preserve">There are two issues to highlight with this study. The first is the issue of transparency, as it is not made clear how the definitional classifications of the open-ended survey responses were generated. We can guess at the criteria, but the “Other” and “Don’t Know” categories accounted for around a third of answers across all the different groups of states (Dalton </w:t>
      </w:r>
      <w:r w:rsidR="00803848" w:rsidRPr="003A2545">
        <w:rPr>
          <w:i/>
          <w:highlight w:val="yellow"/>
        </w:rPr>
        <w:t>et al</w:t>
      </w:r>
      <w:r w:rsidR="00BE1640" w:rsidRPr="003A2545">
        <w:rPr>
          <w:highlight w:val="yellow"/>
        </w:rPr>
        <w:t>., 2008, pp.</w:t>
      </w:r>
      <w:r w:rsidR="00CB700D">
        <w:rPr>
          <w:highlight w:val="yellow"/>
        </w:rPr>
        <w:t>4-5).</w:t>
      </w:r>
      <w:r w:rsidRPr="003A2545">
        <w:rPr>
          <w:highlight w:val="yellow"/>
        </w:rPr>
        <w:t xml:space="preserve"> The second is the nature of the question itself. Dalton </w:t>
      </w:r>
      <w:r w:rsidR="00803848" w:rsidRPr="003A2545">
        <w:rPr>
          <w:i/>
          <w:highlight w:val="yellow"/>
        </w:rPr>
        <w:t>et al</w:t>
      </w:r>
      <w:r w:rsidR="00BE1640" w:rsidRPr="003A2545">
        <w:rPr>
          <w:highlight w:val="yellow"/>
        </w:rPr>
        <w:t xml:space="preserve">. </w:t>
      </w:r>
      <w:r w:rsidRPr="003A2545">
        <w:rPr>
          <w:highlight w:val="yellow"/>
        </w:rPr>
        <w:t xml:space="preserve">coded and aggregated open-ended definitions of democracy, arguing that this allows for a rigorous test of understanding. A potential issue with this is that open-ended questions often allow only one or two responses. In this case, procedural accounts of democracy – elections especially – are well-known and spring to mind straight away. In </w:t>
      </w:r>
      <w:r w:rsidR="00BE1640" w:rsidRPr="003A2545">
        <w:rPr>
          <w:highlight w:val="yellow"/>
        </w:rPr>
        <w:fldChar w:fldCharType="begin" w:fldLock="1"/>
      </w:r>
      <w:r w:rsidR="00E63CC6" w:rsidRPr="003A2545">
        <w:rPr>
          <w:highlight w:val="yellow"/>
        </w:rPr>
        <w:instrText>ADDIN CSL_CITATION { "citationItems" : [ { "id" : "ITEM-1", "itemData" : { "DOI" : "10.1111/j.1548-2456.2012.00166.x", "ISSN" : "1531426X", "author" : [ { "dropping-particle" : "", "family" : "Canache", "given" : "Damarys", "non-dropping-particle" : "", "parse-names" : false, "suffix" : "" } ], "container-title" : "Latin American Politics and Society", "id" : "ITEM-1", "issue" : "3", "issued" : { "date-parts" : [ [ "2012", "9", "11" ] ] }, "page" : "95-122", "title" : "The Meanings of Democracy in Venezuela: Citizen Perceptions and Structural Change", "type" : "article-journal", "volume" : "54" }, "uris" : [ "http://www.mendeley.com/documents/?uuid=c4b55165-36a1-4199-b7b8-9bf153610793" ] } ], "mendeley" : { "formattedCitation" : "(Damarys Canache, 2012)", "manualFormatting" : "Canache (2012, p.1141)", "plainTextFormattedCitation" : "(Damarys Canache, 2012)", "previouslyFormattedCitation" : "(Damarys Canache, 2012)" }, "properties" : { "noteIndex" : 0 }, "schema" : "https://github.com/citation-style-language/schema/raw/master/csl-citation.json" }</w:instrText>
      </w:r>
      <w:r w:rsidR="00BE1640" w:rsidRPr="003A2545">
        <w:rPr>
          <w:highlight w:val="yellow"/>
        </w:rPr>
        <w:fldChar w:fldCharType="separate"/>
      </w:r>
      <w:r w:rsidR="00BE1640" w:rsidRPr="003A2545">
        <w:rPr>
          <w:noProof/>
          <w:highlight w:val="yellow"/>
        </w:rPr>
        <w:t xml:space="preserve">Canache </w:t>
      </w:r>
      <w:r w:rsidR="00484EF8" w:rsidRPr="003A2545">
        <w:rPr>
          <w:noProof/>
          <w:highlight w:val="yellow"/>
        </w:rPr>
        <w:t>(</w:t>
      </w:r>
      <w:r w:rsidR="00BE1640" w:rsidRPr="003A2545">
        <w:rPr>
          <w:noProof/>
          <w:highlight w:val="yellow"/>
        </w:rPr>
        <w:t>2012</w:t>
      </w:r>
      <w:r w:rsidR="00484EF8" w:rsidRPr="003A2545">
        <w:rPr>
          <w:noProof/>
          <w:highlight w:val="yellow"/>
        </w:rPr>
        <w:t>, p.1141</w:t>
      </w:r>
      <w:r w:rsidR="00BE1640" w:rsidRPr="003A2545">
        <w:rPr>
          <w:noProof/>
          <w:highlight w:val="yellow"/>
        </w:rPr>
        <w:t>)</w:t>
      </w:r>
      <w:r w:rsidR="00BE1640" w:rsidRPr="003A2545">
        <w:rPr>
          <w:highlight w:val="yellow"/>
        </w:rPr>
        <w:fldChar w:fldCharType="end"/>
      </w:r>
      <w:r w:rsidRPr="003A2545">
        <w:rPr>
          <w:highlight w:val="yellow"/>
        </w:rPr>
        <w:t xml:space="preserve"> Latin American survey (discussed in detail below), respondents were allowed to provide up to three definitions of democracy in an open</w:t>
      </w:r>
      <w:r w:rsidR="00E96F84" w:rsidRPr="003A2545">
        <w:rPr>
          <w:highlight w:val="yellow"/>
        </w:rPr>
        <w:t xml:space="preserve"> </w:t>
      </w:r>
      <w:r w:rsidRPr="003A2545">
        <w:rPr>
          <w:highlight w:val="yellow"/>
        </w:rPr>
        <w:t xml:space="preserve">question: only 8% gave three distinct definitions, 64% offered one or two, and almost 28% did not give any. Questionnaire fatigue is an issue, especially for such demanding questions. It is important to point out that when answering these open ended-questions it is quite possible that the citizen </w:t>
      </w:r>
      <w:r w:rsidRPr="003A2545">
        <w:rPr>
          <w:i/>
          <w:iCs/>
          <w:highlight w:val="yellow"/>
        </w:rPr>
        <w:t>starts</w:t>
      </w:r>
      <w:r w:rsidRPr="003A2545">
        <w:rPr>
          <w:highlight w:val="yellow"/>
        </w:rPr>
        <w:t xml:space="preserve"> with a liberal characteristic or two, yet that does not mean that is where their definition of democracy </w:t>
      </w:r>
      <w:r w:rsidRPr="003A2545">
        <w:rPr>
          <w:i/>
          <w:iCs/>
          <w:highlight w:val="yellow"/>
        </w:rPr>
        <w:t>stops</w:t>
      </w:r>
      <w:r w:rsidRPr="003A2545">
        <w:rPr>
          <w:highlight w:val="yellow"/>
        </w:rPr>
        <w:t>.</w:t>
      </w:r>
    </w:p>
    <w:p w14:paraId="28636427" w14:textId="2C0F37D8" w:rsidR="00CF455B" w:rsidRPr="004069C9" w:rsidRDefault="00CF455B" w:rsidP="004069C9">
      <w:r>
        <w:fldChar w:fldCharType="begin" w:fldLock="1"/>
      </w:r>
      <w:r w:rsidR="00E63CC6">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"mendeley" : { "formattedCitation" : "(Cho, 2015)", "manualFormatting" : "Cho (2015)", "plainTextFormattedCitation" : "(Cho, 2015)", "previouslyFormattedCitation" : "(Cho, 2015)" }, "properties" : { "noteIndex" : 0 }, "schema" : "https://github.com/citation-style-language/schema/raw/master/csl-citation.json" }</w:instrText>
      </w:r>
      <w:r>
        <w:fldChar w:fldCharType="separate"/>
      </w:r>
      <w:r w:rsidRPr="00C209E2">
        <w:rPr>
          <w:noProof/>
        </w:rPr>
        <w:t xml:space="preserve">Cho </w:t>
      </w:r>
      <w:r>
        <w:rPr>
          <w:noProof/>
        </w:rPr>
        <w:t>(</w:t>
      </w:r>
      <w:r w:rsidRPr="00C209E2">
        <w:rPr>
          <w:noProof/>
        </w:rPr>
        <w:t>2015)</w:t>
      </w:r>
      <w:r>
        <w:fldChar w:fldCharType="end"/>
      </w:r>
      <w:r>
        <w:t xml:space="preserve">, </w:t>
      </w:r>
      <w:r w:rsidRPr="00930BF5">
        <w:t xml:space="preserve">Welzel (2013) Norris (2011) and use a different set of questions for their global level analysis, but take a similar approach to examining citizen understandings. </w:t>
      </w:r>
      <w:r>
        <w:t>The authors all draw from</w:t>
      </w:r>
      <w:r w:rsidRPr="00930BF5">
        <w:t xml:space="preserve"> a set of ten questions newly introduced to the WVS 2005-2008 survey, shown in </w:t>
      </w:r>
      <w:r w:rsidR="004069C9">
        <w:t>F</w:t>
      </w:r>
      <w:r>
        <w:t>igure 2.3</w:t>
      </w:r>
      <w:r w:rsidRPr="00930BF5">
        <w:t>.</w:t>
      </w:r>
      <w:r>
        <w:t xml:space="preserve"> This table also shows the differing classifications used by each auth</w:t>
      </w:r>
      <w:r w:rsidR="004069C9">
        <w:t>or for each characteristic. These questions are also utilised in this thesis and I discuss the full details of this in Chapter 3. In F</w:t>
      </w:r>
      <w:r>
        <w:t>igure 2.4, I outline how these questions are used to test citizen knowle</w:t>
      </w:r>
      <w:r w:rsidR="004069C9">
        <w:t>dge of democracy in each study.</w:t>
      </w:r>
    </w:p>
    <w:p w14:paraId="7F7920BB" w14:textId="188B4346" w:rsidR="004069C9" w:rsidRDefault="004069C9" w:rsidP="004069C9">
      <w:pPr>
        <w:rPr>
          <w:b/>
          <w:szCs w:val="24"/>
        </w:rPr>
        <w:sectPr w:rsidR="004069C9" w:rsidSect="0052597C">
          <w:pgSz w:w="11906" w:h="16838"/>
          <w:pgMar w:top="1440" w:right="1440" w:bottom="1440" w:left="1440" w:header="720" w:footer="720" w:gutter="357"/>
          <w:cols w:space="720"/>
        </w:sectPr>
      </w:pPr>
      <w:r w:rsidRPr="00930BF5">
        <w:t>These questions are designed to probe much further into understandings and definitions of democracy amongst citizens than surveys have in the past. The choices are purposely designed to match certain elements of liberal democratic theory.</w:t>
      </w:r>
      <w:r w:rsidRPr="004069C9">
        <w:t xml:space="preserve"> </w:t>
      </w:r>
    </w:p>
    <w:p w14:paraId="0805F288" w14:textId="2625AAB7" w:rsidR="00CF455B" w:rsidRPr="00994662" w:rsidRDefault="00722D2E" w:rsidP="00722D2E">
      <w:pPr>
        <w:pStyle w:val="Caption"/>
        <w:rPr>
          <w:rFonts w:ascii="Segoe UI" w:hAnsi="Segoe UI" w:cs="Segoe UI"/>
          <w:b w:val="0"/>
          <w:i w:val="0"/>
          <w:szCs w:val="24"/>
        </w:rPr>
      </w:pPr>
      <w:bookmarkStart w:id="76" w:name="_Toc494687136"/>
      <w:r w:rsidRPr="00994662">
        <w:rPr>
          <w:rFonts w:ascii="Segoe UI" w:hAnsi="Segoe UI" w:cs="Segoe UI"/>
          <w:i w:val="0"/>
        </w:rPr>
        <w:t xml:space="preserve">Figure </w:t>
      </w:r>
      <w:r w:rsidR="00994662" w:rsidRPr="00994662">
        <w:rPr>
          <w:rFonts w:ascii="Segoe UI" w:hAnsi="Segoe UI" w:cs="Segoe UI"/>
          <w:i w:val="0"/>
        </w:rPr>
        <w:fldChar w:fldCharType="begin"/>
      </w:r>
      <w:r w:rsidR="00994662" w:rsidRPr="00994662">
        <w:rPr>
          <w:rFonts w:ascii="Segoe UI" w:hAnsi="Segoe UI" w:cs="Segoe UI"/>
          <w:i w:val="0"/>
        </w:rPr>
        <w:instrText xml:space="preserve"> STYLEREF 1 \s </w:instrText>
      </w:r>
      <w:r w:rsidR="00994662" w:rsidRPr="00994662">
        <w:rPr>
          <w:rFonts w:ascii="Segoe UI" w:hAnsi="Segoe UI" w:cs="Segoe UI"/>
          <w:i w:val="0"/>
        </w:rPr>
        <w:fldChar w:fldCharType="separate"/>
      </w:r>
      <w:r w:rsidR="00306E67" w:rsidRPr="00994662">
        <w:rPr>
          <w:rFonts w:ascii="Segoe UI" w:hAnsi="Segoe UI" w:cs="Segoe UI"/>
          <w:i w:val="0"/>
          <w:noProof/>
        </w:rPr>
        <w:t>2</w:t>
      </w:r>
      <w:r w:rsidR="00994662" w:rsidRPr="00994662">
        <w:rPr>
          <w:rFonts w:ascii="Segoe UI" w:hAnsi="Segoe UI" w:cs="Segoe UI"/>
          <w:i w:val="0"/>
          <w:noProof/>
        </w:rPr>
        <w:fldChar w:fldCharType="end"/>
      </w:r>
      <w:r w:rsidR="00D9151E" w:rsidRPr="00994662">
        <w:rPr>
          <w:rFonts w:ascii="Segoe UI" w:hAnsi="Segoe UI" w:cs="Segoe UI"/>
          <w:i w:val="0"/>
        </w:rPr>
        <w:t>:</w:t>
      </w:r>
      <w:r w:rsidR="00994662" w:rsidRPr="00994662">
        <w:rPr>
          <w:rFonts w:ascii="Segoe UI" w:hAnsi="Segoe UI" w:cs="Segoe UI"/>
          <w:i w:val="0"/>
        </w:rPr>
        <w:fldChar w:fldCharType="begin"/>
      </w:r>
      <w:r w:rsidR="00994662" w:rsidRPr="00994662">
        <w:rPr>
          <w:rFonts w:ascii="Segoe UI" w:hAnsi="Segoe UI" w:cs="Segoe UI"/>
          <w:i w:val="0"/>
        </w:rPr>
        <w:instrText xml:space="preserve"> SEQ Figure \* ARABIC \s 1 </w:instrText>
      </w:r>
      <w:r w:rsidR="00994662" w:rsidRPr="00994662">
        <w:rPr>
          <w:rFonts w:ascii="Segoe UI" w:hAnsi="Segoe UI" w:cs="Segoe UI"/>
          <w:i w:val="0"/>
        </w:rPr>
        <w:fldChar w:fldCharType="separate"/>
      </w:r>
      <w:r w:rsidR="00CB700D" w:rsidRPr="00994662">
        <w:rPr>
          <w:rFonts w:ascii="Segoe UI" w:hAnsi="Segoe UI" w:cs="Segoe UI"/>
          <w:i w:val="0"/>
          <w:noProof/>
        </w:rPr>
        <w:t>3</w:t>
      </w:r>
      <w:r w:rsidR="00994662" w:rsidRPr="00994662">
        <w:rPr>
          <w:rFonts w:ascii="Segoe UI" w:hAnsi="Segoe UI" w:cs="Segoe UI"/>
          <w:i w:val="0"/>
          <w:noProof/>
        </w:rPr>
        <w:fldChar w:fldCharType="end"/>
      </w:r>
      <w:r w:rsidRPr="00994662">
        <w:rPr>
          <w:rFonts w:ascii="Segoe UI" w:hAnsi="Segoe UI" w:cs="Segoe UI"/>
          <w:i w:val="0"/>
        </w:rPr>
        <w:t xml:space="preserve"> Questions on Democratic Characteristics from the WVS2008</w:t>
      </w:r>
      <w:r w:rsidR="00CB700D" w:rsidRPr="00994662">
        <w:rPr>
          <w:rFonts w:ascii="Segoe UI" w:hAnsi="Segoe UI" w:cs="Segoe UI"/>
          <w:i w:val="0"/>
        </w:rPr>
        <w:t xml:space="preserve"> and their theoretical classification by Cho, Welzel and Norris</w:t>
      </w:r>
      <w:bookmarkEnd w:id="76"/>
    </w:p>
    <w:tbl>
      <w:tblPr>
        <w:tblW w:w="12941" w:type="dxa"/>
        <w:tblLook w:val="04A0" w:firstRow="1" w:lastRow="0" w:firstColumn="1" w:lastColumn="0" w:noHBand="0" w:noVBand="1"/>
      </w:tblPr>
      <w:tblGrid>
        <w:gridCol w:w="1972"/>
        <w:gridCol w:w="3239"/>
        <w:gridCol w:w="2694"/>
        <w:gridCol w:w="2718"/>
        <w:gridCol w:w="2318"/>
      </w:tblGrid>
      <w:tr w:rsidR="00CF455B" w:rsidRPr="00C64C50" w14:paraId="652174EB" w14:textId="77777777" w:rsidTr="008814DE">
        <w:trPr>
          <w:trHeight w:val="740"/>
        </w:trPr>
        <w:tc>
          <w:tcPr>
            <w:tcW w:w="1972" w:type="dxa"/>
            <w:tcBorders>
              <w:bottom w:val="single" w:sz="4" w:space="0" w:color="auto"/>
            </w:tcBorders>
          </w:tcPr>
          <w:p w14:paraId="6735EE05" w14:textId="77777777" w:rsidR="00CF455B" w:rsidRPr="00C64C50" w:rsidRDefault="00CF455B" w:rsidP="008814DE">
            <w:pPr>
              <w:pStyle w:val="NoSpacing"/>
              <w:rPr>
                <w:i/>
                <w:sz w:val="20"/>
                <w:szCs w:val="20"/>
              </w:rPr>
            </w:pPr>
          </w:p>
        </w:tc>
        <w:tc>
          <w:tcPr>
            <w:tcW w:w="10969" w:type="dxa"/>
            <w:gridSpan w:val="4"/>
            <w:tcBorders>
              <w:bottom w:val="single" w:sz="4" w:space="0" w:color="auto"/>
            </w:tcBorders>
          </w:tcPr>
          <w:p w14:paraId="1AF932E0" w14:textId="77777777" w:rsidR="00CF455B" w:rsidRPr="00C64C50" w:rsidRDefault="00CF455B" w:rsidP="008814DE">
            <w:pPr>
              <w:pStyle w:val="NoSpacing"/>
              <w:rPr>
                <w:b/>
                <w:i/>
                <w:sz w:val="20"/>
                <w:szCs w:val="20"/>
              </w:rPr>
            </w:pPr>
            <w:r w:rsidRPr="00C64C50">
              <w:rPr>
                <w:i/>
                <w:sz w:val="20"/>
                <w:szCs w:val="20"/>
              </w:rPr>
              <w:t>Many things may be desirable, but not all of them are essential characteristics of democracy. Please tell me for each of the following things how essential you think it is as a characteristic of democracy. Use this scale where 1 means “not at all an essential characteristic of democracy” and 10 means it definitely is “an essential characteristic of democracy”:</w:t>
            </w:r>
          </w:p>
        </w:tc>
      </w:tr>
      <w:tr w:rsidR="00CF455B" w:rsidRPr="00C64C50" w14:paraId="253ED840" w14:textId="77777777" w:rsidTr="00C62010">
        <w:trPr>
          <w:trHeight w:val="463"/>
        </w:trPr>
        <w:tc>
          <w:tcPr>
            <w:tcW w:w="5211" w:type="dxa"/>
            <w:gridSpan w:val="2"/>
            <w:tcBorders>
              <w:top w:val="single" w:sz="4" w:space="0" w:color="auto"/>
            </w:tcBorders>
          </w:tcPr>
          <w:p w14:paraId="4F8F4864" w14:textId="77777777" w:rsidR="00CF455B" w:rsidRPr="00C64C50" w:rsidRDefault="00CF455B" w:rsidP="008814DE">
            <w:pPr>
              <w:pStyle w:val="NoSpacing"/>
              <w:rPr>
                <w:b/>
                <w:sz w:val="20"/>
                <w:szCs w:val="20"/>
              </w:rPr>
            </w:pPr>
          </w:p>
        </w:tc>
        <w:tc>
          <w:tcPr>
            <w:tcW w:w="2694" w:type="dxa"/>
            <w:tcBorders>
              <w:top w:val="single" w:sz="4" w:space="0" w:color="auto"/>
              <w:bottom w:val="single" w:sz="4" w:space="0" w:color="auto"/>
            </w:tcBorders>
          </w:tcPr>
          <w:p w14:paraId="46D9092E" w14:textId="77777777" w:rsidR="00CF455B" w:rsidRPr="00C64C50" w:rsidRDefault="00CF455B" w:rsidP="008814DE">
            <w:pPr>
              <w:pStyle w:val="NoSpacing"/>
              <w:rPr>
                <w:b/>
                <w:i/>
                <w:sz w:val="20"/>
                <w:szCs w:val="20"/>
              </w:rPr>
            </w:pPr>
            <w:r w:rsidRPr="00C64C50">
              <w:rPr>
                <w:b/>
                <w:i/>
                <w:sz w:val="20"/>
                <w:szCs w:val="20"/>
              </w:rPr>
              <w:t xml:space="preserve">Cho </w:t>
            </w:r>
            <w:r>
              <w:rPr>
                <w:b/>
                <w:i/>
                <w:sz w:val="20"/>
                <w:szCs w:val="20"/>
              </w:rPr>
              <w:t>(2015)</w:t>
            </w:r>
          </w:p>
        </w:tc>
        <w:tc>
          <w:tcPr>
            <w:tcW w:w="2718" w:type="dxa"/>
            <w:tcBorders>
              <w:top w:val="single" w:sz="4" w:space="0" w:color="auto"/>
              <w:bottom w:val="single" w:sz="4" w:space="0" w:color="auto"/>
            </w:tcBorders>
          </w:tcPr>
          <w:p w14:paraId="0F421649" w14:textId="77777777" w:rsidR="00CF455B" w:rsidRPr="00C64C50" w:rsidRDefault="00CF455B" w:rsidP="00C62010">
            <w:pPr>
              <w:pStyle w:val="NoSpacing"/>
              <w:rPr>
                <w:b/>
                <w:i/>
                <w:sz w:val="20"/>
                <w:szCs w:val="20"/>
              </w:rPr>
            </w:pPr>
            <w:r w:rsidRPr="00C64C50">
              <w:rPr>
                <w:b/>
                <w:i/>
                <w:sz w:val="20"/>
                <w:szCs w:val="20"/>
              </w:rPr>
              <w:t>Welzel</w:t>
            </w:r>
            <w:r>
              <w:rPr>
                <w:b/>
                <w:i/>
                <w:sz w:val="20"/>
                <w:szCs w:val="20"/>
              </w:rPr>
              <w:t xml:space="preserve"> (2013)</w:t>
            </w:r>
            <w:r w:rsidRPr="00C64C50">
              <w:rPr>
                <w:b/>
                <w:i/>
                <w:sz w:val="20"/>
                <w:szCs w:val="20"/>
              </w:rPr>
              <w:t xml:space="preserve"> </w:t>
            </w:r>
          </w:p>
        </w:tc>
        <w:tc>
          <w:tcPr>
            <w:tcW w:w="2318" w:type="dxa"/>
            <w:tcBorders>
              <w:top w:val="single" w:sz="4" w:space="0" w:color="auto"/>
              <w:bottom w:val="single" w:sz="4" w:space="0" w:color="auto"/>
            </w:tcBorders>
          </w:tcPr>
          <w:p w14:paraId="755DA98F" w14:textId="77777777" w:rsidR="00CF455B" w:rsidRPr="00C64C50" w:rsidRDefault="00CF455B" w:rsidP="00C62010">
            <w:pPr>
              <w:pStyle w:val="NoSpacing"/>
              <w:rPr>
                <w:b/>
                <w:i/>
                <w:sz w:val="20"/>
                <w:szCs w:val="20"/>
              </w:rPr>
            </w:pPr>
            <w:r w:rsidRPr="00C64C50">
              <w:rPr>
                <w:b/>
                <w:i/>
                <w:sz w:val="20"/>
                <w:szCs w:val="20"/>
              </w:rPr>
              <w:t>Norris</w:t>
            </w:r>
            <w:r>
              <w:rPr>
                <w:b/>
                <w:i/>
                <w:sz w:val="20"/>
                <w:szCs w:val="20"/>
              </w:rPr>
              <w:t xml:space="preserve"> (2011)</w:t>
            </w:r>
          </w:p>
        </w:tc>
      </w:tr>
      <w:tr w:rsidR="00CF455B" w:rsidRPr="00C64C50" w14:paraId="056F84E7" w14:textId="77777777" w:rsidTr="00C62010">
        <w:trPr>
          <w:trHeight w:val="240"/>
        </w:trPr>
        <w:tc>
          <w:tcPr>
            <w:tcW w:w="5211" w:type="dxa"/>
            <w:gridSpan w:val="2"/>
          </w:tcPr>
          <w:p w14:paraId="76FAC81E" w14:textId="77777777" w:rsidR="00CF455B" w:rsidRPr="00C64C50" w:rsidRDefault="00CF455B" w:rsidP="008814DE">
            <w:pPr>
              <w:pStyle w:val="NoSpacing"/>
              <w:rPr>
                <w:sz w:val="20"/>
                <w:szCs w:val="20"/>
              </w:rPr>
            </w:pPr>
            <w:bookmarkStart w:id="77" w:name="_Toc379889564"/>
            <w:bookmarkStart w:id="78" w:name="_Toc380151494"/>
            <w:bookmarkStart w:id="79" w:name="_Toc380513894"/>
            <w:bookmarkStart w:id="80" w:name="_Toc380995524"/>
            <w:bookmarkStart w:id="81" w:name="_Toc381100498"/>
            <w:bookmarkStart w:id="82" w:name="_Toc381717085"/>
            <w:bookmarkStart w:id="83" w:name="_Toc381808726"/>
            <w:r w:rsidRPr="00C64C50">
              <w:rPr>
                <w:sz w:val="20"/>
                <w:szCs w:val="20"/>
              </w:rPr>
              <w:t>People choose their leaders in free elections</w:t>
            </w:r>
            <w:bookmarkEnd w:id="77"/>
            <w:bookmarkEnd w:id="78"/>
            <w:bookmarkEnd w:id="79"/>
            <w:bookmarkEnd w:id="80"/>
            <w:bookmarkEnd w:id="81"/>
            <w:bookmarkEnd w:id="82"/>
            <w:bookmarkEnd w:id="83"/>
          </w:p>
        </w:tc>
        <w:tc>
          <w:tcPr>
            <w:tcW w:w="2694" w:type="dxa"/>
          </w:tcPr>
          <w:p w14:paraId="0DDC21EF" w14:textId="77777777" w:rsidR="00CF455B" w:rsidRPr="00C64C50" w:rsidRDefault="00CF455B" w:rsidP="008814DE">
            <w:pPr>
              <w:pStyle w:val="NoSpacing"/>
              <w:rPr>
                <w:sz w:val="20"/>
                <w:szCs w:val="20"/>
              </w:rPr>
            </w:pPr>
            <w:r w:rsidRPr="00C64C50">
              <w:rPr>
                <w:sz w:val="20"/>
                <w:szCs w:val="20"/>
              </w:rPr>
              <w:t>Essential</w:t>
            </w:r>
          </w:p>
        </w:tc>
        <w:tc>
          <w:tcPr>
            <w:tcW w:w="2718" w:type="dxa"/>
          </w:tcPr>
          <w:p w14:paraId="510E8B31" w14:textId="77777777" w:rsidR="00CF455B" w:rsidRPr="00C64C50" w:rsidRDefault="00CF455B" w:rsidP="008814DE">
            <w:pPr>
              <w:pStyle w:val="NoSpacing"/>
              <w:rPr>
                <w:sz w:val="20"/>
                <w:szCs w:val="20"/>
              </w:rPr>
            </w:pPr>
            <w:r w:rsidRPr="00C64C50">
              <w:rPr>
                <w:sz w:val="20"/>
                <w:szCs w:val="20"/>
              </w:rPr>
              <w:t>Liberal</w:t>
            </w:r>
          </w:p>
        </w:tc>
        <w:tc>
          <w:tcPr>
            <w:tcW w:w="2318" w:type="dxa"/>
          </w:tcPr>
          <w:p w14:paraId="35FEA793" w14:textId="77777777" w:rsidR="00CF455B" w:rsidRPr="00C64C50" w:rsidRDefault="00CF455B" w:rsidP="008814DE">
            <w:pPr>
              <w:pStyle w:val="NoSpacing"/>
              <w:rPr>
                <w:sz w:val="20"/>
                <w:szCs w:val="20"/>
              </w:rPr>
            </w:pPr>
            <w:r w:rsidRPr="00C64C50">
              <w:rPr>
                <w:sz w:val="20"/>
                <w:szCs w:val="20"/>
              </w:rPr>
              <w:t>Procedural</w:t>
            </w:r>
          </w:p>
        </w:tc>
      </w:tr>
      <w:tr w:rsidR="00CF455B" w:rsidRPr="00C64C50" w14:paraId="299CB593" w14:textId="77777777" w:rsidTr="00C62010">
        <w:trPr>
          <w:trHeight w:val="240"/>
        </w:trPr>
        <w:tc>
          <w:tcPr>
            <w:tcW w:w="5211" w:type="dxa"/>
            <w:gridSpan w:val="2"/>
          </w:tcPr>
          <w:p w14:paraId="224A44DF" w14:textId="77777777" w:rsidR="00CF455B" w:rsidRPr="00C64C50" w:rsidRDefault="00CF455B" w:rsidP="008814DE">
            <w:pPr>
              <w:pStyle w:val="NoSpacing"/>
              <w:rPr>
                <w:sz w:val="20"/>
                <w:szCs w:val="20"/>
              </w:rPr>
            </w:pPr>
            <w:bookmarkStart w:id="84" w:name="_Toc381808727"/>
            <w:r w:rsidRPr="00C64C50">
              <w:rPr>
                <w:sz w:val="20"/>
                <w:szCs w:val="20"/>
              </w:rPr>
              <w:t>People can change the laws in referendums</w:t>
            </w:r>
            <w:bookmarkEnd w:id="84"/>
          </w:p>
        </w:tc>
        <w:tc>
          <w:tcPr>
            <w:tcW w:w="2694" w:type="dxa"/>
          </w:tcPr>
          <w:p w14:paraId="1640E645" w14:textId="77777777" w:rsidR="00CF455B" w:rsidRPr="00C64C50" w:rsidRDefault="00CF455B" w:rsidP="008814DE">
            <w:pPr>
              <w:pStyle w:val="NoSpacing"/>
              <w:rPr>
                <w:sz w:val="20"/>
                <w:szCs w:val="20"/>
              </w:rPr>
            </w:pPr>
            <w:r w:rsidRPr="00C64C50">
              <w:rPr>
                <w:sz w:val="20"/>
                <w:szCs w:val="20"/>
              </w:rPr>
              <w:t>-</w:t>
            </w:r>
          </w:p>
        </w:tc>
        <w:tc>
          <w:tcPr>
            <w:tcW w:w="2718" w:type="dxa"/>
          </w:tcPr>
          <w:p w14:paraId="52CEB4F0" w14:textId="77777777" w:rsidR="00CF455B" w:rsidRPr="00C64C50" w:rsidRDefault="00CF455B" w:rsidP="008814DE">
            <w:pPr>
              <w:pStyle w:val="NoSpacing"/>
              <w:rPr>
                <w:sz w:val="20"/>
                <w:szCs w:val="20"/>
              </w:rPr>
            </w:pPr>
            <w:r w:rsidRPr="00C64C50">
              <w:rPr>
                <w:sz w:val="20"/>
                <w:szCs w:val="20"/>
              </w:rPr>
              <w:t>Liberal</w:t>
            </w:r>
          </w:p>
        </w:tc>
        <w:tc>
          <w:tcPr>
            <w:tcW w:w="2318" w:type="dxa"/>
          </w:tcPr>
          <w:p w14:paraId="5F004D27" w14:textId="77777777" w:rsidR="00CF455B" w:rsidRPr="00C64C50" w:rsidRDefault="00CF455B" w:rsidP="008814DE">
            <w:pPr>
              <w:pStyle w:val="NoSpacing"/>
              <w:rPr>
                <w:sz w:val="20"/>
                <w:szCs w:val="20"/>
              </w:rPr>
            </w:pPr>
            <w:r w:rsidRPr="00C64C50">
              <w:rPr>
                <w:sz w:val="20"/>
                <w:szCs w:val="20"/>
              </w:rPr>
              <w:t>Procedural</w:t>
            </w:r>
          </w:p>
        </w:tc>
      </w:tr>
      <w:tr w:rsidR="00CF455B" w:rsidRPr="00C64C50" w14:paraId="6B376B71" w14:textId="77777777" w:rsidTr="00C62010">
        <w:trPr>
          <w:trHeight w:val="240"/>
        </w:trPr>
        <w:tc>
          <w:tcPr>
            <w:tcW w:w="5211" w:type="dxa"/>
            <w:gridSpan w:val="2"/>
          </w:tcPr>
          <w:p w14:paraId="7BEE8B29" w14:textId="77777777" w:rsidR="00CF455B" w:rsidRPr="00C64C50" w:rsidRDefault="00CF455B" w:rsidP="008814DE">
            <w:pPr>
              <w:pStyle w:val="NoSpacing"/>
              <w:rPr>
                <w:sz w:val="20"/>
                <w:szCs w:val="20"/>
              </w:rPr>
            </w:pPr>
            <w:bookmarkStart w:id="85" w:name="_Toc380513896"/>
            <w:bookmarkStart w:id="86" w:name="_Toc380995526"/>
            <w:bookmarkStart w:id="87" w:name="_Toc381100500"/>
            <w:bookmarkStart w:id="88" w:name="_Toc381717087"/>
            <w:bookmarkStart w:id="89" w:name="_Toc381808728"/>
            <w:r w:rsidRPr="00C64C50">
              <w:rPr>
                <w:sz w:val="20"/>
                <w:szCs w:val="20"/>
              </w:rPr>
              <w:t>Civil rights protect people’s liberty against repression</w:t>
            </w:r>
            <w:bookmarkEnd w:id="85"/>
            <w:bookmarkEnd w:id="86"/>
            <w:bookmarkEnd w:id="87"/>
            <w:bookmarkEnd w:id="88"/>
            <w:bookmarkEnd w:id="89"/>
          </w:p>
        </w:tc>
        <w:tc>
          <w:tcPr>
            <w:tcW w:w="2694" w:type="dxa"/>
          </w:tcPr>
          <w:p w14:paraId="095D9E08" w14:textId="77777777" w:rsidR="00CF455B" w:rsidRPr="00C64C50" w:rsidRDefault="00CF455B" w:rsidP="008814DE">
            <w:pPr>
              <w:pStyle w:val="NoSpacing"/>
              <w:rPr>
                <w:sz w:val="20"/>
                <w:szCs w:val="20"/>
              </w:rPr>
            </w:pPr>
            <w:r w:rsidRPr="00C64C50">
              <w:rPr>
                <w:sz w:val="20"/>
                <w:szCs w:val="20"/>
              </w:rPr>
              <w:t>Essential</w:t>
            </w:r>
          </w:p>
        </w:tc>
        <w:tc>
          <w:tcPr>
            <w:tcW w:w="2718" w:type="dxa"/>
          </w:tcPr>
          <w:p w14:paraId="67844F61" w14:textId="77777777" w:rsidR="00CF455B" w:rsidRPr="00C64C50" w:rsidRDefault="00CF455B" w:rsidP="008814DE">
            <w:pPr>
              <w:pStyle w:val="NoSpacing"/>
              <w:rPr>
                <w:sz w:val="20"/>
                <w:szCs w:val="20"/>
              </w:rPr>
            </w:pPr>
            <w:r w:rsidRPr="00C64C50">
              <w:rPr>
                <w:sz w:val="20"/>
                <w:szCs w:val="20"/>
              </w:rPr>
              <w:t>Liberal</w:t>
            </w:r>
          </w:p>
        </w:tc>
        <w:tc>
          <w:tcPr>
            <w:tcW w:w="2318" w:type="dxa"/>
          </w:tcPr>
          <w:p w14:paraId="59E61819" w14:textId="77777777" w:rsidR="00CF455B" w:rsidRPr="00C64C50" w:rsidRDefault="00CF455B" w:rsidP="008814DE">
            <w:pPr>
              <w:pStyle w:val="NoSpacing"/>
              <w:rPr>
                <w:sz w:val="20"/>
                <w:szCs w:val="20"/>
              </w:rPr>
            </w:pPr>
            <w:r w:rsidRPr="00C64C50">
              <w:rPr>
                <w:sz w:val="20"/>
                <w:szCs w:val="20"/>
              </w:rPr>
              <w:t>Procedural</w:t>
            </w:r>
          </w:p>
        </w:tc>
      </w:tr>
      <w:tr w:rsidR="00CF455B" w:rsidRPr="00C64C50" w14:paraId="48CFB472" w14:textId="77777777" w:rsidTr="00C62010">
        <w:trPr>
          <w:trHeight w:val="240"/>
        </w:trPr>
        <w:tc>
          <w:tcPr>
            <w:tcW w:w="5211" w:type="dxa"/>
            <w:gridSpan w:val="2"/>
          </w:tcPr>
          <w:p w14:paraId="4821D1A0" w14:textId="77777777" w:rsidR="00CF455B" w:rsidRPr="00C64C50" w:rsidRDefault="00CF455B" w:rsidP="008814DE">
            <w:pPr>
              <w:pStyle w:val="NoSpacing"/>
              <w:rPr>
                <w:sz w:val="20"/>
                <w:szCs w:val="20"/>
              </w:rPr>
            </w:pPr>
            <w:bookmarkStart w:id="90" w:name="_Toc381808729"/>
            <w:r w:rsidRPr="00C64C50">
              <w:rPr>
                <w:sz w:val="20"/>
                <w:szCs w:val="20"/>
              </w:rPr>
              <w:t>Women have the same rights as men</w:t>
            </w:r>
            <w:bookmarkEnd w:id="90"/>
          </w:p>
        </w:tc>
        <w:tc>
          <w:tcPr>
            <w:tcW w:w="2694" w:type="dxa"/>
          </w:tcPr>
          <w:p w14:paraId="5473BF77" w14:textId="77777777" w:rsidR="00CF455B" w:rsidRPr="00C64C50" w:rsidRDefault="00CF455B" w:rsidP="008814DE">
            <w:pPr>
              <w:pStyle w:val="NoSpacing"/>
              <w:rPr>
                <w:sz w:val="20"/>
                <w:szCs w:val="20"/>
              </w:rPr>
            </w:pPr>
            <w:r w:rsidRPr="00C64C50">
              <w:rPr>
                <w:sz w:val="20"/>
                <w:szCs w:val="20"/>
              </w:rPr>
              <w:t>-</w:t>
            </w:r>
          </w:p>
        </w:tc>
        <w:tc>
          <w:tcPr>
            <w:tcW w:w="2718" w:type="dxa"/>
          </w:tcPr>
          <w:p w14:paraId="778517FC" w14:textId="77777777" w:rsidR="00CF455B" w:rsidRPr="00C64C50" w:rsidRDefault="00CF455B" w:rsidP="008814DE">
            <w:pPr>
              <w:pStyle w:val="NoSpacing"/>
              <w:rPr>
                <w:sz w:val="20"/>
                <w:szCs w:val="20"/>
              </w:rPr>
            </w:pPr>
            <w:r w:rsidRPr="00C64C50">
              <w:rPr>
                <w:sz w:val="20"/>
                <w:szCs w:val="20"/>
              </w:rPr>
              <w:t>Liberal</w:t>
            </w:r>
          </w:p>
        </w:tc>
        <w:tc>
          <w:tcPr>
            <w:tcW w:w="2318" w:type="dxa"/>
          </w:tcPr>
          <w:p w14:paraId="47F623FE" w14:textId="77777777" w:rsidR="00CF455B" w:rsidRPr="00C64C50" w:rsidRDefault="00CF455B" w:rsidP="008814DE">
            <w:pPr>
              <w:pStyle w:val="NoSpacing"/>
              <w:rPr>
                <w:sz w:val="20"/>
                <w:szCs w:val="20"/>
              </w:rPr>
            </w:pPr>
            <w:r w:rsidRPr="00C64C50">
              <w:rPr>
                <w:sz w:val="20"/>
                <w:szCs w:val="20"/>
              </w:rPr>
              <w:t>Procedural</w:t>
            </w:r>
          </w:p>
        </w:tc>
      </w:tr>
      <w:tr w:rsidR="00CF455B" w:rsidRPr="00C64C50" w14:paraId="15AAD6CB" w14:textId="77777777" w:rsidTr="00C62010">
        <w:trPr>
          <w:trHeight w:val="240"/>
        </w:trPr>
        <w:tc>
          <w:tcPr>
            <w:tcW w:w="5211" w:type="dxa"/>
            <w:gridSpan w:val="2"/>
          </w:tcPr>
          <w:p w14:paraId="634A45D7" w14:textId="77777777" w:rsidR="00CF455B" w:rsidRPr="00C64C50" w:rsidRDefault="00CF455B" w:rsidP="008814DE">
            <w:pPr>
              <w:pStyle w:val="NoSpacing"/>
              <w:rPr>
                <w:b/>
                <w:sz w:val="20"/>
                <w:szCs w:val="20"/>
              </w:rPr>
            </w:pPr>
            <w:bookmarkStart w:id="91" w:name="_Toc380513904"/>
            <w:r w:rsidRPr="00C64C50">
              <w:rPr>
                <w:sz w:val="20"/>
                <w:szCs w:val="20"/>
              </w:rPr>
              <w:t>Governments tax the rich and subsidize the poor</w:t>
            </w:r>
            <w:bookmarkEnd w:id="91"/>
          </w:p>
        </w:tc>
        <w:tc>
          <w:tcPr>
            <w:tcW w:w="2694" w:type="dxa"/>
          </w:tcPr>
          <w:p w14:paraId="33662D6F" w14:textId="77777777" w:rsidR="00CF455B" w:rsidRPr="00C64C50" w:rsidRDefault="00CF455B" w:rsidP="008814DE">
            <w:pPr>
              <w:pStyle w:val="NoSpacing"/>
              <w:rPr>
                <w:sz w:val="20"/>
                <w:szCs w:val="20"/>
              </w:rPr>
            </w:pPr>
            <w:r w:rsidRPr="00C64C50">
              <w:rPr>
                <w:sz w:val="20"/>
                <w:szCs w:val="20"/>
              </w:rPr>
              <w:t>-</w:t>
            </w:r>
          </w:p>
        </w:tc>
        <w:tc>
          <w:tcPr>
            <w:tcW w:w="2718" w:type="dxa"/>
          </w:tcPr>
          <w:p w14:paraId="71E9DD7A" w14:textId="77777777" w:rsidR="00CF455B" w:rsidRPr="00C64C50" w:rsidRDefault="00CF455B" w:rsidP="008814DE">
            <w:pPr>
              <w:pStyle w:val="NoSpacing"/>
              <w:rPr>
                <w:sz w:val="20"/>
                <w:szCs w:val="20"/>
              </w:rPr>
            </w:pPr>
            <w:r w:rsidRPr="00C64C50">
              <w:rPr>
                <w:sz w:val="20"/>
                <w:szCs w:val="20"/>
              </w:rPr>
              <w:t>Social</w:t>
            </w:r>
          </w:p>
        </w:tc>
        <w:tc>
          <w:tcPr>
            <w:tcW w:w="2318" w:type="dxa"/>
          </w:tcPr>
          <w:p w14:paraId="33E28F93" w14:textId="77777777" w:rsidR="00CF455B" w:rsidRPr="00C64C50" w:rsidRDefault="00CF455B" w:rsidP="008814DE">
            <w:pPr>
              <w:pStyle w:val="NoSpacing"/>
              <w:rPr>
                <w:sz w:val="20"/>
                <w:szCs w:val="20"/>
              </w:rPr>
            </w:pPr>
            <w:r w:rsidRPr="00C64C50">
              <w:rPr>
                <w:sz w:val="20"/>
                <w:szCs w:val="20"/>
              </w:rPr>
              <w:t>Instrumental</w:t>
            </w:r>
          </w:p>
        </w:tc>
      </w:tr>
      <w:tr w:rsidR="00CF455B" w:rsidRPr="00C64C50" w14:paraId="7E18DD4B" w14:textId="77777777" w:rsidTr="00C62010">
        <w:trPr>
          <w:trHeight w:val="240"/>
        </w:trPr>
        <w:tc>
          <w:tcPr>
            <w:tcW w:w="5211" w:type="dxa"/>
            <w:gridSpan w:val="2"/>
          </w:tcPr>
          <w:p w14:paraId="55FEDBCC" w14:textId="77777777" w:rsidR="00CF455B" w:rsidRPr="00C64C50" w:rsidRDefault="00CF455B" w:rsidP="008814DE">
            <w:pPr>
              <w:pStyle w:val="NoSpacing"/>
              <w:rPr>
                <w:sz w:val="20"/>
                <w:szCs w:val="20"/>
              </w:rPr>
            </w:pPr>
            <w:r w:rsidRPr="00C64C50">
              <w:rPr>
                <w:sz w:val="20"/>
                <w:szCs w:val="20"/>
              </w:rPr>
              <w:t>The state provides benefits for the unemployed</w:t>
            </w:r>
          </w:p>
        </w:tc>
        <w:tc>
          <w:tcPr>
            <w:tcW w:w="2694" w:type="dxa"/>
          </w:tcPr>
          <w:p w14:paraId="2D4307D6" w14:textId="77777777" w:rsidR="00CF455B" w:rsidRPr="00C64C50" w:rsidRDefault="00CF455B" w:rsidP="008814DE">
            <w:pPr>
              <w:pStyle w:val="NoSpacing"/>
              <w:rPr>
                <w:sz w:val="20"/>
                <w:szCs w:val="20"/>
              </w:rPr>
            </w:pPr>
            <w:r w:rsidRPr="00C64C50">
              <w:rPr>
                <w:sz w:val="20"/>
                <w:szCs w:val="20"/>
              </w:rPr>
              <w:t>-</w:t>
            </w:r>
          </w:p>
        </w:tc>
        <w:tc>
          <w:tcPr>
            <w:tcW w:w="2718" w:type="dxa"/>
          </w:tcPr>
          <w:p w14:paraId="7F9077B4" w14:textId="77777777" w:rsidR="00CF455B" w:rsidRPr="00C64C50" w:rsidRDefault="00CF455B" w:rsidP="008814DE">
            <w:pPr>
              <w:pStyle w:val="NoSpacing"/>
              <w:rPr>
                <w:sz w:val="20"/>
                <w:szCs w:val="20"/>
              </w:rPr>
            </w:pPr>
            <w:r w:rsidRPr="00C64C50">
              <w:rPr>
                <w:sz w:val="20"/>
                <w:szCs w:val="20"/>
              </w:rPr>
              <w:t>Social</w:t>
            </w:r>
          </w:p>
        </w:tc>
        <w:tc>
          <w:tcPr>
            <w:tcW w:w="2318" w:type="dxa"/>
          </w:tcPr>
          <w:p w14:paraId="644D21DC" w14:textId="77777777" w:rsidR="00CF455B" w:rsidRPr="00C64C50" w:rsidRDefault="00CF455B" w:rsidP="008814DE">
            <w:pPr>
              <w:pStyle w:val="NoSpacing"/>
              <w:rPr>
                <w:sz w:val="20"/>
                <w:szCs w:val="20"/>
              </w:rPr>
            </w:pPr>
            <w:r w:rsidRPr="00C64C50">
              <w:rPr>
                <w:sz w:val="20"/>
                <w:szCs w:val="20"/>
              </w:rPr>
              <w:t>Instrumental</w:t>
            </w:r>
          </w:p>
        </w:tc>
      </w:tr>
      <w:tr w:rsidR="00CF455B" w:rsidRPr="00C64C50" w14:paraId="3B334762" w14:textId="77777777" w:rsidTr="00C62010">
        <w:trPr>
          <w:trHeight w:val="240"/>
        </w:trPr>
        <w:tc>
          <w:tcPr>
            <w:tcW w:w="5211" w:type="dxa"/>
            <w:gridSpan w:val="2"/>
          </w:tcPr>
          <w:p w14:paraId="1AEE876D" w14:textId="77777777" w:rsidR="00CF455B" w:rsidRPr="00C64C50" w:rsidRDefault="00CF455B" w:rsidP="008814DE">
            <w:pPr>
              <w:pStyle w:val="NoSpacing"/>
              <w:rPr>
                <w:sz w:val="20"/>
                <w:szCs w:val="20"/>
              </w:rPr>
            </w:pPr>
            <w:bookmarkStart w:id="92" w:name="_Toc380995532"/>
            <w:bookmarkStart w:id="93" w:name="_Toc381100506"/>
            <w:bookmarkStart w:id="94" w:name="_Toc381717091"/>
            <w:bookmarkStart w:id="95" w:name="_Toc381808732"/>
            <w:r w:rsidRPr="00C64C50">
              <w:rPr>
                <w:sz w:val="20"/>
                <w:szCs w:val="20"/>
              </w:rPr>
              <w:t>The economy is prospering</w:t>
            </w:r>
            <w:bookmarkEnd w:id="92"/>
            <w:bookmarkEnd w:id="93"/>
            <w:bookmarkEnd w:id="94"/>
            <w:bookmarkEnd w:id="95"/>
          </w:p>
        </w:tc>
        <w:tc>
          <w:tcPr>
            <w:tcW w:w="2694" w:type="dxa"/>
          </w:tcPr>
          <w:p w14:paraId="4BCE19C4" w14:textId="77777777" w:rsidR="00CF455B" w:rsidRPr="00C64C50" w:rsidRDefault="00CF455B" w:rsidP="008814DE">
            <w:pPr>
              <w:pStyle w:val="NoSpacing"/>
              <w:rPr>
                <w:sz w:val="20"/>
                <w:szCs w:val="20"/>
              </w:rPr>
            </w:pPr>
            <w:r w:rsidRPr="00C64C50">
              <w:rPr>
                <w:sz w:val="20"/>
                <w:szCs w:val="20"/>
              </w:rPr>
              <w:t>-</w:t>
            </w:r>
          </w:p>
        </w:tc>
        <w:tc>
          <w:tcPr>
            <w:tcW w:w="2718" w:type="dxa"/>
          </w:tcPr>
          <w:p w14:paraId="3CBF64BF" w14:textId="77777777" w:rsidR="00CF455B" w:rsidRPr="00C64C50" w:rsidRDefault="00CF455B" w:rsidP="008814DE">
            <w:pPr>
              <w:pStyle w:val="NoSpacing"/>
              <w:rPr>
                <w:sz w:val="20"/>
                <w:szCs w:val="20"/>
              </w:rPr>
            </w:pPr>
            <w:r w:rsidRPr="00C64C50">
              <w:rPr>
                <w:sz w:val="20"/>
                <w:szCs w:val="20"/>
              </w:rPr>
              <w:t>Populist</w:t>
            </w:r>
          </w:p>
        </w:tc>
        <w:tc>
          <w:tcPr>
            <w:tcW w:w="2318" w:type="dxa"/>
          </w:tcPr>
          <w:p w14:paraId="1588C67C" w14:textId="77777777" w:rsidR="00CF455B" w:rsidRPr="00C64C50" w:rsidRDefault="00CF455B" w:rsidP="008814DE">
            <w:pPr>
              <w:pStyle w:val="NoSpacing"/>
              <w:rPr>
                <w:sz w:val="20"/>
                <w:szCs w:val="20"/>
              </w:rPr>
            </w:pPr>
            <w:r w:rsidRPr="00C64C50">
              <w:rPr>
                <w:sz w:val="20"/>
                <w:szCs w:val="20"/>
              </w:rPr>
              <w:t>Instrumental</w:t>
            </w:r>
          </w:p>
        </w:tc>
      </w:tr>
      <w:tr w:rsidR="00CF455B" w:rsidRPr="00C64C50" w14:paraId="7EC4A501" w14:textId="77777777" w:rsidTr="00C62010">
        <w:trPr>
          <w:trHeight w:val="240"/>
        </w:trPr>
        <w:tc>
          <w:tcPr>
            <w:tcW w:w="5211" w:type="dxa"/>
            <w:gridSpan w:val="2"/>
          </w:tcPr>
          <w:p w14:paraId="39464741" w14:textId="77777777" w:rsidR="00CF455B" w:rsidRPr="00C64C50" w:rsidRDefault="00CF455B" w:rsidP="008814DE">
            <w:pPr>
              <w:pStyle w:val="NoSpacing"/>
              <w:rPr>
                <w:sz w:val="20"/>
                <w:szCs w:val="20"/>
              </w:rPr>
            </w:pPr>
            <w:bookmarkStart w:id="96" w:name="_Toc380513908"/>
            <w:bookmarkStart w:id="97" w:name="_Toc380995534"/>
            <w:bookmarkStart w:id="98" w:name="_Toc381100507"/>
            <w:bookmarkStart w:id="99" w:name="_Toc381717092"/>
            <w:bookmarkStart w:id="100" w:name="_Toc381808733"/>
            <w:r w:rsidRPr="00C64C50">
              <w:rPr>
                <w:sz w:val="20"/>
                <w:szCs w:val="20"/>
              </w:rPr>
              <w:t>Criminals are severely punished</w:t>
            </w:r>
            <w:bookmarkEnd w:id="96"/>
            <w:bookmarkEnd w:id="97"/>
            <w:bookmarkEnd w:id="98"/>
            <w:bookmarkEnd w:id="99"/>
            <w:bookmarkEnd w:id="100"/>
          </w:p>
        </w:tc>
        <w:tc>
          <w:tcPr>
            <w:tcW w:w="2694" w:type="dxa"/>
          </w:tcPr>
          <w:p w14:paraId="58285B7C" w14:textId="77777777" w:rsidR="00CF455B" w:rsidRPr="00C64C50" w:rsidRDefault="00CF455B" w:rsidP="008814DE">
            <w:pPr>
              <w:pStyle w:val="NoSpacing"/>
              <w:rPr>
                <w:sz w:val="20"/>
                <w:szCs w:val="20"/>
              </w:rPr>
            </w:pPr>
            <w:r w:rsidRPr="00C64C50">
              <w:rPr>
                <w:sz w:val="20"/>
                <w:szCs w:val="20"/>
              </w:rPr>
              <w:t>-</w:t>
            </w:r>
          </w:p>
        </w:tc>
        <w:tc>
          <w:tcPr>
            <w:tcW w:w="2718" w:type="dxa"/>
          </w:tcPr>
          <w:p w14:paraId="1F4A79D8" w14:textId="77777777" w:rsidR="00CF455B" w:rsidRPr="00C64C50" w:rsidRDefault="00CF455B" w:rsidP="008814DE">
            <w:pPr>
              <w:pStyle w:val="NoSpacing"/>
              <w:rPr>
                <w:sz w:val="20"/>
                <w:szCs w:val="20"/>
              </w:rPr>
            </w:pPr>
            <w:r w:rsidRPr="00C64C50">
              <w:rPr>
                <w:sz w:val="20"/>
                <w:szCs w:val="20"/>
              </w:rPr>
              <w:t>Populist</w:t>
            </w:r>
          </w:p>
        </w:tc>
        <w:tc>
          <w:tcPr>
            <w:tcW w:w="2318" w:type="dxa"/>
          </w:tcPr>
          <w:p w14:paraId="07310620" w14:textId="77777777" w:rsidR="00CF455B" w:rsidRPr="00C64C50" w:rsidRDefault="00CF455B" w:rsidP="008814DE">
            <w:pPr>
              <w:pStyle w:val="NoSpacing"/>
              <w:rPr>
                <w:sz w:val="20"/>
                <w:szCs w:val="20"/>
              </w:rPr>
            </w:pPr>
            <w:r w:rsidRPr="00C64C50">
              <w:rPr>
                <w:sz w:val="20"/>
                <w:szCs w:val="20"/>
              </w:rPr>
              <w:t>Instrumental</w:t>
            </w:r>
          </w:p>
        </w:tc>
      </w:tr>
      <w:tr w:rsidR="00CF455B" w:rsidRPr="00C64C50" w14:paraId="65AFB4A8" w14:textId="77777777" w:rsidTr="00C62010">
        <w:trPr>
          <w:trHeight w:val="240"/>
        </w:trPr>
        <w:tc>
          <w:tcPr>
            <w:tcW w:w="5211" w:type="dxa"/>
            <w:gridSpan w:val="2"/>
          </w:tcPr>
          <w:p w14:paraId="58FB1E15" w14:textId="77777777" w:rsidR="00CF455B" w:rsidRPr="00C64C50" w:rsidRDefault="00CF455B" w:rsidP="008814DE">
            <w:pPr>
              <w:pStyle w:val="NoSpacing"/>
              <w:rPr>
                <w:sz w:val="20"/>
                <w:szCs w:val="20"/>
              </w:rPr>
            </w:pPr>
            <w:bookmarkStart w:id="101" w:name="_Toc381100510"/>
            <w:bookmarkStart w:id="102" w:name="_Toc381717094"/>
            <w:bookmarkStart w:id="103" w:name="_Toc381808735"/>
            <w:r w:rsidRPr="00C64C50">
              <w:rPr>
                <w:sz w:val="20"/>
                <w:szCs w:val="20"/>
              </w:rPr>
              <w:t>The army takes over when government is incompetent</w:t>
            </w:r>
            <w:bookmarkEnd w:id="101"/>
            <w:bookmarkEnd w:id="102"/>
            <w:bookmarkEnd w:id="103"/>
          </w:p>
        </w:tc>
        <w:tc>
          <w:tcPr>
            <w:tcW w:w="2694" w:type="dxa"/>
          </w:tcPr>
          <w:p w14:paraId="34BDFC3F" w14:textId="77777777" w:rsidR="00CF455B" w:rsidRPr="00C64C50" w:rsidRDefault="00CF455B" w:rsidP="008814DE">
            <w:pPr>
              <w:pStyle w:val="NoSpacing"/>
              <w:rPr>
                <w:sz w:val="20"/>
                <w:szCs w:val="20"/>
              </w:rPr>
            </w:pPr>
            <w:r w:rsidRPr="00C64C50">
              <w:rPr>
                <w:sz w:val="20"/>
                <w:szCs w:val="20"/>
              </w:rPr>
              <w:t>Non-essential</w:t>
            </w:r>
          </w:p>
        </w:tc>
        <w:tc>
          <w:tcPr>
            <w:tcW w:w="2718" w:type="dxa"/>
          </w:tcPr>
          <w:p w14:paraId="7782D6F3" w14:textId="77777777" w:rsidR="00CF455B" w:rsidRPr="00C64C50" w:rsidRDefault="00CF455B" w:rsidP="008814DE">
            <w:pPr>
              <w:pStyle w:val="NoSpacing"/>
              <w:rPr>
                <w:sz w:val="20"/>
                <w:szCs w:val="20"/>
              </w:rPr>
            </w:pPr>
            <w:r w:rsidRPr="00C64C50">
              <w:rPr>
                <w:sz w:val="20"/>
                <w:szCs w:val="20"/>
              </w:rPr>
              <w:t>Authoritarian</w:t>
            </w:r>
          </w:p>
        </w:tc>
        <w:tc>
          <w:tcPr>
            <w:tcW w:w="2318" w:type="dxa"/>
          </w:tcPr>
          <w:p w14:paraId="717D0EDA" w14:textId="77777777" w:rsidR="00CF455B" w:rsidRPr="00C64C50" w:rsidRDefault="00CF455B" w:rsidP="008814DE">
            <w:pPr>
              <w:pStyle w:val="NoSpacing"/>
              <w:rPr>
                <w:sz w:val="20"/>
                <w:szCs w:val="20"/>
              </w:rPr>
            </w:pPr>
            <w:r w:rsidRPr="00C64C50">
              <w:rPr>
                <w:sz w:val="20"/>
                <w:szCs w:val="20"/>
              </w:rPr>
              <w:t>Authoritarian</w:t>
            </w:r>
          </w:p>
        </w:tc>
      </w:tr>
      <w:tr w:rsidR="00CF455B" w:rsidRPr="00C64C50" w14:paraId="5F283194" w14:textId="77777777" w:rsidTr="00C62010">
        <w:trPr>
          <w:trHeight w:val="259"/>
        </w:trPr>
        <w:tc>
          <w:tcPr>
            <w:tcW w:w="5211" w:type="dxa"/>
            <w:gridSpan w:val="2"/>
            <w:tcBorders>
              <w:bottom w:val="single" w:sz="4" w:space="0" w:color="auto"/>
            </w:tcBorders>
          </w:tcPr>
          <w:p w14:paraId="20B28DCA" w14:textId="77777777" w:rsidR="00CF455B" w:rsidRPr="00C64C50" w:rsidRDefault="00CF455B" w:rsidP="008814DE">
            <w:pPr>
              <w:pStyle w:val="NoSpacing"/>
              <w:rPr>
                <w:sz w:val="20"/>
                <w:szCs w:val="20"/>
              </w:rPr>
            </w:pPr>
            <w:bookmarkStart w:id="104" w:name="_Toc381717095"/>
            <w:bookmarkStart w:id="105" w:name="_Toc381808736"/>
            <w:r w:rsidRPr="00C64C50">
              <w:rPr>
                <w:sz w:val="20"/>
                <w:szCs w:val="20"/>
              </w:rPr>
              <w:t>Religious leaders interpret the law</w:t>
            </w:r>
            <w:bookmarkEnd w:id="104"/>
            <w:bookmarkEnd w:id="105"/>
          </w:p>
        </w:tc>
        <w:tc>
          <w:tcPr>
            <w:tcW w:w="2694" w:type="dxa"/>
            <w:tcBorders>
              <w:bottom w:val="single" w:sz="4" w:space="0" w:color="auto"/>
            </w:tcBorders>
          </w:tcPr>
          <w:p w14:paraId="7CF6426A" w14:textId="77777777" w:rsidR="00CF455B" w:rsidRPr="00C64C50" w:rsidRDefault="00CF455B" w:rsidP="008814DE">
            <w:pPr>
              <w:pStyle w:val="NoSpacing"/>
              <w:rPr>
                <w:sz w:val="20"/>
                <w:szCs w:val="20"/>
              </w:rPr>
            </w:pPr>
            <w:r w:rsidRPr="00C64C50">
              <w:rPr>
                <w:sz w:val="20"/>
                <w:szCs w:val="20"/>
              </w:rPr>
              <w:t>Non-essential</w:t>
            </w:r>
          </w:p>
        </w:tc>
        <w:tc>
          <w:tcPr>
            <w:tcW w:w="2718" w:type="dxa"/>
            <w:tcBorders>
              <w:bottom w:val="single" w:sz="4" w:space="0" w:color="auto"/>
            </w:tcBorders>
          </w:tcPr>
          <w:p w14:paraId="0E5EDA04" w14:textId="77777777" w:rsidR="00CF455B" w:rsidRPr="00C64C50" w:rsidRDefault="00CF455B" w:rsidP="008814DE">
            <w:pPr>
              <w:pStyle w:val="NoSpacing"/>
              <w:rPr>
                <w:sz w:val="20"/>
                <w:szCs w:val="20"/>
              </w:rPr>
            </w:pPr>
            <w:r w:rsidRPr="00C64C50">
              <w:rPr>
                <w:sz w:val="20"/>
                <w:szCs w:val="20"/>
              </w:rPr>
              <w:t>Authoritarian</w:t>
            </w:r>
          </w:p>
        </w:tc>
        <w:tc>
          <w:tcPr>
            <w:tcW w:w="2318" w:type="dxa"/>
            <w:tcBorders>
              <w:bottom w:val="single" w:sz="4" w:space="0" w:color="auto"/>
            </w:tcBorders>
          </w:tcPr>
          <w:p w14:paraId="67DE8885" w14:textId="77777777" w:rsidR="00CF455B" w:rsidRPr="00C64C50" w:rsidRDefault="00CF455B" w:rsidP="008814DE">
            <w:pPr>
              <w:pStyle w:val="NoSpacing"/>
              <w:rPr>
                <w:sz w:val="20"/>
                <w:szCs w:val="20"/>
              </w:rPr>
            </w:pPr>
            <w:r w:rsidRPr="00C64C50">
              <w:rPr>
                <w:sz w:val="20"/>
                <w:szCs w:val="20"/>
              </w:rPr>
              <w:t>Authoritarian</w:t>
            </w:r>
          </w:p>
        </w:tc>
      </w:tr>
    </w:tbl>
    <w:p w14:paraId="2402DDBF" w14:textId="77777777" w:rsidR="00722D2E" w:rsidRDefault="00722D2E" w:rsidP="00722D2E">
      <w:pPr>
        <w:pStyle w:val="Caption"/>
      </w:pPr>
    </w:p>
    <w:p w14:paraId="1D01C035" w14:textId="32640AAD" w:rsidR="00CF455B" w:rsidRPr="00994662" w:rsidRDefault="00722D2E" w:rsidP="00722D2E">
      <w:pPr>
        <w:pStyle w:val="Caption"/>
        <w:rPr>
          <w:rFonts w:ascii="Segoe UI" w:hAnsi="Segoe UI" w:cs="Segoe UI"/>
          <w:b w:val="0"/>
          <w:i w:val="0"/>
          <w:szCs w:val="24"/>
        </w:rPr>
      </w:pPr>
      <w:bookmarkStart w:id="106" w:name="_Toc494687137"/>
      <w:r w:rsidRPr="00994662">
        <w:rPr>
          <w:rFonts w:ascii="Segoe UI" w:hAnsi="Segoe UI" w:cs="Segoe UI"/>
          <w:i w:val="0"/>
        </w:rPr>
        <w:t xml:space="preserve">Figure </w:t>
      </w:r>
      <w:r w:rsidR="00994662" w:rsidRPr="00994662">
        <w:rPr>
          <w:rFonts w:ascii="Segoe UI" w:hAnsi="Segoe UI" w:cs="Segoe UI"/>
          <w:i w:val="0"/>
        </w:rPr>
        <w:fldChar w:fldCharType="begin"/>
      </w:r>
      <w:r w:rsidR="00994662" w:rsidRPr="00994662">
        <w:rPr>
          <w:rFonts w:ascii="Segoe UI" w:hAnsi="Segoe UI" w:cs="Segoe UI"/>
          <w:i w:val="0"/>
        </w:rPr>
        <w:instrText xml:space="preserve"> STYLEREF 1 \s </w:instrText>
      </w:r>
      <w:r w:rsidR="00994662" w:rsidRPr="00994662">
        <w:rPr>
          <w:rFonts w:ascii="Segoe UI" w:hAnsi="Segoe UI" w:cs="Segoe UI"/>
          <w:i w:val="0"/>
        </w:rPr>
        <w:fldChar w:fldCharType="separate"/>
      </w:r>
      <w:r w:rsidR="00306E67" w:rsidRPr="00994662">
        <w:rPr>
          <w:rFonts w:ascii="Segoe UI" w:hAnsi="Segoe UI" w:cs="Segoe UI"/>
          <w:i w:val="0"/>
          <w:noProof/>
        </w:rPr>
        <w:t>2</w:t>
      </w:r>
      <w:r w:rsidR="00994662" w:rsidRPr="00994662">
        <w:rPr>
          <w:rFonts w:ascii="Segoe UI" w:hAnsi="Segoe UI" w:cs="Segoe UI"/>
          <w:i w:val="0"/>
          <w:noProof/>
        </w:rPr>
        <w:fldChar w:fldCharType="end"/>
      </w:r>
      <w:r w:rsidR="00D9151E" w:rsidRPr="00994662">
        <w:rPr>
          <w:rFonts w:ascii="Segoe UI" w:hAnsi="Segoe UI" w:cs="Segoe UI"/>
          <w:i w:val="0"/>
        </w:rPr>
        <w:t>:</w:t>
      </w:r>
      <w:r w:rsidR="00994662" w:rsidRPr="00994662">
        <w:rPr>
          <w:rFonts w:ascii="Segoe UI" w:hAnsi="Segoe UI" w:cs="Segoe UI"/>
          <w:i w:val="0"/>
        </w:rPr>
        <w:fldChar w:fldCharType="begin"/>
      </w:r>
      <w:r w:rsidR="00994662" w:rsidRPr="00994662">
        <w:rPr>
          <w:rFonts w:ascii="Segoe UI" w:hAnsi="Segoe UI" w:cs="Segoe UI"/>
          <w:i w:val="0"/>
        </w:rPr>
        <w:instrText xml:space="preserve"> SEQ Figure \* ARABIC \s 1 </w:instrText>
      </w:r>
      <w:r w:rsidR="00994662" w:rsidRPr="00994662">
        <w:rPr>
          <w:rFonts w:ascii="Segoe UI" w:hAnsi="Segoe UI" w:cs="Segoe UI"/>
          <w:i w:val="0"/>
        </w:rPr>
        <w:fldChar w:fldCharType="separate"/>
      </w:r>
      <w:r w:rsidR="00306E67" w:rsidRPr="00994662">
        <w:rPr>
          <w:rFonts w:ascii="Segoe UI" w:hAnsi="Segoe UI" w:cs="Segoe UI"/>
          <w:i w:val="0"/>
          <w:noProof/>
        </w:rPr>
        <w:t>4</w:t>
      </w:r>
      <w:r w:rsidR="00994662" w:rsidRPr="00994662">
        <w:rPr>
          <w:rFonts w:ascii="Segoe UI" w:hAnsi="Segoe UI" w:cs="Segoe UI"/>
          <w:i w:val="0"/>
          <w:noProof/>
        </w:rPr>
        <w:fldChar w:fldCharType="end"/>
      </w:r>
      <w:r w:rsidRPr="00994662">
        <w:rPr>
          <w:rFonts w:ascii="Segoe UI" w:hAnsi="Segoe UI" w:cs="Segoe UI"/>
          <w:i w:val="0"/>
        </w:rPr>
        <w:t xml:space="preserve"> Configuration of the WVS2008 questions to test democratic understanding</w:t>
      </w:r>
      <w:r w:rsidR="00CB700D" w:rsidRPr="00994662">
        <w:rPr>
          <w:rFonts w:ascii="Segoe UI" w:hAnsi="Segoe UI" w:cs="Segoe UI"/>
          <w:i w:val="0"/>
        </w:rPr>
        <w:t xml:space="preserve"> across three studies</w:t>
      </w:r>
      <w:bookmarkEnd w:id="106"/>
    </w:p>
    <w:tbl>
      <w:tblPr>
        <w:tblW w:w="0" w:type="auto"/>
        <w:tblLook w:val="04A0" w:firstRow="1" w:lastRow="0" w:firstColumn="1" w:lastColumn="0" w:noHBand="0" w:noVBand="1"/>
      </w:tblPr>
      <w:tblGrid>
        <w:gridCol w:w="12932"/>
      </w:tblGrid>
      <w:tr w:rsidR="00CF455B" w14:paraId="5273B35D" w14:textId="77777777" w:rsidTr="008814DE">
        <w:trPr>
          <w:trHeight w:val="368"/>
        </w:trPr>
        <w:tc>
          <w:tcPr>
            <w:tcW w:w="12932" w:type="dxa"/>
            <w:tcBorders>
              <w:top w:val="single" w:sz="4" w:space="0" w:color="auto"/>
            </w:tcBorders>
          </w:tcPr>
          <w:p w14:paraId="6737603B" w14:textId="77777777" w:rsidR="00CF455B" w:rsidRPr="0094081E" w:rsidRDefault="00CF455B" w:rsidP="008814DE">
            <w:pPr>
              <w:spacing w:before="100" w:beforeAutospacing="1"/>
              <w:rPr>
                <w:b/>
                <w:i/>
                <w:sz w:val="20"/>
                <w:szCs w:val="20"/>
              </w:rPr>
            </w:pPr>
            <w:r w:rsidRPr="0094081E">
              <w:rPr>
                <w:b/>
                <w:i/>
                <w:sz w:val="20"/>
                <w:szCs w:val="20"/>
              </w:rPr>
              <w:t>Cho (2015):</w:t>
            </w:r>
            <w:r>
              <w:rPr>
                <w:b/>
                <w:i/>
                <w:sz w:val="20"/>
                <w:szCs w:val="20"/>
              </w:rPr>
              <w:t xml:space="preserve"> “Informed understanding”</w:t>
            </w:r>
            <w:r w:rsidR="00C62010">
              <w:rPr>
                <w:b/>
                <w:i/>
                <w:sz w:val="20"/>
                <w:szCs w:val="20"/>
              </w:rPr>
              <w:t>:</w:t>
            </w:r>
            <w:r w:rsidR="00C62010" w:rsidRPr="0094081E">
              <w:rPr>
                <w:sz w:val="20"/>
                <w:szCs w:val="20"/>
              </w:rPr>
              <w:t xml:space="preserve"> (Elections + Civil rights) – (Army takeover + Religious authorities)</w:t>
            </w:r>
          </w:p>
        </w:tc>
      </w:tr>
      <w:tr w:rsidR="00CF455B" w14:paraId="25327F17" w14:textId="77777777" w:rsidTr="008814DE">
        <w:trPr>
          <w:trHeight w:val="368"/>
        </w:trPr>
        <w:tc>
          <w:tcPr>
            <w:tcW w:w="12932" w:type="dxa"/>
            <w:tcBorders>
              <w:top w:val="single" w:sz="4" w:space="0" w:color="auto"/>
            </w:tcBorders>
          </w:tcPr>
          <w:p w14:paraId="3BB4E142" w14:textId="2FFC2D54" w:rsidR="00CF455B" w:rsidRPr="00192459" w:rsidRDefault="00CF455B" w:rsidP="008814DE">
            <w:pPr>
              <w:spacing w:before="100" w:beforeAutospacing="1"/>
              <w:rPr>
                <w:b/>
                <w:i/>
                <w:sz w:val="20"/>
                <w:szCs w:val="20"/>
              </w:rPr>
            </w:pPr>
            <w:r w:rsidRPr="00192459">
              <w:rPr>
                <w:b/>
                <w:i/>
                <w:sz w:val="20"/>
                <w:szCs w:val="20"/>
              </w:rPr>
              <w:t xml:space="preserve">Welzel (2013): </w:t>
            </w:r>
            <w:r>
              <w:rPr>
                <w:b/>
                <w:i/>
                <w:sz w:val="20"/>
                <w:szCs w:val="20"/>
              </w:rPr>
              <w:t>“Popular views”</w:t>
            </w:r>
            <w:r w:rsidR="00C62010">
              <w:rPr>
                <w:sz w:val="20"/>
                <w:szCs w:val="20"/>
              </w:rPr>
              <w:t xml:space="preserve">: </w:t>
            </w:r>
            <w:r w:rsidR="00C62010" w:rsidRPr="0094081E">
              <w:rPr>
                <w:sz w:val="20"/>
                <w:szCs w:val="20"/>
              </w:rPr>
              <w:t>(Elections + Civil rights + Referendum + Gender rights) – (Army takeover + Religious authorities + Criminal Pun</w:t>
            </w:r>
            <w:r w:rsidR="00CB700D">
              <w:rPr>
                <w:sz w:val="20"/>
                <w:szCs w:val="20"/>
              </w:rPr>
              <w:t>ishment + Prospering Economy)</w:t>
            </w:r>
          </w:p>
        </w:tc>
      </w:tr>
      <w:tr w:rsidR="00CF455B" w14:paraId="13BFDBBE" w14:textId="77777777" w:rsidTr="008814DE">
        <w:trPr>
          <w:trHeight w:val="387"/>
        </w:trPr>
        <w:tc>
          <w:tcPr>
            <w:tcW w:w="12932" w:type="dxa"/>
            <w:tcBorders>
              <w:top w:val="single" w:sz="4" w:space="0" w:color="auto"/>
            </w:tcBorders>
          </w:tcPr>
          <w:p w14:paraId="1D424E3A" w14:textId="7BCAE570" w:rsidR="00CF455B" w:rsidRPr="0094081E" w:rsidRDefault="00CF455B" w:rsidP="008814DE">
            <w:pPr>
              <w:spacing w:before="100" w:beforeAutospacing="1"/>
              <w:rPr>
                <w:b/>
                <w:i/>
                <w:sz w:val="20"/>
                <w:szCs w:val="20"/>
              </w:rPr>
            </w:pPr>
            <w:r w:rsidRPr="0094081E">
              <w:rPr>
                <w:b/>
                <w:i/>
                <w:sz w:val="20"/>
                <w:szCs w:val="20"/>
              </w:rPr>
              <w:t>Norris (2011):</w:t>
            </w:r>
            <w:r>
              <w:rPr>
                <w:b/>
                <w:i/>
                <w:sz w:val="20"/>
                <w:szCs w:val="20"/>
              </w:rPr>
              <w:t xml:space="preserve"> “Enlightened understanding”</w:t>
            </w:r>
            <w:r w:rsidR="00C62010" w:rsidRPr="0094081E">
              <w:rPr>
                <w:sz w:val="20"/>
                <w:szCs w:val="20"/>
              </w:rPr>
              <w:t xml:space="preserve"> (Elections + Civil rights + Referendum + Gender rights) – (Army takeover + Religious authorities + Criminal Punishment + Prospering Economy + S</w:t>
            </w:r>
            <w:r w:rsidR="00CB700D">
              <w:rPr>
                <w:sz w:val="20"/>
                <w:szCs w:val="20"/>
              </w:rPr>
              <w:t>tate aid + tax subsidisation)</w:t>
            </w:r>
          </w:p>
        </w:tc>
      </w:tr>
    </w:tbl>
    <w:p w14:paraId="425DC53D" w14:textId="77777777" w:rsidR="00CF455B" w:rsidRPr="0094081E" w:rsidRDefault="00CF455B" w:rsidP="00CF455B">
      <w:pPr>
        <w:spacing w:before="100" w:beforeAutospacing="1"/>
        <w:rPr>
          <w:b/>
          <w:szCs w:val="24"/>
        </w:rPr>
        <w:sectPr w:rsidR="00CF455B" w:rsidRPr="0094081E" w:rsidSect="0052597C">
          <w:pgSz w:w="16838" w:h="11906" w:orient="landscape"/>
          <w:pgMar w:top="1440" w:right="1440" w:bottom="1440" w:left="1440" w:header="720" w:footer="720" w:gutter="357"/>
          <w:cols w:space="720"/>
        </w:sectPr>
      </w:pPr>
    </w:p>
    <w:p w14:paraId="1923FC5C" w14:textId="009F7D48" w:rsidR="004069C9" w:rsidRDefault="00CB700D" w:rsidP="004069C9">
      <w:r>
        <w:t xml:space="preserve">The analysis by </w:t>
      </w:r>
      <w:r>
        <w:fldChar w:fldCharType="begin" w:fldLock="1"/>
      </w:r>
      <w:r>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"mendeley" : { "formattedCitation" : "(Cho, 2015)", "manualFormatting" : "Cho (2015)", "plainTextFormattedCitation" : "(Cho, 2015)", "previouslyFormattedCitation" : "(Cho, 2015)" }, "properties" : { "noteIndex" : 0 }, "schema" : "https://github.com/citation-style-language/schema/raw/master/csl-citation.json" }</w:instrText>
      </w:r>
      <w:r>
        <w:fldChar w:fldCharType="separate"/>
      </w:r>
      <w:r w:rsidRPr="00C209E2">
        <w:rPr>
          <w:noProof/>
        </w:rPr>
        <w:t xml:space="preserve">Cho </w:t>
      </w:r>
      <w:r>
        <w:rPr>
          <w:noProof/>
        </w:rPr>
        <w:t>(</w:t>
      </w:r>
      <w:r w:rsidRPr="00C209E2">
        <w:rPr>
          <w:noProof/>
        </w:rPr>
        <w:t>2015)</w:t>
      </w:r>
      <w:r>
        <w:fldChar w:fldCharType="end"/>
      </w:r>
      <w:r>
        <w:t xml:space="preserve"> use only four of the available characteristics to make a basic cognitive map to test if respondents ‘correctly’ identify that elections and civil liberties are essential democratic characteristics whereas military intervention and law-making by religious authorities are non-essential and in fact anti-democratic. </w:t>
      </w:r>
      <w:r w:rsidR="004069C9">
        <w:t xml:space="preserve">The study found that informed understandings of democracy varied substantially across countries and individuals and that higher levels of education and media us predicted better informed understanding of democracy, which Cho </w:t>
      </w:r>
      <w:r w:rsidR="004069C9">
        <w:fldChar w:fldCharType="begin" w:fldLock="1"/>
      </w:r>
      <w:r w:rsidR="00E63CC6">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"locator" : "255", "uris" : [ "http://www.mendeley.com/documents/?uuid=2b3c35a1-f8e3-4bd8-9b94-6c913bcdc187" ] } ], "mendeley" : { "formattedCitation" : "(Cho, 2015, p. 255)", "manualFormatting" : "(2015, p.255)", "plainTextFormattedCitation" : "(Cho, 2015, p. 255)", "previouslyFormattedCitation" : "(Cho, 2015, p. 255)" }, "properties" : { "noteIndex" : 0 }, "schema" : "https://github.com/citation-style-language/schema/raw/master/csl-citation.json" }</w:instrText>
      </w:r>
      <w:r w:rsidR="004069C9">
        <w:fldChar w:fldCharType="separate"/>
      </w:r>
      <w:r w:rsidR="004069C9" w:rsidRPr="001210C3">
        <w:rPr>
          <w:noProof/>
        </w:rPr>
        <w:t>(2015, p.255)</w:t>
      </w:r>
      <w:r w:rsidR="004069C9">
        <w:fldChar w:fldCharType="end"/>
      </w:r>
      <w:r w:rsidR="004069C9">
        <w:t xml:space="preserve"> chalks up to processes such as modernisation, social capital</w:t>
      </w:r>
      <w:r>
        <w:t>,</w:t>
      </w:r>
      <w:r w:rsidR="004069C9">
        <w:t xml:space="preserve"> and political learning.</w:t>
      </w:r>
    </w:p>
    <w:p w14:paraId="091C0A2A" w14:textId="7C40AB9E" w:rsidR="00CF455B" w:rsidRDefault="00CF455B" w:rsidP="00C62010">
      <w:r w:rsidRPr="00930BF5">
        <w:t>Welzel (2013)</w:t>
      </w:r>
      <w:r>
        <w:t xml:space="preserve"> and Norris (2011) categorised </w:t>
      </w:r>
      <w:r w:rsidR="00C121C4">
        <w:t xml:space="preserve">responses to </w:t>
      </w:r>
      <w:r>
        <w:t xml:space="preserve">all ten </w:t>
      </w:r>
      <w:r w:rsidR="00C121C4">
        <w:t>questions</w:t>
      </w:r>
      <w:r>
        <w:t xml:space="preserve"> with a more complex theoretical grounding</w:t>
      </w:r>
      <w:r w:rsidR="007557C1">
        <w:t xml:space="preserve"> by using all ten of the questions</w:t>
      </w:r>
      <w:r>
        <w:t>, but there are slight differences between the approaches</w:t>
      </w:r>
      <w:r w:rsidR="00CC6A63">
        <w:t>, which lead to three different scales being used across the studies</w:t>
      </w:r>
      <w:r w:rsidR="00C37B01">
        <w:t xml:space="preserve"> (s</w:t>
      </w:r>
      <w:r w:rsidR="007557C1">
        <w:t>ee Figure 2.4)</w:t>
      </w:r>
      <w:r>
        <w:t xml:space="preserve">. Norris is guided by theory </w:t>
      </w:r>
      <w:r w:rsidR="00CC6A63">
        <w:t xml:space="preserve">whilst </w:t>
      </w:r>
      <w:r>
        <w:t>Welzel used</w:t>
      </w:r>
      <w:r w:rsidRPr="00930BF5">
        <w:t xml:space="preserve"> factor analysis</w:t>
      </w:r>
      <w:r w:rsidR="00CC6A63">
        <w:t xml:space="preserve"> </w:t>
      </w:r>
      <w:r w:rsidRPr="00930BF5">
        <w:t xml:space="preserve">to </w:t>
      </w:r>
      <w:r>
        <w:t>initially demonstrate that there are four</w:t>
      </w:r>
      <w:r w:rsidR="00C121C4">
        <w:t xml:space="preserve"> distinct</w:t>
      </w:r>
      <w:r>
        <w:t xml:space="preserve"> groupings within the set of questions</w:t>
      </w:r>
      <w:r w:rsidR="00CC6A63">
        <w:t xml:space="preserve"> (</w:t>
      </w:r>
      <w:r w:rsidR="004069C9">
        <w:t>this is discussed in Chapter 4 and presented in</w:t>
      </w:r>
      <w:r w:rsidR="00CC6A63">
        <w:t xml:space="preserve"> Figure. 4.2)</w:t>
      </w:r>
      <w:r>
        <w:t>. The top four c</w:t>
      </w:r>
      <w:r w:rsidRPr="00930BF5">
        <w:t>harac</w:t>
      </w:r>
      <w:r>
        <w:t>teristics concerning elections civil rights, referendums and equal gender rights</w:t>
      </w:r>
      <w:r w:rsidRPr="00930BF5">
        <w:t xml:space="preserve"> match directly with theories of liberal democracy</w:t>
      </w:r>
      <w:r>
        <w:t>. Noticeable is that they are referred to as ‘lib</w:t>
      </w:r>
      <w:r w:rsidR="0017320A">
        <w:t>eral’ by Welzel.</w:t>
      </w:r>
      <w:r>
        <w:t xml:space="preserve"> </w:t>
      </w:r>
      <w:r w:rsidR="0017320A">
        <w:t>This</w:t>
      </w:r>
      <w:r>
        <w:t xml:space="preserve"> is a far more encompassing term than</w:t>
      </w:r>
      <w:r w:rsidR="00C121C4">
        <w:t xml:space="preserve"> the term</w:t>
      </w:r>
      <w:r>
        <w:t xml:space="preserve"> ‘procedural’</w:t>
      </w:r>
      <w:r w:rsidR="00C121C4">
        <w:t xml:space="preserve">, </w:t>
      </w:r>
      <w:r>
        <w:t xml:space="preserve">used by Norris, which has Schumpertarian </w:t>
      </w:r>
      <w:r w:rsidR="0017320A">
        <w:t>overtones</w:t>
      </w:r>
      <w:r>
        <w:t xml:space="preserve"> related to mechanisms of governance, rather than wider conceptions of citizen rights. However, both authors see these four characteristics together as the ‘right answers’ to classify understandings of democracy.  </w:t>
      </w:r>
    </w:p>
    <w:p w14:paraId="13BE9F76" w14:textId="48282699" w:rsidR="00CF455B" w:rsidRPr="00930BF5" w:rsidRDefault="00CF455B" w:rsidP="00C62010">
      <w:r>
        <w:t>In contrast, the bottom two</w:t>
      </w:r>
      <w:r w:rsidRPr="00930BF5">
        <w:t xml:space="preserve"> characteristics</w:t>
      </w:r>
      <w:r w:rsidR="00AE2407">
        <w:t xml:space="preserve"> in F</w:t>
      </w:r>
      <w:r>
        <w:t>igure 2.3 concern</w:t>
      </w:r>
      <w:r w:rsidRPr="00930BF5">
        <w:t xml:space="preserve"> religious author</w:t>
      </w:r>
      <w:r>
        <w:t>ities and the army and</w:t>
      </w:r>
      <w:r w:rsidRPr="00930BF5">
        <w:t xml:space="preserve"> are authoritarian, and considered anti-democratic</w:t>
      </w:r>
      <w:r>
        <w:t xml:space="preserve">, as seen in the study by Cho. </w:t>
      </w:r>
      <w:r w:rsidRPr="00930BF5">
        <w:t xml:space="preserve">The remaining four </w:t>
      </w:r>
      <w:r>
        <w:t>characteristics</w:t>
      </w:r>
      <w:r w:rsidRPr="00930BF5">
        <w:t xml:space="preserve"> are a little trickier to categorise. </w:t>
      </w:r>
      <w:r w:rsidR="00AE2407">
        <w:t>As outlined in F</w:t>
      </w:r>
      <w:r w:rsidR="00CC6A63">
        <w:t xml:space="preserve">igure 2.4, </w:t>
      </w:r>
      <w:r w:rsidRPr="00930BF5">
        <w:t>Welzel classifies</w:t>
      </w:r>
      <w:r>
        <w:t xml:space="preserve"> a prospering economy </w:t>
      </w:r>
      <w:r w:rsidRPr="00930BF5">
        <w:t>and</w:t>
      </w:r>
      <w:r>
        <w:t xml:space="preserve"> severe criminal punishment </w:t>
      </w:r>
      <w:r w:rsidRPr="00930BF5">
        <w:t xml:space="preserve">as populist ideals that are perhaps desirable outputs of democracy for particular citizens, but are not inherent to the ideal of democracy. He then builds a </w:t>
      </w:r>
      <w:r>
        <w:t xml:space="preserve">classification of popular views of democracy </w:t>
      </w:r>
      <w:r w:rsidRPr="00930BF5">
        <w:t>by subtracting the authoritarian and populist measures from the liberal ones. The characteristics on tax</w:t>
      </w:r>
      <w:r>
        <w:t xml:space="preserve">ing the rich and subsidising the poor </w:t>
      </w:r>
      <w:r w:rsidRPr="00930BF5">
        <w:t xml:space="preserve">and aid </w:t>
      </w:r>
      <w:r>
        <w:t>for the unemployed load together in his factor analysis and</w:t>
      </w:r>
      <w:r w:rsidRPr="00930BF5">
        <w:t xml:space="preserve"> are considered to constitute a type of liberal democracy (social-liberal</w:t>
      </w:r>
      <w:r>
        <w:t>,</w:t>
      </w:r>
      <w:r w:rsidR="00CC6A63">
        <w:t xml:space="preserve"> as opposed to market-liberal) and so they </w:t>
      </w:r>
      <w:r w:rsidRPr="00930BF5">
        <w:t xml:space="preserve">are not included </w:t>
      </w:r>
      <w:r w:rsidR="00CC6A63">
        <w:t>when he designed his scale to test how well citizens understand democracy</w:t>
      </w:r>
      <w:r w:rsidRPr="00930BF5">
        <w:t xml:space="preserve">. However, Norris (2011: 159) uses </w:t>
      </w:r>
      <w:r w:rsidR="003639BD">
        <w:t xml:space="preserve">more demanding </w:t>
      </w:r>
      <w:r w:rsidR="009A3027" w:rsidRPr="00930BF5">
        <w:t>criteri</w:t>
      </w:r>
      <w:r w:rsidR="009A3027">
        <w:t>on</w:t>
      </w:r>
      <w:r w:rsidR="009A3027" w:rsidRPr="00930BF5">
        <w:t xml:space="preserve"> </w:t>
      </w:r>
      <w:r w:rsidRPr="00930BF5">
        <w:t xml:space="preserve">as she </w:t>
      </w:r>
      <w:r w:rsidRPr="00CC6A63">
        <w:rPr>
          <w:i/>
        </w:rPr>
        <w:t>also</w:t>
      </w:r>
      <w:r w:rsidRPr="00930BF5">
        <w:t xml:space="preserve"> subtracts the score for these two social characteristics from the liberal ones.</w:t>
      </w:r>
    </w:p>
    <w:p w14:paraId="12F8402C" w14:textId="01E9E021" w:rsidR="00CF455B" w:rsidRPr="00930BF5" w:rsidRDefault="00CF455B" w:rsidP="00C62010">
      <w:r w:rsidRPr="00930BF5">
        <w:t xml:space="preserve">The approach of these </w:t>
      </w:r>
      <w:r w:rsidR="00CC6A63">
        <w:t xml:space="preserve">three </w:t>
      </w:r>
      <w:r w:rsidRPr="00930BF5">
        <w:t>studies is prescriptive; with slight variation</w:t>
      </w:r>
      <w:r w:rsidR="009A3027">
        <w:t>s</w:t>
      </w:r>
      <w:r w:rsidRPr="00930BF5">
        <w:t xml:space="preserve">, the authors generate a type of ‘civics test’ to see if citizens are answering </w:t>
      </w:r>
      <w:r w:rsidR="00AE2407">
        <w:t>correctly</w:t>
      </w:r>
      <w:r>
        <w:t xml:space="preserve"> (prioritising the liberal/procedural elements over the rest)</w:t>
      </w:r>
      <w:r w:rsidRPr="00930BF5">
        <w:t xml:space="preserve"> or </w:t>
      </w:r>
      <w:r w:rsidR="00AE2407">
        <w:t>incorrectly</w:t>
      </w:r>
      <w:r w:rsidRPr="00930BF5">
        <w:t xml:space="preserve"> according to the expectations of liberal democratic theory. This produces a one-dimensional scale of, </w:t>
      </w:r>
      <w:r>
        <w:t xml:space="preserve">as Cho refers to it, ‘informed understanding’ or </w:t>
      </w:r>
      <w:r w:rsidRPr="00930BF5">
        <w:t>as Norris calls it, ‘enlightened democratic knowledge’. The actual dimensions and structure of understandings across these ten characteristics are considerably simplified by such an approach.</w:t>
      </w:r>
    </w:p>
    <w:p w14:paraId="58C28457" w14:textId="4F9F6D67" w:rsidR="00CF455B" w:rsidRPr="00930BF5" w:rsidRDefault="00CC6A63" w:rsidP="00C62010">
      <w:r>
        <w:t>Norris’s (2011, pp.</w:t>
      </w:r>
      <w:r w:rsidR="00CF455B" w:rsidRPr="00930BF5">
        <w:t xml:space="preserve">167-168) study ends on a more cautious note than Dalton </w:t>
      </w:r>
      <w:r w:rsidR="00803848">
        <w:rPr>
          <w:i/>
          <w:iCs/>
        </w:rPr>
        <w:t>et al</w:t>
      </w:r>
      <w:r w:rsidR="00CF455B" w:rsidRPr="00930BF5">
        <w:rPr>
          <w:i/>
          <w:iCs/>
        </w:rPr>
        <w:t>.</w:t>
      </w:r>
      <w:r w:rsidR="009A3027">
        <w:rPr>
          <w:i/>
          <w:iCs/>
        </w:rPr>
        <w:t xml:space="preserve"> </w:t>
      </w:r>
      <w:r w:rsidR="009A3027" w:rsidRPr="0037437D">
        <w:rPr>
          <w:iCs/>
        </w:rPr>
        <w:t>(</w:t>
      </w:r>
      <w:r>
        <w:rPr>
          <w:iCs/>
        </w:rPr>
        <w:t>2008</w:t>
      </w:r>
      <w:r w:rsidR="009A3027" w:rsidRPr="0037437D">
        <w:rPr>
          <w:iCs/>
        </w:rPr>
        <w:t>)</w:t>
      </w:r>
      <w:r w:rsidR="00CF455B" w:rsidRPr="009A3027">
        <w:t>,</w:t>
      </w:r>
      <w:r w:rsidR="00CF455B" w:rsidRPr="00930BF5">
        <w:t xml:space="preserve"> arguing that whilst aspirations for democracy are widespread, in countries with limited experience of democracy this “should </w:t>
      </w:r>
      <w:r w:rsidR="00CF455B" w:rsidRPr="00930BF5">
        <w:rPr>
          <w:i/>
          <w:iCs/>
        </w:rPr>
        <w:t>not</w:t>
      </w:r>
      <w:r w:rsidR="00CF455B" w:rsidRPr="00930BF5">
        <w:t xml:space="preserve"> be taken to mean that people necessarily yearn deeply for democratic procedural reforms, or indeed that citizens have the capacity to draw a bright line between democracy and governance.” </w:t>
      </w:r>
      <w:r>
        <w:t>On the other hand, Welzel (2013, p.</w:t>
      </w:r>
      <w:r w:rsidR="00CF455B" w:rsidRPr="00930BF5">
        <w:t xml:space="preserve">331) examines the impact that </w:t>
      </w:r>
      <w:r w:rsidR="00CF455B">
        <w:t>post-modern</w:t>
      </w:r>
      <w:r w:rsidR="00CF455B" w:rsidRPr="00930BF5">
        <w:t xml:space="preserve"> values have on his scale </w:t>
      </w:r>
      <w:r w:rsidR="00CF455B">
        <w:t xml:space="preserve">of understanding, arguing that </w:t>
      </w:r>
      <w:r w:rsidR="00CF455B" w:rsidRPr="00930BF5">
        <w:t>emancipative values</w:t>
      </w:r>
      <w:r w:rsidR="00CF455B">
        <w:t xml:space="preserve"> such as freedom of choice and equality of opportunities</w:t>
      </w:r>
      <w:r w:rsidR="00CF455B" w:rsidRPr="00930BF5">
        <w:t xml:space="preserve"> </w:t>
      </w:r>
      <w:r w:rsidR="00CF455B">
        <w:t>“</w:t>
      </w:r>
      <w:r w:rsidR="00CF455B" w:rsidRPr="00930BF5">
        <w:t>couple people’s desire for democracy with a more critical rating of their society’s actual democratic quality</w:t>
      </w:r>
      <w:r w:rsidR="005C04B3">
        <w:t>”; in this case Welzel’s formulation of democracy focuses on the liberal characteristics, but not the populist ones (see Figure 2:4).</w:t>
      </w:r>
    </w:p>
    <w:p w14:paraId="395BEBD3" w14:textId="62A30232" w:rsidR="00CF455B" w:rsidRPr="00930BF5" w:rsidRDefault="00CF455B" w:rsidP="00C62010">
      <w:r w:rsidRPr="00930BF5">
        <w:t>The methods and approaches used in these studies by Norris and Welzel</w:t>
      </w:r>
      <w:r>
        <w:t xml:space="preserve"> in particular</w:t>
      </w:r>
      <w:r w:rsidRPr="00930BF5">
        <w:t xml:space="preserve"> inform the methods and </w:t>
      </w:r>
      <w:r w:rsidR="009A3027" w:rsidRPr="00930BF5">
        <w:t>analys</w:t>
      </w:r>
      <w:r w:rsidR="009A3027">
        <w:t>e</w:t>
      </w:r>
      <w:r w:rsidR="009A3027" w:rsidRPr="00930BF5">
        <w:t xml:space="preserve">s </w:t>
      </w:r>
      <w:r w:rsidR="009A3027">
        <w:t>under</w:t>
      </w:r>
      <w:r w:rsidRPr="00930BF5">
        <w:t>taken in this thesis. This is discusse</w:t>
      </w:r>
      <w:r w:rsidR="00AE2407">
        <w:t>d in further detail in Chapter 3 and C</w:t>
      </w:r>
      <w:r>
        <w:t>hapter 4</w:t>
      </w:r>
      <w:r w:rsidRPr="00930BF5">
        <w:t xml:space="preserve">. For now, this literature review moves to a lower scale and considers studies undertaken at the regional level. </w:t>
      </w:r>
    </w:p>
    <w:p w14:paraId="1672DEEA" w14:textId="77777777" w:rsidR="00CF455B" w:rsidRPr="00E223A2" w:rsidRDefault="00CF455B" w:rsidP="00E223A2">
      <w:pPr>
        <w:pStyle w:val="Heading3"/>
      </w:pPr>
      <w:bookmarkStart w:id="107" w:name="_Toc379811755"/>
      <w:bookmarkStart w:id="108" w:name="_Toc441069178"/>
      <w:r w:rsidRPr="00E223A2">
        <w:t>Regional-Level Studies</w:t>
      </w:r>
      <w:bookmarkEnd w:id="107"/>
      <w:bookmarkEnd w:id="108"/>
    </w:p>
    <w:p w14:paraId="4FDE61A4" w14:textId="46ED5968" w:rsidR="00CF455B" w:rsidRPr="00930BF5" w:rsidRDefault="00CF455B" w:rsidP="00C62010">
      <w:r w:rsidRPr="00930BF5">
        <w:t xml:space="preserve">Using survey data from African states (ranging from the oppressive Zimbabwean regime to the democracy of Cape Verde), Bratton </w:t>
      </w:r>
      <w:r w:rsidR="0090540D">
        <w:fldChar w:fldCharType="begin" w:fldLock="1"/>
      </w:r>
      <w:r w:rsidR="001B407A">
        <w:instrText>ADDIN CSL_CITATION { "citationItems" : [ { "id" : "ITEM-1", "itemData" : { "DOI" : "10.1353/jod.2007.0041", "ISSN" : "1086-3214", "author" : [ { "dropping-particle" : "", "family" : "Bratton", "given" : "Michael.", "non-dropping-particle" : "", "parse-names" : false, "suffix" : "" } ], "container-title" : "Journal of Democracy", "id" : "ITEM-1", "issue" : "3", "issued" : { "date-parts" : [ [ "2007" ] ] }, "page" : "96-110", "title" : "Formal versus Informal Institutions in Africa", "type" : "article-journal", "volume" : "18" }, "uris" : [ "http://www.mendeley.com/documents/?uuid=f0eed97a-9aa8-4425-a34d-f762269c74ba" ] }, { "id" : "ITEM-2", "itemData" : { "DOI" : "10.1353/jod.2010.0006", "ISSN" : "1086-3214", "author" : [ { "dropping-particle" : "", "family" : "Bratton", "given" : "Michael", "non-dropping-particle" : "", "parse-names" : false, "suffix" : "" } ], "container-title" : "Journal of Democracy", "id" : "ITEM-2", "issue" : "4", "issued" : { "date-parts" : [ [ "2010" ] ] }, "page" : "106-113", "title" : "Anchoring the \"D-Word\" in Africa", "type" : "article-journal", "volume" : "21" }, "uris" : [ "http://www.mendeley.com/documents/?uuid=b58f727b-4935-436d-9e4e-d41ec2152654" ] } ], "mendeley" : { "formattedCitation" : "(Bratton, 2007, 2010)", "manualFormatting" : "(2007; 2010)", "plainTextFormattedCitation" : "(Bratton, 2007, 2010)", "previouslyFormattedCitation" : "(Bratton, 2007, 2010)" }, "properties" : { "noteIndex" : 0 }, "schema" : "https://github.com/citation-style-language/schema/raw/master/csl-citation.json" }</w:instrText>
      </w:r>
      <w:r w:rsidR="0090540D">
        <w:fldChar w:fldCharType="separate"/>
      </w:r>
      <w:r w:rsidR="0090540D" w:rsidRPr="0090540D">
        <w:rPr>
          <w:noProof/>
        </w:rPr>
        <w:t>(2007; 2010)</w:t>
      </w:r>
      <w:r w:rsidR="0090540D">
        <w:fldChar w:fldCharType="end"/>
      </w:r>
      <w:r w:rsidR="0090540D">
        <w:t xml:space="preserve"> </w:t>
      </w:r>
      <w:r w:rsidRPr="00930BF5">
        <w:t xml:space="preserve">broadly agrees with Dalton </w:t>
      </w:r>
      <w:r w:rsidRPr="00930BF5">
        <w:rPr>
          <w:i/>
          <w:iCs/>
        </w:rPr>
        <w:t>el al</w:t>
      </w:r>
      <w:r w:rsidRPr="00930BF5">
        <w:t>.’s assessment that liberal understandings of democracy are widespread. After correlating national average scores on an AfroBarometer democratic quality question against Freedom House scores of the level of political freed</w:t>
      </w:r>
      <w:r w:rsidR="0090540D">
        <w:t>om in each state, Bratton (2007, p.</w:t>
      </w:r>
      <w:r w:rsidRPr="00930BF5">
        <w:t xml:space="preserve">104) argues that “ordinary Africans and specialists arrive at almost identical assessments” of democracy. In </w:t>
      </w:r>
      <w:r>
        <w:t>effect, this suggests that</w:t>
      </w:r>
      <w:r w:rsidRPr="00930BF5">
        <w:t xml:space="preserve"> citizen understandings of the term</w:t>
      </w:r>
      <w:r>
        <w:t xml:space="preserve"> are aligning with experts who are making their judgements based on liberal democratic ideals. So, whilst this does not suggest that citizens are definitely informed about democracy in this way, Bratton’s conclusions certainly hint that the potential is there.</w:t>
      </w:r>
      <w:r w:rsidRPr="00930BF5">
        <w:t xml:space="preserve"> </w:t>
      </w:r>
    </w:p>
    <w:p w14:paraId="2154B7FB" w14:textId="631ABB19" w:rsidR="00CF455B" w:rsidRPr="00930BF5" w:rsidRDefault="00CF455B" w:rsidP="00C62010">
      <w:r w:rsidRPr="00930BF5">
        <w:t>In contrast, evidence from many states of the former Soviet bloc</w:t>
      </w:r>
      <w:r w:rsidR="009A3027" w:rsidRPr="009A3027">
        <w:t xml:space="preserve"> </w:t>
      </w:r>
      <w:r w:rsidR="009A3027" w:rsidRPr="00930BF5">
        <w:t>is less reassuring</w:t>
      </w:r>
      <w:r w:rsidRPr="00930BF5">
        <w:t>, as the democratization literature has struggled to grapple with and explain the variety of regimes types that sprang up after the fall of the USSR</w:t>
      </w:r>
      <w:r w:rsidR="0090540D">
        <w:t xml:space="preserve"> </w:t>
      </w:r>
      <w:r w:rsidR="0090540D">
        <w:fldChar w:fldCharType="begin" w:fldLock="1"/>
      </w:r>
      <w:r w:rsidR="00E63CC6">
        <w:instrText>ADDIN CSL_CITATION { "citationItems" : [ { "id" : "ITEM-1", "itemData" : { "author" : [ { "dropping-particle" : "", "family" : "Kopeck\u00fd", "given" : "Petr", "non-dropping-particle" : "", "parse-names" : false, "suffix" : "" }, { "dropping-particle" : "", "family" : "Mudde", "given" : "C", "non-dropping-particle" : "", "parse-names" : false, "suffix" : "" } ], "container-title" : "European Journal of Political Research", "id" : "ITEM-1", "issued" : { "date-parts" : [ [ "2000" ] ] }, "page" : "517-539", "title" : "What has Eastern Europe taught us about the democratisation literature (and vice versa)?", "type" : "article-journal", "volume" : "37" }, "uris" : [ "http://www.mendeley.com/documents/?uuid=24336230-c0d7-4321-8951-157663c90753" ] } ], "mendeley" : { "formattedCitation" : "(Kopeck\u00fd and Mudde, 2000)", "plainTextFormattedCitation" : "(Kopeck\u00fd and Mudde, 2000)", "previouslyFormattedCitation" : "(Kopeck\u00fd and Mudde, 2000)" }, "properties" : { "noteIndex" : 0 }, "schema" : "https://github.com/citation-style-language/schema/raw/master/csl-citation.json" }</w:instrText>
      </w:r>
      <w:r w:rsidR="0090540D">
        <w:fldChar w:fldCharType="separate"/>
      </w:r>
      <w:r w:rsidR="00E63CC6" w:rsidRPr="00E63CC6">
        <w:rPr>
          <w:noProof/>
        </w:rPr>
        <w:t>(Kopecký and Mudde, 2000)</w:t>
      </w:r>
      <w:r w:rsidR="0090540D">
        <w:fldChar w:fldCharType="end"/>
      </w:r>
      <w:r w:rsidRPr="00930BF5">
        <w:t xml:space="preserve">. Support for democracy in these regions </w:t>
      </w:r>
      <w:r>
        <w:t>seems</w:t>
      </w:r>
      <w:r w:rsidRPr="00930BF5">
        <w:t xml:space="preserve"> particularly influenced by economic developments</w:t>
      </w:r>
      <w:r>
        <w:t xml:space="preserve"> i.e. if the economy is growing under the democratic regime and living standards are improving it is suggested that people are more likely to support the idea of democracy</w:t>
      </w:r>
      <w:r w:rsidR="007A5E54">
        <w:t xml:space="preserve"> </w:t>
      </w:r>
      <w:r w:rsidR="007A5E54">
        <w:fldChar w:fldCharType="begin" w:fldLock="1"/>
      </w:r>
      <w:r w:rsidR="00E63CC6">
        <w:instrText>ADDIN CSL_CITATION { "citationItems" : [ { "id" : "ITEM-1", "itemData" : { "DOI" : "10.1111/1475-6765.00002", "ISSN" : "0304-4130", "author" : [ { "dropping-particle" : "", "family" : "Mishler", "given" : "William", "non-dropping-particle" : "", "parse-names" : false, "suffix" : "" }, { "dropping-particle" : "", "family" : "Rose", "given" : "Richard", "non-dropping-particle" : "", "parse-names" : false, "suffix" : "" } ], "container-title" : "European Journal of Political Research", "id" : "ITEM-1", "issue" : "1", "issued" : { "date-parts" : [ [ "2002", "1" ] ] }, "page" : "5-36", "title" : "Learning and re-learning regime support: The dynamics of post-communist regimes", "type" : "article-journal", "volume" : "41" }, "uris" : [ "http://www.mendeley.com/documents/?uuid=ec62e431-34d6-447f-98dd-bbc71716619c" ] }, { "id" : "ITEM-2", "itemData" : { "author" : [ { "dropping-particle" : "", "family" : "Mishler", "given" : "W.", "non-dropping-particle" : "", "parse-names" : false, "suffix" : "" }, { "dropping-particle" : "", "family" : "Rose", "given" : "Richard", "non-dropping-particle" : "", "parse-names" : false, "suffix" : "" } ], "container-title" : "Critical Citizens - Global Support for Democratic Governance", "editor" : [ { "dropping-particle" : "", "family" : "Norris", "given" : "P", "non-dropping-particle" : "", "parse-names" : false, "suffix" : "" } ], "id" : "ITEM-2", "issued" : { "date-parts" : [ [ "1999" ] ] }, "page" : "78-102", "publisher" : "Oxford University Press", "publisher-place" : "Oxford University Press", "title" : "Five Years After the Fall: Trajectories of Support for Democracy in Post-Communist Europe", "type" : "chapter" }, "uris" : [ "http://www.mendeley.com/documents/?uuid=bbd8c5ef-cf9e-4de3-95f2-062ae5aa2a8c" ] } ], "mendeley" : { "formattedCitation" : "(Mishler and Rose, 1999, 2002)", "manualFormatting" : "(Mishler &amp; Rose 2002; 1999)", "plainTextFormattedCitation" : "(Mishler and Rose, 1999, 2002)", "previouslyFormattedCitation" : "(Mishler and Rose, 1999, 2002)" }, "properties" : { "noteIndex" : 0 }, "schema" : "https://github.com/citation-style-language/schema/raw/master/csl-citation.json" }</w:instrText>
      </w:r>
      <w:r w:rsidR="007A5E54">
        <w:fldChar w:fldCharType="separate"/>
      </w:r>
      <w:r w:rsidR="007A5E54" w:rsidRPr="007A5E54">
        <w:rPr>
          <w:noProof/>
        </w:rPr>
        <w:t>(Mishler &amp; Rose 2002; 1999)</w:t>
      </w:r>
      <w:r w:rsidR="007A5E54">
        <w:fldChar w:fldCharType="end"/>
      </w:r>
      <w:r w:rsidRPr="00930BF5">
        <w:t xml:space="preserve"> </w:t>
      </w:r>
      <w:r>
        <w:t xml:space="preserve">rather than it being for purely principled support. Further, </w:t>
      </w:r>
      <w:r w:rsidRPr="00930BF5">
        <w:t>whilst ‘colour revolutions’ erupted against a number of authoritarian leaders throughout the late 1990s and early 2000s, there has been limited democratization since, even from ‘successful’ revolutions in Serbia, G</w:t>
      </w:r>
      <w:r w:rsidR="007A5E54">
        <w:t xml:space="preserve">eorgia, Ukraine and Kyrgyzstan </w:t>
      </w:r>
      <w:r w:rsidR="007A5E54">
        <w:fldChar w:fldCharType="begin" w:fldLock="1"/>
      </w:r>
      <w:r w:rsidR="00E63CC6">
        <w:instrText>ADDIN CSL_CITATION { "citationItems" : [ { "id" : "ITEM-1", "itemData" : { "DOI" : "10.1177/0010414009332131", "ISSN" : "0010-4140", "author" : [ { "dropping-particle" : "", "family" : "Kalandadze", "given" : "K.", "non-dropping-particle" : "", "parse-names" : false, "suffix" : "" }, { "dropping-particle" : "", "family" : "Orenstein", "given" : "M. a.", "non-dropping-particle" : "", "parse-names" : false, "suffix" : "" } ], "container-title" : "Comparative Political Studies", "id" : "ITEM-1", "issue" : "11", "issued" : { "date-parts" : [ [ "2009", "3", "3" ] ] }, "page" : "1403-1425", "title" : "Electoral Protests and Democratization Beyond the Color Revolutions", "type" : "article-journal", "volume" : "42" }, "uris" : [ "http://www.mendeley.com/documents/?uuid=3969ae3d-d084-4725-a3b2-6e132bd28690" ] }, { "id" : "ITEM-2", "itemData" : { "DOI" : "10.1016/j.postcomstud.2006.06.004", "ISSN" : "0967067X", "author" : [ { "dropping-particle" : "", "family" : "Marples", "given" : "David R.", "non-dropping-particle" : "", "parse-names" : false, "suffix" : "" } ], "container-title" : "Communist and Post-Communist Studies", "id" : "ITEM-2", "issue" : "3", "issued" : { "date-parts" : [ [ "2006", "9" ] ] }, "page" : "351-364", "title" : "Color revolutions: The Belarus case", "type" : "article-journal", "volume" : "39" }, "uris" : [ "http://www.mendeley.com/documents/?uuid=f29b89a4-4d04-48b2-a04c-0d7532526265" ] } ], "mendeley" : { "formattedCitation" : "(Marples, 2006; Kalandadze and Orenstein, 2009)", "plainTextFormattedCitation" : "(Marples, 2006; Kalandadze and Orenstein, 2009)", "previouslyFormattedCitation" : "(Marples, 2006; Kalandadze and Orenstein, 2009)" }, "properties" : { "noteIndex" : 0 }, "schema" : "https://github.com/citation-style-language/schema/raw/master/csl-citation.json" }</w:instrText>
      </w:r>
      <w:r w:rsidR="007A5E54">
        <w:fldChar w:fldCharType="separate"/>
      </w:r>
      <w:r w:rsidR="00E63CC6" w:rsidRPr="00E63CC6">
        <w:rPr>
          <w:noProof/>
        </w:rPr>
        <w:t>(Marples, 2006; Kalandadze and Orenstein, 2009)</w:t>
      </w:r>
      <w:r w:rsidR="007A5E54">
        <w:fldChar w:fldCharType="end"/>
      </w:r>
      <w:r w:rsidRPr="00930BF5">
        <w:t>.</w:t>
      </w:r>
    </w:p>
    <w:p w14:paraId="4A22E522" w14:textId="39CA46FC" w:rsidR="00CF455B" w:rsidRPr="00930BF5" w:rsidRDefault="00CF455B" w:rsidP="00C62010">
      <w:r w:rsidRPr="00930BF5">
        <w:t>In East Asia the focus has been on whether the emphasis in Confucianism and Buddhism on group interests and submission to authority is incompatible with the individualistic notion of civil rights in liberal democracy.</w:t>
      </w:r>
      <w:r w:rsidR="007A5E54">
        <w:t xml:space="preserve"> For instance, Huntington (1996, p.238) strongly contended</w:t>
      </w:r>
      <w:r w:rsidRPr="00930BF5">
        <w:t xml:space="preserve"> that Confucian values are obstacles to democratization. </w:t>
      </w:r>
      <w:r w:rsidR="00C37B01">
        <w:t>More nuanced analyses (e.g. Sen</w:t>
      </w:r>
      <w:r w:rsidRPr="00930BF5">
        <w:t xml:space="preserve"> 1999) </w:t>
      </w:r>
      <w:r w:rsidR="007A5E54">
        <w:t xml:space="preserve">have suggested </w:t>
      </w:r>
      <w:r w:rsidRPr="00930BF5">
        <w:t xml:space="preserve">that this obstacle occurs when these belief systems are co-opted to meet the needs of the state, as is argued by McCargo </w:t>
      </w:r>
      <w:r w:rsidR="007A5E54">
        <w:fldChar w:fldCharType="begin" w:fldLock="1"/>
      </w:r>
      <w:r w:rsidR="00E63CC6">
        <w:instrText>ADDIN CSL_CITATION { "citationItems" : [ { "id" : "ITEM-1", "itemData" : { "DOI" : "10.1080/1351034042000234576", "ISSN" : "1351-0347", "abstract" : "Buddhism in Thailand has been characterized as a ?revolutionary? force, since rationalist Buddhist teachings offer considerable support for progressive and democratic political ideas. The reality, however, is that Thai Buddhism has been captured by the state, and its latent radicalism neutralized. The symbiotic relationship between the state and sangha has effectively limited Buddhism to the role of legitimating state power, and the universalistic teachings of Buddhism have been subordinated to nationalist ideology. While there is some interest in progressive ideas, overall numbers of monks are falling, and commercialized folk Buddhism has gained the upper hand. Monastic sexual and financial misdeeds are widespread. Thai Buddhism is also highly intolerant of those who deviate from mainstream teachings, making a mockery of ideas of freedom of religion. The Thai state strongly supports a conservative, orthodox and authoritarian mode of Buddhism. Insofar as Thailand has experienced processes of democratic transition and consolidation in recent decades, it has been in spite of the role of Buddhism.\nBuddhism in Thailand has been characterized as a ?revolutionary? force, since rationalist Buddhist teachings offer considerable support for progressive and democratic political ideas. The reality, however, is that Thai Buddhism has been captured by the state, and its latent radicalism neutralized. The symbiotic relationship between the state and sangha has effectively limited Buddhism to the role of legitimating state power, and the universalistic teachings of Buddhism have been subordinated to nationalist ideology. While there is some interest in progressive ideas, overall numbers of monks are falling, and commercialized folk Buddhism has gained the upper hand. Monastic sexual and financial misdeeds are widespread. Thai Buddhism is also highly intolerant of those who deviate from mainstream teachings, making a mockery of ideas of freedom of religion. The Thai state strongly supports a conservative, orthodox and authoritarian mode of Buddhism. Insofar as Thailand has experienced processes of democratic transition and consolidation in recent decades, it has been in spite of the role of Buddhism.", "author" : [ { "dropping-particle" : "", "family" : "McCargo", "given" : "Duncan", "non-dropping-particle" : "", "parse-names" : false, "suffix" : "" } ], "container-title" : "Democratization", "id" : "ITEM-1", "issue" : "4", "issued" : { "date-parts" : [ [ "2004", "8" ] ] }, "page" : "155-170", "publisher" : "Routledge", "title" : "Buddhism, democracy and identity in Thailand", "type" : "article-journal", "volume" : "11" }, "uris" : [ "http://www.mendeley.com/documents/?uuid=6f815802-4827-4bdc-872b-58ebe4542f9f" ] } ], "mendeley" : { "formattedCitation" : "(McCargo, 2004)", "manualFormatting" : "(2004)", "plainTextFormattedCitation" : "(McCargo, 2004)", "previouslyFormattedCitation" : "(McCargo, 2004)" }, "properties" : { "noteIndex" : 0 }, "schema" : "https://github.com/citation-style-language/schema/raw/master/csl-citation.json" }</w:instrText>
      </w:r>
      <w:r w:rsidR="007A5E54">
        <w:fldChar w:fldCharType="separate"/>
      </w:r>
      <w:r w:rsidR="007A5E54" w:rsidRPr="007A5E54">
        <w:rPr>
          <w:noProof/>
        </w:rPr>
        <w:t>(</w:t>
      </w:r>
      <w:r w:rsidR="007A5E54">
        <w:rPr>
          <w:noProof/>
        </w:rPr>
        <w:t>2004</w:t>
      </w:r>
      <w:r w:rsidR="007A5E54" w:rsidRPr="007A5E54">
        <w:rPr>
          <w:noProof/>
        </w:rPr>
        <w:t>)</w:t>
      </w:r>
      <w:r w:rsidR="007A5E54">
        <w:fldChar w:fldCharType="end"/>
      </w:r>
      <w:r w:rsidRPr="00930BF5">
        <w:t xml:space="preserve"> in the context of Buddhism in Thailand and by Chaibong</w:t>
      </w:r>
      <w:r w:rsidR="007A5E54">
        <w:t xml:space="preserve"> </w:t>
      </w:r>
      <w:r w:rsidR="007A5E54">
        <w:fldChar w:fldCharType="begin" w:fldLock="1"/>
      </w:r>
      <w:r w:rsidR="00E63CC6">
        <w:instrText>ADDIN CSL_CITATION { "citationItems" : [ { "id" : "ITEM-1", "itemData" : { "DOI" : "10.1353/jod.2004.0046", "author" : [ { "dropping-particle" : "", "family" : "Chaibong", "given" : "Hahm", "non-dropping-particle" : "", "parse-names" : false, "suffix" : "" } ], "container-title" : "Journal of Democracy", "id" : "ITEM-1", "issue" : "3", "issued" : { "date-parts" : [ [ "2004" ] ] }, "page" : "93-107", "title" : "The Ironies of Confucianism", "type" : "article-journal", "volume" : "15" }, "uris" : [ "http://www.mendeley.com/documents/?uuid=4efcdb5e-fccf-4462-9751-1ddb08fdbe57" ] } ], "mendeley" : { "formattedCitation" : "(Chaibong, 2004)", "manualFormatting" : "(2004)", "plainTextFormattedCitation" : "(Chaibong, 2004)", "previouslyFormattedCitation" : "(Chaibong, 2004)" }, "properties" : { "noteIndex" : 0 }, "schema" : "https://github.com/citation-style-language/schema/raw/master/csl-citation.json" }</w:instrText>
      </w:r>
      <w:r w:rsidR="007A5E54">
        <w:fldChar w:fldCharType="separate"/>
      </w:r>
      <w:r w:rsidR="007A5E54" w:rsidRPr="007A5E54">
        <w:rPr>
          <w:noProof/>
        </w:rPr>
        <w:t>(2004)</w:t>
      </w:r>
      <w:r w:rsidR="007A5E54">
        <w:fldChar w:fldCharType="end"/>
      </w:r>
      <w:r w:rsidR="007A5E54">
        <w:t xml:space="preserve"> </w:t>
      </w:r>
      <w:r w:rsidRPr="00930BF5">
        <w:t xml:space="preserve">regarding Confucianism in China and Singapore. Yet overall, </w:t>
      </w:r>
      <w:r w:rsidR="007A5E54">
        <w:t xml:space="preserve">the conclusion of </w:t>
      </w:r>
      <w:r w:rsidR="007A5E54">
        <w:fldChar w:fldCharType="begin" w:fldLock="1"/>
      </w:r>
      <w:r w:rsidR="00E63CC6">
        <w:instrText>ADDIN CSL_CITATION { "citationItems" : [ { "id" : "ITEM-1", "itemData" : { "DOI" : "10.1353/jod.2007.0043", "ISSN" : "1086-3214", "author" : [ { "dropping-particle" : "", "family" : "Chang", "given" : "Yu-tzung.", "non-dropping-particle" : "", "parse-names" : false, "suffix" : "" }, { "dropping-particle" : "", "family" : "Zhu", "given" : "Yunhan.", "non-dropping-particle" : "", "parse-names" : false, "suffix" : "" }, { "dropping-particle" : "", "family" : "Pak", "given" : "Chong-min", "non-dropping-particle" : "", "parse-names" : false, "suffix" : "" } ], "container-title" : "Journal of Democracy", "id" : "ITEM-1", "issue" : "3", "issued" : { "date-parts" : [ [ "2007" ] ] }, "page" : "66-80", "title" : "Authoritarian nostalgia in Asia", "type" : "article-journal", "volume" : "18" }, "uris" : [ "http://www.mendeley.com/documents/?uuid=09581a2b-fd69-49ed-973f-9cf01958a8bf" ] } ], "mendeley" : { "formattedCitation" : "(Chang, Zhu and Pak, 2007)", "manualFormatting" : "Chang et al. (2007)", "plainTextFormattedCitation" : "(Chang, Zhu and Pak, 2007)", "previouslyFormattedCitation" : "(Chang, Zhu and Pak, 2007)" }, "properties" : { "noteIndex" : 0 }, "schema" : "https://github.com/citation-style-language/schema/raw/master/csl-citation.json" }</w:instrText>
      </w:r>
      <w:r w:rsidR="007A5E54">
        <w:fldChar w:fldCharType="separate"/>
      </w:r>
      <w:r w:rsidR="007A5E54" w:rsidRPr="007A5E54">
        <w:rPr>
          <w:noProof/>
        </w:rPr>
        <w:t xml:space="preserve">Chang </w:t>
      </w:r>
      <w:r w:rsidR="00803848">
        <w:rPr>
          <w:i/>
          <w:noProof/>
        </w:rPr>
        <w:t>et al</w:t>
      </w:r>
      <w:r w:rsidR="007A5E54" w:rsidRPr="007A5E54">
        <w:rPr>
          <w:i/>
          <w:noProof/>
        </w:rPr>
        <w:t>.</w:t>
      </w:r>
      <w:r w:rsidR="007A5E54" w:rsidRPr="007A5E54">
        <w:rPr>
          <w:noProof/>
        </w:rPr>
        <w:t xml:space="preserve"> </w:t>
      </w:r>
      <w:r w:rsidR="007A5E54">
        <w:rPr>
          <w:noProof/>
        </w:rPr>
        <w:t>(</w:t>
      </w:r>
      <w:r w:rsidR="007A5E54" w:rsidRPr="007A5E54">
        <w:rPr>
          <w:noProof/>
        </w:rPr>
        <w:t>2007)</w:t>
      </w:r>
      <w:r w:rsidR="007A5E54">
        <w:fldChar w:fldCharType="end"/>
      </w:r>
      <w:r w:rsidR="007A5E54">
        <w:t xml:space="preserve"> is that</w:t>
      </w:r>
      <w:r w:rsidRPr="00930BF5">
        <w:t xml:space="preserve"> an ‘a</w:t>
      </w:r>
      <w:r w:rsidR="007A5E54">
        <w:t>uthoritarian nostalgia’ exists</w:t>
      </w:r>
      <w:r w:rsidRPr="00930BF5">
        <w:t xml:space="preserve"> in the region, as young a</w:t>
      </w:r>
      <w:r w:rsidR="007A5E54">
        <w:t>nd fragile democracies struggles</w:t>
      </w:r>
      <w:r w:rsidRPr="00930BF5">
        <w:t xml:space="preserve"> to live up to the </w:t>
      </w:r>
      <w:r w:rsidR="009A3027">
        <w:t xml:space="preserve">economic </w:t>
      </w:r>
      <w:r w:rsidRPr="00930BF5">
        <w:t xml:space="preserve">boom before the 1997 Asian Financial Crisis, or simply appear economically sluggish compared to authoritarian China. Substantive examinations of what democracy means to citizens in East Asia are also limited, but Chang </w:t>
      </w:r>
      <w:r w:rsidR="00803848">
        <w:rPr>
          <w:i/>
        </w:rPr>
        <w:t>et al</w:t>
      </w:r>
      <w:r w:rsidR="007A5E54">
        <w:t>. (2007, p.75</w:t>
      </w:r>
      <w:r w:rsidRPr="00930BF5">
        <w:t>) argue that “across East Asia the acquisition of liberal-democratic values has been slow and uneven”.</w:t>
      </w:r>
    </w:p>
    <w:p w14:paraId="37BD3819" w14:textId="4B99F8B2" w:rsidR="00CF455B" w:rsidRPr="00930BF5" w:rsidRDefault="00CF455B" w:rsidP="00C62010">
      <w:r w:rsidRPr="00930BF5">
        <w:t>In contrast, Welzel</w:t>
      </w:r>
      <w:r w:rsidR="007A5E54">
        <w:t xml:space="preserve"> </w:t>
      </w:r>
      <w:r w:rsidR="007A5E54">
        <w:fldChar w:fldCharType="begin" w:fldLock="1"/>
      </w:r>
      <w:r w:rsidR="00E63CC6">
        <w:instrText>ADDIN CSL_CITATION { "citationItems" : [ { "id" : "ITEM-1", "itemData" : { "DOI" : "10.1017/S1468109910000277", "ISSN" : "1468-1099", "author" : [ { "dropping-particle" : "", "family" : "Welzel", "given" : "Christian", "non-dropping-particle" : "", "parse-names" : false, "suffix" : "" } ], "container-title" : "Japanese Journal of Political Science", "id" : "ITEM-1", "issue" : "1", "issued" : { "date-parts" : [ [ "2011" ] ] }, "page" : "1-31", "title" : "The Asian Values Thesis Revisited: Evidence from the World Values Surveys", "type" : "article-journal", "volume" : "12" }, "uris" : [ "http://www.mendeley.com/documents/?uuid=9ea3abe0-b679-4fce-afb2-1b9531e144c5" ] } ], "mendeley" : { "formattedCitation" : "(Welzel, 2011)", "manualFormatting" : "(2011)", "plainTextFormattedCitation" : "(Welzel, 2011)", "previouslyFormattedCitation" : "(Welzel, 2011)" }, "properties" : { "noteIndex" : 0 }, "schema" : "https://github.com/citation-style-language/schema/raw/master/csl-citation.json" }</w:instrText>
      </w:r>
      <w:r w:rsidR="007A5E54">
        <w:fldChar w:fldCharType="separate"/>
      </w:r>
      <w:r w:rsidR="007A5E54" w:rsidRPr="007A5E54">
        <w:rPr>
          <w:noProof/>
        </w:rPr>
        <w:t>(2011)</w:t>
      </w:r>
      <w:r w:rsidR="007A5E54">
        <w:fldChar w:fldCharType="end"/>
      </w:r>
      <w:r w:rsidR="007A5E54">
        <w:t xml:space="preserve"> used</w:t>
      </w:r>
      <w:r w:rsidRPr="00930BF5">
        <w:t xml:space="preserve"> the ten WVS 2005-2008 questions on democratic characteristics (</w:t>
      </w:r>
      <w:r w:rsidR="007A5E54">
        <w:t>the same data as outlined in Figure 2.3</w:t>
      </w:r>
      <w:r w:rsidRPr="00930BF5">
        <w:t>) to argue that the differences between Asian and Western populations over liberal democracy appear to be gradual and not categ</w:t>
      </w:r>
      <w:r w:rsidR="007A5E54">
        <w:t>orical. Over time, Welzel argued</w:t>
      </w:r>
      <w:r w:rsidRPr="00930BF5">
        <w:t>, modernization will see East Asian values and understandings of democracy catch up with the West.</w:t>
      </w:r>
    </w:p>
    <w:p w14:paraId="711DDC63" w14:textId="77777777" w:rsidR="00CF455B" w:rsidRPr="00930BF5" w:rsidRDefault="00CF455B" w:rsidP="00C62010">
      <w:r w:rsidRPr="00930BF5">
        <w:t>It is in the region of Latin America that most progress has been made in studying citizen understandings of democracy. Two regional studies are discussed here before moving onto two national studies in Mexico and Chile in the following section.</w:t>
      </w:r>
    </w:p>
    <w:p w14:paraId="219CC2D8" w14:textId="3BED0FA9" w:rsidR="00CF455B" w:rsidRPr="00930BF5" w:rsidRDefault="00CF455B" w:rsidP="00C62010">
      <w:r w:rsidRPr="00930BF5">
        <w:t xml:space="preserve">Using cluster analysis of results from the AmericasBarometer 2006-2007 across 12 countries, </w:t>
      </w:r>
      <w:r w:rsidR="007A5E54">
        <w:fldChar w:fldCharType="begin" w:fldLock="1"/>
      </w:r>
      <w:r w:rsidR="00E63CC6">
        <w:instrText>ADDIN CSL_CITATION { "citationItems" : [ { "id" : "ITEM-1", "itemData" : { "DOI" : "10.1177/0010414011407471", "abstract" : "This study measures support for the basic rights, liberties, and practices associated with polyarchy in 12 Latin American democracies. Specifically, it identifies five profiles of support for polyarchy's core values and norms\u2014public contestation, inclusive participation, limits on executive authority, and institutional checks and balances. Although citizens who fit the polyarch profile accept all of polyarchy's principles, those who fit one of the four mixed support profiles (power constrainer, power checker, power delegator, power restrainer) accept only some of them while rejecting other core democratic principles. Long-run factors emphasized by modernization and cultural theories (e.g., education, wealth, political engagement) are closely associated with the polyarch support profile. However, short-range performance factors (e.g., economic perceptions; crime, discrimination, and corruption victimization; voting for losing presidential candidates; presidential approval) may better explain why citizens fit one particular mixed profile over another and particularly explain willingness to delegate authority to the executive at the expense of other institutions.", "author" : [ { "dropping-particle" : "", "family" : "Carlin", "given" : "Ryan E", "non-dropping-particle" : "", "parse-names" : false, "suffix" : "" }, { "dropping-particle" : "", "family" : "Singer", "given" : "Matthew M", "non-dropping-particle" : "", "parse-names" : false, "suffix" : "" } ], "container-title" : "Comparative Political Studies", "id" : "ITEM-1", "issue" : "11", "issued" : { "date-parts" : [ [ "2011", "11" ] ] }, "page" : "1500-1526", "title" : "Support for Polyarchy in the Americas", "type" : "article-journal", "volume" : "44" }, "uris" : [ "http://www.mendeley.com/documents/?uuid=da44eb84-69b4-4010-89b2-cb48291e6be3" ] } ], "mendeley" : { "formattedCitation" : "(Carlin and Singer, 2011)", "manualFormatting" : "Carlin &amp; Singer (2011)", "plainTextFormattedCitation" : "(Carlin and Singer, 2011)", "previouslyFormattedCitation" : "(Carlin and Singer, 2011)" }, "properties" : { "noteIndex" : 0 }, "schema" : "https://github.com/citation-style-language/schema/raw/master/csl-citation.json" }</w:instrText>
      </w:r>
      <w:r w:rsidR="007A5E54">
        <w:fldChar w:fldCharType="separate"/>
      </w:r>
      <w:r w:rsidR="007A5E54" w:rsidRPr="007A5E54">
        <w:rPr>
          <w:noProof/>
        </w:rPr>
        <w:t xml:space="preserve">Carlin &amp; Singer </w:t>
      </w:r>
      <w:r w:rsidR="007A5E54">
        <w:rPr>
          <w:noProof/>
        </w:rPr>
        <w:t>(</w:t>
      </w:r>
      <w:r w:rsidR="007A5E54" w:rsidRPr="007A5E54">
        <w:rPr>
          <w:noProof/>
        </w:rPr>
        <w:t>2011)</w:t>
      </w:r>
      <w:r w:rsidR="007A5E54">
        <w:fldChar w:fldCharType="end"/>
      </w:r>
      <w:r w:rsidRPr="00930BF5">
        <w:t xml:space="preserve"> examined </w:t>
      </w:r>
      <w:r w:rsidR="006F5DB5">
        <w:t>whether</w:t>
      </w:r>
      <w:r w:rsidR="006F5DB5" w:rsidRPr="00930BF5">
        <w:t xml:space="preserve"> </w:t>
      </w:r>
      <w:r w:rsidRPr="00930BF5">
        <w:t>respondents’ understanding of democracy matched the criteria set out in Da</w:t>
      </w:r>
      <w:r w:rsidR="007A5E54">
        <w:t>hl’s concept of polyarchy (see Section 2.</w:t>
      </w:r>
      <w:r w:rsidRPr="00930BF5">
        <w:t xml:space="preserve">2). The cluster analysis produced five profiles of understanding. Full ‘polyarchs’ were liberal on all variables entered into the analysis, but made up the second-smallest group, with 17.9% of all respondents. In comparison, every other group was, at the very least, ambivalent towards the idea that everyone should be able to participate in the democratic process. The biggest cluster, ‘power refrainers’ (24% of the sample), were actually illiberal towards institutions and procedures: </w:t>
      </w:r>
      <w:r w:rsidR="00FF0D1A">
        <w:t>answers</w:t>
      </w:r>
      <w:r w:rsidR="00FF0D1A" w:rsidRPr="00930BF5">
        <w:t xml:space="preserve"> </w:t>
      </w:r>
      <w:r w:rsidRPr="00930BF5">
        <w:t>on this concept tapped into whether it would ever be acceptable to suspend the legislative body or Supr</w:t>
      </w:r>
      <w:r w:rsidR="007A5E54">
        <w:t>eme Court (Carlin &amp; Singer 2011, p.</w:t>
      </w:r>
      <w:r w:rsidRPr="00930BF5">
        <w:t xml:space="preserve">1506). </w:t>
      </w:r>
    </w:p>
    <w:p w14:paraId="15EB9C22" w14:textId="20B4A25A" w:rsidR="00CF455B" w:rsidRPr="00930BF5" w:rsidRDefault="00CF455B" w:rsidP="00C62010">
      <w:r w:rsidRPr="00930BF5">
        <w:t xml:space="preserve">When studying Latin Americans’ open-ended definitions of democracy, </w:t>
      </w:r>
      <w:r w:rsidR="007A5E54">
        <w:fldChar w:fldCharType="begin" w:fldLock="1"/>
      </w:r>
      <w:r w:rsidR="00E63CC6">
        <w:instrText>ADDIN CSL_CITATION { "citationItems" : [ { "id" : "ITEM-1", "itemData" : { "DOI" : "10.1111/j.1548-2456.2012.00166.x", "ISSN" : "1531426X", "author" : [ { "dropping-particle" : "", "family" : "Canache", "given" : "Damarys", "non-dropping-particle" : "", "parse-names" : false, "suffix" : "" } ], "container-title" : "Latin American Politics and Society", "id" : "ITEM-1", "issue" : "3", "issued" : { "date-parts" : [ [ "2012", "9", "11" ] ] }, "page" : "95-122", "title" : "The Meanings of Democracy in Venezuela: Citizen Perceptions and Structural Change", "type" : "article-journal", "volume" : "54" }, "uris" : [ "http://www.mendeley.com/documents/?uuid=c4b55165-36a1-4199-b7b8-9bf153610793" ] } ], "mendeley" : { "formattedCitation" : "(Damarys Canache, 2012)", "manualFormatting" : "Canache (2012, p.1144)", "plainTextFormattedCitation" : "(Damarys Canache, 2012)", "previouslyFormattedCitation" : "(Damarys Canache, 2012)" }, "properties" : { "noteIndex" : 0 }, "schema" : "https://github.com/citation-style-language/schema/raw/master/csl-citation.json" }</w:instrText>
      </w:r>
      <w:r w:rsidR="007A5E54">
        <w:fldChar w:fldCharType="separate"/>
      </w:r>
      <w:r w:rsidR="007A5E54" w:rsidRPr="007A5E54">
        <w:rPr>
          <w:noProof/>
        </w:rPr>
        <w:t xml:space="preserve">Canache </w:t>
      </w:r>
      <w:r w:rsidR="007A5E54">
        <w:rPr>
          <w:noProof/>
        </w:rPr>
        <w:t>(</w:t>
      </w:r>
      <w:r w:rsidR="007A5E54" w:rsidRPr="007A5E54">
        <w:rPr>
          <w:noProof/>
        </w:rPr>
        <w:t>2012</w:t>
      </w:r>
      <w:r w:rsidR="007A5E54">
        <w:rPr>
          <w:noProof/>
        </w:rPr>
        <w:t>, p.1144</w:t>
      </w:r>
      <w:r w:rsidR="007A5E54" w:rsidRPr="007A5E54">
        <w:rPr>
          <w:noProof/>
        </w:rPr>
        <w:t>)</w:t>
      </w:r>
      <w:r w:rsidR="007A5E54">
        <w:fldChar w:fldCharType="end"/>
      </w:r>
      <w:r w:rsidRPr="00930BF5">
        <w:t xml:space="preserve"> noted there is “significant variation in the ability of citizens to define democracy across and within nations”. In terms of just providing </w:t>
      </w:r>
      <w:r w:rsidRPr="00930BF5">
        <w:rPr>
          <w:i/>
        </w:rPr>
        <w:t>any</w:t>
      </w:r>
      <w:r w:rsidRPr="00930BF5">
        <w:t xml:space="preserve"> kind of definition for democracy, the results ranged from 90% of people answering in Uruguay versus onl</w:t>
      </w:r>
      <w:r w:rsidR="007A5E54">
        <w:t>y 54% in Paraguay (</w:t>
      </w:r>
      <w:r w:rsidR="00C37B01" w:rsidRPr="00170FB9">
        <w:t>ibid</w:t>
      </w:r>
      <w:r w:rsidR="007A5E54">
        <w:t>, pp.</w:t>
      </w:r>
      <w:r w:rsidRPr="00930BF5">
        <w:t>1139-1140). The study further assessed the substantive content and complexity of answers provided. Those providing liberal definitions also varied considerably, from 79% in Venezuela to 30% in Colombia. When examining the impact these understandings had on political behaviour, Canache (</w:t>
      </w:r>
      <w:r w:rsidR="007A5E54" w:rsidRPr="00170FB9">
        <w:t>ibid</w:t>
      </w:r>
      <w:r w:rsidR="007A5E54">
        <w:rPr>
          <w:i/>
        </w:rPr>
        <w:t xml:space="preserve">, </w:t>
      </w:r>
      <w:r w:rsidR="007A5E54">
        <w:t>p.</w:t>
      </w:r>
      <w:r w:rsidRPr="00930BF5">
        <w:t xml:space="preserve">1145) notes that “when the content of democratic </w:t>
      </w:r>
      <w:r w:rsidR="001E3FD2">
        <w:t>conceptualis</w:t>
      </w:r>
      <w:r w:rsidRPr="00930BF5">
        <w:t>ations veers away from liberty, the general tendency is for democratic support to decline.”</w:t>
      </w:r>
    </w:p>
    <w:p w14:paraId="0AD178A8" w14:textId="762BAA91" w:rsidR="00CF455B" w:rsidRPr="00930BF5" w:rsidRDefault="00CF455B" w:rsidP="00C62010">
      <w:r w:rsidRPr="00930BF5">
        <w:t xml:space="preserve">These cautious </w:t>
      </w:r>
      <w:r w:rsidR="00C62010">
        <w:t>conclusions</w:t>
      </w:r>
      <w:r w:rsidRPr="00930BF5">
        <w:t xml:space="preserve"> are reiterated at the national</w:t>
      </w:r>
      <w:r w:rsidR="00FF0D1A">
        <w:t xml:space="preserve"> </w:t>
      </w:r>
      <w:r w:rsidRPr="00930BF5">
        <w:t>level.</w:t>
      </w:r>
    </w:p>
    <w:p w14:paraId="210E7044" w14:textId="77777777" w:rsidR="00CF455B" w:rsidRPr="00E223A2" w:rsidRDefault="00CF455B" w:rsidP="00E223A2">
      <w:pPr>
        <w:pStyle w:val="Heading3"/>
      </w:pPr>
      <w:bookmarkStart w:id="109" w:name="_Toc379811756"/>
      <w:bookmarkStart w:id="110" w:name="_Toc441069179"/>
      <w:r w:rsidRPr="00E223A2">
        <w:t>National-Level Studies</w:t>
      </w:r>
      <w:bookmarkEnd w:id="109"/>
      <w:bookmarkEnd w:id="110"/>
    </w:p>
    <w:p w14:paraId="41F5B320" w14:textId="01503FBF" w:rsidR="00CF455B" w:rsidRPr="00930BF5" w:rsidRDefault="00CF455B" w:rsidP="00C62010">
      <w:r w:rsidRPr="00930BF5">
        <w:t>Using survey data from Mexico, Schedler and Sarsfield (2007) examine whether illiberal values were demonstrated by those who supported democracy.</w:t>
      </w:r>
      <w:r w:rsidRPr="00AD1B56">
        <w:rPr>
          <w:rStyle w:val="FootnoteReference"/>
        </w:rPr>
        <w:footnoteReference w:id="5"/>
      </w:r>
      <w:r w:rsidRPr="00930BF5">
        <w:t xml:space="preserve"> Their study </w:t>
      </w:r>
      <w:r w:rsidR="00FF0D1A">
        <w:t>sought to</w:t>
      </w:r>
      <w:r w:rsidRPr="00930BF5">
        <w:t xml:space="preserve"> classify ‘</w:t>
      </w:r>
      <w:r w:rsidRPr="00E328D4">
        <w:t>democrats</w:t>
      </w:r>
      <w:r w:rsidRPr="00930BF5">
        <w:t xml:space="preserve"> with adjectives’, moving past a one-dimensional approach to democratic support, and trying to uncover a multi-dimensional or ‘polysemic’ understanding of democracy. Cluster analysis was used to classify five different types of democrat, along with one group of ambivalent non-democrats. Almost 75% of the population were classed as theoretically supporting democracy over dictatorship. Yet strikingly this support was often combined with support for severe limitations on the extension of liberal values, such as the exclusion of homosexual or indigenous people from politics, or disallowing the freedom of express</w:t>
      </w:r>
      <w:r w:rsidR="007A5E54">
        <w:t>ion (Schedler &amp; Sarsfield 2007, p.</w:t>
      </w:r>
      <w:r w:rsidRPr="00930BF5">
        <w:t>651). Those classed as fully ‘liberal democrat’ made up only 13.6% of the population and were the second-smallest group of respondents.</w:t>
      </w:r>
      <w:r>
        <w:t xml:space="preserve"> Other groups deemed it acceptable to restrict certain indigenous groups </w:t>
      </w:r>
      <w:r w:rsidR="0070501E">
        <w:t>from</w:t>
      </w:r>
      <w:r>
        <w:t xml:space="preserve"> the democratic process (exclusionary democrats, 12.4%) whilst larger groups were homophobic when it came to homosexuals being allowed to participate in politics (28.2%) or paternalist (18.8%) in that they scored very low on freedom of organisation.</w:t>
      </w:r>
    </w:p>
    <w:p w14:paraId="09E5A4FA" w14:textId="11CF874A" w:rsidR="00CF455B" w:rsidRPr="00930BF5" w:rsidRDefault="00CF455B" w:rsidP="00C62010">
      <w:r w:rsidRPr="00930BF5">
        <w:t>In the same</w:t>
      </w:r>
      <w:r w:rsidR="00B6410D">
        <w:t xml:space="preserve"> vein, a study in Chile </w:t>
      </w:r>
      <w:r w:rsidR="00B6410D">
        <w:fldChar w:fldCharType="begin" w:fldLock="1"/>
      </w:r>
      <w:r w:rsidR="00E63CC6">
        <w:instrText>ADDIN CSL_CITATION { "citationItems" : [ { "id" : "ITEM-1", "itemData" : { "DOI" : "10.1177/1065912910370692", "ISSN" : "1065-9129", "author" : [ { "dropping-particle" : "", "family" : "Carlin", "given" : "R. E.", "non-dropping-particle" : "", "parse-names" : false, "suffix" : "" } ], "container-title" : "Political Research Quarterly", "id" : "ITEM-1", "issue" : "3", "issued" : { "date-parts" : [ [ "2011", "8", "25" ] ] }, "page" : "668-687", "title" : "Distrusting Democrats and Political Participation in New Democracies: Lessons from Chile", "type" : "article-journal", "volume" : "64" }, "uris" : [ "http://www.mendeley.com/documents/?uuid=bac16b50-4029-4495-b219-02db19ce3a95" ] } ], "mendeley" : { "formattedCitation" : "(Carlin, 2011)", "plainTextFormattedCitation" : "(Carlin, 2011)", "previouslyFormattedCitation" : "(Carlin, 2011)" }, "properties" : { "noteIndex" : 0 }, "schema" : "https://github.com/citation-style-language/schema/raw/master/csl-citation.json" }</w:instrText>
      </w:r>
      <w:r w:rsidR="00B6410D">
        <w:fldChar w:fldCharType="separate"/>
      </w:r>
      <w:r w:rsidR="00E63CC6" w:rsidRPr="00E63CC6">
        <w:rPr>
          <w:noProof/>
        </w:rPr>
        <w:t>(Carlin, 2011)</w:t>
      </w:r>
      <w:r w:rsidR="00B6410D">
        <w:fldChar w:fldCharType="end"/>
      </w:r>
      <w:r w:rsidRPr="00930BF5">
        <w:t xml:space="preserve"> also used cluster analysis and reported similar findings; one fifth of those supporting democracy actually had autocratic values, and a further fifth were illiberal. Those considered fully supportive of liberal democratic values made up the smallest group of just 16.5% of respondents. </w:t>
      </w:r>
    </w:p>
    <w:p w14:paraId="49F6AFD6" w14:textId="2B2BAE98" w:rsidR="00CF455B" w:rsidRDefault="00CF455B" w:rsidP="00C62010">
      <w:r w:rsidRPr="00930BF5">
        <w:t xml:space="preserve">Carnaghan </w:t>
      </w:r>
      <w:r w:rsidR="00B6410D">
        <w:fldChar w:fldCharType="begin" w:fldLock="1"/>
      </w:r>
      <w:r w:rsidR="00E63CC6">
        <w:instrText>ADDIN CSL_CITATION { "citationItems" : [ { "id" : "ITEM-1", "itemData" : { "DOI" : "10.1080/13510347.2011.563113", "ISSN" : "1351-0347", "abstract" : "Measuring support for democracy in societies where democratic institutions do not exist or do not function well is a challenge faced by many researchers around the world. In societies moving either toward or away from democracy, the very meaning of \u2018democracy\u2019 is often in question and institutions and practices that go by the label of \u2018democratic\u2019 may vary widely from accepted norms. As a result, respondents are likely to interpret survey questions on democratic concepts in unpredictable ways. This article examines some of the ways respondents in non-democratic or imperfectly democratic countries may misinterpret the meaning of survey questions and consequently how their answers may mislead researchers. Previous research has focused on problems with abstract concepts like \u2018democracy\u2019. Evidence presented here \u2013 from interviews with Russians \u2013 shows that the problem is broader and covers more kinds of questions than previously thought. A strong potential for miscommunication also exists with more concrete questions about institutions and values, forced choices that encourage respondents to change the meaning of questions, and questions about trust in institutions.", "author" : [ { "dropping-particle" : "", "family" : "Carnaghan", "given" : "Ellen", "non-dropping-particle" : "", "parse-names" : false, "suffix" : "" } ], "container-title" : "Democratization", "id" : "ITEM-1", "issue" : "3", "issued" : { "date-parts" : [ [ "2011" ] ] }, "page" : "682-706", "title" : "The difficulty of measuring support for democracy in a changing society: evidence from Russia", "type" : "article-journal", "volume" : "18" }, "uris" : [ "http://www.mendeley.com/documents/?uuid=a2617336-dfba-4a10-ba8f-8a52d212e595" ] } ], "mendeley" : { "formattedCitation" : "(Carnaghan, 2011)", "plainTextFormattedCitation" : "(Carnaghan, 2011)", "previouslyFormattedCitation" : "(Carnaghan, 2011)" }, "properties" : { "noteIndex" : 0 }, "schema" : "https://github.com/citation-style-language/schema/raw/master/csl-citation.json" }</w:instrText>
      </w:r>
      <w:r w:rsidR="00B6410D">
        <w:fldChar w:fldCharType="separate"/>
      </w:r>
      <w:r w:rsidR="00E63CC6" w:rsidRPr="00E63CC6">
        <w:rPr>
          <w:noProof/>
        </w:rPr>
        <w:t>(Carnaghan, 2011)</w:t>
      </w:r>
      <w:r w:rsidR="00B6410D">
        <w:fldChar w:fldCharType="end"/>
      </w:r>
      <w:r w:rsidRPr="00930BF5">
        <w:t xml:space="preserve"> took a more qualitative approach to examine understandings of democracy in Russia, combining survey and interview answers.  The results from the study show clearly that respondents think in very different ways about the same abstract term, such as “democracy” or “freedom”. </w:t>
      </w:r>
      <w:r w:rsidR="006D0155">
        <w:t xml:space="preserve">For some democracy itself meant freedom, others focused more on it as an absence of corruption. </w:t>
      </w:r>
      <w:r w:rsidR="00B6410D">
        <w:t>As Carnaghan (2011, p.</w:t>
      </w:r>
      <w:r w:rsidR="00FD2121">
        <w:t>685) notes, “</w:t>
      </w:r>
      <w:r w:rsidRPr="00930BF5">
        <w:t>citizens may not be well schooled in th</w:t>
      </w:r>
      <w:r w:rsidR="00FD2121">
        <w:t>e niceties of democratic theory”</w:t>
      </w:r>
      <w:r w:rsidRPr="00930BF5">
        <w:t>. The conclusion of the study is even more cautious th</w:t>
      </w:r>
      <w:r w:rsidR="00FD2121">
        <w:t>an the Latin American results: “</w:t>
      </w:r>
      <w:r w:rsidRPr="00930BF5">
        <w:rPr>
          <w:color w:val="231F20"/>
          <w:lang w:eastAsia="zh-CN"/>
        </w:rPr>
        <w:t xml:space="preserve">not only can we not be sure that respondents mean what </w:t>
      </w:r>
      <w:r w:rsidRPr="00930BF5">
        <w:rPr>
          <w:i/>
          <w:iCs/>
          <w:color w:val="231F20"/>
          <w:lang w:eastAsia="zh-CN"/>
        </w:rPr>
        <w:t>researchers</w:t>
      </w:r>
      <w:r w:rsidRPr="00930BF5">
        <w:rPr>
          <w:color w:val="231F20"/>
          <w:lang w:eastAsia="zh-CN"/>
        </w:rPr>
        <w:t xml:space="preserve"> mean when they talk about democracy, we cannot even be sure that they mean what </w:t>
      </w:r>
      <w:r w:rsidRPr="00930BF5">
        <w:rPr>
          <w:i/>
          <w:iCs/>
          <w:color w:val="231F20"/>
          <w:lang w:eastAsia="zh-CN"/>
        </w:rPr>
        <w:t>they say</w:t>
      </w:r>
      <w:r w:rsidR="00FD2121">
        <w:rPr>
          <w:color w:val="231F20"/>
          <w:lang w:eastAsia="zh-CN"/>
        </w:rPr>
        <w:t xml:space="preserve"> they mean”</w:t>
      </w:r>
      <w:r w:rsidRPr="00930BF5">
        <w:t xml:space="preserve"> </w:t>
      </w:r>
      <w:r w:rsidR="00FF0D1A">
        <w:t>(</w:t>
      </w:r>
      <w:r w:rsidR="00170FB9">
        <w:t>i</w:t>
      </w:r>
      <w:r w:rsidR="00B6410D" w:rsidRPr="00170FB9">
        <w:t>bid</w:t>
      </w:r>
      <w:r w:rsidR="00B6410D">
        <w:t>, pp.</w:t>
      </w:r>
      <w:r w:rsidRPr="00930BF5">
        <w:t>690-692).</w:t>
      </w:r>
    </w:p>
    <w:p w14:paraId="49C5B23B" w14:textId="6987E640" w:rsidR="00D2533E" w:rsidRDefault="00CA7C31" w:rsidP="00C62010">
      <w:r>
        <w:t xml:space="preserve">Finally, a study </w:t>
      </w:r>
      <w:r w:rsidR="004D7D3D">
        <w:t>of</w:t>
      </w:r>
      <w:r>
        <w:t xml:space="preserve"> Fin</w:t>
      </w:r>
      <w:r w:rsidR="004D7D3D">
        <w:t>nish citizens</w:t>
      </w:r>
      <w:r>
        <w:t xml:space="preserve"> explici</w:t>
      </w:r>
      <w:r w:rsidR="004D7D3D">
        <w:t>tly examined</w:t>
      </w:r>
      <w:r>
        <w:t xml:space="preserve"> whether conc</w:t>
      </w:r>
      <w:r w:rsidR="004D7D3D">
        <w:t>eptualisations of democracy had</w:t>
      </w:r>
      <w:r>
        <w:t xml:space="preserve"> an impact on political behaviour </w:t>
      </w:r>
      <w:r>
        <w:fldChar w:fldCharType="begin" w:fldLock="1"/>
      </w:r>
      <w:r w:rsidR="00E63CC6">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"plainTextFormattedCitation" : "(Bengtsson and Christensen, 2014)", "previouslyFormattedCitation" : "(Bengtsson and Christensen, 2014)" }, "properties" : { "noteIndex" : 0 }, "schema" : "https://github.com/citation-style-language/schema/raw/master/csl-citation.json" }</w:instrText>
      </w:r>
      <w:r>
        <w:fldChar w:fldCharType="separate"/>
      </w:r>
      <w:r w:rsidR="00E63CC6" w:rsidRPr="00E63CC6">
        <w:rPr>
          <w:noProof/>
        </w:rPr>
        <w:t>(Bengtsson and Christensen, 2014)</w:t>
      </w:r>
      <w:r>
        <w:fldChar w:fldCharType="end"/>
      </w:r>
      <w:r>
        <w:t xml:space="preserve">. Using </w:t>
      </w:r>
      <w:r w:rsidR="004D7D3D">
        <w:t>survey data, this study outlined</w:t>
      </w:r>
      <w:r>
        <w:t xml:space="preserve"> three different </w:t>
      </w:r>
      <w:r w:rsidR="00FD2121">
        <w:t>understandings</w:t>
      </w:r>
      <w:r>
        <w:t xml:space="preserve"> of democracy: representation elite; expertise technocratic; and, participation pluralistic. The first is focused on a Schumpeterian notion that elected officials make the decisions, and the most important participatory mechanism is voting. The second has emphasis on experts making the decisions, with interest focused much more on the quality of output in the system, and not any participatory processes. And the final one is much more aligned with a deliberative form of democracy with the active involvement of citizens (</w:t>
      </w:r>
      <w:r w:rsidRPr="00FD2121">
        <w:rPr>
          <w:i/>
        </w:rPr>
        <w:t>ibid</w:t>
      </w:r>
      <w:r>
        <w:t>, p.240).</w:t>
      </w:r>
    </w:p>
    <w:p w14:paraId="60B23C9D" w14:textId="70083517" w:rsidR="00D2533E" w:rsidRDefault="004D7D3D" w:rsidP="00C62010">
      <w:r>
        <w:t>The authors found</w:t>
      </w:r>
      <w:r w:rsidR="00D2533E">
        <w:t xml:space="preserve"> evidence to suggest that these different conceptions of democracy have effects on participation – those who conceptualise demo</w:t>
      </w:r>
      <w:r w:rsidR="00FD2121">
        <w:t>cracy as representational elite’ we</w:t>
      </w:r>
      <w:r w:rsidR="00D2533E">
        <w:t>re more likely to vote. The technocrat supporters are less likely to get involved in institutional forms of participation, and the participatory democrats were more likely to be involved. The authors (ibid p.252) do provide a note of caution however, that:</w:t>
      </w:r>
    </w:p>
    <w:p w14:paraId="11A35F3F" w14:textId="4B148839" w:rsidR="00D2533E" w:rsidRDefault="00D2533E" w:rsidP="00D2533E">
      <w:pPr>
        <w:pStyle w:val="Quote"/>
      </w:pPr>
      <w:r w:rsidRPr="00D2533E">
        <w:t>Finland can be considered a ‘most likely case’ for finding the expected patterns. Research from other contexts is therefore necessary to</w:t>
      </w:r>
      <w:r>
        <w:t xml:space="preserve"> establish how well the conclu</w:t>
      </w:r>
      <w:r w:rsidRPr="00D2533E">
        <w:t>sions drawn here apply to other settings.</w:t>
      </w:r>
    </w:p>
    <w:p w14:paraId="5E1A092C" w14:textId="1E0584CA" w:rsidR="00A431CB" w:rsidRDefault="00D2533E" w:rsidP="00A431CB">
      <w:r>
        <w:t>It is, of course, this idea of examining</w:t>
      </w:r>
      <w:r w:rsidR="00175E15">
        <w:t xml:space="preserve"> other contexts that drives the later</w:t>
      </w:r>
      <w:r>
        <w:t xml:space="preserve"> </w:t>
      </w:r>
      <w:r w:rsidR="00175E15">
        <w:t>analytical chapters in this thesis.</w:t>
      </w:r>
      <w:r w:rsidR="00A431CB">
        <w:t xml:space="preserve">  </w:t>
      </w:r>
    </w:p>
    <w:p w14:paraId="17C4743E" w14:textId="77777777" w:rsidR="00CF455B" w:rsidRPr="00577217" w:rsidRDefault="00CF455B" w:rsidP="00577217">
      <w:pPr>
        <w:pStyle w:val="Heading2"/>
      </w:pPr>
      <w:bookmarkStart w:id="111" w:name="_Toc439170202"/>
      <w:bookmarkStart w:id="112" w:name="_Toc441069020"/>
      <w:bookmarkStart w:id="113" w:name="_Toc441069180"/>
      <w:bookmarkStart w:id="114" w:name="_Toc494034213"/>
      <w:r w:rsidRPr="00577217">
        <w:t>2.5 Conclusions and Research Agenda</w:t>
      </w:r>
      <w:bookmarkEnd w:id="111"/>
      <w:bookmarkEnd w:id="112"/>
      <w:bookmarkEnd w:id="113"/>
      <w:bookmarkEnd w:id="114"/>
    </w:p>
    <w:p w14:paraId="66AC3DA5" w14:textId="77777777" w:rsidR="00CF455B" w:rsidRPr="00993D35" w:rsidRDefault="00CF455B" w:rsidP="00C62010">
      <w:r w:rsidRPr="00993D35">
        <w:t>To conclude this literature review and outline a research agenda I will return to a quote which I used to outline the introductory chapter:</w:t>
      </w:r>
    </w:p>
    <w:p w14:paraId="78C5DBF3" w14:textId="184079BE" w:rsidR="00CF455B" w:rsidRPr="00B30671" w:rsidRDefault="00CF455B" w:rsidP="00C62010">
      <w:pPr>
        <w:pStyle w:val="Quote"/>
      </w:pPr>
      <w:r w:rsidRPr="00B30671">
        <w:t xml:space="preserve">“Strikingly, the belief that democracy is (in principle at least) the best system is overwhelming and universal.” </w:t>
      </w:r>
      <w:r w:rsidR="00B3542C">
        <w:rPr>
          <w:i w:val="0"/>
        </w:rPr>
        <w:t>(</w:t>
      </w:r>
      <w:r w:rsidRPr="00C62010">
        <w:rPr>
          <w:i w:val="0"/>
        </w:rPr>
        <w:t>Diamond</w:t>
      </w:r>
      <w:r w:rsidR="00B6410D">
        <w:rPr>
          <w:i w:val="0"/>
        </w:rPr>
        <w:t xml:space="preserve"> 2008, p.</w:t>
      </w:r>
      <w:r w:rsidRPr="00C62010">
        <w:rPr>
          <w:i w:val="0"/>
        </w:rPr>
        <w:t>xi)</w:t>
      </w:r>
    </w:p>
    <w:p w14:paraId="5993E087" w14:textId="77777777" w:rsidR="00CF455B" w:rsidRPr="00993D35" w:rsidRDefault="00CF455B" w:rsidP="00C62010">
      <w:r w:rsidRPr="00993D35">
        <w:t xml:space="preserve">It is the point in brackets which drives this thesis: </w:t>
      </w:r>
      <w:r w:rsidRPr="00993D35">
        <w:rPr>
          <w:i/>
        </w:rPr>
        <w:t>in principle at least</w:t>
      </w:r>
      <w:r w:rsidRPr="00993D35">
        <w:t xml:space="preserve">. The point of this literature review is to build up to the argument that we must know more than this notion of democracy ‘in principle at least’, and we should be examining the substantive idea of democracy as it is understood by the people. </w:t>
      </w:r>
    </w:p>
    <w:p w14:paraId="19198093" w14:textId="1EF941B0" w:rsidR="00CF455B" w:rsidRPr="00993D35" w:rsidRDefault="00CF455B" w:rsidP="00C62010">
      <w:r w:rsidRPr="00993D35">
        <w:t xml:space="preserve">A brief </w:t>
      </w:r>
      <w:r>
        <w:t>historical overview demonstrated</w:t>
      </w:r>
      <w:r w:rsidRPr="00993D35">
        <w:t xml:space="preserve"> that</w:t>
      </w:r>
      <w:r>
        <w:t xml:space="preserve"> whilst</w:t>
      </w:r>
      <w:r w:rsidRPr="00993D35">
        <w:t xml:space="preserve"> the history of democracy is extremely long, it is only in relatively recent times that </w:t>
      </w:r>
      <w:r w:rsidR="00B3542C">
        <w:t>the idea</w:t>
      </w:r>
      <w:r w:rsidR="00B3542C" w:rsidRPr="00993D35">
        <w:t xml:space="preserve"> </w:t>
      </w:r>
      <w:r w:rsidRPr="00993D35">
        <w:t xml:space="preserve">has come to </w:t>
      </w:r>
      <w:r w:rsidR="00B3542C">
        <w:t xml:space="preserve">have the </w:t>
      </w:r>
      <w:r w:rsidRPr="00993D35">
        <w:t xml:space="preserve">global </w:t>
      </w:r>
      <w:r w:rsidR="00B3542C">
        <w:t>reach</w:t>
      </w:r>
      <w:r w:rsidR="00B3542C" w:rsidRPr="00993D35">
        <w:t xml:space="preserve"> </w:t>
      </w:r>
      <w:r w:rsidRPr="00993D35">
        <w:t xml:space="preserve">that </w:t>
      </w:r>
      <w:r w:rsidR="00B3542C">
        <w:t>it has</w:t>
      </w:r>
      <w:r w:rsidRPr="00993D35">
        <w:t xml:space="preserve"> today. </w:t>
      </w:r>
      <w:r>
        <w:t>Although academic literature on the topic draws from across this timespan, especially in terms of theory, the real explosion of analysis of democracy and democracies has been since W</w:t>
      </w:r>
      <w:r w:rsidR="00B3542C">
        <w:t xml:space="preserve">orld </w:t>
      </w:r>
      <w:r>
        <w:t>W</w:t>
      </w:r>
      <w:r w:rsidR="00B3542C">
        <w:t xml:space="preserve">ar </w:t>
      </w:r>
      <w:r>
        <w:t xml:space="preserve">II. </w:t>
      </w:r>
    </w:p>
    <w:p w14:paraId="02663F9A" w14:textId="1FCEE5C1" w:rsidR="00CF455B" w:rsidRPr="00993D35" w:rsidRDefault="00CF455B" w:rsidP="00C62010">
      <w:r w:rsidRPr="00993D35">
        <w:t xml:space="preserve">By discussing </w:t>
      </w:r>
      <w:r>
        <w:t xml:space="preserve">modern </w:t>
      </w:r>
      <w:r w:rsidRPr="00993D35">
        <w:t xml:space="preserve">theoretical developments in </w:t>
      </w:r>
      <w:r w:rsidR="00B3542C">
        <w:t xml:space="preserve">the </w:t>
      </w:r>
      <w:r w:rsidRPr="00993D35">
        <w:t xml:space="preserve">fields of democracy and democratization, I outlined the way that citizens are placed in this field of work. The idea of ‘the people’ is clearly the lynchpin of democracy, but the way their role in the system is conceptualised varies across different approaches. In the ‘thin’ approaches, citizens are seen as </w:t>
      </w:r>
      <w:r w:rsidR="00B3542C">
        <w:t>voting</w:t>
      </w:r>
      <w:r w:rsidRPr="00993D35">
        <w:t xml:space="preserve"> in elections</w:t>
      </w:r>
      <w:r w:rsidR="00B3542C">
        <w:t xml:space="preserve"> to choose between governing elites</w:t>
      </w:r>
      <w:r w:rsidRPr="00993D35">
        <w:t xml:space="preserve"> and little else is needed except some tacit acceptance of the result. This broadens considerably as theories deepen; polyarchy introduces much clearer ideas of participation and varying sites of power in a democratic regime, whereas deliberative democracy fully integrates the citizen back into an almost direct form of active engagement first envisioned in Ancient Greece. </w:t>
      </w:r>
    </w:p>
    <w:p w14:paraId="27A2B344" w14:textId="36FCDEE1" w:rsidR="00CF455B" w:rsidRPr="00993D35" w:rsidRDefault="00CF455B" w:rsidP="00C62010">
      <w:r w:rsidRPr="00993D35">
        <w:t xml:space="preserve">Moving the discussion forward to the </w:t>
      </w:r>
      <w:r>
        <w:t>idea of democratization I suggested</w:t>
      </w:r>
      <w:r w:rsidRPr="00993D35">
        <w:t xml:space="preserve"> that, whilst these varying conceptualisations of ‘the People’ have their own strengths and weaknesses, it must be said that is difficult to envision a democratic regime coming into existence, and surviving, without citizen engagement and knowledge. Both structural and agential explanations of democratization require citizens to be ‘on board’ to allow a democracy to function. Taken together</w:t>
      </w:r>
      <w:r>
        <w:t xml:space="preserve"> this pointed</w:t>
      </w:r>
      <w:r w:rsidRPr="00993D35">
        <w:t xml:space="preserve"> to the importance of a closer examination of citizen support for, and engagement with, a democratic system. </w:t>
      </w:r>
      <w:r w:rsidR="000D2F92">
        <w:t>T</w:t>
      </w:r>
      <w:r w:rsidRPr="00993D35">
        <w:t>hen I move</w:t>
      </w:r>
      <w:r w:rsidR="000D2F92">
        <w:t>d</w:t>
      </w:r>
      <w:r w:rsidRPr="00993D35">
        <w:t xml:space="preserve"> onto discuss the research areas which directly address citizen support and the idea of a civic culture. </w:t>
      </w:r>
    </w:p>
    <w:p w14:paraId="27C3F3A6" w14:textId="161671D9" w:rsidR="00CF455B" w:rsidRDefault="00CF455B" w:rsidP="00C62010">
      <w:r>
        <w:t xml:space="preserve">Drawing predominantly on the seminal studies by Easton and Almond and Verba, and the critical engagement with these studies, the next stage of the literature review outlined how political support is </w:t>
      </w:r>
      <w:r w:rsidR="001E3FD2">
        <w:t>conceptualis</w:t>
      </w:r>
      <w:r>
        <w:t xml:space="preserve">ed, and how it is deemed to develop in a civic culture. The findings of this section led to three interconnected conclusions being drawn: firstly, to effectively support democracy, citizens must be knowledgeable of it; secondly, examinations of citizen support for democracy frequently assumed a shared understanding of democracy amongst the citizenry; thirdly, </w:t>
      </w:r>
      <w:r w:rsidR="00C85619">
        <w:t>this suggests that</w:t>
      </w:r>
      <w:r>
        <w:t xml:space="preserve"> reported levels of support for democracy have a limited theoretical ability to explain political behaviour. </w:t>
      </w:r>
    </w:p>
    <w:p w14:paraId="2366FDC6" w14:textId="3741A304" w:rsidR="00CF455B" w:rsidRDefault="00CF455B" w:rsidP="00C62010">
      <w:r>
        <w:t xml:space="preserve">A literature is now developing to try and address the second and third of these three points, a literature which is small, but growing. In the final part of the </w:t>
      </w:r>
      <w:r w:rsidR="00752C20">
        <w:t xml:space="preserve">chapter </w:t>
      </w:r>
      <w:r>
        <w:t>I looked across this literature, examining it at thr</w:t>
      </w:r>
      <w:r w:rsidR="00FD2121">
        <w:t>ee different levels of analysis:</w:t>
      </w:r>
      <w:r>
        <w:t xml:space="preserve"> global, regional and national. The broad, global level studies have painted generally positive picture of citizen understandings of democracy, albeit with some caveats. However, at the lower levels of analysis the conclusions tend to be far more critical. Generally, they demonstrate a mixed picture of results, which tend towards a l</w:t>
      </w:r>
      <w:r w:rsidR="000674E6">
        <w:t>ack of conceptual understanding.</w:t>
      </w:r>
      <w:r>
        <w:t xml:space="preserve"> </w:t>
      </w:r>
      <w:r w:rsidR="000674E6" w:rsidRPr="00CC2BF0">
        <w:rPr>
          <w:highlight w:val="yellow"/>
        </w:rPr>
        <w:t>F</w:t>
      </w:r>
      <w:r w:rsidRPr="00CC2BF0">
        <w:rPr>
          <w:highlight w:val="yellow"/>
        </w:rPr>
        <w:t>ew studies have taken these findings any further and asked whether this understanding, this cognitive mapping of democracy, has any effect on political participation.</w:t>
      </w:r>
      <w:r>
        <w:t xml:space="preserve"> </w:t>
      </w:r>
    </w:p>
    <w:p w14:paraId="41225FEF" w14:textId="379B767A" w:rsidR="00CF455B" w:rsidRDefault="00CF455B" w:rsidP="00C62010">
      <w:r>
        <w:t xml:space="preserve">It is in the literature that this thesis fits. My aim is to return to the global level studies of democracy and present a different approach to examining how citizens understand democracy. At the national and regional levels studies were built around dimensional or clustering approaches to outlining understandings of democracy, and my study utilises such an approach. This is in contrast to the ‘test’ approach that has been used so far. It is also </w:t>
      </w:r>
      <w:r w:rsidR="00FD2121">
        <w:t>an alternative to</w:t>
      </w:r>
      <w:r w:rsidR="00C37B01">
        <w:t xml:space="preserve"> Dalton </w:t>
      </w:r>
      <w:r w:rsidR="00803848">
        <w:rPr>
          <w:i/>
        </w:rPr>
        <w:t>et al</w:t>
      </w:r>
      <w:r w:rsidR="00C37B01">
        <w:t>.</w:t>
      </w:r>
      <w:r w:rsidR="00752C20">
        <w:t>’s</w:t>
      </w:r>
      <w:r w:rsidR="00B6410D">
        <w:t xml:space="preserve"> (2008</w:t>
      </w:r>
      <w:r>
        <w:t>) use of open-definitions, an approach whi</w:t>
      </w:r>
      <w:r w:rsidR="00FD2121">
        <w:t>ch I argue</w:t>
      </w:r>
      <w:r>
        <w:t xml:space="preserve"> </w:t>
      </w:r>
      <w:r w:rsidR="00FD2121">
        <w:t>i</w:t>
      </w:r>
      <w:r>
        <w:t xml:space="preserve">s limited for not being transparent enough or fully addressing the survey fatigue potentially brought about by the contested nature of democracy. </w:t>
      </w:r>
    </w:p>
    <w:p w14:paraId="5EC726D8" w14:textId="4A718204" w:rsidR="00CF455B" w:rsidRDefault="00CF455B" w:rsidP="00C62010">
      <w:r>
        <w:t xml:space="preserve">The thesis then </w:t>
      </w:r>
      <w:r w:rsidR="00FD2121">
        <w:t>looks</w:t>
      </w:r>
      <w:r>
        <w:t xml:space="preserve"> at what explains the different understandings of democracy that are </w:t>
      </w:r>
      <w:r w:rsidR="00752C20">
        <w:t>uncovered</w:t>
      </w:r>
      <w:r>
        <w:t>. This is something addressed in more recent studies, but there needs to more evidence to help identify why different types of understanding are occurring. Finally, the thesis looks to take a step further by seeing if these understandings of democracy themselves having the ability to explain political participation, something which is much less focused on in the existing literature. The idea is that, should these different understandings not have an effect on how people behave politically, then we do not need to worry too much about the variations in democratic understanding. However, if they do, then we need to start thinking about how people understand democracy, and how this may affect both longstanding democracies, and also countries which are making a transition to democracy.</w:t>
      </w:r>
    </w:p>
    <w:p w14:paraId="192A1033" w14:textId="77777777" w:rsidR="00CF455B" w:rsidRPr="00017218" w:rsidRDefault="00CF455B" w:rsidP="00C62010">
      <w:r>
        <w:t xml:space="preserve">In terms of the aims and objectives outlined in Chapter 1, this literature review has fulfilled aims 1.1, 1.2 and 1.3. These aims will now be taken forward to inform Chapter 3, which looks at aims 1.4 and 1.5, which address the best available data to start looking into citizen understandings of democracy, link the data to theory, and examine if the theoretical expectations are borne out in the basic descriptive statistics. This lays the groundwork for Chapter 4, which undertakes aim 1.6, that is, to build a dimensional framework of how citizens understand democracy. </w:t>
      </w:r>
    </w:p>
    <w:p w14:paraId="7DBC454C" w14:textId="77777777" w:rsidR="00B77E5A" w:rsidRDefault="00B77E5A">
      <w:pPr>
        <w:rPr>
          <w:rFonts w:asciiTheme="majorHAnsi" w:eastAsiaTheme="majorEastAsia" w:hAnsiTheme="majorHAnsi" w:cstheme="majorBidi"/>
          <w:color w:val="365F91" w:themeColor="accent1" w:themeShade="BF"/>
          <w:sz w:val="32"/>
          <w:szCs w:val="32"/>
        </w:rPr>
      </w:pPr>
      <w:r>
        <w:br w:type="page"/>
      </w:r>
    </w:p>
    <w:p w14:paraId="3ABB6D78" w14:textId="77777777" w:rsidR="00B77E5A" w:rsidRPr="00263218" w:rsidRDefault="00B77E5A" w:rsidP="00B77E5A">
      <w:pPr>
        <w:pStyle w:val="Heading1"/>
      </w:pPr>
      <w:bookmarkStart w:id="115" w:name="_Toc441069021"/>
      <w:bookmarkStart w:id="116" w:name="_Toc441069181"/>
      <w:bookmarkStart w:id="117" w:name="_Toc494034214"/>
      <w:r>
        <w:t>Exploring Understandings of Democracy</w:t>
      </w:r>
      <w:bookmarkEnd w:id="115"/>
      <w:bookmarkEnd w:id="116"/>
      <w:bookmarkEnd w:id="117"/>
      <w:r>
        <w:t xml:space="preserve"> </w:t>
      </w:r>
    </w:p>
    <w:p w14:paraId="74337ED0" w14:textId="77777777" w:rsidR="0021364D" w:rsidRDefault="0021364D" w:rsidP="0021364D">
      <w:pPr>
        <w:pStyle w:val="Quote"/>
        <w:rPr>
          <w:b/>
          <w:sz w:val="20"/>
          <w:szCs w:val="20"/>
        </w:rPr>
      </w:pPr>
    </w:p>
    <w:p w14:paraId="43636DFC" w14:textId="32E60945" w:rsidR="000D5E5F" w:rsidRPr="0021364D" w:rsidRDefault="000D5E5F" w:rsidP="0021364D">
      <w:pPr>
        <w:pStyle w:val="Quote"/>
        <w:rPr>
          <w:b/>
          <w:sz w:val="20"/>
          <w:szCs w:val="20"/>
        </w:rPr>
      </w:pPr>
      <w:r w:rsidRPr="0021364D">
        <w:rPr>
          <w:b/>
          <w:sz w:val="20"/>
          <w:szCs w:val="20"/>
        </w:rPr>
        <w:t>“We are accustomed to thinking of democracy as standard liberal representative democracy, with elections as by far the most</w:t>
      </w:r>
      <w:r w:rsidR="00613AC0" w:rsidRPr="0021364D">
        <w:rPr>
          <w:b/>
          <w:sz w:val="20"/>
          <w:szCs w:val="20"/>
        </w:rPr>
        <w:t xml:space="preserve"> important device</w:t>
      </w:r>
      <w:r w:rsidRPr="0021364D">
        <w:rPr>
          <w:b/>
          <w:sz w:val="20"/>
          <w:szCs w:val="20"/>
        </w:rPr>
        <w:t xml:space="preserve">” </w:t>
      </w:r>
      <w:r w:rsidR="0021364D">
        <w:rPr>
          <w:b/>
          <w:sz w:val="20"/>
          <w:szCs w:val="20"/>
        </w:rPr>
        <w:t>(</w:t>
      </w:r>
      <w:r w:rsidRPr="0021364D">
        <w:rPr>
          <w:b/>
          <w:sz w:val="20"/>
          <w:szCs w:val="20"/>
        </w:rPr>
        <w:t xml:space="preserve">Saward </w:t>
      </w:r>
      <w:r w:rsidR="00622B72" w:rsidRPr="0021364D">
        <w:rPr>
          <w:b/>
          <w:sz w:val="20"/>
          <w:szCs w:val="20"/>
        </w:rPr>
        <w:fldChar w:fldCharType="begin" w:fldLock="1"/>
      </w:r>
      <w:r w:rsidR="00E63CC6">
        <w:rPr>
          <w:b/>
          <w:sz w:val="20"/>
          <w:szCs w:val="20"/>
        </w:rPr>
        <w:instrText>ADDIN CSL_CITATION { "citationItems" : [ { "id" : "ITEM-1", "itemData" : { "DOI" : "10.1111/1467-9248.00418", "ISSN" : "0032-3217", "author" : [ { "dropping-particle" : "", "family" : "Saward", "given" : "Michael", "non-dropping-particle" : "", "parse-names" : false, "suffix" : "" } ], "container-title" : "Political Studies", "id" : "ITEM-1", "issue" : "1", "issued" : { "date-parts" : [ [ "2003", "3" ] ] }, "page" : "161-179", "title" : "Enacting Democracy", "type" : "article-journal", "volume" : "51" }, "uris" : [ "http://www.mendeley.com/documents/?uuid=4d9a84bb-3cdd-4245-bff9-01771709161e" ] } ], "mendeley" : { "formattedCitation" : "(Saward, 2003)", "manualFormatting" : "2003, p.169)", "plainTextFormattedCitation" : "(Saward, 2003)", "previouslyFormattedCitation" : "(Saward, 2003)" }, "properties" : { "noteIndex" : 0 }, "schema" : "https://github.com/citation-style-language/schema/raw/master/csl-citation.json" }</w:instrText>
      </w:r>
      <w:r w:rsidR="00622B72" w:rsidRPr="0021364D">
        <w:rPr>
          <w:b/>
          <w:sz w:val="20"/>
          <w:szCs w:val="20"/>
        </w:rPr>
        <w:fldChar w:fldCharType="separate"/>
      </w:r>
      <w:r w:rsidR="00622B72" w:rsidRPr="0021364D">
        <w:rPr>
          <w:b/>
          <w:noProof/>
          <w:sz w:val="20"/>
          <w:szCs w:val="20"/>
        </w:rPr>
        <w:t>2003, p.169)</w:t>
      </w:r>
      <w:r w:rsidR="00622B72" w:rsidRPr="0021364D">
        <w:rPr>
          <w:b/>
          <w:sz w:val="20"/>
          <w:szCs w:val="20"/>
        </w:rPr>
        <w:fldChar w:fldCharType="end"/>
      </w:r>
    </w:p>
    <w:p w14:paraId="7694E6BF" w14:textId="77777777" w:rsidR="0021364D" w:rsidRDefault="0021364D" w:rsidP="00617043"/>
    <w:p w14:paraId="2198B9AF" w14:textId="7A103794" w:rsidR="00B77E5A" w:rsidRDefault="00B77E5A" w:rsidP="00617043">
      <w:r>
        <w:t xml:space="preserve">In this chapter I build on the conclusions and findings of the literature review to </w:t>
      </w:r>
      <w:r w:rsidR="00FE71BF">
        <w:t xml:space="preserve">outline a different way </w:t>
      </w:r>
      <w:r>
        <w:t>of examining citizen understandings of democracy. The approach I discuss is a quantitative one, utilising secondary survey data. The main source of data used is t</w:t>
      </w:r>
      <w:r w:rsidRPr="000367C8">
        <w:t>he World Values Survey collected from 2005-2008 (henceforth WVS2008)</w:t>
      </w:r>
      <w:r>
        <w:t xml:space="preserve">, which included a new group of questions on </w:t>
      </w:r>
      <w:r w:rsidR="004069C9">
        <w:t xml:space="preserve">ten </w:t>
      </w:r>
      <w:r>
        <w:t>democratic characteristics</w:t>
      </w:r>
      <w:r w:rsidR="004069C9">
        <w:t xml:space="preserve"> – these were briefly introduced in the previous chapter, in Section 2.4</w:t>
      </w:r>
      <w:r>
        <w:t xml:space="preserve">. At the national level, </w:t>
      </w:r>
      <w:r w:rsidR="00BF6597">
        <w:t xml:space="preserve">these </w:t>
      </w:r>
      <w:r>
        <w:t xml:space="preserve">data </w:t>
      </w:r>
      <w:r w:rsidR="00BF6597">
        <w:t xml:space="preserve">are </w:t>
      </w:r>
      <w:r>
        <w:t>supplemented from numerous sources. In this chapter I firstly discuss the reasons for using survey data, and for using this partic</w:t>
      </w:r>
      <w:r w:rsidR="004E5793">
        <w:t xml:space="preserve">ular survey data in particular. </w:t>
      </w:r>
      <w:r>
        <w:t>The chapter then examines the theo</w:t>
      </w:r>
      <w:r w:rsidR="00A54B09">
        <w:t>retical expectations behind the</w:t>
      </w:r>
      <w:r>
        <w:t xml:space="preserve"> </w:t>
      </w:r>
      <w:r w:rsidR="00A54B09">
        <w:t>characteristics of democracy which are available for analysis</w:t>
      </w:r>
      <w:r>
        <w:t>. I address how these questions would be answered in line with the theory, and then compare these expectations to the actual answers of survey respondents, discussing the differences and</w:t>
      </w:r>
      <w:r w:rsidR="00FE71BF">
        <w:t xml:space="preserve"> analysing </w:t>
      </w:r>
      <w:r w:rsidR="00A54B09">
        <w:t>who might</w:t>
      </w:r>
      <w:r w:rsidR="00FE71BF">
        <w:t xml:space="preserve"> hold </w:t>
      </w:r>
      <w:r w:rsidR="00A54B09">
        <w:t xml:space="preserve">these </w:t>
      </w:r>
      <w:r w:rsidR="00FE71BF">
        <w:t>different perspectives on democracy.</w:t>
      </w:r>
      <w:r>
        <w:t xml:space="preserve"> </w:t>
      </w:r>
    </w:p>
    <w:p w14:paraId="7B183A8C" w14:textId="1F2308AD" w:rsidR="00B77E5A" w:rsidRDefault="00C85619" w:rsidP="00617043">
      <w:r>
        <w:t>T</w:t>
      </w:r>
      <w:r w:rsidR="00B77E5A">
        <w:t>he core of this chapter is an exploration of the patterns of democratic understanding using descriptive statistics and basic analysis. The idea is to paint a picture of the global understanding of democracy by looking at these characteristics one by one, and in detail. This groundwork description is needed before the more sophisticated analysis in Chapter 4, which digs down below these summary trends to examine dimensions of democratic understandings, and then Chapters 5 and 6, which looks at what might explain these understandings of democracy, and whether these understandings affect political behaviour.</w:t>
      </w:r>
    </w:p>
    <w:p w14:paraId="518F2467" w14:textId="2B7F3D20" w:rsidR="00B77E5A" w:rsidRDefault="00B77E5A" w:rsidP="00617043">
      <w:r w:rsidRPr="000367C8">
        <w:t xml:space="preserve">This chapter is </w:t>
      </w:r>
      <w:r>
        <w:t>structured as follows. Section 3.1</w:t>
      </w:r>
      <w:r w:rsidRPr="000367C8">
        <w:t xml:space="preserve"> discusses the use of survey data to address this issue of understandings of democracy, and justifies the importance of the WVS2008 in particular. </w:t>
      </w:r>
      <w:r>
        <w:t xml:space="preserve">Throughout section 3.2 I </w:t>
      </w:r>
      <w:r w:rsidRPr="000367C8">
        <w:t xml:space="preserve">discuss the theoretical argument behind each of the ten characteristics in the group of democracy questions. It is important that the theoretical grounding behind each choice is outlined. These questions are related to liberal democracy, social democracy, populist politics and authoritarian concepts. The degree to which citizens agree or disagree on the essential nature of each question is important when </w:t>
      </w:r>
      <w:r w:rsidR="00A54B09">
        <w:t xml:space="preserve">later </w:t>
      </w:r>
      <w:r w:rsidRPr="000367C8">
        <w:t xml:space="preserve">looking at dimensional understandings of democracy. </w:t>
      </w:r>
    </w:p>
    <w:p w14:paraId="7B74601A" w14:textId="46F6BA2A" w:rsidR="00B77E5A" w:rsidRDefault="00B77E5A" w:rsidP="00617043">
      <w:r>
        <w:t>Section 3.3</w:t>
      </w:r>
      <w:r w:rsidRPr="000367C8">
        <w:t xml:space="preserve"> examines these ten q</w:t>
      </w:r>
      <w:r w:rsidR="004E5793">
        <w:t>uestions at the individual level across</w:t>
      </w:r>
      <w:r w:rsidRPr="000367C8">
        <w:t xml:space="preserve"> </w:t>
      </w:r>
      <w:r w:rsidR="004E5793">
        <w:t xml:space="preserve">gender, age, education, group membership. and media use. It then </w:t>
      </w:r>
      <w:r w:rsidRPr="000367C8">
        <w:t xml:space="preserve">demonstrates the range of averages across questions from the </w:t>
      </w:r>
      <w:r w:rsidR="004E5793">
        <w:t>46</w:t>
      </w:r>
      <w:r w:rsidRPr="000367C8">
        <w:t xml:space="preserve"> countries in the dataset, and compares results across Freedom House, communist and </w:t>
      </w:r>
      <w:r w:rsidR="00A54B09">
        <w:t>religious</w:t>
      </w:r>
      <w:r w:rsidRPr="000367C8">
        <w:t xml:space="preserve"> classifications. </w:t>
      </w:r>
      <w:r>
        <w:t>Finally, i</w:t>
      </w:r>
      <w:r w:rsidRPr="000367C8">
        <w:t>t then examines these averages with the level of development of a country, as measured by HDI.</w:t>
      </w:r>
    </w:p>
    <w:p w14:paraId="3A97B9BC" w14:textId="10A950FD" w:rsidR="00B77E5A" w:rsidRPr="000367C8" w:rsidRDefault="00B77E5A" w:rsidP="00617043">
      <w:r>
        <w:t>Section 3.4 concludes by discussing the aims and objectives that have been met in this chapter, before looking forward</w:t>
      </w:r>
      <w:r w:rsidR="00A54B09">
        <w:t>s</w:t>
      </w:r>
      <w:r>
        <w:t xml:space="preserve"> to the dimensional analysis of democratic understanding which is undertaken in the following chapter.</w:t>
      </w:r>
    </w:p>
    <w:p w14:paraId="69BD378A" w14:textId="232093A6" w:rsidR="00B77E5A" w:rsidRPr="00CC2BF0" w:rsidRDefault="00B77E5A" w:rsidP="00577217">
      <w:pPr>
        <w:pStyle w:val="Heading2"/>
        <w:rPr>
          <w:highlight w:val="green"/>
        </w:rPr>
      </w:pPr>
      <w:bookmarkStart w:id="118" w:name="_Toc379889561"/>
      <w:bookmarkStart w:id="119" w:name="_Toc380151492"/>
      <w:bookmarkStart w:id="120" w:name="_Toc380513892"/>
      <w:bookmarkStart w:id="121" w:name="_Toc380995522"/>
      <w:bookmarkStart w:id="122" w:name="_Toc381100496"/>
      <w:bookmarkStart w:id="123" w:name="_Toc381717083"/>
      <w:bookmarkStart w:id="124" w:name="_Toc441069022"/>
      <w:bookmarkStart w:id="125" w:name="_Toc441069182"/>
      <w:bookmarkStart w:id="126" w:name="_Toc494034215"/>
      <w:r w:rsidRPr="00CC2BF0">
        <w:rPr>
          <w:highlight w:val="green"/>
        </w:rPr>
        <w:t xml:space="preserve">3.1: </w:t>
      </w:r>
      <w:r w:rsidR="00C325AD" w:rsidRPr="00CC2BF0">
        <w:rPr>
          <w:highlight w:val="green"/>
        </w:rPr>
        <w:t xml:space="preserve">Taking a </w:t>
      </w:r>
      <w:r w:rsidR="009608EA" w:rsidRPr="00CC2BF0">
        <w:rPr>
          <w:highlight w:val="green"/>
        </w:rPr>
        <w:t xml:space="preserve">Cross-national </w:t>
      </w:r>
      <w:r w:rsidR="00A315EC" w:rsidRPr="00CC2BF0">
        <w:rPr>
          <w:highlight w:val="green"/>
        </w:rPr>
        <w:t>Quantitative</w:t>
      </w:r>
      <w:r w:rsidR="00C325AD" w:rsidRPr="00CC2BF0">
        <w:rPr>
          <w:highlight w:val="green"/>
        </w:rPr>
        <w:t xml:space="preserve"> Approach and u</w:t>
      </w:r>
      <w:r w:rsidRPr="00CC2BF0">
        <w:rPr>
          <w:highlight w:val="green"/>
        </w:rPr>
        <w:t>sing Survey Data</w:t>
      </w:r>
      <w:bookmarkEnd w:id="118"/>
      <w:bookmarkEnd w:id="119"/>
      <w:bookmarkEnd w:id="120"/>
      <w:bookmarkEnd w:id="121"/>
      <w:bookmarkEnd w:id="122"/>
      <w:bookmarkEnd w:id="123"/>
      <w:bookmarkEnd w:id="124"/>
      <w:bookmarkEnd w:id="125"/>
      <w:bookmarkEnd w:id="126"/>
    </w:p>
    <w:p w14:paraId="1B088599" w14:textId="72D689B2" w:rsidR="00B77E5A" w:rsidRPr="00CC2BF0" w:rsidRDefault="00B77E5A" w:rsidP="00577217">
      <w:pPr>
        <w:rPr>
          <w:highlight w:val="green"/>
        </w:rPr>
      </w:pPr>
      <w:r w:rsidRPr="00CC2BF0">
        <w:rPr>
          <w:highlight w:val="green"/>
        </w:rPr>
        <w:t>Firstly, why I am using survey data to address citizen understandings of democracy? The simple answer is that at this level of analysis, there is no suitable alternative. Whilst qualitatively-driven examinations provide rich and detailed studies of citizen understandings of complicated concepts (see Carnaghan 2011), they are time-consuming and rarely able to provide multinational comparisons. In an era when protest movements around the world are couching themselves in the language of ‘democracy’</w:t>
      </w:r>
      <w:r w:rsidR="009446A9" w:rsidRPr="00CC2BF0">
        <w:rPr>
          <w:highlight w:val="green"/>
        </w:rPr>
        <w:t xml:space="preserve"> </w:t>
      </w:r>
      <w:r w:rsidR="009446A9" w:rsidRPr="00CC2BF0">
        <w:rPr>
          <w:highlight w:val="green"/>
        </w:rPr>
        <w:fldChar w:fldCharType="begin" w:fldLock="1"/>
      </w:r>
      <w:r w:rsidR="00E63CC6" w:rsidRPr="00CC2BF0">
        <w:rPr>
          <w:highlight w:val="green"/>
        </w:rPr>
        <w:instrText>ADDIN CSL_CITATION { "citationItems" : [ { "id" : "ITEM-1", "itemData" : { "author" : [ { "dropping-particle" : "", "family" : "Finkel", "given" : "Evgeny", "non-dropping-particle" : "", "parse-names" : false, "suffix" : "" }, { "dropping-particle" : "", "family" : "Brudny", "given" : "YM", "non-dropping-particle" : "", "parse-names" : false, "suffix" : "" } ], "container-title" : "Democratization", "id" : "ITEM-1", "issue" : "1", "issued" : { "date-parts" : [ [ "2012" ] ] }, "page" : "15-36", "title" : "Russia and the colour revolutions", "type" : "article-journal", "volume" : "19" }, "uris" : [ "http://www.mendeley.com/documents/?uuid=1d39917e-9dbf-4cff-94e4-b67a8d8b2b3f" ] }, { "id" : "ITEM-2", "itemData" : { "DOI" : "10.3176/tr.2014.4.05", "ISSN" : "1406-0922", "author" : [ { "dropping-particle" : "", "family" : "Shaykhutdinov", "given" : "R", "non-dropping-particle" : "", "parse-names" : false, "suffix" : "" }, { "dropping-particle" : "", "family" : "Achilov", "given" : "D", "non-dropping-particle" : "", "parse-names" : false, "suffix" : "" } ], "container-title" : "Trames. Journal of the Humanities and Social Sciences", "id" : "ITEM-2", "issue" : "4", "issued" : { "date-parts" : [ [ "2014" ] ] }, "page" : "383", "title" : "Islam, Islamism, and Collective Action in Central Asia", "type" : "article-journal", "volume" : "18" }, "uris" : [ "http://www.mendeley.com/documents/?uuid=f26ecedc-d8d5-4289-8580-eddda3c666a5" ] }, { "id" : "ITEM-3", "itemData" : { "DOI" : "10.1177/0010414009331719", "ISSN" : "0010-4140", "author" : [ { "dropping-particle" : "", "family" : "El-Mahdi", "given" : "R.", "non-dropping-particle" : "", "parse-names" : false, "suffix" : "" } ], "container-title" : "Comparative Political Studies", "id" : "ITEM-3", "issue" : "8", "issued" : { "date-parts" : [ [ "2009", "2", "20" ] ] }, "page" : "1011-1039", "title" : "Enough!: Egypt's Quest for Democracy", "type" : "article-journal", "volume" : "42" }, "uris" : [ "http://www.mendeley.com/documents/?uuid=0cfc27b1-c9f2-48b6-8129-d88fbf1b6198" ] }, { "id" : "ITEM-4", "itemData" : { "DOI" : "10.1080/03056244.2011.602544", "ISSN" : "0305-6244", "author" : [ { "dropping-particle" : "", "family" : "Joya", "given" : "Angela", "non-dropping-particle" : "", "parse-names" : false, "suffix" : "" } ], "container-title" : "Review of African Political Economy", "id" : "ITEM-4", "issue" : "129", "issued" : { "date-parts" : [ [ "2011", "9" ] ] }, "page" : "367-386", "title" : "The Egyptian revolution: crisis of neoliberalism and the potential for democratic politics", "type" : "article-journal", "volume" : "38" }, "uris" : [ "http://www.mendeley.com/documents/?uuid=f09ed397-08a6-4f97-a1fe-429f06e58a95" ] }, { "id" : "ITEM-5", "itemData" : { "author" : [ { "dropping-particle" : "", "family" : "Dalton", "given" : "R.", "non-dropping-particle" : "", "parse-names" : false, "suffix" : "" }, { "dropping-particle" : "", "family" : "Sickle", "given" : "Alix", "non-dropping-particle" : "van", "parse-names" : false, "suffix" : "" } ], "container-title" : "Centre for Study of Democracy: Working Papers", "id" : "ITEM-5", "issued" : { "date-parts" : [ [ "2005" ] ] }, "title" : "The Resource, Structural, and Cultural Bases of Protest", "type" : "article-journal" }, "uris" : [ "http://www.mendeley.com/documents/?uuid=784dbd7d-e1a5-4bb3-a02d-dbcd3f9973b3" ] } ], "mendeley" : { "formattedCitation" : "(Dalton and van Sickle, 2005; El-Mahdi, 2009; Joya, 2011; Finkel and Brudny, 2012; Shaykhutdinov and Achilov, 2014)", "manualFormatting" : "(Shaykhutdinov &amp; Achilov 2014; Finkel &amp; Brudny 2012; El-Mahdi 2009; Joya 2011; Dalton &amp; van Sickle 2005)", "plainTextFormattedCitation" : "(Dalton and van Sickle, 2005; El-Mahdi, 2009; Joya, 2011; Finkel and Brudny, 2012; Shaykhutdinov and Achilov, 2014)", "previouslyFormattedCitation" : "(Dalton and van Sickle, 2005; El-Mahdi, 2009; Joya, 2011; Finkel and Brudny, 2012; Shaykhutdinov and Achilov, 2014)" }, "properties" : { "noteIndex" : 0 }, "schema" : "https://github.com/citation-style-language/schema/raw/master/csl-citation.json" }</w:instrText>
      </w:r>
      <w:r w:rsidR="009446A9" w:rsidRPr="00CC2BF0">
        <w:rPr>
          <w:highlight w:val="green"/>
        </w:rPr>
        <w:fldChar w:fldCharType="separate"/>
      </w:r>
      <w:r w:rsidR="009446A9" w:rsidRPr="00CC2BF0">
        <w:rPr>
          <w:noProof/>
          <w:highlight w:val="green"/>
        </w:rPr>
        <w:t>(Shaykhutdinov &amp; Achilov 2014; Finkel &amp; Brudny 2012; El-Mahdi 2009; Joya 2011; Dalton &amp; van Sickle 2005)</w:t>
      </w:r>
      <w:r w:rsidR="009446A9" w:rsidRPr="00CC2BF0">
        <w:rPr>
          <w:highlight w:val="green"/>
        </w:rPr>
        <w:fldChar w:fldCharType="end"/>
      </w:r>
      <w:r w:rsidRPr="00CC2BF0">
        <w:rPr>
          <w:highlight w:val="green"/>
        </w:rPr>
        <w:t xml:space="preserve"> this thesis is interested in examining and explaining global </w:t>
      </w:r>
      <w:r w:rsidRPr="00CC2BF0">
        <w:rPr>
          <w:i/>
          <w:highlight w:val="green"/>
        </w:rPr>
        <w:t>patterns</w:t>
      </w:r>
      <w:r w:rsidRPr="00CC2BF0">
        <w:rPr>
          <w:highlight w:val="green"/>
        </w:rPr>
        <w:t xml:space="preserve"> and </w:t>
      </w:r>
      <w:r w:rsidRPr="00CC2BF0">
        <w:rPr>
          <w:i/>
          <w:highlight w:val="green"/>
        </w:rPr>
        <w:t>trends</w:t>
      </w:r>
      <w:r w:rsidRPr="00CC2BF0">
        <w:rPr>
          <w:highlight w:val="green"/>
        </w:rPr>
        <w:t xml:space="preserve"> of </w:t>
      </w:r>
      <w:r w:rsidR="00C325AD" w:rsidRPr="00CC2BF0">
        <w:rPr>
          <w:highlight w:val="green"/>
        </w:rPr>
        <w:t>how citizens understand</w:t>
      </w:r>
      <w:r w:rsidRPr="00CC2BF0">
        <w:rPr>
          <w:highlight w:val="green"/>
        </w:rPr>
        <w:t xml:space="preserve"> the term.</w:t>
      </w:r>
    </w:p>
    <w:p w14:paraId="0EB757B9" w14:textId="58C13D60" w:rsidR="005562B5" w:rsidRPr="00CC2BF0" w:rsidRDefault="00A315EC" w:rsidP="00A315EC">
      <w:pPr>
        <w:rPr>
          <w:highlight w:val="green"/>
        </w:rPr>
      </w:pPr>
      <w:r w:rsidRPr="00CC2BF0">
        <w:rPr>
          <w:highlight w:val="green"/>
        </w:rPr>
        <w:t xml:space="preserve">Pierce </w:t>
      </w:r>
      <w:r w:rsidRPr="00CC2BF0">
        <w:rPr>
          <w:highlight w:val="green"/>
        </w:rPr>
        <w:fldChar w:fldCharType="begin" w:fldLock="1"/>
      </w:r>
      <w:r w:rsidR="00E63CC6" w:rsidRPr="00CC2BF0">
        <w:rPr>
          <w:highlight w:val="green"/>
        </w:rPr>
        <w:instrText>ADDIN CSL_CITATION { "citationItems" : [ { "id" : "ITEM-1", "itemData" : { "author" : [ { "dropping-particle" : "", "family" : "Pierce", "given" : "R", "non-dropping-particle" : "", "parse-names" : false, "suffix" : "" } ], "id" : "ITEM-1", "issued" : { "date-parts" : [ [ "2008" ] ] }, "publisher" : "SAGE Publications", "publisher-place" : "London", "title" : "Research Methods in Politics", "type" : "book" }, "uris" : [ "http://www.mendeley.com/documents/?uuid=5b6ba2ee-581f-48f4-af6f-085e48ff2946" ] } ], "mendeley" : { "formattedCitation" : "(Pierce, 2008)", "manualFormatting" : "(2008, p.42)", "plainTextFormattedCitation" : "(Pierce, 2008)", "previouslyFormattedCitation" : "(Pierce, 2008)" }, "properties" : { "noteIndex" : 0 }, "schema" : "https://github.com/citation-style-language/schema/raw/master/csl-citation.json" }</w:instrText>
      </w:r>
      <w:r w:rsidRPr="00CC2BF0">
        <w:rPr>
          <w:highlight w:val="green"/>
        </w:rPr>
        <w:fldChar w:fldCharType="separate"/>
      </w:r>
      <w:r w:rsidRPr="00CC2BF0">
        <w:rPr>
          <w:noProof/>
          <w:highlight w:val="green"/>
        </w:rPr>
        <w:t>(2008</w:t>
      </w:r>
      <w:r w:rsidR="00E93D14" w:rsidRPr="00CC2BF0">
        <w:rPr>
          <w:noProof/>
          <w:highlight w:val="green"/>
        </w:rPr>
        <w:t>, p.42</w:t>
      </w:r>
      <w:r w:rsidRPr="00CC2BF0">
        <w:rPr>
          <w:noProof/>
          <w:highlight w:val="green"/>
        </w:rPr>
        <w:t>)</w:t>
      </w:r>
      <w:r w:rsidRPr="00CC2BF0">
        <w:rPr>
          <w:highlight w:val="green"/>
        </w:rPr>
        <w:fldChar w:fldCharType="end"/>
      </w:r>
      <w:r w:rsidRPr="00CC2BF0">
        <w:rPr>
          <w:highlight w:val="green"/>
        </w:rPr>
        <w:t xml:space="preserve"> notes that a quantitative approach “offers the best means of identifying and comparing the distribution between people, places and times of phenomena such as party membership, voting, income, poverty, housing conditions, and changing attitudes”. </w:t>
      </w:r>
      <w:r w:rsidR="006A6E88" w:rsidRPr="00CC2BF0">
        <w:rPr>
          <w:highlight w:val="green"/>
        </w:rPr>
        <w:t>This focus on distributions and comparisons is important first for validating and extending the findings of existing approaches to this topic – as discussed in Section 2.4 (</w:t>
      </w:r>
      <w:r w:rsidR="006A6E88" w:rsidRPr="00CC2BF0">
        <w:rPr>
          <w:highlight w:val="green"/>
        </w:rPr>
        <w:fldChar w:fldCharType="begin" w:fldLock="1"/>
      </w:r>
      <w:r w:rsidR="00E63CC6" w:rsidRPr="00CC2BF0">
        <w:rPr>
          <w:highlight w:val="green"/>
        </w:rPr>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"mendeley" : { "formattedCitation" : "(Cho, 2015)", "manualFormatting" : "Cho 2015", "plainTextFormattedCitation" : "(Cho, 2015)", "previouslyFormattedCitation" : "(Cho, 2015)" }, "properties" : { "noteIndex" : 0 }, "schema" : "https://github.com/citation-style-language/schema/raw/master/csl-citation.json" }</w:instrText>
      </w:r>
      <w:r w:rsidR="006A6E88" w:rsidRPr="00CC2BF0">
        <w:rPr>
          <w:highlight w:val="green"/>
        </w:rPr>
        <w:fldChar w:fldCharType="separate"/>
      </w:r>
      <w:r w:rsidR="006A6E88" w:rsidRPr="00CC2BF0">
        <w:rPr>
          <w:noProof/>
          <w:highlight w:val="green"/>
        </w:rPr>
        <w:t>Cho 2015</w:t>
      </w:r>
      <w:r w:rsidR="006A6E88" w:rsidRPr="00CC2BF0">
        <w:rPr>
          <w:highlight w:val="green"/>
        </w:rPr>
        <w:fldChar w:fldCharType="end"/>
      </w:r>
      <w:r w:rsidR="006A6E88" w:rsidRPr="00CC2BF0">
        <w:rPr>
          <w:highlight w:val="green"/>
        </w:rPr>
        <w:t xml:space="preserve">; Welzel 2013; Norris 2011; Dalton </w:t>
      </w:r>
      <w:r w:rsidR="006A6E88" w:rsidRPr="00CC2BF0">
        <w:rPr>
          <w:i/>
          <w:highlight w:val="green"/>
        </w:rPr>
        <w:t>et al</w:t>
      </w:r>
      <w:r w:rsidR="006A6E88" w:rsidRPr="00CC2BF0">
        <w:rPr>
          <w:highlight w:val="green"/>
        </w:rPr>
        <w:t xml:space="preserve"> 2008) – </w:t>
      </w:r>
      <w:r w:rsidR="00C70BA2" w:rsidRPr="00CC2BF0">
        <w:rPr>
          <w:highlight w:val="green"/>
        </w:rPr>
        <w:t xml:space="preserve">and secondly for attempting to explore and categorise the potential attitudes and </w:t>
      </w:r>
      <w:r w:rsidR="001B505A">
        <w:rPr>
          <w:highlight w:val="green"/>
        </w:rPr>
        <w:t>conceptualisations of democratic understandings.</w:t>
      </w:r>
    </w:p>
    <w:p w14:paraId="66C3ACFA" w14:textId="58622316" w:rsidR="00CE3EDB" w:rsidRPr="00CC2BF0" w:rsidRDefault="00C70BA2" w:rsidP="00A315EC">
      <w:pPr>
        <w:rPr>
          <w:highlight w:val="green"/>
        </w:rPr>
      </w:pPr>
      <w:r w:rsidRPr="00CC2BF0">
        <w:rPr>
          <w:highlight w:val="green"/>
        </w:rPr>
        <w:t xml:space="preserve">Building on previous studies, this ‘mapping’ out of </w:t>
      </w:r>
      <w:r w:rsidR="005562B5" w:rsidRPr="00CC2BF0">
        <w:rPr>
          <w:highlight w:val="green"/>
        </w:rPr>
        <w:t xml:space="preserve">democratic </w:t>
      </w:r>
      <w:r w:rsidR="00CE3EDB" w:rsidRPr="00CC2BF0">
        <w:rPr>
          <w:highlight w:val="green"/>
        </w:rPr>
        <w:t>under</w:t>
      </w:r>
      <w:r w:rsidR="00F91D16" w:rsidRPr="00CC2BF0">
        <w:rPr>
          <w:highlight w:val="green"/>
        </w:rPr>
        <w:t>standing, taking an alternative and</w:t>
      </w:r>
      <w:r w:rsidR="00CE3EDB" w:rsidRPr="00CC2BF0">
        <w:rPr>
          <w:highlight w:val="green"/>
        </w:rPr>
        <w:t xml:space="preserve"> more exploratory approach, is a key way of developing this area of research, and one which </w:t>
      </w:r>
      <w:r w:rsidR="00F91D16" w:rsidRPr="00CC2BF0">
        <w:rPr>
          <w:highlight w:val="green"/>
        </w:rPr>
        <w:t>could also</w:t>
      </w:r>
      <w:r w:rsidR="00CE3EDB" w:rsidRPr="00CC2BF0">
        <w:rPr>
          <w:highlight w:val="green"/>
        </w:rPr>
        <w:t xml:space="preserve"> lay the groundwork for qualitative investigation that could seek to understand the deeper complexities of the categorisations present</w:t>
      </w:r>
      <w:r w:rsidR="00F91D16" w:rsidRPr="00CC2BF0">
        <w:rPr>
          <w:highlight w:val="green"/>
        </w:rPr>
        <w:t xml:space="preserve">ed here, or look to isolate and examine in depth any </w:t>
      </w:r>
      <w:r w:rsidR="00CE3EDB" w:rsidRPr="00CC2BF0">
        <w:rPr>
          <w:highlight w:val="green"/>
        </w:rPr>
        <w:t xml:space="preserve">outlier case-studies </w:t>
      </w:r>
      <w:r w:rsidR="00F91D16" w:rsidRPr="00CC2BF0">
        <w:rPr>
          <w:highlight w:val="green"/>
        </w:rPr>
        <w:t>which</w:t>
      </w:r>
      <w:r w:rsidR="00CE3EDB" w:rsidRPr="00CC2BF0">
        <w:rPr>
          <w:highlight w:val="green"/>
        </w:rPr>
        <w:t xml:space="preserve"> quantitative research is especially able to identify.</w:t>
      </w:r>
      <w:r w:rsidR="005562B5" w:rsidRPr="00CC2BF0">
        <w:rPr>
          <w:highlight w:val="green"/>
        </w:rPr>
        <w:t xml:space="preserve"> Taking a multi-country </w:t>
      </w:r>
      <w:r w:rsidR="00896C6E" w:rsidRPr="00CC2BF0">
        <w:rPr>
          <w:highlight w:val="green"/>
        </w:rPr>
        <w:t xml:space="preserve">approach also has </w:t>
      </w:r>
      <w:r w:rsidR="00192438" w:rsidRPr="00CC2BF0">
        <w:rPr>
          <w:highlight w:val="green"/>
        </w:rPr>
        <w:t xml:space="preserve">numerous </w:t>
      </w:r>
      <w:r w:rsidR="00896C6E" w:rsidRPr="00CC2BF0">
        <w:rPr>
          <w:highlight w:val="green"/>
        </w:rPr>
        <w:t xml:space="preserve">advantages, several of which are outlined by </w:t>
      </w:r>
      <w:r w:rsidR="00896C6E" w:rsidRPr="00CC2BF0">
        <w:rPr>
          <w:highlight w:val="green"/>
        </w:rPr>
        <w:fldChar w:fldCharType="begin" w:fldLock="1"/>
      </w:r>
      <w:r w:rsidR="00E63CC6" w:rsidRPr="00CC2BF0">
        <w:rPr>
          <w:highlight w:val="green"/>
        </w:rPr>
        <w:instrText>ADDIN CSL_CITATION { "citationItems" : [ { "id" : "ITEM-1", "itemData" : { "ISBN" : "0203428250", "author" : [ { "dropping-particle" : "", "family" : "Landman", "given" : "Todd", "non-dropping-particle" : "", "parse-names" : false, "suffix" : "" } ], "id" : "ITEM-1", "issued" : { "date-parts" : [ [ "2003" ] ] }, "publisher" : "Routledge", "publisher-place" : "London", "title" : "Issues and Methods in Comparative Politics : An Introduction", "type" : "book" }, "uris" : [ "http://www.mendeley.com/documents/?uuid=c2d61b7f-19e3-4881-a563-2e7fa175fa89" ] } ], "mendeley" : { "formattedCitation" : "(Landman, 2003)", "manualFormatting" : "Landman (2003)", "plainTextFormattedCitation" : "(Landman, 2003)", "previouslyFormattedCitation" : "(Landman, 2003)" }, "properties" : { "noteIndex" : 0 }, "schema" : "https://github.com/citation-style-language/schema/raw/master/csl-citation.json" }</w:instrText>
      </w:r>
      <w:r w:rsidR="00896C6E" w:rsidRPr="00CC2BF0">
        <w:rPr>
          <w:highlight w:val="green"/>
        </w:rPr>
        <w:fldChar w:fldCharType="separate"/>
      </w:r>
      <w:r w:rsidR="00896C6E" w:rsidRPr="00CC2BF0">
        <w:rPr>
          <w:noProof/>
          <w:highlight w:val="green"/>
        </w:rPr>
        <w:t>Landman (2003)</w:t>
      </w:r>
      <w:r w:rsidR="00896C6E" w:rsidRPr="00CC2BF0">
        <w:rPr>
          <w:highlight w:val="green"/>
        </w:rPr>
        <w:fldChar w:fldCharType="end"/>
      </w:r>
      <w:r w:rsidR="00896C6E" w:rsidRPr="00CC2BF0">
        <w:rPr>
          <w:highlight w:val="green"/>
        </w:rPr>
        <w:t>. Firstly, it’s clear that an “extensive coverage of countries allows for stronger inferences and theory-building” (ibid, p.25). This is useful when taking survey questions which are theoretically in</w:t>
      </w:r>
      <w:r w:rsidR="005E6836" w:rsidRPr="00CC2BF0">
        <w:rPr>
          <w:highlight w:val="green"/>
        </w:rPr>
        <w:t>formed (see Section 3.2</w:t>
      </w:r>
      <w:r w:rsidR="00896C6E" w:rsidRPr="00CC2BF0">
        <w:rPr>
          <w:highlight w:val="green"/>
        </w:rPr>
        <w:t>) and trying to see how they play out in the minds of citizens across numerous contexts to see if they see things in a theoretically coherent or incoherent way. Landman (</w:t>
      </w:r>
      <w:r w:rsidR="00896C6E" w:rsidRPr="00CC2BF0">
        <w:rPr>
          <w:i/>
          <w:highlight w:val="green"/>
        </w:rPr>
        <w:t>ibid</w:t>
      </w:r>
      <w:r w:rsidR="00896C6E" w:rsidRPr="00CC2BF0">
        <w:rPr>
          <w:highlight w:val="green"/>
        </w:rPr>
        <w:t xml:space="preserve">) also </w:t>
      </w:r>
      <w:r w:rsidR="00F91D16" w:rsidRPr="00CC2BF0">
        <w:rPr>
          <w:highlight w:val="green"/>
        </w:rPr>
        <w:t xml:space="preserve">supports the idea that </w:t>
      </w:r>
      <w:r w:rsidR="00896C6E" w:rsidRPr="00CC2BF0">
        <w:rPr>
          <w:highlight w:val="green"/>
        </w:rPr>
        <w:t xml:space="preserve">quantitative, statistical analysis can identify outliers which require further analysis and prompt researchers to tweak </w:t>
      </w:r>
      <w:r w:rsidR="00192438" w:rsidRPr="00CC2BF0">
        <w:rPr>
          <w:highlight w:val="green"/>
        </w:rPr>
        <w:t>or adapt theory.</w:t>
      </w:r>
      <w:r w:rsidR="00F24BCA" w:rsidRPr="00CC2BF0">
        <w:rPr>
          <w:highlight w:val="green"/>
        </w:rPr>
        <w:t xml:space="preserve"> This multi-country approach, examining global level patterns and trends also rules out experimental surveys as the resources simply do not currently existing to undertake work at this scale.</w:t>
      </w:r>
    </w:p>
    <w:p w14:paraId="66542F6C" w14:textId="08EDC3F0" w:rsidR="00192438" w:rsidRPr="00CC2BF0" w:rsidRDefault="0041787E" w:rsidP="00192438">
      <w:pPr>
        <w:spacing w:before="240"/>
        <w:rPr>
          <w:highlight w:val="green"/>
        </w:rPr>
      </w:pPr>
      <w:r w:rsidRPr="00CC2BF0">
        <w:rPr>
          <w:highlight w:val="green"/>
        </w:rPr>
        <w:t>Trying to tackle this research interest from a qualitative approach would be problematic as</w:t>
      </w:r>
      <w:r w:rsidR="00192438" w:rsidRPr="00CC2BF0">
        <w:rPr>
          <w:highlight w:val="green"/>
        </w:rPr>
        <w:t xml:space="preserve"> such investigatory methods “…generally require a richer level of information, such as deep history of all the countries, which is often difficult to collect and synthesize.” (</w:t>
      </w:r>
      <w:r w:rsidR="00192438" w:rsidRPr="00CC2BF0">
        <w:rPr>
          <w:i/>
          <w:highlight w:val="green"/>
        </w:rPr>
        <w:t>ibid)</w:t>
      </w:r>
      <w:r w:rsidR="00192438" w:rsidRPr="00CC2BF0">
        <w:rPr>
          <w:highlight w:val="green"/>
        </w:rPr>
        <w:t xml:space="preserve">. </w:t>
      </w:r>
      <w:r w:rsidRPr="00CC2BF0">
        <w:rPr>
          <w:highlight w:val="green"/>
        </w:rPr>
        <w:t>Furthermore</w:t>
      </w:r>
      <w:r w:rsidR="00192438" w:rsidRPr="00CC2BF0">
        <w:rPr>
          <w:highlight w:val="green"/>
        </w:rPr>
        <w:t>, “it is more difficult to draw strong inferences from these data since they cannot be subjected to statistical analysis” (</w:t>
      </w:r>
      <w:r w:rsidR="00192438" w:rsidRPr="00CC2BF0">
        <w:rPr>
          <w:i/>
          <w:highlight w:val="green"/>
        </w:rPr>
        <w:t>ibid</w:t>
      </w:r>
      <w:r w:rsidR="00192438" w:rsidRPr="00CC2BF0">
        <w:rPr>
          <w:highlight w:val="green"/>
        </w:rPr>
        <w:t xml:space="preserve">). </w:t>
      </w:r>
      <w:r w:rsidRPr="00CC2BF0">
        <w:rPr>
          <w:highlight w:val="green"/>
        </w:rPr>
        <w:t>This is problematic when interested in global level trends as this thesis is, h</w:t>
      </w:r>
      <w:r w:rsidR="00192438" w:rsidRPr="00CC2BF0">
        <w:rPr>
          <w:highlight w:val="green"/>
        </w:rPr>
        <w:t>owever, survey data is testable and can be examined in this way.</w:t>
      </w:r>
    </w:p>
    <w:p w14:paraId="4A806CF9" w14:textId="14E143BA" w:rsidR="00A315EC" w:rsidRDefault="00192438" w:rsidP="00A315EC">
      <w:r w:rsidRPr="00CC2BF0">
        <w:rPr>
          <w:highlight w:val="green"/>
        </w:rPr>
        <w:t>R</w:t>
      </w:r>
      <w:r w:rsidR="00A315EC" w:rsidRPr="00CC2BF0">
        <w:rPr>
          <w:highlight w:val="green"/>
        </w:rPr>
        <w:t>egarding survey data</w:t>
      </w:r>
      <w:r w:rsidR="00E04DBD" w:rsidRPr="00CC2BF0">
        <w:rPr>
          <w:highlight w:val="green"/>
        </w:rPr>
        <w:t xml:space="preserve"> and it</w:t>
      </w:r>
      <w:r w:rsidR="004E4126" w:rsidRPr="00CC2BF0">
        <w:rPr>
          <w:highlight w:val="green"/>
        </w:rPr>
        <w:t>s analysis</w:t>
      </w:r>
      <w:r w:rsidR="00A315EC" w:rsidRPr="00CC2BF0">
        <w:rPr>
          <w:highlight w:val="green"/>
        </w:rPr>
        <w:t>, Pierce (</w:t>
      </w:r>
      <w:r w:rsidR="000F20FC" w:rsidRPr="00CC2BF0">
        <w:rPr>
          <w:highlight w:val="green"/>
        </w:rPr>
        <w:t>2008, p.42</w:t>
      </w:r>
      <w:r w:rsidR="00B462BE" w:rsidRPr="00CC2BF0">
        <w:rPr>
          <w:highlight w:val="green"/>
        </w:rPr>
        <w:t>) adds that such methods “</w:t>
      </w:r>
      <w:r w:rsidR="00A315EC" w:rsidRPr="00CC2BF0">
        <w:rPr>
          <w:highlight w:val="green"/>
        </w:rPr>
        <w:t>employ very large samples designed to reflect and be representative of the population being studied. The use of questionnaires ensures that every member of the sample is asked the sa</w:t>
      </w:r>
      <w:r w:rsidR="00B462BE" w:rsidRPr="00CC2BF0">
        <w:rPr>
          <w:highlight w:val="green"/>
        </w:rPr>
        <w:t>me question in the same manner.”</w:t>
      </w:r>
      <w:r w:rsidR="00E93D14" w:rsidRPr="00CC2BF0">
        <w:rPr>
          <w:highlight w:val="green"/>
        </w:rPr>
        <w:t xml:space="preserve"> This systematic nature of survey data collection and analysis is important to this thesis as it seeks to set out an initial exploration of how conceptualisations of democracy are structured by citizens at the global scale. An advantage of such</w:t>
      </w:r>
      <w:r w:rsidR="005E6836" w:rsidRPr="00CC2BF0">
        <w:rPr>
          <w:highlight w:val="green"/>
        </w:rPr>
        <w:t xml:space="preserve"> an analytical approach is that the</w:t>
      </w:r>
      <w:r w:rsidR="00E93D14" w:rsidRPr="00CC2BF0">
        <w:rPr>
          <w:highlight w:val="green"/>
        </w:rPr>
        <w:t xml:space="preserve"> “</w:t>
      </w:r>
      <w:r w:rsidR="005E6836" w:rsidRPr="00CC2BF0">
        <w:rPr>
          <w:highlight w:val="green"/>
        </w:rPr>
        <w:t>…</w:t>
      </w:r>
      <w:r w:rsidR="00E93D14" w:rsidRPr="00CC2BF0">
        <w:rPr>
          <w:highlight w:val="green"/>
        </w:rPr>
        <w:t>accuracy of the estimates and the margins of error around the estimates vary in predictable ways with the size of the sample. None of the steps in this process are easy. But the techniques are well known and well honed”</w:t>
      </w:r>
      <w:r w:rsidR="0006228B" w:rsidRPr="00CC2BF0">
        <w:rPr>
          <w:highlight w:val="green"/>
        </w:rPr>
        <w:t xml:space="preserve"> </w:t>
      </w:r>
      <w:r w:rsidR="0006228B" w:rsidRPr="00CC2BF0">
        <w:rPr>
          <w:highlight w:val="green"/>
        </w:rPr>
        <w:fldChar w:fldCharType="begin" w:fldLock="1"/>
      </w:r>
      <w:r w:rsidR="00E63CC6" w:rsidRPr="00CC2BF0">
        <w:rPr>
          <w:highlight w:val="green"/>
        </w:rPr>
        <w:instrText>ADDIN CSL_CITATION { "citationItems" : [ { "id" : "ITEM-1", "itemData" : { "author" : [ { "dropping-particle" : "", "family" : "Vogt", "given" : "W. P", "non-dropping-particle" : "", "parse-names" : false, "suffix" : "" } ], "chapter-number" : "Editor's I", "container-title" : "SAGE Quantitative Research Methods", "editor" : [ { "dropping-particle" : "", "family" : "Vogt", "given" : "W. P.", "non-dropping-particle" : "", "parse-names" : false, "suffix" : "" } ], "id" : "ITEM-1", "issued" : { "date-parts" : [ [ "2011" ] ] }, "publisher" : "SAGE Publications", "title" : "Editor's Introduction", "type" : "chapter" }, "uris" : [ "http://www.mendeley.com/documents/?uuid=bac073e8-1d7e-404c-b7cd-5b10c39c1bae" ] } ], "mendeley" : { "formattedCitation" : "(Vogt, 2011)", "manualFormatting" : "(Vogt 2011, p.xxv)", "plainTextFormattedCitation" : "(Vogt, 2011)", "previouslyFormattedCitation" : "(Vogt, 2011)" }, "properties" : { "noteIndex" : 0 }, "schema" : "https://github.com/citation-style-language/schema/raw/master/csl-citation.json" }</w:instrText>
      </w:r>
      <w:r w:rsidR="0006228B" w:rsidRPr="00CC2BF0">
        <w:rPr>
          <w:highlight w:val="green"/>
        </w:rPr>
        <w:fldChar w:fldCharType="separate"/>
      </w:r>
      <w:r w:rsidR="0006228B" w:rsidRPr="00CC2BF0">
        <w:rPr>
          <w:noProof/>
          <w:highlight w:val="green"/>
        </w:rPr>
        <w:t>(Vogt 2011, p.xxv)</w:t>
      </w:r>
      <w:r w:rsidR="0006228B" w:rsidRPr="00CC2BF0">
        <w:rPr>
          <w:highlight w:val="green"/>
        </w:rPr>
        <w:fldChar w:fldCharType="end"/>
      </w:r>
      <w:r w:rsidR="0006228B" w:rsidRPr="00CC2BF0">
        <w:rPr>
          <w:highlight w:val="green"/>
        </w:rPr>
        <w:t xml:space="preserve">. I primarily draw upon two well-established statistical techniques: multilevel regression modelling </w:t>
      </w:r>
      <w:r w:rsidR="0006228B" w:rsidRPr="00CC2BF0">
        <w:rPr>
          <w:highlight w:val="green"/>
        </w:rPr>
        <w:fldChar w:fldCharType="begin" w:fldLock="1"/>
      </w:r>
      <w:r w:rsidR="00E63CC6" w:rsidRPr="00CC2BF0">
        <w:rPr>
          <w:highlight w:val="green"/>
        </w:rPr>
        <w:instrText>ADDIN CSL_CITATION { "citationItems" : [ { "id" : "ITEM-1", "itemData" : { "author" : [ { "dropping-particle" : "", "family" : "Aitkin", "given" : "M", "non-dropping-particle" : "", "parse-names" : false, "suffix" : "" }, { "dropping-particle" : "", "family" : "Longford", "given" : "N", "non-dropping-particle" : "", "parse-names" : false, "suffix" : "" } ], "container-title" : "Journal of the Royal Statistical Society: Series A (General)", "id" : "ITEM-1", "issue" : "1", "issued" : { "date-parts" : [ [ "1986" ] ] }, "page" : "1-43", "title" : "Statistical Modelling Issues in School Effectiveness Studies", "type" : "article-journal", "volume" : "149" }, "uris" : [ "http://www.mendeley.com/documents/?uuid=b7b19ba0-c35c-46ed-bc85-303929901ab8" ] }, { "id" : "ITEM-2", "itemData" : { "author" : [ { "dropping-particle" : "", "family" : "Goldstein", "given" : "Harvey", "non-dropping-particle" : "", "parse-names" : false, "suffix" : "" }, { "dropping-particle" : "", "family" : "Paterson", "given" : "L", "non-dropping-particle" : "", "parse-names" : false, "suffix" : "" } ], "container-title" : "British Educational Research Journal", "id" : "ITEM-2", "issue" : "4", "issued" : { "date-parts" : [ [ "1991" ] ] }, "page" : "387-393", "title" : "New Statistical Methods for Analysing Social Structures : An Introduction to Multilevel Models New Statistical Methods", "type" : "article-journal", "volume" : "17" }, "uris" : [ "http://www.mendeley.com/documents/?uuid=4cd5e43c-7435-40b2-8046-ec74f986b12a" ] }, { "id" : "ITEM-3", "itemData" : { "DOI" : "10.1080/0305498930190401", "ISBN" : "0305-4985", "ISSN" : "0305-4985", "abstract" : "Data on examination results from inner London schools are analysed in relation to intake achievement, pupil gender and school type. The examination achievement, averaged over subjects, is studied as is achievement in the separate subjects of mathematics and English. Multilevel models are fitted, so that the variation between schools can be studied. It is shown that confidence intervals for school 'residuals' or 'effects' are wide, so that few schools can be separated reliably. In particular, no fine rank ordering of schools legitimately can be produced. A bivariate model for mathematics and English examination achievement scores is fitted. The student level variance for both subjects is shown to increase from the lowest to the highest intake achievement group, with moderately high correlation between the subjects. The paper discusses the implications of these findings for the publication of 'league tables' of school examination and test scores.", "author" : [ { "dropping-particle" : "", "family" : "Goldstein", "given" : "Harvey", "non-dropping-particle" : "", "parse-names" : false, "suffix" : "" }, { "dropping-particle" : "", "family" : "Rasbash", "given" : "Jon", "non-dropping-particle" : "", "parse-names" : false, "suffix" : "" }, { "dropping-particle" : "", "family" : "Yang", "given" : "Min", "non-dropping-particle" : "", "parse-names" : false, "suffix" : "" }, { "dropping-particle" : "", "family" : "Woodhouse", "given" : "Geoffrey", "non-dropping-particle" : "", "parse-names" : false, "suffix" : "" }, { "dropping-particle" : "", "family" : "Pan", "given" : "Huiqi", "non-dropping-particle" : "", "parse-names" : false, "suffix" : "" }, { "dropping-particle" : "", "family" : "Nuttall", "given" : "Desmond", "non-dropping-particle" : "", "parse-names" : false, "suffix" : "" }, { "dropping-particle" : "", "family" : "Thomas", "given" : "Sally", "non-dropping-particle" : "", "parse-names" : false, "suffix" : "" } ], "container-title" : "Oxford Review of Education", "id" : "ITEM-3", "issue" : "4", "issued" : { "date-parts" : [ [ "1993" ] ] }, "page" : "425-433", "title" : "A Multilevel Analysis of School Examination Results", "type" : "article-journal", "volume" : "19" }, "uris" : [ "http://www.mendeley.com/documents/?uuid=6cfdf292-d858-4364-9191-9e98ce1af01e" ] } ], "mendeley" : { "formattedCitation" : "(Aitkin and Longford, 1986; Goldstein and Paterson, 1991; Goldstein &lt;i&gt;et al.&lt;/i&gt;, 1993)", "plainTextFormattedCitation" : "(Aitkin and Longford, 1986; Goldstein and Paterson, 1991; Goldstein et al., 1993)", "previouslyFormattedCitation" : "(Aitkin and Longford, 1986; Goldstein and Paterson, 1991; Goldstein &lt;i&gt;et al.&lt;/i&gt;, 1993)" }, "properties" : { "noteIndex" : 0 }, "schema" : "https://github.com/citation-style-language/schema/raw/master/csl-citation.json" }</w:instrText>
      </w:r>
      <w:r w:rsidR="0006228B" w:rsidRPr="00CC2BF0">
        <w:rPr>
          <w:highlight w:val="green"/>
        </w:rPr>
        <w:fldChar w:fldCharType="separate"/>
      </w:r>
      <w:r w:rsidR="00E63CC6" w:rsidRPr="00CC2BF0">
        <w:rPr>
          <w:noProof/>
          <w:highlight w:val="green"/>
        </w:rPr>
        <w:t xml:space="preserve">(Aitkin and Longford, 1986; Goldstein and Paterson, 1991; Goldstein </w:t>
      </w:r>
      <w:r w:rsidR="00E63CC6" w:rsidRPr="00CC2BF0">
        <w:rPr>
          <w:i/>
          <w:noProof/>
          <w:highlight w:val="green"/>
        </w:rPr>
        <w:t>et al.</w:t>
      </w:r>
      <w:r w:rsidR="00E63CC6" w:rsidRPr="00CC2BF0">
        <w:rPr>
          <w:noProof/>
          <w:highlight w:val="green"/>
        </w:rPr>
        <w:t>, 1993)</w:t>
      </w:r>
      <w:r w:rsidR="0006228B" w:rsidRPr="00CC2BF0">
        <w:rPr>
          <w:highlight w:val="green"/>
        </w:rPr>
        <w:fldChar w:fldCharType="end"/>
      </w:r>
      <w:r w:rsidR="006A6E88" w:rsidRPr="00CC2BF0">
        <w:rPr>
          <w:highlight w:val="green"/>
        </w:rPr>
        <w:t>,</w:t>
      </w:r>
      <w:r w:rsidR="0006228B" w:rsidRPr="00CC2BF0">
        <w:rPr>
          <w:highlight w:val="green"/>
        </w:rPr>
        <w:t xml:space="preserve"> an</w:t>
      </w:r>
      <w:r w:rsidR="00F24BCA" w:rsidRPr="00CC2BF0">
        <w:rPr>
          <w:highlight w:val="green"/>
        </w:rPr>
        <w:t>d principal components analysis alongside</w:t>
      </w:r>
      <w:r w:rsidR="00CC2BF0">
        <w:rPr>
          <w:highlight w:val="green"/>
        </w:rPr>
        <w:t xml:space="preserve"> </w:t>
      </w:r>
      <w:r w:rsidR="00F24BCA" w:rsidRPr="00CC2BF0">
        <w:rPr>
          <w:highlight w:val="green"/>
        </w:rPr>
        <w:t>exploratory</w:t>
      </w:r>
      <w:r w:rsidR="0006228B" w:rsidRPr="00CC2BF0">
        <w:rPr>
          <w:highlight w:val="green"/>
        </w:rPr>
        <w:t xml:space="preserve"> factor analysis </w:t>
      </w:r>
      <w:r w:rsidR="006A6E88" w:rsidRPr="00CC2BF0">
        <w:rPr>
          <w:highlight w:val="green"/>
        </w:rPr>
        <w:fldChar w:fldCharType="begin" w:fldLock="1"/>
      </w:r>
      <w:r w:rsidR="00E63CC6" w:rsidRPr="00CC2BF0">
        <w:rPr>
          <w:highlight w:val="green"/>
        </w:rPr>
        <w:instrText>ADDIN CSL_CITATION { "citationItems" : [ { "id" : "ITEM-1", "itemData" : { "author" : [ { "dropping-particle" : "", "family" : "Kaiser", "given" : "Henry F", "non-dropping-particle" : "", "parse-names" : false, "suffix" : "" } ], "container-title" : "Education and Psychological Measurement", "id" : "ITEM-1", "issue" : "1", "issued" : { "date-parts" : [ [ "1960" ] ] }, "page" : "141-151", "title" : "The Application of Electronic Computers to Factor Analysis", "type" : "article-journal", "volume" : "XX" }, "uris" : [ "http://www.mendeley.com/documents/?uuid=eb25e0a2-5580-4ccf-9525-86843c25cf39" ] }, { "id" : "ITEM-2", "itemData" : { "author" : [ { "dropping-particle" : "", "family" : "Kim", "given" : "OJ", "non-dropping-particle" : "", "parse-names" : false, "suffix" : "" }, { "dropping-particle" : "", "family" : "Mueller", "given" : "CW", "non-dropping-particle" : "", "parse-names" : false, "suffix" : "" } ], "id" : "ITEM-2", "issued" : { "date-parts" : [ [ "1978" ] ] }, "publisher" : "Sage", "publisher-place" : "Beverly Hills", "title" : "Introduction to factor analysis: What it is and how to do it", "type" : "book" }, "uris" : [ "http://www.mendeley.com/documents/?uuid=90da460c-193e-43a7-81f5-1985011d4963" ] } ], "mendeley" : { "formattedCitation" : "(Kaiser, 1960; Kim and Mueller, 1978)", "plainTextFormattedCitation" : "(Kaiser, 1960; Kim and Mueller, 1978)", "previouslyFormattedCitation" : "(Kaiser, 1960; Kim and Mueller, 1978)" }, "properties" : { "noteIndex" : 0 }, "schema" : "https://github.com/citation-style-language/schema/raw/master/csl-citation.json" }</w:instrText>
      </w:r>
      <w:r w:rsidR="006A6E88" w:rsidRPr="00CC2BF0">
        <w:rPr>
          <w:highlight w:val="green"/>
        </w:rPr>
        <w:fldChar w:fldCharType="separate"/>
      </w:r>
      <w:r w:rsidR="00E63CC6" w:rsidRPr="00CC2BF0">
        <w:rPr>
          <w:noProof/>
          <w:highlight w:val="green"/>
        </w:rPr>
        <w:t>(Kaiser, 1960; Kim and Mueller, 1978)</w:t>
      </w:r>
      <w:r w:rsidR="006A6E88" w:rsidRPr="00CC2BF0">
        <w:rPr>
          <w:highlight w:val="green"/>
        </w:rPr>
        <w:fldChar w:fldCharType="end"/>
      </w:r>
      <w:r w:rsidR="006A6E88" w:rsidRPr="00CC2BF0">
        <w:rPr>
          <w:highlight w:val="green"/>
        </w:rPr>
        <w:t>.</w:t>
      </w:r>
    </w:p>
    <w:p w14:paraId="3A96DCE6" w14:textId="2E81DB17" w:rsidR="00B77E5A" w:rsidRPr="00CB0798" w:rsidRDefault="006F0C9A" w:rsidP="00D852C0">
      <w:pPr>
        <w:rPr>
          <w:highlight w:val="green"/>
        </w:rPr>
      </w:pPr>
      <w:r w:rsidRPr="00CB0798">
        <w:rPr>
          <w:highlight w:val="green"/>
        </w:rPr>
        <w:t xml:space="preserve">Despite this justification for a quantitative approach and the strengths that such methods offer, it is also important to discuss the limitations. </w:t>
      </w:r>
      <w:r w:rsidR="00622B72" w:rsidRPr="00CB0798">
        <w:rPr>
          <w:highlight w:val="green"/>
        </w:rPr>
        <w:t>Schedler and Sarsfield (2007, p.</w:t>
      </w:r>
      <w:r w:rsidR="00B77E5A" w:rsidRPr="00CB0798">
        <w:rPr>
          <w:highlight w:val="green"/>
        </w:rPr>
        <w:t>638-640) identify four potential issues with the collection</w:t>
      </w:r>
      <w:r w:rsidRPr="00CB0798">
        <w:rPr>
          <w:highlight w:val="green"/>
        </w:rPr>
        <w:t xml:space="preserve"> and analysis</w:t>
      </w:r>
      <w:r w:rsidR="00B77E5A" w:rsidRPr="00CB0798">
        <w:rPr>
          <w:highlight w:val="green"/>
        </w:rPr>
        <w:t xml:space="preserve"> of survey data on democracy in particular:</w:t>
      </w:r>
    </w:p>
    <w:p w14:paraId="48A542C0" w14:textId="77777777" w:rsidR="00B77E5A" w:rsidRPr="00CB0798" w:rsidRDefault="00B77E5A" w:rsidP="002032DF">
      <w:pPr>
        <w:pStyle w:val="ListParagraph"/>
        <w:numPr>
          <w:ilvl w:val="0"/>
          <w:numId w:val="10"/>
        </w:numPr>
        <w:rPr>
          <w:highlight w:val="green"/>
        </w:rPr>
      </w:pPr>
      <w:r w:rsidRPr="00CB0798">
        <w:rPr>
          <w:highlight w:val="green"/>
        </w:rPr>
        <w:t>Interviewer effects</w:t>
      </w:r>
    </w:p>
    <w:p w14:paraId="06FEA428" w14:textId="77777777" w:rsidR="00B77E5A" w:rsidRPr="00CB0798" w:rsidRDefault="00B77E5A" w:rsidP="002032DF">
      <w:pPr>
        <w:pStyle w:val="ListParagraph"/>
        <w:numPr>
          <w:ilvl w:val="0"/>
          <w:numId w:val="10"/>
        </w:numPr>
        <w:rPr>
          <w:highlight w:val="green"/>
        </w:rPr>
      </w:pPr>
      <w:r w:rsidRPr="00CB0798">
        <w:rPr>
          <w:highlight w:val="green"/>
        </w:rPr>
        <w:t xml:space="preserve">Vacuous conceptions of democracy </w:t>
      </w:r>
    </w:p>
    <w:p w14:paraId="71EC554A" w14:textId="77777777" w:rsidR="00B77E5A" w:rsidRPr="00CB0798" w:rsidRDefault="00B77E5A" w:rsidP="002032DF">
      <w:pPr>
        <w:pStyle w:val="ListParagraph"/>
        <w:numPr>
          <w:ilvl w:val="0"/>
          <w:numId w:val="10"/>
        </w:numPr>
        <w:rPr>
          <w:highlight w:val="green"/>
        </w:rPr>
      </w:pPr>
      <w:r w:rsidRPr="00CB0798">
        <w:rPr>
          <w:highlight w:val="green"/>
        </w:rPr>
        <w:t xml:space="preserve">Competing conceptions of democracy </w:t>
      </w:r>
    </w:p>
    <w:p w14:paraId="1290F205" w14:textId="77777777" w:rsidR="00B77E5A" w:rsidRPr="00CB0798" w:rsidRDefault="00B77E5A" w:rsidP="002032DF">
      <w:pPr>
        <w:pStyle w:val="ListParagraph"/>
        <w:numPr>
          <w:ilvl w:val="0"/>
          <w:numId w:val="10"/>
        </w:numPr>
        <w:rPr>
          <w:highlight w:val="green"/>
        </w:rPr>
      </w:pPr>
      <w:r w:rsidRPr="00CB0798">
        <w:rPr>
          <w:highlight w:val="green"/>
        </w:rPr>
        <w:t xml:space="preserve">Conflicting values. </w:t>
      </w:r>
    </w:p>
    <w:p w14:paraId="6C672767" w14:textId="609EF8BA" w:rsidR="004069C9" w:rsidRPr="00CB0798" w:rsidRDefault="004069C9" w:rsidP="00D852C0">
      <w:pPr>
        <w:rPr>
          <w:highlight w:val="green"/>
        </w:rPr>
      </w:pPr>
      <w:r w:rsidRPr="00CB0798">
        <w:rPr>
          <w:highlight w:val="green"/>
        </w:rPr>
        <w:t>To discuss these issues in detail I will introduce the questions used in this thesis again (I briefly discussed them in the Literature Review, Section 2.4). However, I also fu</w:t>
      </w:r>
      <w:r w:rsidR="006A74D1" w:rsidRPr="00CB0798">
        <w:rPr>
          <w:highlight w:val="green"/>
        </w:rPr>
        <w:t>r</w:t>
      </w:r>
      <w:r w:rsidR="005E6836" w:rsidRPr="00CB0798">
        <w:rPr>
          <w:highlight w:val="green"/>
        </w:rPr>
        <w:t>ther justify</w:t>
      </w:r>
      <w:r w:rsidRPr="00CB0798">
        <w:rPr>
          <w:highlight w:val="green"/>
        </w:rPr>
        <w:t xml:space="preserve"> the used of the World Values Survey in the following section. </w:t>
      </w:r>
      <w:r w:rsidR="006A74D1" w:rsidRPr="00CB0798">
        <w:rPr>
          <w:highlight w:val="green"/>
        </w:rPr>
        <w:t>The questions appear as follows in the survey</w:t>
      </w:r>
      <w:r w:rsidR="00BD6DBC" w:rsidRPr="00CB0798">
        <w:rPr>
          <w:highlight w:val="green"/>
        </w:rPr>
        <w:t>:</w:t>
      </w:r>
      <w:r w:rsidR="00BD6DBC" w:rsidRPr="00CB0798">
        <w:rPr>
          <w:rStyle w:val="FootnoteReference"/>
          <w:highlight w:val="green"/>
        </w:rPr>
        <w:footnoteReference w:id="6"/>
      </w:r>
    </w:p>
    <w:p w14:paraId="5F6AD43B" w14:textId="77777777" w:rsidR="005E6836" w:rsidRPr="00CB0798" w:rsidRDefault="005E6836" w:rsidP="004069C9">
      <w:pPr>
        <w:pStyle w:val="Caption"/>
        <w:rPr>
          <w:highlight w:val="green"/>
        </w:rPr>
      </w:pPr>
    </w:p>
    <w:p w14:paraId="10686277" w14:textId="77777777" w:rsidR="005E6836" w:rsidRPr="00CB0798" w:rsidRDefault="005E6836" w:rsidP="004069C9">
      <w:pPr>
        <w:pStyle w:val="Caption"/>
        <w:rPr>
          <w:highlight w:val="green"/>
        </w:rPr>
      </w:pPr>
    </w:p>
    <w:p w14:paraId="5D698526" w14:textId="6347F07C" w:rsidR="005E6836" w:rsidRDefault="005E6836" w:rsidP="004069C9">
      <w:pPr>
        <w:pStyle w:val="Caption"/>
        <w:rPr>
          <w:highlight w:val="green"/>
        </w:rPr>
      </w:pPr>
    </w:p>
    <w:p w14:paraId="59E1ACD2" w14:textId="1AE1DBC0" w:rsidR="00A70E41" w:rsidRDefault="00A70E41" w:rsidP="00A70E41">
      <w:pPr>
        <w:rPr>
          <w:highlight w:val="green"/>
        </w:rPr>
      </w:pPr>
    </w:p>
    <w:p w14:paraId="65B81988" w14:textId="0CDBE673" w:rsidR="00A70E41" w:rsidRDefault="00A70E41" w:rsidP="00A70E41">
      <w:pPr>
        <w:rPr>
          <w:highlight w:val="green"/>
        </w:rPr>
      </w:pPr>
    </w:p>
    <w:p w14:paraId="6B247E3A" w14:textId="212B51FE" w:rsidR="00A70E41" w:rsidRDefault="00A70E41" w:rsidP="00A70E41">
      <w:pPr>
        <w:rPr>
          <w:highlight w:val="green"/>
        </w:rPr>
      </w:pPr>
    </w:p>
    <w:p w14:paraId="15F54F8C" w14:textId="77777777" w:rsidR="00A70E41" w:rsidRPr="00A70E41" w:rsidRDefault="00A70E41" w:rsidP="00A70E41">
      <w:pPr>
        <w:rPr>
          <w:highlight w:val="green"/>
        </w:rPr>
      </w:pPr>
    </w:p>
    <w:p w14:paraId="76418586" w14:textId="3650D921" w:rsidR="004069C9" w:rsidRPr="00994662" w:rsidRDefault="004069C9" w:rsidP="004069C9">
      <w:pPr>
        <w:pStyle w:val="Caption"/>
        <w:rPr>
          <w:rFonts w:ascii="Segoe UI" w:hAnsi="Segoe UI" w:cs="Segoe UI"/>
          <w:i w:val="0"/>
          <w:highlight w:val="green"/>
        </w:rPr>
      </w:pPr>
      <w:bookmarkStart w:id="127" w:name="_Toc494687138"/>
      <w:r w:rsidRPr="00994662">
        <w:rPr>
          <w:rFonts w:ascii="Segoe UI" w:hAnsi="Segoe UI" w:cs="Segoe UI"/>
          <w:i w:val="0"/>
          <w:highlight w:val="green"/>
        </w:rPr>
        <w:t xml:space="preserve">Figure </w:t>
      </w:r>
      <w:r w:rsidR="00400C47" w:rsidRPr="00994662">
        <w:rPr>
          <w:rFonts w:ascii="Segoe UI" w:hAnsi="Segoe UI" w:cs="Segoe UI"/>
          <w:i w:val="0"/>
          <w:highlight w:val="green"/>
        </w:rPr>
        <w:fldChar w:fldCharType="begin"/>
      </w:r>
      <w:r w:rsidR="00400C47" w:rsidRPr="00994662">
        <w:rPr>
          <w:rFonts w:ascii="Segoe UI" w:hAnsi="Segoe UI" w:cs="Segoe UI"/>
          <w:i w:val="0"/>
          <w:highlight w:val="green"/>
        </w:rPr>
        <w:instrText xml:space="preserve"> STYLEREF 1 \s </w:instrText>
      </w:r>
      <w:r w:rsidR="00400C47" w:rsidRPr="00994662">
        <w:rPr>
          <w:rFonts w:ascii="Segoe UI" w:hAnsi="Segoe UI" w:cs="Segoe UI"/>
          <w:i w:val="0"/>
          <w:highlight w:val="green"/>
        </w:rPr>
        <w:fldChar w:fldCharType="separate"/>
      </w:r>
      <w:r w:rsidR="00306E67" w:rsidRPr="00994662">
        <w:rPr>
          <w:rFonts w:ascii="Segoe UI" w:hAnsi="Segoe UI" w:cs="Segoe UI"/>
          <w:i w:val="0"/>
          <w:noProof/>
          <w:highlight w:val="green"/>
        </w:rPr>
        <w:t>3</w:t>
      </w:r>
      <w:r w:rsidR="00400C47" w:rsidRPr="00994662">
        <w:rPr>
          <w:rFonts w:ascii="Segoe UI" w:hAnsi="Segoe UI" w:cs="Segoe UI"/>
          <w:i w:val="0"/>
          <w:noProof/>
          <w:highlight w:val="green"/>
        </w:rPr>
        <w:fldChar w:fldCharType="end"/>
      </w:r>
      <w:r w:rsidRPr="00994662">
        <w:rPr>
          <w:rFonts w:ascii="Segoe UI" w:hAnsi="Segoe UI" w:cs="Segoe UI"/>
          <w:i w:val="0"/>
          <w:highlight w:val="green"/>
        </w:rPr>
        <w:t>:</w:t>
      </w:r>
      <w:r w:rsidR="00400C47" w:rsidRPr="00994662">
        <w:rPr>
          <w:rFonts w:ascii="Segoe UI" w:hAnsi="Segoe UI" w:cs="Segoe UI"/>
          <w:i w:val="0"/>
          <w:highlight w:val="green"/>
        </w:rPr>
        <w:fldChar w:fldCharType="begin"/>
      </w:r>
      <w:r w:rsidR="00400C47" w:rsidRPr="00994662">
        <w:rPr>
          <w:rFonts w:ascii="Segoe UI" w:hAnsi="Segoe UI" w:cs="Segoe UI"/>
          <w:i w:val="0"/>
          <w:highlight w:val="green"/>
        </w:rPr>
        <w:instrText xml:space="preserve"> SEQ Figure \* ARABIC \s 1 </w:instrText>
      </w:r>
      <w:r w:rsidR="00400C47" w:rsidRPr="00994662">
        <w:rPr>
          <w:rFonts w:ascii="Segoe UI" w:hAnsi="Segoe UI" w:cs="Segoe UI"/>
          <w:i w:val="0"/>
          <w:highlight w:val="green"/>
        </w:rPr>
        <w:fldChar w:fldCharType="separate"/>
      </w:r>
      <w:r w:rsidR="00306E67" w:rsidRPr="00994662">
        <w:rPr>
          <w:rFonts w:ascii="Segoe UI" w:hAnsi="Segoe UI" w:cs="Segoe UI"/>
          <w:i w:val="0"/>
          <w:noProof/>
          <w:highlight w:val="green"/>
        </w:rPr>
        <w:t>1</w:t>
      </w:r>
      <w:r w:rsidR="00400C47" w:rsidRPr="00994662">
        <w:rPr>
          <w:rFonts w:ascii="Segoe UI" w:hAnsi="Segoe UI" w:cs="Segoe UI"/>
          <w:i w:val="0"/>
          <w:noProof/>
          <w:highlight w:val="green"/>
        </w:rPr>
        <w:fldChar w:fldCharType="end"/>
      </w:r>
      <w:r w:rsidRPr="00994662">
        <w:rPr>
          <w:rFonts w:ascii="Segoe UI" w:hAnsi="Segoe UI" w:cs="Segoe UI"/>
          <w:i w:val="0"/>
          <w:highlight w:val="green"/>
        </w:rPr>
        <w:t xml:space="preserve"> </w:t>
      </w:r>
      <w:r w:rsidR="003A5664">
        <w:rPr>
          <w:rFonts w:ascii="Segoe UI" w:hAnsi="Segoe UI" w:cs="Segoe UI"/>
          <w:i w:val="0"/>
          <w:highlight w:val="green"/>
        </w:rPr>
        <w:t xml:space="preserve">Questions on </w:t>
      </w:r>
      <w:r w:rsidRPr="00994662">
        <w:rPr>
          <w:rFonts w:ascii="Segoe UI" w:hAnsi="Segoe UI" w:cs="Segoe UI"/>
          <w:i w:val="0"/>
          <w:highlight w:val="green"/>
        </w:rPr>
        <w:t>Democratic Characteristics from the WVS2008</w:t>
      </w:r>
      <w:bookmarkEnd w:id="127"/>
    </w:p>
    <w:p w14:paraId="2947455F" w14:textId="0522C84C" w:rsidR="004069C9" w:rsidRPr="00CB0798" w:rsidRDefault="004069C9" w:rsidP="00D852C0">
      <w:pPr>
        <w:rPr>
          <w:highlight w:val="green"/>
        </w:rPr>
      </w:pPr>
      <w:r w:rsidRPr="00CB0798">
        <w:rPr>
          <w:noProof/>
          <w:highlight w:val="green"/>
          <w:lang w:eastAsia="zh-CN"/>
        </w:rPr>
        <w:drawing>
          <wp:inline distT="0" distB="0" distL="0" distR="0" wp14:anchorId="6DEA1CF5" wp14:editId="4965C2B0">
            <wp:extent cx="5649290" cy="2522339"/>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649290" cy="2522339"/>
                    </a:xfrm>
                    <a:prstGeom prst="rect">
                      <a:avLst/>
                    </a:prstGeom>
                    <a:noFill/>
                    <a:ln w="9525">
                      <a:noFill/>
                      <a:miter lim="800000"/>
                      <a:headEnd/>
                      <a:tailEnd/>
                    </a:ln>
                  </pic:spPr>
                </pic:pic>
              </a:graphicData>
            </a:graphic>
          </wp:inline>
        </w:drawing>
      </w:r>
    </w:p>
    <w:p w14:paraId="5DA1604A" w14:textId="49BDCD60" w:rsidR="00B77E5A" w:rsidRPr="00CB0798" w:rsidRDefault="00B77E5A" w:rsidP="00D852C0">
      <w:pPr>
        <w:rPr>
          <w:highlight w:val="green"/>
        </w:rPr>
      </w:pPr>
      <w:r w:rsidRPr="00CB0798">
        <w:rPr>
          <w:highlight w:val="green"/>
        </w:rPr>
        <w:t>The ‘interviewer effects’ problem occurs because democracy is frequently see</w:t>
      </w:r>
      <w:r w:rsidR="009446A9" w:rsidRPr="00CB0798">
        <w:rPr>
          <w:highlight w:val="green"/>
        </w:rPr>
        <w:t xml:space="preserve">n as a socially desirable idea - </w:t>
      </w:r>
      <w:r w:rsidRPr="00CB0798">
        <w:rPr>
          <w:highlight w:val="green"/>
        </w:rPr>
        <w:t>for instance, the UN</w:t>
      </w:r>
      <w:r w:rsidR="009446A9" w:rsidRPr="00CB0798">
        <w:rPr>
          <w:highlight w:val="green"/>
        </w:rPr>
        <w:t>, US, European Union, World Bank and other powerful global leaders explicitly promote</w:t>
      </w:r>
      <w:r w:rsidRPr="00CB0798">
        <w:rPr>
          <w:highlight w:val="green"/>
        </w:rPr>
        <w:t xml:space="preserve"> democracy</w:t>
      </w:r>
      <w:r w:rsidR="009446A9" w:rsidRPr="00CB0798">
        <w:rPr>
          <w:highlight w:val="green"/>
        </w:rPr>
        <w:t xml:space="preserve"> </w:t>
      </w:r>
      <w:r w:rsidR="009446A9" w:rsidRPr="00CB0798">
        <w:rPr>
          <w:highlight w:val="green"/>
        </w:rPr>
        <w:fldChar w:fldCharType="begin" w:fldLock="1"/>
      </w:r>
      <w:r w:rsidR="00E63CC6" w:rsidRPr="00CB0798">
        <w:rPr>
          <w:highlight w:val="green"/>
        </w:rPr>
        <w:instrText>ADDIN CSL_CITATION { "citationItems" : [ { "id" : "ITEM-1", "itemData" : { "DOI" : "10.1177/0002764209350835", "ISBN" : "0002-7642", "ISSN" : "0002-7642", "abstract" : "The notion of social capital has gained enthusiastic support from nongovernmental organizations, intergovernmental confederations, and supranational bodies such as the European Union, the World Bank, and the United Nations. They all believe that social capital might be a potent aid for democratization, for repairing defective democracies, and for undermining authoritarian regimes. This article examines whether social capital has such positive effects in countries where democracy is not yet established. Does social capital help in a country's move toward democratization, or is the link between democracy and social capital more dubious? Does social capital even contribute to the stabilization of nondemocratic regimes? This article analyzes 70 countries that participated in the third wave of the World Values Survey. The results are clear: Social capital functions as a stabilizer of authoritarian rule. Its effects are mainly negative. Social trust, in particular, might be a \"key resource for the market economy and democratic politics\" ( Stolle, 2003, p. 19). In nondemocratic contexts, however, it appears to throw a spanner in the works of democratization. Social participation and trust, specifically, increase the stability of nondemocratic leadership by generating popular support, by suppressing regime-threatening forms of protest activity, and by nourishing undemocratic ideals of governance.", "author" : [ { "dropping-particle" : "", "family" : "Rossteutscher", "given" : "S.", "non-dropping-particle" : "", "parse-names" : false, "suffix" : "" } ], "container-title" : "American Behavioral Scientist", "id" : "ITEM-1", "issue" : "5", "issued" : { "date-parts" : [ [ "2010" ] ] }, "page" : "737-757", "title" : "Social Capital Worldwide: Potential for Democratization or Stabilizer of Authoritarian Rule?", "type" : "article-journal", "volume" : "53" }, "uris" : [ "http://www.mendeley.com/documents/?uuid=9caed953-a9c2-4fc5-8e69-7d3e2af124ad" ] } ], "mendeley" : { "formattedCitation" : "(Rossteutscher, 2010)", "manualFormatting" : "(Rossteutscher 2010", "plainTextFormattedCitation" : "(Rossteutscher, 2010)", "previouslyFormattedCitation" : "(Rossteutscher, 2010)" }, "properties" : { "noteIndex" : 0 }, "schema" : "https://github.com/citation-style-language/schema/raw/master/csl-citation.json" }</w:instrText>
      </w:r>
      <w:r w:rsidR="009446A9" w:rsidRPr="00CB0798">
        <w:rPr>
          <w:highlight w:val="green"/>
        </w:rPr>
        <w:fldChar w:fldCharType="separate"/>
      </w:r>
      <w:r w:rsidR="009446A9" w:rsidRPr="00CB0798">
        <w:rPr>
          <w:noProof/>
          <w:highlight w:val="green"/>
        </w:rPr>
        <w:t>(Rossteutscher 2010</w:t>
      </w:r>
      <w:r w:rsidR="009446A9" w:rsidRPr="00CB0798">
        <w:rPr>
          <w:highlight w:val="green"/>
        </w:rPr>
        <w:fldChar w:fldCharType="end"/>
      </w:r>
      <w:r w:rsidR="009446A9" w:rsidRPr="00CB0798">
        <w:rPr>
          <w:highlight w:val="green"/>
        </w:rPr>
        <w:t xml:space="preserve">; </w:t>
      </w:r>
      <w:r w:rsidR="009446A9" w:rsidRPr="00CB0798">
        <w:rPr>
          <w:highlight w:val="green"/>
        </w:rPr>
        <w:fldChar w:fldCharType="begin" w:fldLock="1"/>
      </w:r>
      <w:r w:rsidR="00E63CC6" w:rsidRPr="00CB0798">
        <w:rPr>
          <w:highlight w:val="green"/>
        </w:rPr>
        <w:instrText>ADDIN CSL_CITATION { "citationItems" : [ { "id" : "ITEM-1", "itemData" : { "author" : [ { "dropping-particle" : "", "family" : "Newman", "given" : "E", "non-dropping-particle" : "", "parse-names" : false, "suffix" : "" }, { "dropping-particle" : "", "family" : "Rich", "given" : "R", "non-dropping-particle" : "", "parse-names" : false, "suffix" : "" } ], "id" : "ITEM-1", "issued" : { "date-parts" : [ [ "2004" ] ] }, "publisher" : "United Nations University", "publisher-place" : "USA", "title" : "The UN Role in Promoting Democracy - Between ideas and reality", "type" : "book" }, "uris" : [ "http://www.mendeley.com/documents/?uuid=4bf59c98-7329-4e6a-94ff-fb6a6b2a1031" ] } ], "mendeley" : { "formattedCitation" : "(Newman and Rich, 2004)", "manualFormatting" : "Newman &amp; Rich 2004", "plainTextFormattedCitation" : "(Newman and Rich, 2004)", "previouslyFormattedCitation" : "(Newman and Rich, 2004)" }, "properties" : { "noteIndex" : 0 }, "schema" : "https://github.com/citation-style-language/schema/raw/master/csl-citation.json" }</w:instrText>
      </w:r>
      <w:r w:rsidR="009446A9" w:rsidRPr="00CB0798">
        <w:rPr>
          <w:highlight w:val="green"/>
        </w:rPr>
        <w:fldChar w:fldCharType="separate"/>
      </w:r>
      <w:r w:rsidR="009446A9" w:rsidRPr="00CB0798">
        <w:rPr>
          <w:noProof/>
          <w:highlight w:val="green"/>
        </w:rPr>
        <w:t>Newman &amp; Rich 2004</w:t>
      </w:r>
      <w:r w:rsidR="009446A9" w:rsidRPr="00CB0798">
        <w:rPr>
          <w:highlight w:val="green"/>
        </w:rPr>
        <w:fldChar w:fldCharType="end"/>
      </w:r>
      <w:r w:rsidR="009446A9" w:rsidRPr="00CB0798">
        <w:rPr>
          <w:highlight w:val="green"/>
        </w:rPr>
        <w:t xml:space="preserve">; </w:t>
      </w:r>
      <w:r w:rsidR="009446A9" w:rsidRPr="00CB0798">
        <w:rPr>
          <w:highlight w:val="green"/>
        </w:rPr>
        <w:fldChar w:fldCharType="begin" w:fldLock="1"/>
      </w:r>
      <w:r w:rsidR="00E63CC6" w:rsidRPr="00CB0798">
        <w:rPr>
          <w:highlight w:val="green"/>
        </w:rPr>
        <w:instrText>ADDIN CSL_CITATION { "citationItems" : [ { "id" : "ITEM-1", "itemData" : { "DOI" : "10.1111/0004-5608.00112", "abstract" : "We examine the relationship between the temporal and spatial aspects of democratic diffusion in the world system since 1946. We find strong and consistent evidence of temporal clustering of democratic and autocratic trends, as well as strong spatial association (or autocorrelation) of democratization. The analysis uses an exploratory data approach in a longitudinal framework to understand global and regional trends in changes in authority structures. Our work reveals discrete changes in regimes that run counter to the dominant aggregate trends of democratic waves or sequences, demonstrating how the ebb and flow of democracy varies among the world's regions. We conclude that further analysis of the process of regime change from autocracy to democracy, as well as reversals, should start from a \u0093domain-specific\u0094 position that dis-aggregates the globe into its regional mosaics.", "author" : [ { "dropping-particle" : "", "family" : "O'Loughlin", "given" : "John", "non-dropping-particle" : "", "parse-names" : false, "suffix" : "" }, { "dropping-particle" : "", "family" : "Ward", "given" : "Michael D", "non-dropping-particle" : "", "parse-names" : false, "suffix" : "" }, { "dropping-particle" : "", "family" : "Lofdahl", "given" : "Corey L", "non-dropping-particle" : "", "parse-names" : false, "suffix" : "" }, { "dropping-particle" : "", "family" : "Cohen", "given" : "Jordin S", "non-dropping-particle" : "", "parse-names" : false, "suffix" : "" }, { "dropping-particle" : "", "family" : "Brown", "given" : "David S", "non-dropping-particle" : "", "parse-names" : false, "suffix" : "" }, { "dropping-particle" : "", "family" : "Reilly", "given" : "David", "non-dropping-particle" : "", "parse-names" : false, "suffix" : "" }, { "dropping-particle" : "", "family" : "Gleditsch", "given" : "Kristian S", "non-dropping-particle" : "", "parse-names" : false, "suffix" : "" }, { "dropping-particle" : "", "family" : "Shin", "given" : "Michael", "non-dropping-particle" : "", "parse-names" : false, "suffix" : "" } ], "container-title" : "Annals of the Association of American Geographers", "id" : "ITEM-1", "issue" : "4", "issued" : { "date-parts" : [ [ "1998" ] ] }, "note" : "(private-note)Kep point of paper is that democracy and it's spread has geographic elements to it, ie. external contagion effects from both neighbors experiencing similar transistions/reversals, to the role of policy promotion from outside forces, such as the US or Japan. Useful section on the growth and spread of democracy which outlines key theories and trends in studies of democracy see notes", "page" : "545-574", "publisher" : "Routledge", "title" : "The Diffusion of Democracy, 1946-\u00961994", "type" : "article-journal", "volume" : "88" }, "uris" : [ "http://www.mendeley.com/documents/?uuid=cd152e7e-4bf2-4236-8ab2-988d4064bd27" ] } ], "mendeley" : { "formattedCitation" : "(John O\u2019Loughlin &lt;i&gt;et al.&lt;/i&gt;, 1998)", "manualFormatting" : "John O\u2019Loughlin et al. 1998)", "plainTextFormattedCitation" : "(John O\u2019Loughlin et al., 1998)", "previouslyFormattedCitation" : "(John O\u2019Loughlin &lt;i&gt;et al.&lt;/i&gt;, 1998)" }, "properties" : { "noteIndex" : 0 }, "schema" : "https://github.com/citation-style-language/schema/raw/master/csl-citation.json" }</w:instrText>
      </w:r>
      <w:r w:rsidR="009446A9" w:rsidRPr="00CB0798">
        <w:rPr>
          <w:highlight w:val="green"/>
        </w:rPr>
        <w:fldChar w:fldCharType="separate"/>
      </w:r>
      <w:r w:rsidR="009446A9" w:rsidRPr="00CB0798">
        <w:rPr>
          <w:noProof/>
          <w:highlight w:val="green"/>
        </w:rPr>
        <w:t xml:space="preserve">John O’Loughlin </w:t>
      </w:r>
      <w:r w:rsidR="00803848" w:rsidRPr="00CB0798">
        <w:rPr>
          <w:noProof/>
          <w:highlight w:val="green"/>
        </w:rPr>
        <w:t>et al</w:t>
      </w:r>
      <w:r w:rsidR="009446A9" w:rsidRPr="00CB0798">
        <w:rPr>
          <w:noProof/>
          <w:highlight w:val="green"/>
        </w:rPr>
        <w:t>. 1998)</w:t>
      </w:r>
      <w:r w:rsidR="009446A9" w:rsidRPr="00CB0798">
        <w:rPr>
          <w:highlight w:val="green"/>
        </w:rPr>
        <w:fldChar w:fldCharType="end"/>
      </w:r>
      <w:r w:rsidR="009446A9" w:rsidRPr="00CB0798">
        <w:rPr>
          <w:highlight w:val="green"/>
        </w:rPr>
        <w:t>.</w:t>
      </w:r>
      <w:r w:rsidRPr="00CB0798">
        <w:rPr>
          <w:highlight w:val="green"/>
        </w:rPr>
        <w:t xml:space="preserve"> As a result, an interviewee may feel judged or pressured to choose </w:t>
      </w:r>
      <w:r w:rsidR="009446A9" w:rsidRPr="00CB0798">
        <w:rPr>
          <w:highlight w:val="green"/>
        </w:rPr>
        <w:t xml:space="preserve">what they believe are </w:t>
      </w:r>
      <w:r w:rsidRPr="00CB0798">
        <w:rPr>
          <w:highlight w:val="green"/>
        </w:rPr>
        <w:t>pro-democratic answers, especially if questioned face-to-face. This is slightly lessened by the wording of the</w:t>
      </w:r>
      <w:r w:rsidR="005E6836" w:rsidRPr="00CB0798">
        <w:rPr>
          <w:highlight w:val="green"/>
        </w:rPr>
        <w:t>se</w:t>
      </w:r>
      <w:r w:rsidRPr="00CB0798">
        <w:rPr>
          <w:highlight w:val="green"/>
        </w:rPr>
        <w:t xml:space="preserve"> question</w:t>
      </w:r>
      <w:r w:rsidR="004069C9" w:rsidRPr="00CB0798">
        <w:rPr>
          <w:highlight w:val="green"/>
        </w:rPr>
        <w:t>s as they ask</w:t>
      </w:r>
      <w:r w:rsidRPr="00CB0798">
        <w:rPr>
          <w:highlight w:val="green"/>
        </w:rPr>
        <w:t xml:space="preserve">, are these characteristics ‘essential’ to the idea of democracy? This does raise the issue of the interviewee feeling they might be getting an answer ‘right’ or ‘wrong’ but it does not ask about the characteristic in terms of whether it is itself necessarily ‘good’ or ‘bad’. </w:t>
      </w:r>
    </w:p>
    <w:p w14:paraId="12F7D2BF" w14:textId="4CAB09F7" w:rsidR="00B77E5A" w:rsidRPr="00CB0798" w:rsidRDefault="00B77E5A" w:rsidP="00D852C0">
      <w:pPr>
        <w:rPr>
          <w:highlight w:val="green"/>
        </w:rPr>
      </w:pPr>
      <w:r w:rsidRPr="00CB0798">
        <w:rPr>
          <w:highlight w:val="green"/>
        </w:rPr>
        <w:t>The list of ten characteristics are also not presented in any obvious order, giving the interviewee space to make up their mind with less concern about the desirability of specific items. For instance</w:t>
      </w:r>
      <w:r w:rsidR="004E637D" w:rsidRPr="00CB0798">
        <w:rPr>
          <w:highlight w:val="green"/>
        </w:rPr>
        <w:t>,</w:t>
      </w:r>
      <w:r w:rsidRPr="00CB0798">
        <w:rPr>
          <w:highlight w:val="green"/>
        </w:rPr>
        <w:t xml:space="preserve"> a single and focused question on the interviewee’s belief in the required degree of criminal punishment in society could be quite ‘intense’, whereas this is lessened when the topic is discussed as part of a broader topic, and is asked amongst numerous other options.</w:t>
      </w:r>
    </w:p>
    <w:p w14:paraId="485CB763" w14:textId="598F348A" w:rsidR="00B77E5A" w:rsidRPr="00CB0798" w:rsidRDefault="00B77E5A" w:rsidP="00D852C0">
      <w:pPr>
        <w:rPr>
          <w:highlight w:val="green"/>
        </w:rPr>
      </w:pPr>
      <w:r w:rsidRPr="00CB0798">
        <w:rPr>
          <w:highlight w:val="green"/>
        </w:rPr>
        <w:t xml:space="preserve">However, it is important to acknowledge that overall, some elements of interview effects are impossible to avoid. Yet </w:t>
      </w:r>
      <w:r w:rsidR="005E6836" w:rsidRPr="00CB0798">
        <w:rPr>
          <w:highlight w:val="green"/>
        </w:rPr>
        <w:t xml:space="preserve">this </w:t>
      </w:r>
      <w:r w:rsidRPr="00CB0798">
        <w:rPr>
          <w:highlight w:val="green"/>
        </w:rPr>
        <w:t xml:space="preserve">is also a prevalent issue in qualitative studies, and the best thing to do is make sure that is borne in mind. </w:t>
      </w:r>
    </w:p>
    <w:p w14:paraId="27F42E2D" w14:textId="35107D8C" w:rsidR="00B77E5A" w:rsidRPr="00CB0798" w:rsidRDefault="00B77E5A" w:rsidP="00D852C0">
      <w:pPr>
        <w:rPr>
          <w:highlight w:val="green"/>
        </w:rPr>
      </w:pPr>
      <w:r w:rsidRPr="00CB0798">
        <w:rPr>
          <w:highlight w:val="green"/>
        </w:rPr>
        <w:t>In terms of vacuous or competing conceptualisations of democracy and conflicting values, this is clearly an issue when questions on democracy are used to understand levels of support or preferences for pol</w:t>
      </w:r>
      <w:r w:rsidR="00622B72" w:rsidRPr="00CB0798">
        <w:rPr>
          <w:highlight w:val="green"/>
        </w:rPr>
        <w:t>itical systems. Carnaghan (2011, pp.</w:t>
      </w:r>
      <w:r w:rsidRPr="00CB0798">
        <w:rPr>
          <w:highlight w:val="green"/>
        </w:rPr>
        <w:t>690-692) argues this even more strongly in her study of understandings of democracy amongst Russian citizens:  ‘</w:t>
      </w:r>
      <w:r w:rsidRPr="00CB0798">
        <w:rPr>
          <w:highlight w:val="green"/>
          <w:lang w:eastAsia="zh-CN"/>
        </w:rPr>
        <w:t xml:space="preserve">not only can we not be sure that respondents mean what </w:t>
      </w:r>
      <w:r w:rsidRPr="00CB0798">
        <w:rPr>
          <w:i/>
          <w:iCs/>
          <w:highlight w:val="green"/>
          <w:lang w:eastAsia="zh-CN"/>
        </w:rPr>
        <w:t>researchers</w:t>
      </w:r>
      <w:r w:rsidRPr="00CB0798">
        <w:rPr>
          <w:highlight w:val="green"/>
          <w:lang w:eastAsia="zh-CN"/>
        </w:rPr>
        <w:t xml:space="preserve"> mean when they talk about democracy, we cannot even be sure that they mean what </w:t>
      </w:r>
      <w:r w:rsidRPr="00CB0798">
        <w:rPr>
          <w:i/>
          <w:iCs/>
          <w:highlight w:val="green"/>
          <w:lang w:eastAsia="zh-CN"/>
        </w:rPr>
        <w:t>they say</w:t>
      </w:r>
      <w:r w:rsidRPr="00CB0798">
        <w:rPr>
          <w:highlight w:val="green"/>
          <w:lang w:eastAsia="zh-CN"/>
        </w:rPr>
        <w:t xml:space="preserve"> they mean’. Further, citizens may claim to support liberal democracy but not civil rights, which would be, theoretically at least, a contradiction. Not just when it comes to examining democracy, but across studies on attitudes and opinions it has long</w:t>
      </w:r>
      <w:r w:rsidR="005E6836" w:rsidRPr="00CB0798">
        <w:rPr>
          <w:highlight w:val="green"/>
          <w:lang w:eastAsia="zh-CN"/>
        </w:rPr>
        <w:t xml:space="preserve"> been</w:t>
      </w:r>
      <w:r w:rsidRPr="00CB0798">
        <w:rPr>
          <w:highlight w:val="green"/>
          <w:lang w:eastAsia="zh-CN"/>
        </w:rPr>
        <w:t xml:space="preserve"> pointed out that respondents can</w:t>
      </w:r>
      <w:r w:rsidR="006A74D1" w:rsidRPr="00CB0798">
        <w:rPr>
          <w:highlight w:val="green"/>
          <w:lang w:eastAsia="zh-CN"/>
        </w:rPr>
        <w:t xml:space="preserve"> ‘make up’ an opinion when asked a question they previously had not considered, or </w:t>
      </w:r>
      <w:r w:rsidRPr="00CB0798">
        <w:rPr>
          <w:highlight w:val="green"/>
          <w:lang w:eastAsia="zh-CN"/>
        </w:rPr>
        <w:t xml:space="preserve">hold conflicting values and provide contradictory responses across, or even </w:t>
      </w:r>
      <w:r w:rsidRPr="00CB0798">
        <w:rPr>
          <w:iCs/>
          <w:highlight w:val="green"/>
          <w:lang w:eastAsia="zh-CN"/>
        </w:rPr>
        <w:t>within</w:t>
      </w:r>
      <w:r w:rsidRPr="00CB0798">
        <w:rPr>
          <w:highlight w:val="green"/>
          <w:lang w:eastAsia="zh-CN"/>
        </w:rPr>
        <w:t xml:space="preserve">, surveys </w:t>
      </w:r>
      <w:r w:rsidR="00987B98" w:rsidRPr="00CB0798">
        <w:rPr>
          <w:highlight w:val="green"/>
          <w:lang w:eastAsia="zh-CN"/>
        </w:rPr>
        <w:fldChar w:fldCharType="begin" w:fldLock="1"/>
      </w:r>
      <w:r w:rsidR="00E63CC6" w:rsidRPr="00CB0798">
        <w:rPr>
          <w:highlight w:val="green"/>
          <w:lang w:eastAsia="zh-CN"/>
        </w:rPr>
        <w:instrText>ADDIN CSL_CITATION { "citationItems" : [ { "id" : "ITEM-1", "itemData" : { "author" : [ { "dropping-particle" : "", "family" : "Zaller", "given" : "John", "non-dropping-particle" : "", "parse-names" : false, "suffix" : "" }, { "dropping-particle" : "", "family" : "Feldman", "given" : "Stanley", "non-dropping-particle" : "", "parse-names" : false, "suffix" : "" } ], "container-title" : "Journal of Political Science", "id" : "ITEM-1", "issue" : "3", "issued" : { "date-parts" : [ [ "1992" ] ] }, "page" : "579-616", "title" : "A Simple Theory of the Survey Response : Answering Questions versus Revealing Preferences", "type" : "article-journal", "volume" : "36" }, "uris" : [ "http://www.mendeley.com/documents/?uuid=97d07f3b-e3a9-4a38-99b4-43952cf808ba" ] }, { "id" : "ITEM-2", "itemData" : { "author" : [ { "dropping-particle" : "", "family" : "Bourdieu", "given" : "P", "non-dropping-particle" : "", "parse-names" : false, "suffix" : "" } ], "container-title" : "Communication and Class Struggle", "editor" : [ { "dropping-particle" : "", "family" : "Mattelart", "given" : "", "non-dropping-particle" : "", "parse-names" : false, "suffix" : "" }, { "dropping-particle" : "", "family" : "Siegelaub", "given" : "S", "non-dropping-particle" : "", "parse-names" : false, "suffix" : "" } ], "id" : "ITEM-2", "issued" : { "date-parts" : [ [ "1979" ] ] }, "publisher" : "International General", "publisher-place" : "New York", "title" : "Public Opinion Does Not Exist", "type" : "chapter" }, "uris" : [ "http://www.mendeley.com/documents/?uuid=bcac6e09-965b-43ff-8f5c-850db6112b2c" ] } ], "mendeley" : { "formattedCitation" : "(Bourdieu, 1979; Zaller and Feldman, 1992)", "plainTextFormattedCitation" : "(Bourdieu, 1979; Zaller and Feldman, 1992)", "previouslyFormattedCitation" : "(Bourdieu, 1979; Zaller and Feldman, 1992)" }, "properties" : { "noteIndex" : 0 }, "schema" : "https://github.com/citation-style-language/schema/raw/master/csl-citation.json" }</w:instrText>
      </w:r>
      <w:r w:rsidR="00987B98" w:rsidRPr="00CB0798">
        <w:rPr>
          <w:highlight w:val="green"/>
          <w:lang w:eastAsia="zh-CN"/>
        </w:rPr>
        <w:fldChar w:fldCharType="separate"/>
      </w:r>
      <w:r w:rsidR="00E63CC6" w:rsidRPr="00CB0798">
        <w:rPr>
          <w:noProof/>
          <w:highlight w:val="green"/>
          <w:lang w:eastAsia="zh-CN"/>
        </w:rPr>
        <w:t>(Bourdieu, 1979; Zaller and Feldman, 1992)</w:t>
      </w:r>
      <w:r w:rsidR="00987B98" w:rsidRPr="00CB0798">
        <w:rPr>
          <w:highlight w:val="green"/>
          <w:lang w:eastAsia="zh-CN"/>
        </w:rPr>
        <w:fldChar w:fldCharType="end"/>
      </w:r>
      <w:r w:rsidRPr="00CB0798">
        <w:rPr>
          <w:highlight w:val="green"/>
          <w:lang w:eastAsia="zh-CN"/>
        </w:rPr>
        <w:t>.</w:t>
      </w:r>
    </w:p>
    <w:p w14:paraId="5D9C4CB0" w14:textId="7CD38F19" w:rsidR="00B77E5A" w:rsidRPr="00CB0798" w:rsidRDefault="00B77E5A" w:rsidP="00D852C0">
      <w:pPr>
        <w:rPr>
          <w:highlight w:val="green"/>
          <w:lang w:eastAsia="zh-CN"/>
        </w:rPr>
      </w:pPr>
      <w:r w:rsidRPr="00CB0798">
        <w:rPr>
          <w:highlight w:val="green"/>
          <w:lang w:eastAsia="zh-CN"/>
        </w:rPr>
        <w:t xml:space="preserve">Some of these issues are lessened for this particular group of questions, whilst others are not. In one respect, the problem of being provided with shallow or contradictory notions of democracy is tackled head on by the set of questions themselves. They ask about characteristics of democracy, not simply if a citizen supports democracy. </w:t>
      </w:r>
      <w:r w:rsidRPr="00CB0798">
        <w:rPr>
          <w:highlight w:val="green"/>
        </w:rPr>
        <w:t xml:space="preserve">The way the questions are worded is important; they make abstract reference to ‘democracy’, </w:t>
      </w:r>
      <w:r w:rsidRPr="00CB0798">
        <w:rPr>
          <w:i/>
          <w:highlight w:val="green"/>
        </w:rPr>
        <w:t>not</w:t>
      </w:r>
      <w:r w:rsidRPr="00CB0798">
        <w:rPr>
          <w:highlight w:val="green"/>
        </w:rPr>
        <w:t xml:space="preserve"> the </w:t>
      </w:r>
      <w:r w:rsidR="004069F7" w:rsidRPr="00CB0798">
        <w:rPr>
          <w:highlight w:val="green"/>
        </w:rPr>
        <w:t xml:space="preserve">particular political </w:t>
      </w:r>
      <w:r w:rsidRPr="00CB0798">
        <w:rPr>
          <w:highlight w:val="green"/>
        </w:rPr>
        <w:t>system the respondent currently lives under (which may not be democratic), or a system they would prefer to live under. In other questions directly before and after this group there is specific reference to issues in ‘</w:t>
      </w:r>
      <w:r w:rsidRPr="00CB0798">
        <w:rPr>
          <w:i/>
          <w:iCs/>
          <w:highlight w:val="green"/>
        </w:rPr>
        <w:t>this</w:t>
      </w:r>
      <w:r w:rsidRPr="00CB0798">
        <w:rPr>
          <w:highlight w:val="green"/>
        </w:rPr>
        <w:t xml:space="preserve"> country’ or ‘</w:t>
      </w:r>
      <w:r w:rsidRPr="00CB0798">
        <w:rPr>
          <w:i/>
          <w:iCs/>
          <w:highlight w:val="green"/>
        </w:rPr>
        <w:t>a</w:t>
      </w:r>
      <w:r w:rsidRPr="00CB0798">
        <w:rPr>
          <w:highlight w:val="green"/>
        </w:rPr>
        <w:t xml:space="preserve"> country’. This should help draw attention to the fact that this group of ten questions ask about defining the concept, not experience or judgement of the respondent’s own system.</w:t>
      </w:r>
      <w:r w:rsidRPr="00CB0798">
        <w:rPr>
          <w:highlight w:val="green"/>
          <w:lang w:eastAsia="zh-CN"/>
        </w:rPr>
        <w:t xml:space="preserve"> Furthermore bold, value-laden either/or choices are not used, and the scalar response allows for more nuanced responses to the issues raised. </w:t>
      </w:r>
    </w:p>
    <w:p w14:paraId="5036DBB2" w14:textId="30894C37" w:rsidR="00B77E5A" w:rsidRPr="00CB0798" w:rsidRDefault="00B77E5A" w:rsidP="00D852C0">
      <w:pPr>
        <w:rPr>
          <w:highlight w:val="green"/>
          <w:lang w:eastAsia="zh-CN"/>
        </w:rPr>
      </w:pPr>
      <w:r w:rsidRPr="00CB0798">
        <w:rPr>
          <w:highlight w:val="green"/>
          <w:lang w:eastAsia="zh-CN"/>
        </w:rPr>
        <w:t>This does not extinguish the problem entirely – with a survey there is always the chance that respondents arbitrarily tick boxes just to get through to the end. However, many of thes</w:t>
      </w:r>
      <w:r w:rsidR="006A74D1" w:rsidRPr="00CB0798">
        <w:rPr>
          <w:highlight w:val="green"/>
          <w:lang w:eastAsia="zh-CN"/>
        </w:rPr>
        <w:t>e surveys are collected face-to-</w:t>
      </w:r>
      <w:r w:rsidRPr="00CB0798">
        <w:rPr>
          <w:highlight w:val="green"/>
          <w:lang w:eastAsia="zh-CN"/>
        </w:rPr>
        <w:t xml:space="preserve">face, and the </w:t>
      </w:r>
      <w:r w:rsidR="006A74D1" w:rsidRPr="00CB0798">
        <w:rPr>
          <w:highlight w:val="green"/>
          <w:lang w:eastAsia="zh-CN"/>
        </w:rPr>
        <w:t>interviewer effect in this case be more positive and</w:t>
      </w:r>
      <w:r w:rsidRPr="00CB0798">
        <w:rPr>
          <w:highlight w:val="green"/>
          <w:lang w:eastAsia="zh-CN"/>
        </w:rPr>
        <w:t xml:space="preserve"> alleviate this issue somewhat, compared to an </w:t>
      </w:r>
      <w:r w:rsidR="006A74D1" w:rsidRPr="00CB0798">
        <w:rPr>
          <w:highlight w:val="green"/>
          <w:lang w:eastAsia="zh-CN"/>
        </w:rPr>
        <w:t xml:space="preserve">unsupervised </w:t>
      </w:r>
      <w:r w:rsidRPr="00CB0798">
        <w:rPr>
          <w:highlight w:val="green"/>
          <w:lang w:eastAsia="zh-CN"/>
        </w:rPr>
        <w:t>individual filling out a postal or online form.</w:t>
      </w:r>
    </w:p>
    <w:p w14:paraId="63971ABF" w14:textId="77777777" w:rsidR="00B77E5A" w:rsidRPr="00CB0798" w:rsidRDefault="00B77E5A" w:rsidP="00D852C0">
      <w:pPr>
        <w:rPr>
          <w:highlight w:val="green"/>
          <w:lang w:eastAsia="zh-CN"/>
        </w:rPr>
      </w:pPr>
      <w:r w:rsidRPr="00CB0798">
        <w:rPr>
          <w:highlight w:val="green"/>
          <w:lang w:eastAsia="zh-CN"/>
        </w:rPr>
        <w:t>Finally, the issue of conflicting values is that simple questions on democratic support may not at all appreciate the different alternative values that an individual holds, which may conflict with a wider understanding of democracy. This, of course, is a primary motivator for this thesis.</w:t>
      </w:r>
    </w:p>
    <w:p w14:paraId="36E9FE7C" w14:textId="1E3DB566" w:rsidR="00B77E5A" w:rsidRPr="00CB0798" w:rsidRDefault="00B77E5A" w:rsidP="00D852C0">
      <w:pPr>
        <w:rPr>
          <w:highlight w:val="green"/>
          <w:lang w:eastAsia="zh-CN"/>
        </w:rPr>
      </w:pPr>
      <w:r w:rsidRPr="00CB0798">
        <w:rPr>
          <w:highlight w:val="green"/>
          <w:lang w:eastAsia="zh-CN"/>
        </w:rPr>
        <w:t>However, against this backdrop of potentials issues, survey data has specific advantages over qualitative ethnographic studies or in-depth interviews</w:t>
      </w:r>
      <w:r w:rsidR="006A74D1" w:rsidRPr="00CB0798">
        <w:rPr>
          <w:highlight w:val="green"/>
          <w:lang w:eastAsia="zh-CN"/>
        </w:rPr>
        <w:t>. Here I want to talk about these</w:t>
      </w:r>
      <w:r w:rsidRPr="00CB0798">
        <w:rPr>
          <w:highlight w:val="green"/>
          <w:lang w:eastAsia="zh-CN"/>
        </w:rPr>
        <w:t xml:space="preserve"> in four areas:</w:t>
      </w:r>
    </w:p>
    <w:p w14:paraId="49D4A081" w14:textId="77777777" w:rsidR="00B77E5A" w:rsidRPr="00CB0798" w:rsidRDefault="00B77E5A" w:rsidP="002032DF">
      <w:pPr>
        <w:pStyle w:val="ListParagraph"/>
        <w:numPr>
          <w:ilvl w:val="0"/>
          <w:numId w:val="9"/>
        </w:numPr>
        <w:rPr>
          <w:highlight w:val="green"/>
        </w:rPr>
      </w:pPr>
      <w:r w:rsidRPr="00CB0798">
        <w:rPr>
          <w:highlight w:val="green"/>
          <w:lang w:eastAsia="zh-CN"/>
        </w:rPr>
        <w:t>Comparability</w:t>
      </w:r>
    </w:p>
    <w:p w14:paraId="7D1E5D4F" w14:textId="77777777" w:rsidR="00B77E5A" w:rsidRPr="00CB0798" w:rsidRDefault="00B77E5A" w:rsidP="002032DF">
      <w:pPr>
        <w:pStyle w:val="ListParagraph"/>
        <w:numPr>
          <w:ilvl w:val="0"/>
          <w:numId w:val="9"/>
        </w:numPr>
        <w:rPr>
          <w:highlight w:val="green"/>
        </w:rPr>
      </w:pPr>
      <w:r w:rsidRPr="00CB0798">
        <w:rPr>
          <w:highlight w:val="green"/>
          <w:lang w:eastAsia="zh-CN"/>
        </w:rPr>
        <w:t>Standardization</w:t>
      </w:r>
    </w:p>
    <w:p w14:paraId="10EEA7D9" w14:textId="77777777" w:rsidR="00B77E5A" w:rsidRPr="00CB0798" w:rsidRDefault="00B77E5A" w:rsidP="002032DF">
      <w:pPr>
        <w:pStyle w:val="ListParagraph"/>
        <w:numPr>
          <w:ilvl w:val="0"/>
          <w:numId w:val="9"/>
        </w:numPr>
        <w:rPr>
          <w:highlight w:val="green"/>
        </w:rPr>
      </w:pPr>
      <w:r w:rsidRPr="00CB0798">
        <w:rPr>
          <w:highlight w:val="green"/>
          <w:lang w:eastAsia="zh-CN"/>
        </w:rPr>
        <w:t>Generalization</w:t>
      </w:r>
    </w:p>
    <w:p w14:paraId="2EA9E4F5" w14:textId="77777777" w:rsidR="00B77E5A" w:rsidRPr="00CB0798" w:rsidRDefault="00B77E5A" w:rsidP="002032DF">
      <w:pPr>
        <w:pStyle w:val="ListParagraph"/>
        <w:numPr>
          <w:ilvl w:val="0"/>
          <w:numId w:val="9"/>
        </w:numPr>
        <w:rPr>
          <w:highlight w:val="green"/>
        </w:rPr>
      </w:pPr>
      <w:r w:rsidRPr="00CB0798">
        <w:rPr>
          <w:highlight w:val="green"/>
          <w:lang w:eastAsia="zh-CN"/>
        </w:rPr>
        <w:t>Replicability</w:t>
      </w:r>
    </w:p>
    <w:p w14:paraId="46C15C87" w14:textId="212EADAC" w:rsidR="00B77E5A" w:rsidRPr="00CB0798" w:rsidRDefault="00B77E5A" w:rsidP="00D852C0">
      <w:pPr>
        <w:rPr>
          <w:highlight w:val="green"/>
          <w:lang w:eastAsia="zh-CN"/>
        </w:rPr>
      </w:pPr>
      <w:r w:rsidRPr="00CB0798">
        <w:rPr>
          <w:highlight w:val="green"/>
          <w:lang w:eastAsia="zh-CN"/>
        </w:rPr>
        <w:t xml:space="preserve">Comparative survey research enables scholars to test cross-national variation in attitudes towards democracy and the extent to which they can be explained, expanding our understanding of democratic values and democratization in different contexts </w:t>
      </w:r>
      <w:r w:rsidR="00EA2FA4" w:rsidRPr="00CB0798">
        <w:rPr>
          <w:highlight w:val="green"/>
          <w:lang w:eastAsia="zh-CN"/>
        </w:rPr>
        <w:fldChar w:fldCharType="begin" w:fldLock="1"/>
      </w:r>
      <w:r w:rsidR="00E63CC6" w:rsidRPr="00CB0798">
        <w:rPr>
          <w:highlight w:val="green"/>
          <w:lang w:eastAsia="zh-CN"/>
        </w:rPr>
        <w:instrText>ADDIN CSL_CITATION { "citationItems" : [ { "id" : "ITEM-1", "itemData" : { "DOI" : "10.1007/s11205-010-9693-5", "ISSN" : "0303-8300", "author" : [ { "dropping-particle" : "", "family" : "Ariely", "given" : "Gal", "non-dropping-particle" : "", "parse-names" : false, "suffix" : "" }, { "dropping-particle" : "", "family" : "Davidov", "given" : "Eldad", "non-dropping-particle" : "", "parse-names" : false, "suffix" : "" } ], "container-title" : "Social Indicators Research", "id" : "ITEM-1", "issue" : "2", "issued" : { "date-parts" : [ [ "2010", "9", "3" ] ] }, "page" : "271-286", "title" : "Can we Rate Public Support for Democracy in a Comparable Way? Cross-National Equivalence of Democratic Attitudes in the World Value Survey", "type" : "article-journal", "volume" : "104" }, "uris" : [ "http://www.mendeley.com/documents/?uuid=a3e3b2b7-8e7d-482b-aef5-7140b4e26c13" ] } ], "mendeley" : { "formattedCitation" : "(Ariely and Davidov, 2010)", "plainTextFormattedCitation" : "(Ariely and Davidov, 2010)", "previouslyFormattedCitation" : "(Ariely and Davidov, 2010)" }, "properties" : { "noteIndex" : 0 }, "schema" : "https://github.com/citation-style-language/schema/raw/master/csl-citation.json" }</w:instrText>
      </w:r>
      <w:r w:rsidR="00EA2FA4" w:rsidRPr="00CB0798">
        <w:rPr>
          <w:highlight w:val="green"/>
          <w:lang w:eastAsia="zh-CN"/>
        </w:rPr>
        <w:fldChar w:fldCharType="separate"/>
      </w:r>
      <w:r w:rsidR="00E63CC6" w:rsidRPr="00CB0798">
        <w:rPr>
          <w:noProof/>
          <w:highlight w:val="green"/>
          <w:lang w:eastAsia="zh-CN"/>
        </w:rPr>
        <w:t>(Ariely and Davidov, 2010)</w:t>
      </w:r>
      <w:r w:rsidR="00EA2FA4" w:rsidRPr="00CB0798">
        <w:rPr>
          <w:highlight w:val="green"/>
          <w:lang w:eastAsia="zh-CN"/>
        </w:rPr>
        <w:fldChar w:fldCharType="end"/>
      </w:r>
      <w:r w:rsidRPr="00CB0798">
        <w:rPr>
          <w:highlight w:val="green"/>
          <w:lang w:eastAsia="zh-CN"/>
        </w:rPr>
        <w:t>. Largely due to the time and expense of data collection, even the most structured of non-survey-based interviews will struggle to produce enough data to be considered comparable internationally, and in-depth interviews will struggle even more.</w:t>
      </w:r>
    </w:p>
    <w:p w14:paraId="03077280" w14:textId="67C015B3" w:rsidR="00B77E5A" w:rsidRPr="00CB0798" w:rsidRDefault="00B77E5A" w:rsidP="00D852C0">
      <w:pPr>
        <w:rPr>
          <w:highlight w:val="green"/>
        </w:rPr>
      </w:pPr>
      <w:r w:rsidRPr="00CB0798">
        <w:rPr>
          <w:highlight w:val="green"/>
          <w:lang w:eastAsia="zh-CN"/>
        </w:rPr>
        <w:t>By facilitating the study of political behaviour across a variety of political contexts, cross-national public opinion projects enable researchers to link individual-level outcomes to institutional settings through i</w:t>
      </w:r>
      <w:r w:rsidR="001931FA" w:rsidRPr="00CB0798">
        <w:rPr>
          <w:highlight w:val="green"/>
          <w:lang w:eastAsia="zh-CN"/>
        </w:rPr>
        <w:t xml:space="preserve">ncreasingly “large-N” analyses </w:t>
      </w:r>
      <w:r w:rsidR="001931FA" w:rsidRPr="00CB0798">
        <w:rPr>
          <w:highlight w:val="green"/>
          <w:lang w:eastAsia="zh-CN"/>
        </w:rPr>
        <w:fldChar w:fldCharType="begin" w:fldLock="1"/>
      </w:r>
      <w:r w:rsidR="00E63CC6" w:rsidRPr="00CB0798">
        <w:rPr>
          <w:highlight w:val="green"/>
          <w:lang w:eastAsia="zh-CN"/>
        </w:rPr>
        <w:instrText>ADDIN CSL_CITATION { "citationItems" : [ { "id" : "ITEM-1", "itemData" : { "DOI" : "10.1093/pan/mpi030", "abstract" : "In recent years, large sets of national surveys with shared content have increasingly been used for cross-national opinion research. But scholars have not yet settled on the most flexible and efficient models for utilizing such data. We present a two-step strategy for such analysis that takes advantage of the fact that in such datasets each \u201d cluster\u201d (i.e., country sample) is large enough to sustain separate analysis of its internal variances and covariances. We illustrate the method by examining a puzzle of comparative electoral behavior\u2014why does turnout decline rather than increase with the number of parties competing in an election (Blais and Dobryzynska 1998, for example)? This discussion demonstrates the ease with which a two-step strategy incorporates confounding variables operating at different levels of analysis. Technical appendices demonstrate that the two-step strategy does not lose efficiency of estimation as compared with a pooling strategy.", "author" : [ { "dropping-particle" : "", "family" : "Jusko", "given" : "Karen L", "non-dropping-particle" : "", "parse-names" : false, "suffix" : "" }, { "dropping-particle" : "", "family" : "Shively", "given" : "W Phillips", "non-dropping-particle" : "", "parse-names" : false, "suffix" : "" } ], "container-title" : "Political Analysis", "id" : "ITEM-1", "issue" : "4", "issued" : { "date-parts" : [ [ "2005", "10" ] ] }, "page" : "327-344", "title" : "Applying a Two-Step Strategy to the Analysis of Cross-National Public Opinion Data", "type" : "article-journal", "volume" : "13" }, "uris" : [ "http://www.mendeley.com/documents/?uuid=cd7b4d3b-6d58-452e-a921-714f27cf6f79" ] } ], "mendeley" : { "formattedCitation" : "(Jusko and Shively, 2005)", "manualFormatting" : "(Jusko &amp; Shively 2005, p.327)", "plainTextFormattedCitation" : "(Jusko and Shively, 2005)", "previouslyFormattedCitation" : "(Jusko and Shively, 2005)" }, "properties" : { "noteIndex" : 0 }, "schema" : "https://github.com/citation-style-language/schema/raw/master/csl-citation.json" }</w:instrText>
      </w:r>
      <w:r w:rsidR="001931FA" w:rsidRPr="00CB0798">
        <w:rPr>
          <w:highlight w:val="green"/>
          <w:lang w:eastAsia="zh-CN"/>
        </w:rPr>
        <w:fldChar w:fldCharType="separate"/>
      </w:r>
      <w:r w:rsidR="001931FA" w:rsidRPr="00CB0798">
        <w:rPr>
          <w:noProof/>
          <w:highlight w:val="green"/>
          <w:lang w:eastAsia="zh-CN"/>
        </w:rPr>
        <w:t>(Jusko &amp; Shively 2005, p.327)</w:t>
      </w:r>
      <w:r w:rsidR="001931FA" w:rsidRPr="00CB0798">
        <w:rPr>
          <w:highlight w:val="green"/>
          <w:lang w:eastAsia="zh-CN"/>
        </w:rPr>
        <w:fldChar w:fldCharType="end"/>
      </w:r>
      <w:r w:rsidRPr="00CB0798">
        <w:rPr>
          <w:highlight w:val="green"/>
          <w:lang w:eastAsia="zh-CN"/>
        </w:rPr>
        <w:t xml:space="preserve">. Because of comparability advantages, survey data are also more effective for the generalization of results. Data coding frameworks are predetermined and </w:t>
      </w:r>
      <w:r w:rsidR="005E6836" w:rsidRPr="00CB0798">
        <w:rPr>
          <w:highlight w:val="green"/>
          <w:lang w:eastAsia="zh-CN"/>
        </w:rPr>
        <w:t>consequently</w:t>
      </w:r>
      <w:r w:rsidRPr="00CB0798">
        <w:rPr>
          <w:highlight w:val="green"/>
          <w:lang w:eastAsia="zh-CN"/>
        </w:rPr>
        <w:t xml:space="preserve"> much quicker, and when organised internationally (as in surveys such as the WVS), collating and presenting the data is undertaken with comparison as a central requirement. This standardization of the data collection is designed to minimise issues such as interview effects and differences caused by, for instance, asking questions in a different order. If specific cultural differences appear to notably affect the interpretation of a question, pilot questionnaires and additional information are recorded and available for the secondary researcher to access (see worldvaluessurvey.org).</w:t>
      </w:r>
    </w:p>
    <w:p w14:paraId="4FC0489A" w14:textId="6CA90673" w:rsidR="00B77E5A" w:rsidRPr="00CB0798" w:rsidRDefault="00B77E5A" w:rsidP="00D852C0">
      <w:pPr>
        <w:rPr>
          <w:highlight w:val="green"/>
        </w:rPr>
      </w:pPr>
      <w:r w:rsidRPr="00CB0798">
        <w:rPr>
          <w:highlight w:val="green"/>
          <w:lang w:eastAsia="zh-CN"/>
        </w:rPr>
        <w:t>The entire WVS dataset from 1981 onwards is freely available online for researchers to examine. This means that, if I am transparent about my methods, another researcher is free to check my results. If researchers are open and clear about the methodological procedures they use in examining survey data, they can avoid potential ‘black box’ issues: inferences made from data without a full explanation of the processes used to produce them. Since data is anonymised another researcher cannot find the original respondent to confirm their answers. However, by making survey data and methods available, other researchers can at least attempt to replicate results, in order to check accuracy and approach</w:t>
      </w:r>
      <w:r w:rsidR="00E93D14" w:rsidRPr="00CB0798">
        <w:rPr>
          <w:highlight w:val="green"/>
          <w:lang w:eastAsia="zh-CN"/>
        </w:rPr>
        <w:t xml:space="preserve"> </w:t>
      </w:r>
      <w:r w:rsidR="00E93D14" w:rsidRPr="00CB0798">
        <w:rPr>
          <w:highlight w:val="green"/>
          <w:lang w:eastAsia="zh-CN"/>
        </w:rPr>
        <w:fldChar w:fldCharType="begin" w:fldLock="1"/>
      </w:r>
      <w:r w:rsidR="00E63CC6" w:rsidRPr="00CB0798">
        <w:rPr>
          <w:highlight w:val="green"/>
          <w:lang w:eastAsia="zh-CN"/>
        </w:rPr>
        <w:instrText>ADDIN CSL_CITATION { "citationItems" : [ { "id" : "ITEM-1", "itemData" : { "DOI" : "10.1177/0309132515599625", "ISBN" : "0309132515599", "ISSN" : "0309-1325", "abstract" : "Reproducible quantitative research is research that has been documented sufficiently rigorously that a third party can replicate any quantitative results that arise. It is argued here that such a goal is desirable for quantitative human geography, particularly as trends in this area suggest a turn towards the creation of algorithms and codes for simulation and the analysis of Big Data. A number of examples of good practice in this area are considered, spanning a time period from the late 1970s to the present day. Following this, practical aspects such as tools that enable research to be made reproducible are discussed, and some beneficial side effects of adopting the practice are identified. The paper concludes by considering some of the challenges faced by quantitative geographers aspiring to publish reproducible research. \u00a9 2015, \u00a9 The Author(s) 2015.", "author" : [ { "dropping-particle" : "", "family" : "Brunsdon", "given" : "C.", "non-dropping-particle" : "", "parse-names" : false, "suffix" : "" } ], "container-title" : "Progress in Human Geography", "id" : "ITEM-1", "issue" : "5", "issued" : { "date-parts" : [ [ "2016" ] ] }, "page" : "687-696", "title" : "Quantitative methods I: Reproducible research and quantitative geography", "type" : "article-journal", "volume" : "40" }, "uris" : [ "http://www.mendeley.com/documents/?uuid=8a345d09-e6ae-4fbf-af86-bd920942256d" ] } ], "mendeley" : { "formattedCitation" : "(Brunsdon, 2016)", "plainTextFormattedCitation" : "(Brunsdon, 2016)", "previouslyFormattedCitation" : "(Brunsdon, 2016)" }, "properties" : { "noteIndex" : 0 }, "schema" : "https://github.com/citation-style-language/schema/raw/master/csl-citation.json" }</w:instrText>
      </w:r>
      <w:r w:rsidR="00E93D14" w:rsidRPr="00CB0798">
        <w:rPr>
          <w:highlight w:val="green"/>
          <w:lang w:eastAsia="zh-CN"/>
        </w:rPr>
        <w:fldChar w:fldCharType="separate"/>
      </w:r>
      <w:r w:rsidR="00E63CC6" w:rsidRPr="00CB0798">
        <w:rPr>
          <w:noProof/>
          <w:highlight w:val="green"/>
          <w:lang w:eastAsia="zh-CN"/>
        </w:rPr>
        <w:t>(Brunsdon, 2016)</w:t>
      </w:r>
      <w:r w:rsidR="00E93D14" w:rsidRPr="00CB0798">
        <w:rPr>
          <w:highlight w:val="green"/>
          <w:lang w:eastAsia="zh-CN"/>
        </w:rPr>
        <w:fldChar w:fldCharType="end"/>
      </w:r>
      <w:r w:rsidRPr="00CB0798">
        <w:rPr>
          <w:highlight w:val="green"/>
          <w:lang w:eastAsia="zh-CN"/>
        </w:rPr>
        <w:t>. This is far more difficult for coding and analysing interview transcripts, as th</w:t>
      </w:r>
      <w:r w:rsidR="00E66411" w:rsidRPr="00CB0798">
        <w:rPr>
          <w:highlight w:val="green"/>
          <w:lang w:eastAsia="zh-CN"/>
        </w:rPr>
        <w:t>ese</w:t>
      </w:r>
      <w:r w:rsidRPr="00CB0798">
        <w:rPr>
          <w:highlight w:val="green"/>
          <w:lang w:eastAsia="zh-CN"/>
        </w:rPr>
        <w:t xml:space="preserve"> data </w:t>
      </w:r>
      <w:r w:rsidR="00E66411" w:rsidRPr="00CB0798">
        <w:rPr>
          <w:highlight w:val="green"/>
          <w:lang w:eastAsia="zh-CN"/>
        </w:rPr>
        <w:t xml:space="preserve">are </w:t>
      </w:r>
      <w:r w:rsidRPr="00CB0798">
        <w:rPr>
          <w:highlight w:val="green"/>
          <w:lang w:eastAsia="zh-CN"/>
        </w:rPr>
        <w:t>frequently not available for secondary analysis.</w:t>
      </w:r>
      <w:r w:rsidRPr="00CB0798">
        <w:rPr>
          <w:rStyle w:val="FootnoteReference"/>
          <w:highlight w:val="green"/>
        </w:rPr>
        <w:footnoteReference w:id="7"/>
      </w:r>
    </w:p>
    <w:p w14:paraId="1EAE2D51" w14:textId="7E42CD48" w:rsidR="00B77E5A" w:rsidRPr="00CB0798" w:rsidRDefault="00B77E5A" w:rsidP="00D852C0">
      <w:pPr>
        <w:rPr>
          <w:highlight w:val="green"/>
          <w:lang w:eastAsia="zh-CN"/>
        </w:rPr>
      </w:pPr>
      <w:r w:rsidRPr="00CB0798">
        <w:rPr>
          <w:highlight w:val="green"/>
          <w:lang w:eastAsia="zh-CN"/>
        </w:rPr>
        <w:t>As with all research approaches, survey data has it strengths and weaknesses, and acknowledging these is essential. For this thesis, which examine</w:t>
      </w:r>
      <w:r w:rsidR="009E79B8">
        <w:rPr>
          <w:highlight w:val="green"/>
          <w:lang w:eastAsia="zh-CN"/>
        </w:rPr>
        <w:t>s</w:t>
      </w:r>
      <w:r w:rsidRPr="00CB0798">
        <w:rPr>
          <w:highlight w:val="green"/>
          <w:lang w:eastAsia="zh-CN"/>
        </w:rPr>
        <w:t xml:space="preserve"> overall trends, typologies and configurations of attitudes towards democracy, survey data is</w:t>
      </w:r>
      <w:r w:rsidR="006A74D1" w:rsidRPr="00CB0798">
        <w:rPr>
          <w:highlight w:val="green"/>
          <w:lang w:eastAsia="zh-CN"/>
        </w:rPr>
        <w:t xml:space="preserve"> clearly</w:t>
      </w:r>
      <w:r w:rsidRPr="00CB0798">
        <w:rPr>
          <w:highlight w:val="green"/>
          <w:lang w:eastAsia="zh-CN"/>
        </w:rPr>
        <w:t xml:space="preserve"> the most appropriate. </w:t>
      </w:r>
    </w:p>
    <w:p w14:paraId="1B0D4017" w14:textId="2ED0FDDD" w:rsidR="00B77E5A" w:rsidRPr="000367C8" w:rsidRDefault="00B77E5A" w:rsidP="00D852C0">
      <w:r w:rsidRPr="00CB0798">
        <w:rPr>
          <w:highlight w:val="green"/>
          <w:lang w:eastAsia="zh-CN"/>
        </w:rPr>
        <w:t>The next section discusses the particular survey dataset use</w:t>
      </w:r>
      <w:r w:rsidR="00684FF1">
        <w:rPr>
          <w:highlight w:val="green"/>
          <w:lang w:eastAsia="zh-CN"/>
        </w:rPr>
        <w:t>d for this project, the WVS2008</w:t>
      </w:r>
      <w:r w:rsidR="00684FF1">
        <w:rPr>
          <w:lang w:eastAsia="zh-CN"/>
        </w:rPr>
        <w:t xml:space="preserve">. </w:t>
      </w:r>
      <w:r w:rsidR="00684FF1" w:rsidRPr="00684FF1">
        <w:rPr>
          <w:highlight w:val="green"/>
          <w:lang w:eastAsia="zh-CN"/>
        </w:rPr>
        <w:t>It outlines the coverage of the WVS on key measures – governance, GDP an</w:t>
      </w:r>
      <w:r w:rsidR="009E79B8">
        <w:rPr>
          <w:highlight w:val="green"/>
          <w:lang w:eastAsia="zh-CN"/>
        </w:rPr>
        <w:t>d</w:t>
      </w:r>
      <w:r w:rsidR="00684FF1" w:rsidRPr="00684FF1">
        <w:rPr>
          <w:highlight w:val="green"/>
          <w:lang w:eastAsia="zh-CN"/>
        </w:rPr>
        <w:t xml:space="preserve"> development – as well as discussing issues of missing data.</w:t>
      </w:r>
    </w:p>
    <w:p w14:paraId="666066A7" w14:textId="77777777" w:rsidR="00B77E5A" w:rsidRPr="00E223A2" w:rsidRDefault="00B77E5A" w:rsidP="00E223A2">
      <w:pPr>
        <w:pStyle w:val="Heading3"/>
      </w:pPr>
      <w:bookmarkStart w:id="128" w:name="_Toc441069183"/>
      <w:r w:rsidRPr="00E223A2">
        <w:t>The Data: World Values Survey 2005-2008</w:t>
      </w:r>
      <w:bookmarkEnd w:id="128"/>
    </w:p>
    <w:p w14:paraId="1B4F0CA1" w14:textId="5A6C2627" w:rsidR="00B77E5A" w:rsidRPr="000367C8" w:rsidRDefault="00B77E5A" w:rsidP="00D852C0">
      <w:r w:rsidRPr="000367C8">
        <w:t xml:space="preserve">The choice of the WVS2008 is </w:t>
      </w:r>
      <w:r>
        <w:t xml:space="preserve">also </w:t>
      </w:r>
      <w:r w:rsidRPr="000367C8">
        <w:t>relatively straightforward: it has the broadest scope of all international surveys on values and opinions. By running near-identical surveys across countries it provides unique comparative depth for studies of public opinion, covering polities in the global north and south, established and emerging democracies, and even some autocracies The WVS has been running large-scale multinational surveys since 1989 and is one of the most</w:t>
      </w:r>
      <w:r w:rsidR="006A74D1">
        <w:t xml:space="preserve"> – if not </w:t>
      </w:r>
      <w:r w:rsidR="006A74D1" w:rsidRPr="006A74D1">
        <w:rPr>
          <w:i/>
        </w:rPr>
        <w:t>the</w:t>
      </w:r>
      <w:r w:rsidR="006A74D1">
        <w:t xml:space="preserve"> </w:t>
      </w:r>
      <w:r w:rsidR="006A74D1" w:rsidRPr="006A74D1">
        <w:t>most</w:t>
      </w:r>
      <w:r w:rsidR="006A74D1">
        <w:t xml:space="preserve"> –</w:t>
      </w:r>
      <w:r w:rsidRPr="000367C8">
        <w:t xml:space="preserve"> established sources of data for this type of work (see worldvaluessurvey.org).</w:t>
      </w:r>
      <w:r w:rsidRPr="00AD1B56">
        <w:rPr>
          <w:rStyle w:val="FootnoteReference"/>
        </w:rPr>
        <w:footnoteReference w:id="8"/>
      </w:r>
      <w:r w:rsidRPr="000367C8">
        <w:t xml:space="preserve"> </w:t>
      </w:r>
    </w:p>
    <w:p w14:paraId="42A44EE9" w14:textId="7F6F2B25" w:rsidR="00B77E5A" w:rsidRPr="000367C8" w:rsidRDefault="00B77E5A" w:rsidP="00D852C0">
      <w:r w:rsidRPr="000367C8">
        <w:t>Perhaps the only comparator at this level is the Global Barometer series of surveys (globalbarometer.net). These are also excellent sources of information</w:t>
      </w:r>
      <w:r w:rsidR="00E66411">
        <w:t>.</w:t>
      </w:r>
      <w:r w:rsidRPr="000367C8">
        <w:t xml:space="preserve"> </w:t>
      </w:r>
      <w:r w:rsidR="00BD6DBC">
        <w:t xml:space="preserve">But </w:t>
      </w:r>
      <w:r w:rsidRPr="000367C8">
        <w:t>they have yet to run completely compa</w:t>
      </w:r>
      <w:r w:rsidR="00BD6DBC">
        <w:t>rable surveys across continents, which means a larger scale comparison is not possible.</w:t>
      </w:r>
    </w:p>
    <w:p w14:paraId="347412FE" w14:textId="3FB03D8B" w:rsidR="00B77E5A" w:rsidRPr="000367C8" w:rsidRDefault="00DA40AD" w:rsidP="00D852C0">
      <w:r w:rsidRPr="007E7EDB">
        <w:rPr>
          <w:highlight w:val="green"/>
        </w:rPr>
        <w:t>A</w:t>
      </w:r>
      <w:r w:rsidR="00B77E5A" w:rsidRPr="007E7EDB">
        <w:rPr>
          <w:highlight w:val="green"/>
        </w:rPr>
        <w:t xml:space="preserve"> more important issue is the availability of questions. The WVS2008 is the first wave to feature the block of ten questions on essential characteristics of democracy, as opposed to support for and good/bad questions. This makes it ideal to examine citi</w:t>
      </w:r>
      <w:r w:rsidRPr="007E7EDB">
        <w:rPr>
          <w:highlight w:val="green"/>
        </w:rPr>
        <w:t>zen understandings of democracy, and was the first cross-national survey to d</w:t>
      </w:r>
      <w:r w:rsidR="007E7EDB" w:rsidRPr="007E7EDB">
        <w:rPr>
          <w:highlight w:val="green"/>
        </w:rPr>
        <w:t xml:space="preserve">o so in such a level of depth. </w:t>
      </w:r>
      <w:r w:rsidRPr="007E7EDB">
        <w:rPr>
          <w:highlight w:val="green"/>
        </w:rPr>
        <w:t>This also means a longitudinal study was not possible in this instance (although discussed in Section 7.4 is the following wave of the WVS, which features similar, but not identical questions in this battery).</w:t>
      </w:r>
    </w:p>
    <w:p w14:paraId="640965A6" w14:textId="77777777" w:rsidR="00B77E5A" w:rsidRPr="000367C8" w:rsidRDefault="00B77E5A" w:rsidP="00D852C0">
      <w:r>
        <w:t>For the WVS2008</w:t>
      </w:r>
      <w:r w:rsidRPr="000367C8">
        <w:t xml:space="preserve"> nationally representative samples were collected in 57 different countries around the world (see worldvaluessurvey.org for full technical details of each individual country). In the majority of countries, questionnaires were filled out face-to-face with an interviewer present. The main exceptions were Australia, Japan and USA, all of which used a self-completed postal form, Peru, which used a self-completed form with interviewer spot-checks, Taiwan, with a mixed approach, and Burkina Faso, which used group interviews. The procedure followed in Malaysia, meanwhile, was undefined, although according to the pilot-scheme information it was likely conducted face-to-face. </w:t>
      </w:r>
    </w:p>
    <w:p w14:paraId="578D872A" w14:textId="2D7AACAC" w:rsidR="00B77E5A" w:rsidRDefault="00B77E5A" w:rsidP="00D852C0">
      <w:r w:rsidRPr="000367C8">
        <w:t>Due to incomplete coverage of the set of questions required for this</w:t>
      </w:r>
      <w:r w:rsidR="00BF6A6E">
        <w:t xml:space="preserve"> research, this thesis uses 46</w:t>
      </w:r>
      <w:r w:rsidRPr="000367C8">
        <w:t xml:space="preserve"> countries with a total of </w:t>
      </w:r>
      <w:r w:rsidR="00BF6A6E">
        <w:t>45,545 respondents</w:t>
      </w:r>
      <w:r w:rsidRPr="000367C8">
        <w:t xml:space="preserve">. </w:t>
      </w:r>
      <w:r>
        <w:t>Fig</w:t>
      </w:r>
      <w:r w:rsidR="00BD6DBC">
        <w:t>ure 3.2</w:t>
      </w:r>
      <w:r w:rsidRPr="000367C8">
        <w:t xml:space="preserve"> contains the full list of countries, plus three-letter identifier used later in the study, year of survey, sample size, GDP per capita for the </w:t>
      </w:r>
      <w:r w:rsidR="00B86097">
        <w:t>survey year, HDI classification and</w:t>
      </w:r>
      <w:r w:rsidRPr="000367C8">
        <w:t xml:space="preserve"> Freedom House classification. </w:t>
      </w:r>
      <w:r w:rsidR="00684FF1">
        <w:t>The following section discusses the coverage the WVS provides for these measures.</w:t>
      </w:r>
    </w:p>
    <w:p w14:paraId="65BC3210" w14:textId="77777777" w:rsidR="00DB0BB9" w:rsidRDefault="00DB0BB9" w:rsidP="00A61D4D">
      <w:pPr>
        <w:pStyle w:val="Caption"/>
      </w:pPr>
    </w:p>
    <w:p w14:paraId="7FFF69CD" w14:textId="77777777" w:rsidR="00DB0BB9" w:rsidRDefault="00DB0BB9" w:rsidP="00A61D4D">
      <w:pPr>
        <w:pStyle w:val="Caption"/>
      </w:pPr>
    </w:p>
    <w:p w14:paraId="33ABAB0E" w14:textId="77777777" w:rsidR="00DB0BB9" w:rsidRDefault="00DB0BB9" w:rsidP="00A61D4D">
      <w:pPr>
        <w:pStyle w:val="Caption"/>
      </w:pPr>
    </w:p>
    <w:p w14:paraId="0DBE74AC" w14:textId="77777777" w:rsidR="00BF6A6E" w:rsidRDefault="00BF6A6E" w:rsidP="00A61D4D">
      <w:pPr>
        <w:pStyle w:val="Caption"/>
      </w:pPr>
    </w:p>
    <w:p w14:paraId="48CC634F" w14:textId="77777777" w:rsidR="00BF6A6E" w:rsidRDefault="00BF6A6E" w:rsidP="00A61D4D">
      <w:pPr>
        <w:pStyle w:val="Caption"/>
      </w:pPr>
    </w:p>
    <w:p w14:paraId="4DBE5382" w14:textId="77777777" w:rsidR="00BF6A6E" w:rsidRDefault="00BF6A6E" w:rsidP="00A61D4D">
      <w:pPr>
        <w:pStyle w:val="Caption"/>
      </w:pPr>
    </w:p>
    <w:p w14:paraId="6044405B" w14:textId="77777777" w:rsidR="00BF6A6E" w:rsidRDefault="00BF6A6E" w:rsidP="00A61D4D">
      <w:pPr>
        <w:pStyle w:val="Caption"/>
      </w:pPr>
    </w:p>
    <w:p w14:paraId="277C41F4" w14:textId="77777777" w:rsidR="00BF6A6E" w:rsidRDefault="00BF6A6E" w:rsidP="00A61D4D">
      <w:pPr>
        <w:pStyle w:val="Caption"/>
      </w:pPr>
    </w:p>
    <w:p w14:paraId="7B644AB2" w14:textId="77777777" w:rsidR="00BF6A6E" w:rsidRDefault="00BF6A6E" w:rsidP="00A61D4D">
      <w:pPr>
        <w:pStyle w:val="Caption"/>
      </w:pPr>
    </w:p>
    <w:p w14:paraId="7C8D7C30" w14:textId="0C60A17A" w:rsidR="00A61D4D" w:rsidRPr="003A5664" w:rsidRDefault="00A61D4D" w:rsidP="00A61D4D">
      <w:pPr>
        <w:pStyle w:val="Caption"/>
        <w:rPr>
          <w:rFonts w:ascii="Segoe UI" w:hAnsi="Segoe UI" w:cs="Segoe UI"/>
          <w:i w:val="0"/>
        </w:rPr>
      </w:pPr>
      <w:bookmarkStart w:id="129" w:name="_Toc494687139"/>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9E79B8" w:rsidRPr="003A5664">
        <w:rPr>
          <w:rFonts w:ascii="Segoe UI" w:hAnsi="Segoe UI" w:cs="Segoe UI"/>
          <w:i w:val="0"/>
          <w:noProof/>
        </w:rPr>
        <w:t>2</w:t>
      </w:r>
      <w:r w:rsidR="00994662" w:rsidRPr="003A5664">
        <w:rPr>
          <w:rFonts w:ascii="Segoe UI" w:hAnsi="Segoe UI" w:cs="Segoe UI"/>
          <w:i w:val="0"/>
          <w:noProof/>
        </w:rPr>
        <w:fldChar w:fldCharType="end"/>
      </w:r>
      <w:r w:rsidRPr="003A5664">
        <w:rPr>
          <w:rFonts w:ascii="Segoe UI" w:hAnsi="Segoe UI" w:cs="Segoe UI"/>
          <w:i w:val="0"/>
        </w:rPr>
        <w:t xml:space="preserve"> Countries used in this analysis</w:t>
      </w:r>
      <w:bookmarkEnd w:id="129"/>
    </w:p>
    <w:tbl>
      <w:tblPr>
        <w:tblW w:w="9356" w:type="dxa"/>
        <w:tblLayout w:type="fixed"/>
        <w:tblLook w:val="04A0" w:firstRow="1" w:lastRow="0" w:firstColumn="1" w:lastColumn="0" w:noHBand="0" w:noVBand="1"/>
      </w:tblPr>
      <w:tblGrid>
        <w:gridCol w:w="1701"/>
        <w:gridCol w:w="959"/>
        <w:gridCol w:w="709"/>
        <w:gridCol w:w="1167"/>
        <w:gridCol w:w="2127"/>
        <w:gridCol w:w="1984"/>
        <w:gridCol w:w="709"/>
      </w:tblGrid>
      <w:tr w:rsidR="00B86097" w:rsidRPr="00BD6DBC" w14:paraId="52A4F926" w14:textId="77777777" w:rsidTr="003A5664">
        <w:trPr>
          <w:trHeight w:val="709"/>
        </w:trPr>
        <w:tc>
          <w:tcPr>
            <w:tcW w:w="1701" w:type="dxa"/>
            <w:tcBorders>
              <w:top w:val="nil"/>
              <w:left w:val="nil"/>
              <w:right w:val="nil"/>
            </w:tcBorders>
            <w:vAlign w:val="bottom"/>
          </w:tcPr>
          <w:p w14:paraId="5AE225D0" w14:textId="77777777" w:rsidR="00B86097" w:rsidRPr="00BD6DBC" w:rsidRDefault="00B86097" w:rsidP="009B6E5B">
            <w:pPr>
              <w:spacing w:before="0" w:line="240" w:lineRule="auto"/>
              <w:rPr>
                <w:rFonts w:eastAsia="Times New Roman" w:cs="Segoe UI"/>
                <w:b/>
                <w:bCs/>
                <w:sz w:val="16"/>
                <w:szCs w:val="16"/>
              </w:rPr>
            </w:pPr>
            <w:bookmarkStart w:id="130" w:name="_Hlk485733874"/>
            <w:r w:rsidRPr="00BD6DBC">
              <w:rPr>
                <w:rFonts w:eastAsia="Times New Roman" w:cs="Segoe UI"/>
                <w:b/>
                <w:bCs/>
                <w:sz w:val="16"/>
                <w:szCs w:val="16"/>
              </w:rPr>
              <w:t>Country</w:t>
            </w:r>
          </w:p>
        </w:tc>
        <w:tc>
          <w:tcPr>
            <w:tcW w:w="959" w:type="dxa"/>
            <w:tcBorders>
              <w:top w:val="nil"/>
              <w:left w:val="nil"/>
              <w:bottom w:val="single" w:sz="4" w:space="0" w:color="auto"/>
              <w:right w:val="nil"/>
            </w:tcBorders>
            <w:vAlign w:val="bottom"/>
          </w:tcPr>
          <w:p w14:paraId="30D17774" w14:textId="77777777" w:rsidR="00B86097" w:rsidRPr="00BD6DBC" w:rsidRDefault="00B86097" w:rsidP="009B6E5B">
            <w:pPr>
              <w:spacing w:before="0" w:line="240" w:lineRule="auto"/>
              <w:rPr>
                <w:rFonts w:cs="Segoe UI"/>
                <w:b/>
                <w:bCs/>
                <w:sz w:val="16"/>
                <w:szCs w:val="16"/>
              </w:rPr>
            </w:pPr>
            <w:r w:rsidRPr="00BD6DBC">
              <w:rPr>
                <w:rFonts w:cs="Segoe UI"/>
                <w:b/>
                <w:bCs/>
                <w:sz w:val="16"/>
                <w:szCs w:val="16"/>
              </w:rPr>
              <w:t>Identifier</w:t>
            </w:r>
          </w:p>
        </w:tc>
        <w:tc>
          <w:tcPr>
            <w:tcW w:w="709" w:type="dxa"/>
            <w:tcBorders>
              <w:top w:val="nil"/>
              <w:left w:val="nil"/>
              <w:bottom w:val="single" w:sz="4" w:space="0" w:color="auto"/>
              <w:right w:val="nil"/>
            </w:tcBorders>
            <w:vAlign w:val="bottom"/>
          </w:tcPr>
          <w:p w14:paraId="6EE05D47" w14:textId="77777777" w:rsidR="00B86097" w:rsidRPr="00BD6DBC" w:rsidRDefault="00B86097" w:rsidP="009B6E5B">
            <w:pPr>
              <w:spacing w:before="0" w:line="240" w:lineRule="auto"/>
              <w:rPr>
                <w:rFonts w:cs="Segoe UI"/>
                <w:b/>
                <w:bCs/>
                <w:sz w:val="16"/>
                <w:szCs w:val="16"/>
              </w:rPr>
            </w:pPr>
            <w:r w:rsidRPr="00BD6DBC">
              <w:rPr>
                <w:rFonts w:cs="Segoe UI"/>
                <w:b/>
                <w:bCs/>
                <w:sz w:val="16"/>
                <w:szCs w:val="16"/>
              </w:rPr>
              <w:t>Year</w:t>
            </w:r>
          </w:p>
        </w:tc>
        <w:tc>
          <w:tcPr>
            <w:tcW w:w="1167" w:type="dxa"/>
            <w:tcBorders>
              <w:top w:val="nil"/>
              <w:left w:val="nil"/>
              <w:bottom w:val="single" w:sz="4" w:space="0" w:color="auto"/>
              <w:right w:val="nil"/>
            </w:tcBorders>
            <w:vAlign w:val="bottom"/>
          </w:tcPr>
          <w:p w14:paraId="30675937" w14:textId="77056E07" w:rsidR="00B86097" w:rsidRPr="003A5664" w:rsidRDefault="00B86097" w:rsidP="009B6E5B">
            <w:pPr>
              <w:spacing w:before="0" w:line="240" w:lineRule="auto"/>
              <w:rPr>
                <w:rFonts w:cs="Segoe UI"/>
                <w:b/>
                <w:bCs/>
                <w:sz w:val="16"/>
                <w:szCs w:val="16"/>
              </w:rPr>
            </w:pPr>
            <w:r w:rsidRPr="00BD6DBC">
              <w:rPr>
                <w:rFonts w:cs="Segoe UI"/>
                <w:b/>
                <w:bCs/>
                <w:sz w:val="16"/>
                <w:szCs w:val="16"/>
              </w:rPr>
              <w:t>Sample Size</w:t>
            </w:r>
            <w:r w:rsidR="003A5664">
              <w:rPr>
                <w:rFonts w:cs="Segoe UI"/>
                <w:b/>
                <w:bCs/>
                <w:sz w:val="16"/>
                <w:szCs w:val="16"/>
                <w:vertAlign w:val="superscript"/>
              </w:rPr>
              <w:t>a</w:t>
            </w:r>
          </w:p>
        </w:tc>
        <w:tc>
          <w:tcPr>
            <w:tcW w:w="2127" w:type="dxa"/>
            <w:tcBorders>
              <w:top w:val="nil"/>
              <w:left w:val="nil"/>
              <w:bottom w:val="single" w:sz="4" w:space="0" w:color="auto"/>
              <w:right w:val="nil"/>
            </w:tcBorders>
            <w:vAlign w:val="bottom"/>
          </w:tcPr>
          <w:p w14:paraId="07D66687" w14:textId="77777777" w:rsidR="00B86097" w:rsidRPr="00BD6DBC" w:rsidRDefault="00B86097" w:rsidP="009B6E5B">
            <w:pPr>
              <w:spacing w:before="0" w:line="240" w:lineRule="auto"/>
              <w:rPr>
                <w:rFonts w:cs="Segoe UI"/>
                <w:b/>
                <w:bCs/>
                <w:sz w:val="16"/>
                <w:szCs w:val="16"/>
              </w:rPr>
            </w:pPr>
            <w:r w:rsidRPr="00BD6DBC">
              <w:rPr>
                <w:rFonts w:cs="Segoe UI"/>
                <w:b/>
                <w:bCs/>
                <w:sz w:val="16"/>
                <w:szCs w:val="16"/>
              </w:rPr>
              <w:t>GDP per Capita (US$)</w:t>
            </w:r>
          </w:p>
        </w:tc>
        <w:tc>
          <w:tcPr>
            <w:tcW w:w="1984" w:type="dxa"/>
            <w:tcBorders>
              <w:top w:val="nil"/>
              <w:left w:val="nil"/>
              <w:bottom w:val="single" w:sz="4" w:space="0" w:color="auto"/>
              <w:right w:val="nil"/>
            </w:tcBorders>
            <w:vAlign w:val="bottom"/>
          </w:tcPr>
          <w:p w14:paraId="472810D3" w14:textId="77777777" w:rsidR="00B86097" w:rsidRPr="00BD6DBC" w:rsidRDefault="00B86097" w:rsidP="009B6E5B">
            <w:pPr>
              <w:spacing w:before="0" w:line="240" w:lineRule="auto"/>
              <w:rPr>
                <w:rFonts w:cs="Segoe UI"/>
                <w:b/>
                <w:bCs/>
                <w:sz w:val="16"/>
                <w:szCs w:val="16"/>
              </w:rPr>
            </w:pPr>
            <w:r w:rsidRPr="00BD6DBC">
              <w:rPr>
                <w:rFonts w:cs="Segoe UI"/>
                <w:b/>
                <w:bCs/>
                <w:sz w:val="16"/>
                <w:szCs w:val="16"/>
              </w:rPr>
              <w:t>Freedom House (2005)</w:t>
            </w:r>
          </w:p>
        </w:tc>
        <w:tc>
          <w:tcPr>
            <w:tcW w:w="709" w:type="dxa"/>
            <w:tcBorders>
              <w:top w:val="nil"/>
              <w:left w:val="nil"/>
              <w:bottom w:val="single" w:sz="4" w:space="0" w:color="auto"/>
              <w:right w:val="nil"/>
            </w:tcBorders>
            <w:vAlign w:val="bottom"/>
          </w:tcPr>
          <w:p w14:paraId="671A48F0" w14:textId="77777777" w:rsidR="00B86097" w:rsidRPr="00BD6DBC" w:rsidRDefault="00B86097" w:rsidP="009B6E5B">
            <w:pPr>
              <w:spacing w:before="0" w:line="240" w:lineRule="auto"/>
              <w:rPr>
                <w:rFonts w:cs="Segoe UI"/>
                <w:b/>
                <w:bCs/>
                <w:sz w:val="16"/>
                <w:szCs w:val="16"/>
              </w:rPr>
            </w:pPr>
            <w:r w:rsidRPr="00BD6DBC">
              <w:rPr>
                <w:rFonts w:cs="Segoe UI"/>
                <w:b/>
                <w:bCs/>
                <w:sz w:val="16"/>
                <w:szCs w:val="16"/>
              </w:rPr>
              <w:t xml:space="preserve">HDI </w:t>
            </w:r>
          </w:p>
        </w:tc>
      </w:tr>
      <w:tr w:rsidR="00B86097" w:rsidRPr="00BD6DBC" w14:paraId="788B8215" w14:textId="77777777" w:rsidTr="003A5664">
        <w:tc>
          <w:tcPr>
            <w:tcW w:w="1701" w:type="dxa"/>
            <w:tcBorders>
              <w:top w:val="nil"/>
              <w:left w:val="nil"/>
              <w:bottom w:val="nil"/>
              <w:right w:val="nil"/>
            </w:tcBorders>
            <w:vAlign w:val="bottom"/>
          </w:tcPr>
          <w:p w14:paraId="1ED8030F"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Australia</w:t>
            </w:r>
          </w:p>
        </w:tc>
        <w:tc>
          <w:tcPr>
            <w:tcW w:w="959" w:type="dxa"/>
            <w:tcBorders>
              <w:top w:val="single" w:sz="4" w:space="0" w:color="auto"/>
              <w:left w:val="nil"/>
              <w:bottom w:val="nil"/>
              <w:right w:val="nil"/>
            </w:tcBorders>
          </w:tcPr>
          <w:p w14:paraId="5FFA1E27" w14:textId="77777777" w:rsidR="00B86097" w:rsidRPr="00BD6DBC" w:rsidRDefault="00B86097" w:rsidP="009B6E5B">
            <w:pPr>
              <w:spacing w:before="0" w:line="240" w:lineRule="auto"/>
              <w:rPr>
                <w:rFonts w:cs="Segoe UI"/>
                <w:sz w:val="16"/>
                <w:szCs w:val="16"/>
              </w:rPr>
            </w:pPr>
            <w:r w:rsidRPr="00BD6DBC">
              <w:rPr>
                <w:rFonts w:cs="Segoe UI"/>
                <w:sz w:val="16"/>
                <w:szCs w:val="16"/>
              </w:rPr>
              <w:t>AUS</w:t>
            </w:r>
          </w:p>
        </w:tc>
        <w:tc>
          <w:tcPr>
            <w:tcW w:w="709" w:type="dxa"/>
            <w:tcBorders>
              <w:top w:val="single" w:sz="4" w:space="0" w:color="auto"/>
              <w:left w:val="nil"/>
              <w:bottom w:val="nil"/>
              <w:right w:val="nil"/>
            </w:tcBorders>
          </w:tcPr>
          <w:p w14:paraId="1963B7DB"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single" w:sz="4" w:space="0" w:color="auto"/>
              <w:left w:val="nil"/>
              <w:bottom w:val="nil"/>
              <w:right w:val="nil"/>
            </w:tcBorders>
          </w:tcPr>
          <w:p w14:paraId="2190FF70" w14:textId="77777777" w:rsidR="00B86097" w:rsidRPr="00BD6DBC" w:rsidRDefault="00B86097" w:rsidP="009B6E5B">
            <w:pPr>
              <w:spacing w:before="0" w:line="240" w:lineRule="auto"/>
              <w:rPr>
                <w:rFonts w:cs="Segoe UI"/>
                <w:sz w:val="16"/>
                <w:szCs w:val="16"/>
              </w:rPr>
            </w:pPr>
            <w:r w:rsidRPr="00BD6DBC">
              <w:rPr>
                <w:rFonts w:cs="Segoe UI"/>
                <w:sz w:val="16"/>
                <w:szCs w:val="16"/>
              </w:rPr>
              <w:t>1421</w:t>
            </w:r>
          </w:p>
        </w:tc>
        <w:tc>
          <w:tcPr>
            <w:tcW w:w="2127" w:type="dxa"/>
            <w:tcBorders>
              <w:top w:val="single" w:sz="4" w:space="0" w:color="auto"/>
              <w:left w:val="nil"/>
              <w:bottom w:val="nil"/>
              <w:right w:val="nil"/>
            </w:tcBorders>
            <w:vAlign w:val="bottom"/>
          </w:tcPr>
          <w:p w14:paraId="52A42BFA" w14:textId="77777777" w:rsidR="00B86097" w:rsidRPr="00BD6DBC" w:rsidRDefault="00B86097" w:rsidP="009B6E5B">
            <w:pPr>
              <w:spacing w:before="0" w:line="240" w:lineRule="auto"/>
              <w:rPr>
                <w:rFonts w:cs="Segoe UI"/>
                <w:sz w:val="16"/>
                <w:szCs w:val="16"/>
              </w:rPr>
            </w:pPr>
            <w:r w:rsidRPr="00BD6DBC">
              <w:rPr>
                <w:rFonts w:cs="Segoe UI"/>
                <w:sz w:val="16"/>
                <w:szCs w:val="16"/>
              </w:rPr>
              <w:t>34128</w:t>
            </w:r>
          </w:p>
        </w:tc>
        <w:tc>
          <w:tcPr>
            <w:tcW w:w="1984" w:type="dxa"/>
            <w:tcBorders>
              <w:top w:val="single" w:sz="4" w:space="0" w:color="auto"/>
              <w:left w:val="nil"/>
              <w:bottom w:val="nil"/>
              <w:right w:val="nil"/>
            </w:tcBorders>
          </w:tcPr>
          <w:p w14:paraId="7F37E9D0"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single" w:sz="4" w:space="0" w:color="auto"/>
              <w:left w:val="nil"/>
              <w:bottom w:val="nil"/>
              <w:right w:val="nil"/>
            </w:tcBorders>
          </w:tcPr>
          <w:p w14:paraId="1F11C228" w14:textId="77777777" w:rsidR="00B86097" w:rsidRPr="00BD6DBC" w:rsidRDefault="00B86097" w:rsidP="009B6E5B">
            <w:pPr>
              <w:spacing w:before="0" w:line="240" w:lineRule="auto"/>
              <w:rPr>
                <w:rFonts w:cs="Segoe UI"/>
                <w:sz w:val="16"/>
                <w:szCs w:val="16"/>
              </w:rPr>
            </w:pPr>
            <w:r w:rsidRPr="00BD6DBC">
              <w:rPr>
                <w:rFonts w:cs="Segoe UI"/>
                <w:sz w:val="16"/>
                <w:szCs w:val="16"/>
              </w:rPr>
              <w:t>0.925</w:t>
            </w:r>
          </w:p>
        </w:tc>
      </w:tr>
      <w:tr w:rsidR="00B86097" w:rsidRPr="00BD6DBC" w14:paraId="1CD9BD98" w14:textId="77777777" w:rsidTr="003A5664">
        <w:tc>
          <w:tcPr>
            <w:tcW w:w="1701" w:type="dxa"/>
            <w:tcBorders>
              <w:top w:val="nil"/>
              <w:left w:val="nil"/>
              <w:bottom w:val="nil"/>
              <w:right w:val="nil"/>
            </w:tcBorders>
            <w:vAlign w:val="bottom"/>
          </w:tcPr>
          <w:p w14:paraId="1B0A57E4"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Brazil </w:t>
            </w:r>
          </w:p>
        </w:tc>
        <w:tc>
          <w:tcPr>
            <w:tcW w:w="959" w:type="dxa"/>
            <w:tcBorders>
              <w:top w:val="nil"/>
              <w:left w:val="nil"/>
              <w:bottom w:val="nil"/>
              <w:right w:val="nil"/>
            </w:tcBorders>
          </w:tcPr>
          <w:p w14:paraId="76DA8DD5"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BRA</w:t>
            </w:r>
          </w:p>
        </w:tc>
        <w:tc>
          <w:tcPr>
            <w:tcW w:w="709" w:type="dxa"/>
            <w:tcBorders>
              <w:top w:val="nil"/>
              <w:left w:val="nil"/>
              <w:bottom w:val="nil"/>
              <w:right w:val="nil"/>
            </w:tcBorders>
          </w:tcPr>
          <w:p w14:paraId="39801393"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017BB729" w14:textId="77777777" w:rsidR="00B86097" w:rsidRPr="00BD6DBC" w:rsidRDefault="00B86097" w:rsidP="009B6E5B">
            <w:pPr>
              <w:spacing w:before="0" w:line="240" w:lineRule="auto"/>
              <w:rPr>
                <w:rFonts w:cs="Segoe UI"/>
                <w:sz w:val="16"/>
                <w:szCs w:val="16"/>
              </w:rPr>
            </w:pPr>
            <w:r w:rsidRPr="00BD6DBC">
              <w:rPr>
                <w:rFonts w:cs="Segoe UI"/>
                <w:sz w:val="16"/>
                <w:szCs w:val="16"/>
              </w:rPr>
              <w:t>1500</w:t>
            </w:r>
          </w:p>
        </w:tc>
        <w:tc>
          <w:tcPr>
            <w:tcW w:w="2127" w:type="dxa"/>
            <w:tcBorders>
              <w:top w:val="nil"/>
              <w:left w:val="nil"/>
              <w:bottom w:val="nil"/>
              <w:right w:val="nil"/>
            </w:tcBorders>
            <w:vAlign w:val="bottom"/>
          </w:tcPr>
          <w:p w14:paraId="022E61B0" w14:textId="77777777" w:rsidR="00B86097" w:rsidRPr="00BD6DBC" w:rsidRDefault="00B86097" w:rsidP="009B6E5B">
            <w:pPr>
              <w:spacing w:before="0" w:line="240" w:lineRule="auto"/>
              <w:rPr>
                <w:rFonts w:cs="Segoe UI"/>
                <w:sz w:val="16"/>
                <w:szCs w:val="16"/>
              </w:rPr>
            </w:pPr>
            <w:r w:rsidRPr="00BD6DBC">
              <w:rPr>
                <w:rFonts w:cs="Segoe UI"/>
                <w:sz w:val="16"/>
                <w:szCs w:val="16"/>
              </w:rPr>
              <w:t>5793.4</w:t>
            </w:r>
          </w:p>
        </w:tc>
        <w:tc>
          <w:tcPr>
            <w:tcW w:w="1984" w:type="dxa"/>
            <w:tcBorders>
              <w:top w:val="nil"/>
              <w:left w:val="nil"/>
              <w:bottom w:val="nil"/>
              <w:right w:val="nil"/>
            </w:tcBorders>
          </w:tcPr>
          <w:p w14:paraId="48663C7C"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152B3215" w14:textId="77777777" w:rsidR="00B86097" w:rsidRPr="00BD6DBC" w:rsidRDefault="00B86097" w:rsidP="009B6E5B">
            <w:pPr>
              <w:spacing w:before="0" w:line="240" w:lineRule="auto"/>
              <w:rPr>
                <w:rFonts w:cs="Segoe UI"/>
                <w:sz w:val="16"/>
                <w:szCs w:val="16"/>
              </w:rPr>
            </w:pPr>
            <w:r w:rsidRPr="00BD6DBC">
              <w:rPr>
                <w:rFonts w:cs="Segoe UI"/>
                <w:sz w:val="16"/>
                <w:szCs w:val="16"/>
              </w:rPr>
              <w:t>0.681</w:t>
            </w:r>
          </w:p>
        </w:tc>
      </w:tr>
      <w:tr w:rsidR="00B86097" w:rsidRPr="00BD6DBC" w14:paraId="2594BC00" w14:textId="77777777" w:rsidTr="003A5664">
        <w:tc>
          <w:tcPr>
            <w:tcW w:w="1701" w:type="dxa"/>
            <w:tcBorders>
              <w:top w:val="nil"/>
              <w:left w:val="nil"/>
              <w:bottom w:val="nil"/>
              <w:right w:val="nil"/>
            </w:tcBorders>
            <w:vAlign w:val="bottom"/>
          </w:tcPr>
          <w:p w14:paraId="684B22B8"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Britain </w:t>
            </w:r>
          </w:p>
        </w:tc>
        <w:tc>
          <w:tcPr>
            <w:tcW w:w="959" w:type="dxa"/>
            <w:tcBorders>
              <w:top w:val="nil"/>
              <w:left w:val="nil"/>
              <w:bottom w:val="nil"/>
              <w:right w:val="nil"/>
            </w:tcBorders>
          </w:tcPr>
          <w:p w14:paraId="257FD705"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GBR</w:t>
            </w:r>
          </w:p>
        </w:tc>
        <w:tc>
          <w:tcPr>
            <w:tcW w:w="709" w:type="dxa"/>
            <w:tcBorders>
              <w:top w:val="nil"/>
              <w:left w:val="nil"/>
              <w:bottom w:val="nil"/>
              <w:right w:val="nil"/>
            </w:tcBorders>
          </w:tcPr>
          <w:p w14:paraId="34689D0E"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2C5DEB71" w14:textId="77777777" w:rsidR="00B86097" w:rsidRPr="00BD6DBC" w:rsidRDefault="00B86097" w:rsidP="009B6E5B">
            <w:pPr>
              <w:spacing w:before="0" w:line="240" w:lineRule="auto"/>
              <w:rPr>
                <w:rFonts w:cs="Segoe UI"/>
                <w:sz w:val="16"/>
                <w:szCs w:val="16"/>
              </w:rPr>
            </w:pPr>
            <w:r w:rsidRPr="00BD6DBC">
              <w:rPr>
                <w:rFonts w:cs="Segoe UI"/>
                <w:sz w:val="16"/>
                <w:szCs w:val="16"/>
              </w:rPr>
              <w:t>1041</w:t>
            </w:r>
          </w:p>
        </w:tc>
        <w:tc>
          <w:tcPr>
            <w:tcW w:w="2127" w:type="dxa"/>
            <w:tcBorders>
              <w:top w:val="nil"/>
              <w:left w:val="nil"/>
              <w:bottom w:val="nil"/>
              <w:right w:val="nil"/>
            </w:tcBorders>
            <w:vAlign w:val="bottom"/>
          </w:tcPr>
          <w:p w14:paraId="2A1E2139" w14:textId="77777777" w:rsidR="00B86097" w:rsidRPr="00BD6DBC" w:rsidRDefault="00B86097" w:rsidP="009B6E5B">
            <w:pPr>
              <w:spacing w:before="0" w:line="240" w:lineRule="auto"/>
              <w:rPr>
                <w:rFonts w:cs="Segoe UI"/>
                <w:sz w:val="16"/>
                <w:szCs w:val="16"/>
              </w:rPr>
            </w:pPr>
            <w:r w:rsidRPr="00BD6DBC">
              <w:rPr>
                <w:rFonts w:cs="Segoe UI"/>
                <w:sz w:val="16"/>
                <w:szCs w:val="16"/>
              </w:rPr>
              <w:t>40335.4</w:t>
            </w:r>
          </w:p>
        </w:tc>
        <w:tc>
          <w:tcPr>
            <w:tcW w:w="1984" w:type="dxa"/>
            <w:tcBorders>
              <w:top w:val="nil"/>
              <w:left w:val="nil"/>
              <w:bottom w:val="nil"/>
              <w:right w:val="nil"/>
            </w:tcBorders>
          </w:tcPr>
          <w:p w14:paraId="60ED5302"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0B9662A0" w14:textId="77777777" w:rsidR="00B86097" w:rsidRPr="00BD6DBC" w:rsidRDefault="00B86097" w:rsidP="009B6E5B">
            <w:pPr>
              <w:spacing w:before="0" w:line="240" w:lineRule="auto"/>
              <w:rPr>
                <w:rFonts w:cs="Segoe UI"/>
                <w:sz w:val="16"/>
                <w:szCs w:val="16"/>
              </w:rPr>
            </w:pPr>
            <w:r w:rsidRPr="00BD6DBC">
              <w:rPr>
                <w:rFonts w:cs="Segoe UI"/>
                <w:sz w:val="16"/>
                <w:szCs w:val="16"/>
              </w:rPr>
              <w:t>0.842</w:t>
            </w:r>
          </w:p>
        </w:tc>
      </w:tr>
      <w:tr w:rsidR="00B86097" w:rsidRPr="00BD6DBC" w14:paraId="13233E77" w14:textId="77777777" w:rsidTr="003A5664">
        <w:tc>
          <w:tcPr>
            <w:tcW w:w="1701" w:type="dxa"/>
            <w:tcBorders>
              <w:top w:val="nil"/>
              <w:left w:val="nil"/>
              <w:bottom w:val="nil"/>
              <w:right w:val="nil"/>
            </w:tcBorders>
            <w:vAlign w:val="bottom"/>
          </w:tcPr>
          <w:p w14:paraId="55FD1069"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Bulgaria </w:t>
            </w:r>
          </w:p>
        </w:tc>
        <w:tc>
          <w:tcPr>
            <w:tcW w:w="959" w:type="dxa"/>
            <w:tcBorders>
              <w:top w:val="nil"/>
              <w:left w:val="nil"/>
              <w:bottom w:val="nil"/>
              <w:right w:val="nil"/>
            </w:tcBorders>
          </w:tcPr>
          <w:p w14:paraId="686B5FC3"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BGR</w:t>
            </w:r>
          </w:p>
        </w:tc>
        <w:tc>
          <w:tcPr>
            <w:tcW w:w="709" w:type="dxa"/>
            <w:tcBorders>
              <w:top w:val="nil"/>
              <w:left w:val="nil"/>
              <w:bottom w:val="nil"/>
              <w:right w:val="nil"/>
            </w:tcBorders>
          </w:tcPr>
          <w:p w14:paraId="7A45B0F3"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5EA256CE" w14:textId="77777777" w:rsidR="00B86097" w:rsidRPr="00BD6DBC" w:rsidRDefault="00B86097" w:rsidP="009B6E5B">
            <w:pPr>
              <w:spacing w:before="0" w:line="240" w:lineRule="auto"/>
              <w:rPr>
                <w:rFonts w:cs="Segoe UI"/>
                <w:sz w:val="16"/>
                <w:szCs w:val="16"/>
              </w:rPr>
            </w:pPr>
            <w:r w:rsidRPr="00BD6DBC">
              <w:rPr>
                <w:rFonts w:cs="Segoe UI"/>
                <w:sz w:val="16"/>
                <w:szCs w:val="16"/>
              </w:rPr>
              <w:t>1001</w:t>
            </w:r>
          </w:p>
        </w:tc>
        <w:tc>
          <w:tcPr>
            <w:tcW w:w="2127" w:type="dxa"/>
            <w:tcBorders>
              <w:top w:val="nil"/>
              <w:left w:val="nil"/>
              <w:bottom w:val="nil"/>
              <w:right w:val="nil"/>
            </w:tcBorders>
            <w:vAlign w:val="bottom"/>
          </w:tcPr>
          <w:p w14:paraId="14E918B2" w14:textId="77777777" w:rsidR="00B86097" w:rsidRPr="00BD6DBC" w:rsidRDefault="00B86097" w:rsidP="009B6E5B">
            <w:pPr>
              <w:spacing w:before="0" w:line="240" w:lineRule="auto"/>
              <w:rPr>
                <w:rFonts w:cs="Segoe UI"/>
                <w:sz w:val="16"/>
                <w:szCs w:val="16"/>
              </w:rPr>
            </w:pPr>
            <w:r w:rsidRPr="00BD6DBC">
              <w:rPr>
                <w:rFonts w:cs="Segoe UI"/>
                <w:sz w:val="16"/>
                <w:szCs w:val="16"/>
              </w:rPr>
              <w:t>4313.4</w:t>
            </w:r>
          </w:p>
        </w:tc>
        <w:tc>
          <w:tcPr>
            <w:tcW w:w="1984" w:type="dxa"/>
            <w:tcBorders>
              <w:top w:val="nil"/>
              <w:left w:val="nil"/>
              <w:bottom w:val="nil"/>
              <w:right w:val="nil"/>
            </w:tcBorders>
          </w:tcPr>
          <w:p w14:paraId="4D6521CE"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3BCEBE11" w14:textId="77777777" w:rsidR="00B86097" w:rsidRPr="00BD6DBC" w:rsidRDefault="00B86097" w:rsidP="009B6E5B">
            <w:pPr>
              <w:spacing w:before="0" w:line="240" w:lineRule="auto"/>
              <w:rPr>
                <w:rFonts w:cs="Segoe UI"/>
                <w:sz w:val="16"/>
                <w:szCs w:val="16"/>
              </w:rPr>
            </w:pPr>
            <w:r w:rsidRPr="00BD6DBC">
              <w:rPr>
                <w:rFonts w:cs="Segoe UI"/>
                <w:sz w:val="16"/>
                <w:szCs w:val="16"/>
              </w:rPr>
              <w:t>0.729</w:t>
            </w:r>
          </w:p>
        </w:tc>
      </w:tr>
      <w:tr w:rsidR="00B86097" w:rsidRPr="00BD6DBC" w14:paraId="5FFC19C7" w14:textId="77777777" w:rsidTr="003A5664">
        <w:tc>
          <w:tcPr>
            <w:tcW w:w="1701" w:type="dxa"/>
            <w:tcBorders>
              <w:top w:val="nil"/>
              <w:left w:val="nil"/>
              <w:bottom w:val="nil"/>
              <w:right w:val="nil"/>
            </w:tcBorders>
            <w:vAlign w:val="bottom"/>
          </w:tcPr>
          <w:p w14:paraId="4A2006B0"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Burkina Faso </w:t>
            </w:r>
          </w:p>
        </w:tc>
        <w:tc>
          <w:tcPr>
            <w:tcW w:w="959" w:type="dxa"/>
            <w:tcBorders>
              <w:top w:val="nil"/>
              <w:left w:val="nil"/>
              <w:bottom w:val="nil"/>
              <w:right w:val="nil"/>
            </w:tcBorders>
          </w:tcPr>
          <w:p w14:paraId="49AD7543"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BFA</w:t>
            </w:r>
            <w:r w:rsidRPr="00BD6DBC">
              <w:rPr>
                <w:rFonts w:cs="Segoe UI"/>
                <w:sz w:val="16"/>
                <w:szCs w:val="16"/>
              </w:rPr>
              <w:t xml:space="preserve"> </w:t>
            </w:r>
          </w:p>
        </w:tc>
        <w:tc>
          <w:tcPr>
            <w:tcW w:w="709" w:type="dxa"/>
            <w:tcBorders>
              <w:top w:val="nil"/>
              <w:left w:val="nil"/>
              <w:bottom w:val="nil"/>
              <w:right w:val="nil"/>
            </w:tcBorders>
          </w:tcPr>
          <w:p w14:paraId="1E7877B0"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0E946771" w14:textId="77777777" w:rsidR="00B86097" w:rsidRPr="00BD6DBC" w:rsidRDefault="00B86097" w:rsidP="009B6E5B">
            <w:pPr>
              <w:spacing w:before="0" w:line="240" w:lineRule="auto"/>
              <w:rPr>
                <w:rFonts w:cs="Segoe UI"/>
                <w:sz w:val="16"/>
                <w:szCs w:val="16"/>
              </w:rPr>
            </w:pPr>
            <w:r w:rsidRPr="00BD6DBC">
              <w:rPr>
                <w:rFonts w:cs="Segoe UI"/>
                <w:sz w:val="16"/>
                <w:szCs w:val="16"/>
              </w:rPr>
              <w:t>1534</w:t>
            </w:r>
          </w:p>
        </w:tc>
        <w:tc>
          <w:tcPr>
            <w:tcW w:w="2127" w:type="dxa"/>
            <w:tcBorders>
              <w:top w:val="nil"/>
              <w:left w:val="nil"/>
              <w:bottom w:val="nil"/>
              <w:right w:val="nil"/>
            </w:tcBorders>
            <w:vAlign w:val="bottom"/>
          </w:tcPr>
          <w:p w14:paraId="6E511EFB" w14:textId="77777777" w:rsidR="00B86097" w:rsidRPr="00BD6DBC" w:rsidRDefault="00B86097" w:rsidP="009B6E5B">
            <w:pPr>
              <w:spacing w:before="0" w:line="240" w:lineRule="auto"/>
              <w:rPr>
                <w:rFonts w:cs="Segoe UI"/>
                <w:sz w:val="16"/>
                <w:szCs w:val="16"/>
              </w:rPr>
            </w:pPr>
            <w:r w:rsidRPr="00BD6DBC">
              <w:rPr>
                <w:rFonts w:cs="Segoe UI"/>
                <w:sz w:val="16"/>
                <w:szCs w:val="16"/>
              </w:rPr>
              <w:t>449.3</w:t>
            </w:r>
          </w:p>
        </w:tc>
        <w:tc>
          <w:tcPr>
            <w:tcW w:w="1984" w:type="dxa"/>
            <w:tcBorders>
              <w:top w:val="nil"/>
              <w:left w:val="nil"/>
              <w:bottom w:val="nil"/>
              <w:right w:val="nil"/>
            </w:tcBorders>
          </w:tcPr>
          <w:p w14:paraId="391E8795"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63443778" w14:textId="77777777" w:rsidR="00B86097" w:rsidRPr="00BD6DBC" w:rsidRDefault="00B86097" w:rsidP="009B6E5B">
            <w:pPr>
              <w:spacing w:before="0" w:line="240" w:lineRule="auto"/>
              <w:rPr>
                <w:rFonts w:cs="Segoe UI"/>
                <w:sz w:val="16"/>
                <w:szCs w:val="16"/>
              </w:rPr>
            </w:pPr>
            <w:r w:rsidRPr="00BD6DBC">
              <w:rPr>
                <w:rFonts w:cs="Segoe UI"/>
                <w:sz w:val="16"/>
                <w:szCs w:val="16"/>
              </w:rPr>
              <w:t>0.295</w:t>
            </w:r>
          </w:p>
        </w:tc>
      </w:tr>
      <w:tr w:rsidR="00B86097" w:rsidRPr="00BD6DBC" w14:paraId="50229CD9" w14:textId="77777777" w:rsidTr="003A5664">
        <w:tc>
          <w:tcPr>
            <w:tcW w:w="1701" w:type="dxa"/>
            <w:tcBorders>
              <w:top w:val="nil"/>
              <w:left w:val="nil"/>
              <w:bottom w:val="nil"/>
              <w:right w:val="nil"/>
            </w:tcBorders>
            <w:vAlign w:val="bottom"/>
          </w:tcPr>
          <w:p w14:paraId="6575D463"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Canada </w:t>
            </w:r>
          </w:p>
        </w:tc>
        <w:tc>
          <w:tcPr>
            <w:tcW w:w="959" w:type="dxa"/>
            <w:tcBorders>
              <w:top w:val="nil"/>
              <w:left w:val="nil"/>
              <w:bottom w:val="nil"/>
              <w:right w:val="nil"/>
            </w:tcBorders>
          </w:tcPr>
          <w:p w14:paraId="7461C5C9"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CAN</w:t>
            </w:r>
          </w:p>
        </w:tc>
        <w:tc>
          <w:tcPr>
            <w:tcW w:w="709" w:type="dxa"/>
            <w:tcBorders>
              <w:top w:val="nil"/>
              <w:left w:val="nil"/>
              <w:bottom w:val="nil"/>
              <w:right w:val="nil"/>
            </w:tcBorders>
          </w:tcPr>
          <w:p w14:paraId="65ED9878"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2006</w:t>
            </w:r>
          </w:p>
        </w:tc>
        <w:tc>
          <w:tcPr>
            <w:tcW w:w="1167" w:type="dxa"/>
            <w:tcBorders>
              <w:top w:val="nil"/>
              <w:left w:val="nil"/>
              <w:bottom w:val="nil"/>
              <w:right w:val="nil"/>
            </w:tcBorders>
          </w:tcPr>
          <w:p w14:paraId="66FF1560" w14:textId="77777777" w:rsidR="00B86097" w:rsidRPr="00BD6DBC" w:rsidRDefault="00B86097" w:rsidP="009B6E5B">
            <w:pPr>
              <w:spacing w:before="0" w:line="240" w:lineRule="auto"/>
              <w:rPr>
                <w:rFonts w:cs="Segoe UI"/>
                <w:sz w:val="16"/>
                <w:szCs w:val="16"/>
              </w:rPr>
            </w:pPr>
            <w:r w:rsidRPr="00BD6DBC">
              <w:rPr>
                <w:rFonts w:cs="Segoe UI"/>
                <w:sz w:val="16"/>
                <w:szCs w:val="16"/>
              </w:rPr>
              <w:t>2164</w:t>
            </w:r>
          </w:p>
        </w:tc>
        <w:tc>
          <w:tcPr>
            <w:tcW w:w="2127" w:type="dxa"/>
            <w:tcBorders>
              <w:top w:val="nil"/>
              <w:left w:val="nil"/>
              <w:bottom w:val="nil"/>
              <w:right w:val="nil"/>
            </w:tcBorders>
            <w:vAlign w:val="bottom"/>
          </w:tcPr>
          <w:p w14:paraId="62E3DF49" w14:textId="77777777" w:rsidR="00B86097" w:rsidRPr="00BD6DBC" w:rsidRDefault="00B86097" w:rsidP="009B6E5B">
            <w:pPr>
              <w:spacing w:before="0" w:line="240" w:lineRule="auto"/>
              <w:rPr>
                <w:rFonts w:cs="Segoe UI"/>
                <w:sz w:val="16"/>
                <w:szCs w:val="16"/>
              </w:rPr>
            </w:pPr>
            <w:r w:rsidRPr="00BD6DBC">
              <w:rPr>
                <w:rFonts w:cs="Segoe UI"/>
                <w:sz w:val="16"/>
                <w:szCs w:val="16"/>
              </w:rPr>
              <w:t>39162.3</w:t>
            </w:r>
          </w:p>
        </w:tc>
        <w:tc>
          <w:tcPr>
            <w:tcW w:w="1984" w:type="dxa"/>
            <w:tcBorders>
              <w:top w:val="nil"/>
              <w:left w:val="nil"/>
              <w:bottom w:val="nil"/>
              <w:right w:val="nil"/>
            </w:tcBorders>
          </w:tcPr>
          <w:p w14:paraId="5AF9E46F"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3FBD6C43" w14:textId="77777777" w:rsidR="00B86097" w:rsidRPr="00BD6DBC" w:rsidRDefault="00B86097" w:rsidP="009B6E5B">
            <w:pPr>
              <w:spacing w:before="0" w:line="240" w:lineRule="auto"/>
              <w:rPr>
                <w:rFonts w:cs="Segoe UI"/>
                <w:sz w:val="16"/>
                <w:szCs w:val="16"/>
              </w:rPr>
            </w:pPr>
            <w:r w:rsidRPr="00BD6DBC">
              <w:rPr>
                <w:rFonts w:cs="Segoe UI"/>
                <w:sz w:val="16"/>
                <w:szCs w:val="16"/>
              </w:rPr>
              <w:t>0.883</w:t>
            </w:r>
          </w:p>
        </w:tc>
      </w:tr>
      <w:tr w:rsidR="00B86097" w:rsidRPr="00BD6DBC" w14:paraId="6F8BC565" w14:textId="77777777" w:rsidTr="003A5664">
        <w:tc>
          <w:tcPr>
            <w:tcW w:w="1701" w:type="dxa"/>
            <w:tcBorders>
              <w:top w:val="nil"/>
              <w:left w:val="nil"/>
              <w:bottom w:val="nil"/>
              <w:right w:val="nil"/>
            </w:tcBorders>
            <w:vAlign w:val="bottom"/>
          </w:tcPr>
          <w:p w14:paraId="5AE81875"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Chile </w:t>
            </w:r>
          </w:p>
        </w:tc>
        <w:tc>
          <w:tcPr>
            <w:tcW w:w="959" w:type="dxa"/>
            <w:tcBorders>
              <w:top w:val="nil"/>
              <w:left w:val="nil"/>
              <w:bottom w:val="nil"/>
              <w:right w:val="nil"/>
            </w:tcBorders>
          </w:tcPr>
          <w:p w14:paraId="14FF225D"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CHL</w:t>
            </w:r>
          </w:p>
        </w:tc>
        <w:tc>
          <w:tcPr>
            <w:tcW w:w="709" w:type="dxa"/>
            <w:tcBorders>
              <w:top w:val="nil"/>
              <w:left w:val="nil"/>
              <w:bottom w:val="nil"/>
              <w:right w:val="nil"/>
            </w:tcBorders>
          </w:tcPr>
          <w:p w14:paraId="1AD605CE"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2006</w:t>
            </w:r>
          </w:p>
        </w:tc>
        <w:tc>
          <w:tcPr>
            <w:tcW w:w="1167" w:type="dxa"/>
            <w:tcBorders>
              <w:top w:val="nil"/>
              <w:left w:val="nil"/>
              <w:bottom w:val="nil"/>
              <w:right w:val="nil"/>
            </w:tcBorders>
          </w:tcPr>
          <w:p w14:paraId="1FA97645" w14:textId="77777777" w:rsidR="00B86097" w:rsidRPr="00BD6DBC" w:rsidRDefault="00B86097" w:rsidP="009B6E5B">
            <w:pPr>
              <w:spacing w:before="0" w:line="240" w:lineRule="auto"/>
              <w:rPr>
                <w:rFonts w:cs="Segoe UI"/>
                <w:sz w:val="16"/>
                <w:szCs w:val="16"/>
              </w:rPr>
            </w:pPr>
            <w:r w:rsidRPr="00BD6DBC">
              <w:rPr>
                <w:rFonts w:cs="Segoe UI"/>
                <w:sz w:val="16"/>
                <w:szCs w:val="16"/>
              </w:rPr>
              <w:t>1000</w:t>
            </w:r>
          </w:p>
        </w:tc>
        <w:tc>
          <w:tcPr>
            <w:tcW w:w="2127" w:type="dxa"/>
            <w:tcBorders>
              <w:top w:val="nil"/>
              <w:left w:val="nil"/>
              <w:bottom w:val="nil"/>
              <w:right w:val="nil"/>
            </w:tcBorders>
            <w:vAlign w:val="bottom"/>
          </w:tcPr>
          <w:p w14:paraId="432B0504" w14:textId="77777777" w:rsidR="00B86097" w:rsidRPr="00BD6DBC" w:rsidRDefault="00B86097" w:rsidP="009B6E5B">
            <w:pPr>
              <w:spacing w:before="0" w:line="240" w:lineRule="auto"/>
              <w:rPr>
                <w:rFonts w:cs="Segoe UI"/>
                <w:sz w:val="16"/>
                <w:szCs w:val="16"/>
              </w:rPr>
            </w:pPr>
            <w:r w:rsidRPr="00BD6DBC">
              <w:rPr>
                <w:rFonts w:cs="Segoe UI"/>
                <w:sz w:val="16"/>
                <w:szCs w:val="16"/>
              </w:rPr>
              <w:t>8912.2</w:t>
            </w:r>
          </w:p>
        </w:tc>
        <w:tc>
          <w:tcPr>
            <w:tcW w:w="1984" w:type="dxa"/>
            <w:tcBorders>
              <w:top w:val="nil"/>
              <w:left w:val="nil"/>
              <w:bottom w:val="nil"/>
              <w:right w:val="nil"/>
            </w:tcBorders>
          </w:tcPr>
          <w:p w14:paraId="646C3D06"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276DEF77" w14:textId="77777777" w:rsidR="00B86097" w:rsidRPr="00BD6DBC" w:rsidRDefault="00B86097" w:rsidP="009B6E5B">
            <w:pPr>
              <w:spacing w:before="0" w:line="240" w:lineRule="auto"/>
              <w:rPr>
                <w:rFonts w:cs="Segoe UI"/>
                <w:sz w:val="16"/>
                <w:szCs w:val="16"/>
              </w:rPr>
            </w:pPr>
            <w:r w:rsidRPr="00BD6DBC">
              <w:rPr>
                <w:rFonts w:cs="Segoe UI"/>
                <w:sz w:val="16"/>
                <w:szCs w:val="16"/>
              </w:rPr>
              <w:t>0.764</w:t>
            </w:r>
          </w:p>
        </w:tc>
      </w:tr>
      <w:tr w:rsidR="00B86097" w:rsidRPr="00BD6DBC" w14:paraId="3201615C" w14:textId="77777777" w:rsidTr="003A5664">
        <w:tc>
          <w:tcPr>
            <w:tcW w:w="1701" w:type="dxa"/>
            <w:tcBorders>
              <w:top w:val="nil"/>
              <w:left w:val="nil"/>
              <w:bottom w:val="nil"/>
              <w:right w:val="nil"/>
            </w:tcBorders>
            <w:vAlign w:val="bottom"/>
          </w:tcPr>
          <w:p w14:paraId="6020A222"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China </w:t>
            </w:r>
          </w:p>
        </w:tc>
        <w:tc>
          <w:tcPr>
            <w:tcW w:w="959" w:type="dxa"/>
            <w:tcBorders>
              <w:top w:val="nil"/>
              <w:left w:val="nil"/>
              <w:bottom w:val="nil"/>
              <w:right w:val="nil"/>
            </w:tcBorders>
          </w:tcPr>
          <w:p w14:paraId="5EF8E883"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CHN</w:t>
            </w:r>
          </w:p>
        </w:tc>
        <w:tc>
          <w:tcPr>
            <w:tcW w:w="709" w:type="dxa"/>
            <w:tcBorders>
              <w:top w:val="nil"/>
              <w:left w:val="nil"/>
              <w:bottom w:val="nil"/>
              <w:right w:val="nil"/>
            </w:tcBorders>
          </w:tcPr>
          <w:p w14:paraId="0DFCD497"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2007</w:t>
            </w:r>
          </w:p>
        </w:tc>
        <w:tc>
          <w:tcPr>
            <w:tcW w:w="1167" w:type="dxa"/>
            <w:tcBorders>
              <w:top w:val="nil"/>
              <w:left w:val="nil"/>
              <w:bottom w:val="nil"/>
              <w:right w:val="nil"/>
            </w:tcBorders>
          </w:tcPr>
          <w:p w14:paraId="37746705" w14:textId="77777777" w:rsidR="00B86097" w:rsidRPr="00BD6DBC" w:rsidRDefault="00B86097" w:rsidP="009B6E5B">
            <w:pPr>
              <w:spacing w:before="0" w:line="240" w:lineRule="auto"/>
              <w:rPr>
                <w:rFonts w:cs="Segoe UI"/>
                <w:sz w:val="16"/>
                <w:szCs w:val="16"/>
              </w:rPr>
            </w:pPr>
            <w:r w:rsidRPr="00BD6DBC">
              <w:rPr>
                <w:rFonts w:cs="Segoe UI"/>
                <w:sz w:val="16"/>
                <w:szCs w:val="16"/>
              </w:rPr>
              <w:t>2015</w:t>
            </w:r>
          </w:p>
        </w:tc>
        <w:tc>
          <w:tcPr>
            <w:tcW w:w="2127" w:type="dxa"/>
            <w:tcBorders>
              <w:top w:val="nil"/>
              <w:left w:val="nil"/>
              <w:bottom w:val="nil"/>
              <w:right w:val="nil"/>
            </w:tcBorders>
            <w:vAlign w:val="bottom"/>
          </w:tcPr>
          <w:p w14:paraId="07A0ED35" w14:textId="77777777" w:rsidR="00B86097" w:rsidRPr="00BD6DBC" w:rsidRDefault="00B86097" w:rsidP="009B6E5B">
            <w:pPr>
              <w:spacing w:before="0" w:line="240" w:lineRule="auto"/>
              <w:rPr>
                <w:rFonts w:cs="Segoe UI"/>
                <w:sz w:val="16"/>
                <w:szCs w:val="16"/>
              </w:rPr>
            </w:pPr>
            <w:r w:rsidRPr="00BD6DBC">
              <w:rPr>
                <w:rFonts w:cs="Segoe UI"/>
                <w:sz w:val="16"/>
                <w:szCs w:val="16"/>
              </w:rPr>
              <w:t>2651.3</w:t>
            </w:r>
          </w:p>
        </w:tc>
        <w:tc>
          <w:tcPr>
            <w:tcW w:w="1984" w:type="dxa"/>
            <w:tcBorders>
              <w:top w:val="nil"/>
              <w:left w:val="nil"/>
              <w:bottom w:val="nil"/>
              <w:right w:val="nil"/>
            </w:tcBorders>
          </w:tcPr>
          <w:p w14:paraId="43B8BB2F" w14:textId="77777777" w:rsidR="00B86097" w:rsidRPr="00BD6DBC" w:rsidRDefault="00B86097" w:rsidP="009B6E5B">
            <w:pPr>
              <w:spacing w:before="0" w:line="240" w:lineRule="auto"/>
              <w:rPr>
                <w:rFonts w:cs="Segoe UI"/>
                <w:sz w:val="16"/>
                <w:szCs w:val="16"/>
              </w:rPr>
            </w:pPr>
            <w:r w:rsidRPr="00BD6DBC">
              <w:rPr>
                <w:rFonts w:cs="Segoe UI"/>
                <w:sz w:val="16"/>
                <w:szCs w:val="16"/>
              </w:rPr>
              <w:t>Not Free</w:t>
            </w:r>
          </w:p>
        </w:tc>
        <w:tc>
          <w:tcPr>
            <w:tcW w:w="709" w:type="dxa"/>
            <w:tcBorders>
              <w:top w:val="nil"/>
              <w:left w:val="nil"/>
              <w:bottom w:val="nil"/>
              <w:right w:val="nil"/>
            </w:tcBorders>
          </w:tcPr>
          <w:p w14:paraId="20F1C501" w14:textId="77777777" w:rsidR="00B86097" w:rsidRPr="00BD6DBC" w:rsidRDefault="00B86097" w:rsidP="009B6E5B">
            <w:pPr>
              <w:spacing w:before="0" w:line="240" w:lineRule="auto"/>
              <w:rPr>
                <w:rFonts w:cs="Segoe UI"/>
                <w:sz w:val="16"/>
                <w:szCs w:val="16"/>
              </w:rPr>
            </w:pPr>
            <w:r w:rsidRPr="00BD6DBC">
              <w:rPr>
                <w:rFonts w:cs="Segoe UI"/>
                <w:sz w:val="16"/>
                <w:szCs w:val="16"/>
              </w:rPr>
              <w:t>0.639</w:t>
            </w:r>
          </w:p>
        </w:tc>
      </w:tr>
      <w:tr w:rsidR="00B86097" w:rsidRPr="00BD6DBC" w14:paraId="7C623C08" w14:textId="77777777" w:rsidTr="003A5664">
        <w:tc>
          <w:tcPr>
            <w:tcW w:w="1701" w:type="dxa"/>
            <w:tcBorders>
              <w:top w:val="nil"/>
              <w:left w:val="nil"/>
              <w:bottom w:val="nil"/>
              <w:right w:val="nil"/>
            </w:tcBorders>
            <w:vAlign w:val="bottom"/>
          </w:tcPr>
          <w:p w14:paraId="7A00D6D1"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 xml:space="preserve">Cyprus </w:t>
            </w:r>
          </w:p>
        </w:tc>
        <w:tc>
          <w:tcPr>
            <w:tcW w:w="959" w:type="dxa"/>
            <w:tcBorders>
              <w:top w:val="nil"/>
              <w:left w:val="nil"/>
              <w:bottom w:val="nil"/>
              <w:right w:val="nil"/>
            </w:tcBorders>
          </w:tcPr>
          <w:p w14:paraId="0D3E0C4F"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CYP</w:t>
            </w:r>
          </w:p>
        </w:tc>
        <w:tc>
          <w:tcPr>
            <w:tcW w:w="709" w:type="dxa"/>
            <w:tcBorders>
              <w:top w:val="nil"/>
              <w:left w:val="nil"/>
              <w:bottom w:val="nil"/>
              <w:right w:val="nil"/>
            </w:tcBorders>
          </w:tcPr>
          <w:p w14:paraId="206AFA42"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2006</w:t>
            </w:r>
          </w:p>
        </w:tc>
        <w:tc>
          <w:tcPr>
            <w:tcW w:w="1167" w:type="dxa"/>
            <w:tcBorders>
              <w:top w:val="nil"/>
              <w:left w:val="nil"/>
              <w:bottom w:val="nil"/>
              <w:right w:val="nil"/>
            </w:tcBorders>
          </w:tcPr>
          <w:p w14:paraId="430F7B5C" w14:textId="77777777" w:rsidR="00B86097" w:rsidRPr="00BD6DBC" w:rsidRDefault="00B86097" w:rsidP="009B6E5B">
            <w:pPr>
              <w:spacing w:before="0" w:line="240" w:lineRule="auto"/>
              <w:rPr>
                <w:rFonts w:cs="Segoe UI"/>
                <w:sz w:val="16"/>
                <w:szCs w:val="16"/>
              </w:rPr>
            </w:pPr>
            <w:r w:rsidRPr="00BD6DBC">
              <w:rPr>
                <w:rFonts w:cs="Segoe UI"/>
                <w:sz w:val="16"/>
                <w:szCs w:val="16"/>
              </w:rPr>
              <w:t>1050</w:t>
            </w:r>
          </w:p>
        </w:tc>
        <w:tc>
          <w:tcPr>
            <w:tcW w:w="2127" w:type="dxa"/>
            <w:tcBorders>
              <w:top w:val="nil"/>
              <w:left w:val="nil"/>
              <w:bottom w:val="nil"/>
              <w:right w:val="nil"/>
            </w:tcBorders>
            <w:vAlign w:val="bottom"/>
          </w:tcPr>
          <w:p w14:paraId="43FC59E7" w14:textId="77777777" w:rsidR="00B86097" w:rsidRPr="00BD6DBC" w:rsidRDefault="00B86097" w:rsidP="009B6E5B">
            <w:pPr>
              <w:spacing w:before="0" w:line="240" w:lineRule="auto"/>
              <w:rPr>
                <w:rFonts w:cs="Segoe UI"/>
                <w:sz w:val="16"/>
                <w:szCs w:val="16"/>
              </w:rPr>
            </w:pPr>
            <w:r w:rsidRPr="00BD6DBC">
              <w:rPr>
                <w:rFonts w:cs="Segoe UI"/>
                <w:sz w:val="16"/>
                <w:szCs w:val="16"/>
              </w:rPr>
              <w:t>23848.3</w:t>
            </w:r>
          </w:p>
        </w:tc>
        <w:tc>
          <w:tcPr>
            <w:tcW w:w="1984" w:type="dxa"/>
            <w:tcBorders>
              <w:top w:val="nil"/>
              <w:left w:val="nil"/>
              <w:bottom w:val="nil"/>
              <w:right w:val="nil"/>
            </w:tcBorders>
          </w:tcPr>
          <w:p w14:paraId="4311D8D2"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1EB7CB54" w14:textId="77777777" w:rsidR="00B86097" w:rsidRPr="00BD6DBC" w:rsidRDefault="00B86097" w:rsidP="009B6E5B">
            <w:pPr>
              <w:spacing w:before="0" w:line="240" w:lineRule="auto"/>
              <w:rPr>
                <w:rFonts w:cs="Segoe UI"/>
                <w:sz w:val="16"/>
                <w:szCs w:val="16"/>
              </w:rPr>
            </w:pPr>
            <w:r w:rsidRPr="00BD6DBC">
              <w:rPr>
                <w:rFonts w:cs="Segoe UI"/>
                <w:sz w:val="16"/>
                <w:szCs w:val="16"/>
              </w:rPr>
              <w:t>0.798</w:t>
            </w:r>
          </w:p>
        </w:tc>
      </w:tr>
      <w:tr w:rsidR="00B86097" w:rsidRPr="00BD6DBC" w14:paraId="356D006A" w14:textId="77777777" w:rsidTr="003A5664">
        <w:tc>
          <w:tcPr>
            <w:tcW w:w="1701" w:type="dxa"/>
            <w:tcBorders>
              <w:top w:val="nil"/>
              <w:left w:val="nil"/>
              <w:bottom w:val="nil"/>
              <w:right w:val="nil"/>
            </w:tcBorders>
            <w:vAlign w:val="bottom"/>
          </w:tcPr>
          <w:p w14:paraId="5FA5F97D"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Egypt</w:t>
            </w:r>
          </w:p>
        </w:tc>
        <w:tc>
          <w:tcPr>
            <w:tcW w:w="959" w:type="dxa"/>
            <w:tcBorders>
              <w:top w:val="nil"/>
              <w:left w:val="nil"/>
              <w:bottom w:val="nil"/>
              <w:right w:val="nil"/>
            </w:tcBorders>
          </w:tcPr>
          <w:p w14:paraId="7D61108A"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EGY</w:t>
            </w:r>
          </w:p>
        </w:tc>
        <w:tc>
          <w:tcPr>
            <w:tcW w:w="709" w:type="dxa"/>
            <w:tcBorders>
              <w:top w:val="nil"/>
              <w:left w:val="nil"/>
              <w:bottom w:val="nil"/>
              <w:right w:val="nil"/>
            </w:tcBorders>
          </w:tcPr>
          <w:p w14:paraId="0FC48010" w14:textId="77777777" w:rsidR="00B86097" w:rsidRPr="00BD6DBC" w:rsidRDefault="00B86097" w:rsidP="009B6E5B">
            <w:pPr>
              <w:spacing w:before="0" w:line="240" w:lineRule="auto"/>
              <w:rPr>
                <w:rFonts w:cs="Segoe UI"/>
                <w:sz w:val="16"/>
                <w:szCs w:val="16"/>
              </w:rPr>
            </w:pPr>
            <w:r w:rsidRPr="00BD6DBC">
              <w:rPr>
                <w:rFonts w:eastAsia="Times New Roman" w:cs="Segoe UI"/>
                <w:sz w:val="16"/>
                <w:szCs w:val="16"/>
              </w:rPr>
              <w:t>2008</w:t>
            </w:r>
          </w:p>
        </w:tc>
        <w:tc>
          <w:tcPr>
            <w:tcW w:w="1167" w:type="dxa"/>
            <w:tcBorders>
              <w:top w:val="nil"/>
              <w:left w:val="nil"/>
              <w:bottom w:val="nil"/>
              <w:right w:val="nil"/>
            </w:tcBorders>
          </w:tcPr>
          <w:p w14:paraId="007197F2" w14:textId="77777777" w:rsidR="00B86097" w:rsidRPr="00BD6DBC" w:rsidRDefault="00B86097" w:rsidP="009B6E5B">
            <w:pPr>
              <w:spacing w:before="0" w:line="240" w:lineRule="auto"/>
              <w:rPr>
                <w:rFonts w:cs="Segoe UI"/>
                <w:sz w:val="16"/>
                <w:szCs w:val="16"/>
              </w:rPr>
            </w:pPr>
            <w:r w:rsidRPr="00BD6DBC">
              <w:rPr>
                <w:rFonts w:cs="Segoe UI"/>
                <w:sz w:val="16"/>
                <w:szCs w:val="16"/>
              </w:rPr>
              <w:t>3051</w:t>
            </w:r>
          </w:p>
        </w:tc>
        <w:tc>
          <w:tcPr>
            <w:tcW w:w="2127" w:type="dxa"/>
            <w:tcBorders>
              <w:top w:val="nil"/>
              <w:left w:val="nil"/>
              <w:bottom w:val="nil"/>
              <w:right w:val="nil"/>
            </w:tcBorders>
            <w:vAlign w:val="bottom"/>
          </w:tcPr>
          <w:p w14:paraId="20DEBFE2" w14:textId="77777777" w:rsidR="00B86097" w:rsidRPr="00BD6DBC" w:rsidRDefault="00B86097" w:rsidP="009B6E5B">
            <w:pPr>
              <w:spacing w:before="0" w:line="240" w:lineRule="auto"/>
              <w:rPr>
                <w:rFonts w:cs="Segoe UI"/>
                <w:sz w:val="16"/>
                <w:szCs w:val="16"/>
              </w:rPr>
            </w:pPr>
            <w:r w:rsidRPr="00BD6DBC">
              <w:rPr>
                <w:rFonts w:cs="Segoe UI"/>
                <w:sz w:val="16"/>
                <w:szCs w:val="16"/>
              </w:rPr>
              <w:t>2079</w:t>
            </w:r>
          </w:p>
        </w:tc>
        <w:tc>
          <w:tcPr>
            <w:tcW w:w="1984" w:type="dxa"/>
            <w:tcBorders>
              <w:top w:val="nil"/>
              <w:left w:val="nil"/>
              <w:bottom w:val="nil"/>
              <w:right w:val="nil"/>
            </w:tcBorders>
          </w:tcPr>
          <w:p w14:paraId="1C7417F2" w14:textId="77777777" w:rsidR="00B86097" w:rsidRPr="00BD6DBC" w:rsidRDefault="00B86097" w:rsidP="009B6E5B">
            <w:pPr>
              <w:spacing w:before="0" w:line="240" w:lineRule="auto"/>
              <w:rPr>
                <w:rFonts w:cs="Segoe UI"/>
                <w:sz w:val="16"/>
                <w:szCs w:val="16"/>
              </w:rPr>
            </w:pPr>
            <w:r w:rsidRPr="00BD6DBC">
              <w:rPr>
                <w:rFonts w:cs="Segoe UI"/>
                <w:sz w:val="16"/>
                <w:szCs w:val="16"/>
              </w:rPr>
              <w:t>Not Free</w:t>
            </w:r>
          </w:p>
        </w:tc>
        <w:tc>
          <w:tcPr>
            <w:tcW w:w="709" w:type="dxa"/>
            <w:tcBorders>
              <w:top w:val="nil"/>
              <w:left w:val="nil"/>
              <w:bottom w:val="nil"/>
              <w:right w:val="nil"/>
            </w:tcBorders>
          </w:tcPr>
          <w:p w14:paraId="2CC771E6" w14:textId="77777777" w:rsidR="00B86097" w:rsidRPr="00BD6DBC" w:rsidRDefault="00B86097" w:rsidP="009B6E5B">
            <w:pPr>
              <w:spacing w:before="0" w:line="240" w:lineRule="auto"/>
              <w:rPr>
                <w:rFonts w:cs="Segoe UI"/>
                <w:sz w:val="16"/>
                <w:szCs w:val="16"/>
              </w:rPr>
            </w:pPr>
            <w:r w:rsidRPr="00BD6DBC">
              <w:rPr>
                <w:rFonts w:cs="Segoe UI"/>
                <w:sz w:val="16"/>
                <w:szCs w:val="16"/>
              </w:rPr>
              <w:t>0.608</w:t>
            </w:r>
          </w:p>
        </w:tc>
      </w:tr>
      <w:tr w:rsidR="00B86097" w:rsidRPr="00BD6DBC" w14:paraId="45E88C9D" w14:textId="77777777" w:rsidTr="003A5664">
        <w:tc>
          <w:tcPr>
            <w:tcW w:w="1701" w:type="dxa"/>
            <w:tcBorders>
              <w:top w:val="nil"/>
              <w:left w:val="nil"/>
              <w:bottom w:val="nil"/>
              <w:right w:val="nil"/>
            </w:tcBorders>
            <w:vAlign w:val="bottom"/>
          </w:tcPr>
          <w:p w14:paraId="31B5B4DB"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Ethiopia</w:t>
            </w:r>
          </w:p>
        </w:tc>
        <w:tc>
          <w:tcPr>
            <w:tcW w:w="959" w:type="dxa"/>
            <w:tcBorders>
              <w:top w:val="nil"/>
              <w:left w:val="nil"/>
              <w:bottom w:val="nil"/>
              <w:right w:val="nil"/>
            </w:tcBorders>
          </w:tcPr>
          <w:p w14:paraId="22E800F0" w14:textId="77777777" w:rsidR="00B86097" w:rsidRPr="00BD6DBC" w:rsidRDefault="00B86097" w:rsidP="009B6E5B">
            <w:pPr>
              <w:spacing w:before="0" w:line="240" w:lineRule="auto"/>
              <w:rPr>
                <w:rFonts w:cs="Segoe UI"/>
                <w:sz w:val="16"/>
                <w:szCs w:val="16"/>
              </w:rPr>
            </w:pPr>
            <w:r w:rsidRPr="00BD6DBC">
              <w:rPr>
                <w:rFonts w:cs="Segoe UI"/>
                <w:sz w:val="16"/>
                <w:szCs w:val="16"/>
              </w:rPr>
              <w:t>ETH</w:t>
            </w:r>
          </w:p>
        </w:tc>
        <w:tc>
          <w:tcPr>
            <w:tcW w:w="709" w:type="dxa"/>
            <w:tcBorders>
              <w:top w:val="nil"/>
              <w:left w:val="nil"/>
              <w:bottom w:val="nil"/>
              <w:right w:val="nil"/>
            </w:tcBorders>
          </w:tcPr>
          <w:p w14:paraId="3978C6B0"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696B1D0F" w14:textId="77777777" w:rsidR="00B86097" w:rsidRPr="00BD6DBC" w:rsidRDefault="00B86097" w:rsidP="009B6E5B">
            <w:pPr>
              <w:spacing w:before="0" w:line="240" w:lineRule="auto"/>
              <w:rPr>
                <w:rFonts w:cs="Segoe UI"/>
                <w:sz w:val="16"/>
                <w:szCs w:val="16"/>
              </w:rPr>
            </w:pPr>
            <w:r w:rsidRPr="00BD6DBC">
              <w:rPr>
                <w:rFonts w:cs="Segoe UI"/>
                <w:sz w:val="16"/>
                <w:szCs w:val="16"/>
              </w:rPr>
              <w:t>1500</w:t>
            </w:r>
          </w:p>
        </w:tc>
        <w:tc>
          <w:tcPr>
            <w:tcW w:w="2127" w:type="dxa"/>
            <w:tcBorders>
              <w:top w:val="nil"/>
              <w:left w:val="nil"/>
              <w:bottom w:val="nil"/>
              <w:right w:val="nil"/>
            </w:tcBorders>
            <w:vAlign w:val="bottom"/>
          </w:tcPr>
          <w:p w14:paraId="4D46C175" w14:textId="77777777" w:rsidR="00B86097" w:rsidRPr="00BD6DBC" w:rsidRDefault="00B86097" w:rsidP="009B6E5B">
            <w:pPr>
              <w:spacing w:before="0" w:line="240" w:lineRule="auto"/>
              <w:rPr>
                <w:rFonts w:cs="Segoe UI"/>
                <w:sz w:val="16"/>
                <w:szCs w:val="16"/>
              </w:rPr>
            </w:pPr>
            <w:r w:rsidRPr="00BD6DBC">
              <w:rPr>
                <w:rFonts w:cs="Segoe UI"/>
                <w:sz w:val="16"/>
                <w:szCs w:val="16"/>
              </w:rPr>
              <w:t>251.6</w:t>
            </w:r>
          </w:p>
        </w:tc>
        <w:tc>
          <w:tcPr>
            <w:tcW w:w="1984" w:type="dxa"/>
            <w:tcBorders>
              <w:top w:val="nil"/>
              <w:left w:val="nil"/>
              <w:bottom w:val="nil"/>
              <w:right w:val="nil"/>
            </w:tcBorders>
          </w:tcPr>
          <w:p w14:paraId="2E788CC2"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61BCAD7D" w14:textId="77777777" w:rsidR="00B86097" w:rsidRPr="00BD6DBC" w:rsidRDefault="00B86097" w:rsidP="009B6E5B">
            <w:pPr>
              <w:spacing w:before="0" w:line="240" w:lineRule="auto"/>
              <w:rPr>
                <w:rFonts w:cs="Segoe UI"/>
                <w:sz w:val="16"/>
                <w:szCs w:val="16"/>
              </w:rPr>
            </w:pPr>
            <w:r w:rsidRPr="00BD6DBC">
              <w:rPr>
                <w:rFonts w:cs="Segoe UI"/>
                <w:sz w:val="16"/>
                <w:szCs w:val="16"/>
              </w:rPr>
              <w:t>0.309</w:t>
            </w:r>
          </w:p>
        </w:tc>
      </w:tr>
      <w:tr w:rsidR="00B86097" w:rsidRPr="00BD6DBC" w14:paraId="0D3659D9" w14:textId="77777777" w:rsidTr="003A5664">
        <w:tc>
          <w:tcPr>
            <w:tcW w:w="1701" w:type="dxa"/>
            <w:tcBorders>
              <w:top w:val="nil"/>
              <w:left w:val="nil"/>
              <w:bottom w:val="nil"/>
              <w:right w:val="nil"/>
            </w:tcBorders>
            <w:vAlign w:val="bottom"/>
          </w:tcPr>
          <w:p w14:paraId="05674498"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Finland</w:t>
            </w:r>
          </w:p>
        </w:tc>
        <w:tc>
          <w:tcPr>
            <w:tcW w:w="959" w:type="dxa"/>
            <w:tcBorders>
              <w:top w:val="nil"/>
              <w:left w:val="nil"/>
              <w:bottom w:val="nil"/>
              <w:right w:val="nil"/>
            </w:tcBorders>
          </w:tcPr>
          <w:p w14:paraId="65BF41B9" w14:textId="77777777" w:rsidR="00B86097" w:rsidRPr="00BD6DBC" w:rsidRDefault="00B86097" w:rsidP="009B6E5B">
            <w:pPr>
              <w:spacing w:before="0" w:line="240" w:lineRule="auto"/>
              <w:rPr>
                <w:rFonts w:cs="Segoe UI"/>
                <w:sz w:val="16"/>
                <w:szCs w:val="16"/>
              </w:rPr>
            </w:pPr>
            <w:r w:rsidRPr="00BD6DBC">
              <w:rPr>
                <w:rFonts w:cs="Segoe UI"/>
                <w:sz w:val="16"/>
                <w:szCs w:val="16"/>
              </w:rPr>
              <w:t>FIN</w:t>
            </w:r>
          </w:p>
        </w:tc>
        <w:tc>
          <w:tcPr>
            <w:tcW w:w="709" w:type="dxa"/>
            <w:tcBorders>
              <w:top w:val="nil"/>
              <w:left w:val="nil"/>
              <w:bottom w:val="nil"/>
              <w:right w:val="nil"/>
            </w:tcBorders>
          </w:tcPr>
          <w:p w14:paraId="7549537C"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1914B0DD" w14:textId="77777777" w:rsidR="00B86097" w:rsidRPr="00BD6DBC" w:rsidRDefault="00B86097" w:rsidP="009B6E5B">
            <w:pPr>
              <w:spacing w:before="0" w:line="240" w:lineRule="auto"/>
              <w:rPr>
                <w:rFonts w:cs="Segoe UI"/>
                <w:sz w:val="16"/>
                <w:szCs w:val="16"/>
              </w:rPr>
            </w:pPr>
            <w:r w:rsidRPr="00BD6DBC">
              <w:rPr>
                <w:rFonts w:cs="Segoe UI"/>
                <w:sz w:val="16"/>
                <w:szCs w:val="16"/>
              </w:rPr>
              <w:t>1014</w:t>
            </w:r>
          </w:p>
        </w:tc>
        <w:tc>
          <w:tcPr>
            <w:tcW w:w="2127" w:type="dxa"/>
            <w:tcBorders>
              <w:top w:val="nil"/>
              <w:left w:val="nil"/>
              <w:bottom w:val="nil"/>
              <w:right w:val="nil"/>
            </w:tcBorders>
            <w:vAlign w:val="bottom"/>
          </w:tcPr>
          <w:p w14:paraId="49D1C8A7" w14:textId="77777777" w:rsidR="00B86097" w:rsidRPr="00BD6DBC" w:rsidRDefault="00B86097" w:rsidP="009B6E5B">
            <w:pPr>
              <w:spacing w:before="0" w:line="240" w:lineRule="auto"/>
              <w:rPr>
                <w:rFonts w:cs="Segoe UI"/>
                <w:sz w:val="16"/>
                <w:szCs w:val="16"/>
              </w:rPr>
            </w:pPr>
            <w:r w:rsidRPr="00BD6DBC">
              <w:rPr>
                <w:rFonts w:cs="Segoe UI"/>
                <w:sz w:val="16"/>
                <w:szCs w:val="16"/>
              </w:rPr>
              <w:t>37289.9</w:t>
            </w:r>
          </w:p>
        </w:tc>
        <w:tc>
          <w:tcPr>
            <w:tcW w:w="1984" w:type="dxa"/>
            <w:tcBorders>
              <w:top w:val="nil"/>
              <w:left w:val="nil"/>
              <w:bottom w:val="nil"/>
              <w:right w:val="nil"/>
            </w:tcBorders>
          </w:tcPr>
          <w:p w14:paraId="100B9B9E"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285DB3EC" w14:textId="77777777" w:rsidR="00B86097" w:rsidRPr="00BD6DBC" w:rsidRDefault="00B86097" w:rsidP="009B6E5B">
            <w:pPr>
              <w:spacing w:before="0" w:line="240" w:lineRule="auto"/>
              <w:rPr>
                <w:rFonts w:cs="Segoe UI"/>
                <w:sz w:val="16"/>
                <w:szCs w:val="16"/>
              </w:rPr>
            </w:pPr>
            <w:r w:rsidRPr="00BD6DBC">
              <w:rPr>
                <w:rFonts w:cs="Segoe UI"/>
                <w:sz w:val="16"/>
                <w:szCs w:val="16"/>
              </w:rPr>
              <w:t>0.863</w:t>
            </w:r>
          </w:p>
        </w:tc>
      </w:tr>
      <w:tr w:rsidR="00B86097" w:rsidRPr="00BD6DBC" w14:paraId="09A64604" w14:textId="77777777" w:rsidTr="003A5664">
        <w:tc>
          <w:tcPr>
            <w:tcW w:w="1701" w:type="dxa"/>
            <w:tcBorders>
              <w:top w:val="nil"/>
              <w:left w:val="nil"/>
              <w:bottom w:val="nil"/>
              <w:right w:val="nil"/>
            </w:tcBorders>
            <w:vAlign w:val="bottom"/>
          </w:tcPr>
          <w:p w14:paraId="792195EC"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France</w:t>
            </w:r>
          </w:p>
        </w:tc>
        <w:tc>
          <w:tcPr>
            <w:tcW w:w="959" w:type="dxa"/>
            <w:tcBorders>
              <w:top w:val="nil"/>
              <w:left w:val="nil"/>
              <w:bottom w:val="nil"/>
              <w:right w:val="nil"/>
            </w:tcBorders>
          </w:tcPr>
          <w:p w14:paraId="18817280" w14:textId="77777777" w:rsidR="00B86097" w:rsidRPr="00BD6DBC" w:rsidRDefault="00B86097" w:rsidP="009B6E5B">
            <w:pPr>
              <w:spacing w:before="0" w:line="240" w:lineRule="auto"/>
              <w:rPr>
                <w:rFonts w:cs="Segoe UI"/>
                <w:sz w:val="16"/>
                <w:szCs w:val="16"/>
              </w:rPr>
            </w:pPr>
            <w:r w:rsidRPr="00BD6DBC">
              <w:rPr>
                <w:rFonts w:cs="Segoe UI"/>
                <w:sz w:val="16"/>
                <w:szCs w:val="16"/>
              </w:rPr>
              <w:t>FRA</w:t>
            </w:r>
          </w:p>
        </w:tc>
        <w:tc>
          <w:tcPr>
            <w:tcW w:w="709" w:type="dxa"/>
            <w:tcBorders>
              <w:top w:val="nil"/>
              <w:left w:val="nil"/>
              <w:bottom w:val="nil"/>
              <w:right w:val="nil"/>
            </w:tcBorders>
          </w:tcPr>
          <w:p w14:paraId="39126467"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11A29D56" w14:textId="77777777" w:rsidR="00B86097" w:rsidRPr="00BD6DBC" w:rsidRDefault="00B86097" w:rsidP="009B6E5B">
            <w:pPr>
              <w:spacing w:before="0" w:line="240" w:lineRule="auto"/>
              <w:rPr>
                <w:rFonts w:cs="Segoe UI"/>
                <w:sz w:val="16"/>
                <w:szCs w:val="16"/>
              </w:rPr>
            </w:pPr>
            <w:r w:rsidRPr="00BD6DBC">
              <w:rPr>
                <w:rFonts w:cs="Segoe UI"/>
                <w:sz w:val="16"/>
                <w:szCs w:val="16"/>
              </w:rPr>
              <w:t>1001</w:t>
            </w:r>
          </w:p>
        </w:tc>
        <w:tc>
          <w:tcPr>
            <w:tcW w:w="2127" w:type="dxa"/>
            <w:tcBorders>
              <w:top w:val="nil"/>
              <w:left w:val="nil"/>
              <w:bottom w:val="nil"/>
              <w:right w:val="nil"/>
            </w:tcBorders>
            <w:vAlign w:val="bottom"/>
          </w:tcPr>
          <w:p w14:paraId="267A9E85" w14:textId="77777777" w:rsidR="00B86097" w:rsidRPr="00BD6DBC" w:rsidRDefault="00B86097" w:rsidP="009B6E5B">
            <w:pPr>
              <w:spacing w:before="0" w:line="240" w:lineRule="auto"/>
              <w:rPr>
                <w:rFonts w:cs="Segoe UI"/>
                <w:sz w:val="16"/>
                <w:szCs w:val="16"/>
              </w:rPr>
            </w:pPr>
            <w:r w:rsidRPr="00BD6DBC">
              <w:rPr>
                <w:rFonts w:cs="Segoe UI"/>
                <w:sz w:val="16"/>
                <w:szCs w:val="16"/>
              </w:rPr>
              <w:t>35558</w:t>
            </w:r>
          </w:p>
        </w:tc>
        <w:tc>
          <w:tcPr>
            <w:tcW w:w="1984" w:type="dxa"/>
            <w:tcBorders>
              <w:top w:val="nil"/>
              <w:left w:val="nil"/>
              <w:bottom w:val="nil"/>
              <w:right w:val="nil"/>
            </w:tcBorders>
          </w:tcPr>
          <w:p w14:paraId="49202996"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71E82E17" w14:textId="77777777" w:rsidR="00B86097" w:rsidRPr="00BD6DBC" w:rsidRDefault="00B86097" w:rsidP="009B6E5B">
            <w:pPr>
              <w:spacing w:before="0" w:line="240" w:lineRule="auto"/>
              <w:rPr>
                <w:rFonts w:cs="Segoe UI"/>
                <w:sz w:val="16"/>
                <w:szCs w:val="16"/>
              </w:rPr>
            </w:pPr>
            <w:r w:rsidRPr="00BD6DBC">
              <w:rPr>
                <w:rFonts w:cs="Segoe UI"/>
                <w:sz w:val="16"/>
                <w:szCs w:val="16"/>
              </w:rPr>
              <w:t>0.86</w:t>
            </w:r>
          </w:p>
        </w:tc>
      </w:tr>
      <w:tr w:rsidR="00B86097" w:rsidRPr="00BD6DBC" w14:paraId="60C11EC0" w14:textId="77777777" w:rsidTr="003A5664">
        <w:tc>
          <w:tcPr>
            <w:tcW w:w="1701" w:type="dxa"/>
            <w:tcBorders>
              <w:top w:val="nil"/>
              <w:left w:val="nil"/>
              <w:bottom w:val="nil"/>
              <w:right w:val="nil"/>
            </w:tcBorders>
            <w:vAlign w:val="bottom"/>
          </w:tcPr>
          <w:p w14:paraId="4AD8C3EC"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Georgia</w:t>
            </w:r>
          </w:p>
        </w:tc>
        <w:tc>
          <w:tcPr>
            <w:tcW w:w="959" w:type="dxa"/>
            <w:tcBorders>
              <w:top w:val="nil"/>
              <w:left w:val="nil"/>
              <w:bottom w:val="nil"/>
              <w:right w:val="nil"/>
            </w:tcBorders>
          </w:tcPr>
          <w:p w14:paraId="78E0FE9C" w14:textId="77777777" w:rsidR="00B86097" w:rsidRPr="00BD6DBC" w:rsidRDefault="00B86097" w:rsidP="009B6E5B">
            <w:pPr>
              <w:spacing w:before="0" w:line="240" w:lineRule="auto"/>
              <w:rPr>
                <w:rFonts w:cs="Segoe UI"/>
                <w:sz w:val="16"/>
                <w:szCs w:val="16"/>
              </w:rPr>
            </w:pPr>
            <w:r w:rsidRPr="00BD6DBC">
              <w:rPr>
                <w:rFonts w:cs="Segoe UI"/>
                <w:sz w:val="16"/>
                <w:szCs w:val="16"/>
              </w:rPr>
              <w:t>GEO</w:t>
            </w:r>
          </w:p>
        </w:tc>
        <w:tc>
          <w:tcPr>
            <w:tcW w:w="709" w:type="dxa"/>
            <w:tcBorders>
              <w:top w:val="nil"/>
              <w:left w:val="nil"/>
              <w:bottom w:val="nil"/>
              <w:right w:val="nil"/>
            </w:tcBorders>
          </w:tcPr>
          <w:p w14:paraId="6A94AA9E" w14:textId="77777777" w:rsidR="00B86097" w:rsidRPr="00BD6DBC" w:rsidRDefault="00B86097" w:rsidP="009B6E5B">
            <w:pPr>
              <w:spacing w:before="0" w:line="240" w:lineRule="auto"/>
              <w:rPr>
                <w:rFonts w:cs="Segoe UI"/>
                <w:sz w:val="16"/>
                <w:szCs w:val="16"/>
              </w:rPr>
            </w:pPr>
            <w:r w:rsidRPr="00BD6DBC">
              <w:rPr>
                <w:rFonts w:cs="Segoe UI"/>
                <w:sz w:val="16"/>
                <w:szCs w:val="16"/>
              </w:rPr>
              <w:t>2008</w:t>
            </w:r>
          </w:p>
        </w:tc>
        <w:tc>
          <w:tcPr>
            <w:tcW w:w="1167" w:type="dxa"/>
            <w:tcBorders>
              <w:top w:val="nil"/>
              <w:left w:val="nil"/>
              <w:bottom w:val="nil"/>
              <w:right w:val="nil"/>
            </w:tcBorders>
          </w:tcPr>
          <w:p w14:paraId="64626AA7" w14:textId="77777777" w:rsidR="00B86097" w:rsidRPr="00BD6DBC" w:rsidRDefault="00B86097" w:rsidP="009B6E5B">
            <w:pPr>
              <w:spacing w:before="0" w:line="240" w:lineRule="auto"/>
              <w:rPr>
                <w:rFonts w:cs="Segoe UI"/>
                <w:sz w:val="16"/>
                <w:szCs w:val="16"/>
              </w:rPr>
            </w:pPr>
            <w:r w:rsidRPr="00BD6DBC">
              <w:rPr>
                <w:rFonts w:cs="Segoe UI"/>
                <w:sz w:val="16"/>
                <w:szCs w:val="16"/>
              </w:rPr>
              <w:t>1500</w:t>
            </w:r>
          </w:p>
        </w:tc>
        <w:tc>
          <w:tcPr>
            <w:tcW w:w="2127" w:type="dxa"/>
            <w:tcBorders>
              <w:top w:val="nil"/>
              <w:left w:val="nil"/>
              <w:bottom w:val="nil"/>
              <w:right w:val="nil"/>
            </w:tcBorders>
            <w:vAlign w:val="bottom"/>
          </w:tcPr>
          <w:p w14:paraId="2EA28127" w14:textId="77777777" w:rsidR="00B86097" w:rsidRPr="00BD6DBC" w:rsidRDefault="00B86097" w:rsidP="009B6E5B">
            <w:pPr>
              <w:spacing w:before="0" w:line="240" w:lineRule="auto"/>
              <w:rPr>
                <w:rFonts w:cs="Segoe UI"/>
                <w:sz w:val="16"/>
                <w:szCs w:val="16"/>
              </w:rPr>
            </w:pPr>
            <w:r w:rsidRPr="00BD6DBC">
              <w:rPr>
                <w:rFonts w:cs="Segoe UI"/>
                <w:sz w:val="16"/>
                <w:szCs w:val="16"/>
              </w:rPr>
              <w:t>2918.8</w:t>
            </w:r>
          </w:p>
        </w:tc>
        <w:tc>
          <w:tcPr>
            <w:tcW w:w="1984" w:type="dxa"/>
            <w:tcBorders>
              <w:top w:val="nil"/>
              <w:left w:val="nil"/>
              <w:bottom w:val="nil"/>
              <w:right w:val="nil"/>
            </w:tcBorders>
          </w:tcPr>
          <w:p w14:paraId="2B419201"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0D8B0C3B" w14:textId="77777777" w:rsidR="00B86097" w:rsidRPr="00BD6DBC" w:rsidRDefault="00B86097" w:rsidP="009B6E5B">
            <w:pPr>
              <w:spacing w:before="0" w:line="240" w:lineRule="auto"/>
              <w:rPr>
                <w:rFonts w:cs="Segoe UI"/>
                <w:sz w:val="16"/>
                <w:szCs w:val="16"/>
              </w:rPr>
            </w:pPr>
            <w:r w:rsidRPr="00BD6DBC">
              <w:rPr>
                <w:rFonts w:cs="Segoe UI"/>
                <w:sz w:val="16"/>
                <w:szCs w:val="16"/>
              </w:rPr>
              <w:t>0.697</w:t>
            </w:r>
          </w:p>
        </w:tc>
      </w:tr>
      <w:tr w:rsidR="00B86097" w:rsidRPr="00BD6DBC" w14:paraId="31383C6F" w14:textId="77777777" w:rsidTr="003A5664">
        <w:tc>
          <w:tcPr>
            <w:tcW w:w="1701" w:type="dxa"/>
            <w:tcBorders>
              <w:top w:val="nil"/>
              <w:left w:val="nil"/>
              <w:bottom w:val="nil"/>
              <w:right w:val="nil"/>
            </w:tcBorders>
            <w:vAlign w:val="bottom"/>
          </w:tcPr>
          <w:p w14:paraId="6BC58417"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Germany</w:t>
            </w:r>
          </w:p>
        </w:tc>
        <w:tc>
          <w:tcPr>
            <w:tcW w:w="959" w:type="dxa"/>
            <w:tcBorders>
              <w:top w:val="nil"/>
              <w:left w:val="nil"/>
              <w:bottom w:val="nil"/>
              <w:right w:val="nil"/>
            </w:tcBorders>
          </w:tcPr>
          <w:p w14:paraId="1369461E" w14:textId="77777777" w:rsidR="00B86097" w:rsidRPr="00BD6DBC" w:rsidRDefault="00B86097" w:rsidP="009B6E5B">
            <w:pPr>
              <w:spacing w:before="0" w:line="240" w:lineRule="auto"/>
              <w:rPr>
                <w:rFonts w:cs="Segoe UI"/>
                <w:sz w:val="16"/>
                <w:szCs w:val="16"/>
              </w:rPr>
            </w:pPr>
            <w:r w:rsidRPr="00BD6DBC">
              <w:rPr>
                <w:rFonts w:cs="Segoe UI"/>
                <w:sz w:val="16"/>
                <w:szCs w:val="16"/>
              </w:rPr>
              <w:t>DEU</w:t>
            </w:r>
          </w:p>
        </w:tc>
        <w:tc>
          <w:tcPr>
            <w:tcW w:w="709" w:type="dxa"/>
            <w:tcBorders>
              <w:top w:val="nil"/>
              <w:left w:val="nil"/>
              <w:bottom w:val="nil"/>
              <w:right w:val="nil"/>
            </w:tcBorders>
          </w:tcPr>
          <w:p w14:paraId="48B3A59E"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2EE58B7F" w14:textId="77777777" w:rsidR="00B86097" w:rsidRPr="00BD6DBC" w:rsidRDefault="00B86097" w:rsidP="009B6E5B">
            <w:pPr>
              <w:spacing w:before="0" w:line="240" w:lineRule="auto"/>
              <w:rPr>
                <w:rFonts w:cs="Segoe UI"/>
                <w:sz w:val="16"/>
                <w:szCs w:val="16"/>
              </w:rPr>
            </w:pPr>
            <w:r w:rsidRPr="00BD6DBC">
              <w:rPr>
                <w:rFonts w:cs="Segoe UI"/>
                <w:sz w:val="16"/>
                <w:szCs w:val="16"/>
              </w:rPr>
              <w:t>2064</w:t>
            </w:r>
            <w:r w:rsidRPr="00BD6DBC">
              <w:rPr>
                <w:rFonts w:cs="Segoe UI"/>
                <w:sz w:val="16"/>
                <w:szCs w:val="16"/>
                <w:vertAlign w:val="superscript"/>
              </w:rPr>
              <w:t>†</w:t>
            </w:r>
          </w:p>
        </w:tc>
        <w:tc>
          <w:tcPr>
            <w:tcW w:w="2127" w:type="dxa"/>
            <w:tcBorders>
              <w:top w:val="nil"/>
              <w:left w:val="nil"/>
              <w:bottom w:val="nil"/>
              <w:right w:val="nil"/>
            </w:tcBorders>
            <w:vAlign w:val="bottom"/>
          </w:tcPr>
          <w:p w14:paraId="37254C99" w14:textId="77777777" w:rsidR="00B86097" w:rsidRPr="00BD6DBC" w:rsidRDefault="00B86097" w:rsidP="009B6E5B">
            <w:pPr>
              <w:spacing w:before="0" w:line="240" w:lineRule="auto"/>
              <w:rPr>
                <w:rFonts w:cs="Segoe UI"/>
                <w:sz w:val="16"/>
                <w:szCs w:val="16"/>
              </w:rPr>
            </w:pPr>
            <w:r w:rsidRPr="00BD6DBC">
              <w:rPr>
                <w:rFonts w:cs="Segoe UI"/>
                <w:sz w:val="16"/>
                <w:szCs w:val="16"/>
              </w:rPr>
              <w:t>35429.5</w:t>
            </w:r>
          </w:p>
        </w:tc>
        <w:tc>
          <w:tcPr>
            <w:tcW w:w="1984" w:type="dxa"/>
            <w:tcBorders>
              <w:top w:val="nil"/>
              <w:left w:val="nil"/>
              <w:bottom w:val="nil"/>
              <w:right w:val="nil"/>
            </w:tcBorders>
          </w:tcPr>
          <w:p w14:paraId="2CF84BAC"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4C7BC0E7" w14:textId="77777777" w:rsidR="00B86097" w:rsidRPr="00BD6DBC" w:rsidRDefault="00B86097" w:rsidP="009B6E5B">
            <w:pPr>
              <w:spacing w:before="0" w:line="240" w:lineRule="auto"/>
              <w:rPr>
                <w:rFonts w:cs="Segoe UI"/>
                <w:sz w:val="16"/>
                <w:szCs w:val="16"/>
              </w:rPr>
            </w:pPr>
            <w:r w:rsidRPr="00BD6DBC">
              <w:rPr>
                <w:rFonts w:cs="Segoe UI"/>
                <w:sz w:val="16"/>
                <w:szCs w:val="16"/>
              </w:rPr>
              <w:t>0.881</w:t>
            </w:r>
          </w:p>
        </w:tc>
      </w:tr>
      <w:tr w:rsidR="00B86097" w:rsidRPr="00BD6DBC" w14:paraId="13519C8A" w14:textId="77777777" w:rsidTr="003A5664">
        <w:tc>
          <w:tcPr>
            <w:tcW w:w="1701" w:type="dxa"/>
            <w:tcBorders>
              <w:top w:val="nil"/>
              <w:left w:val="nil"/>
              <w:bottom w:val="nil"/>
              <w:right w:val="nil"/>
            </w:tcBorders>
            <w:vAlign w:val="bottom"/>
          </w:tcPr>
          <w:p w14:paraId="55733DE6"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Ghana</w:t>
            </w:r>
          </w:p>
        </w:tc>
        <w:tc>
          <w:tcPr>
            <w:tcW w:w="959" w:type="dxa"/>
            <w:tcBorders>
              <w:top w:val="nil"/>
              <w:left w:val="nil"/>
              <w:bottom w:val="nil"/>
              <w:right w:val="nil"/>
            </w:tcBorders>
          </w:tcPr>
          <w:p w14:paraId="411A76A6" w14:textId="77777777" w:rsidR="00B86097" w:rsidRPr="00BD6DBC" w:rsidRDefault="00B86097" w:rsidP="009B6E5B">
            <w:pPr>
              <w:spacing w:before="0" w:line="240" w:lineRule="auto"/>
              <w:rPr>
                <w:rFonts w:cs="Segoe UI"/>
                <w:sz w:val="16"/>
                <w:szCs w:val="16"/>
              </w:rPr>
            </w:pPr>
            <w:r w:rsidRPr="00BD6DBC">
              <w:rPr>
                <w:rFonts w:cs="Segoe UI"/>
                <w:sz w:val="16"/>
                <w:szCs w:val="16"/>
              </w:rPr>
              <w:t>GHA</w:t>
            </w:r>
          </w:p>
        </w:tc>
        <w:tc>
          <w:tcPr>
            <w:tcW w:w="709" w:type="dxa"/>
            <w:tcBorders>
              <w:top w:val="nil"/>
              <w:left w:val="nil"/>
              <w:bottom w:val="nil"/>
              <w:right w:val="nil"/>
            </w:tcBorders>
          </w:tcPr>
          <w:p w14:paraId="2F468CD5"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409588A4" w14:textId="77777777" w:rsidR="00B86097" w:rsidRPr="00BD6DBC" w:rsidRDefault="00B86097" w:rsidP="009B6E5B">
            <w:pPr>
              <w:spacing w:before="0" w:line="240" w:lineRule="auto"/>
              <w:rPr>
                <w:rFonts w:cs="Segoe UI"/>
                <w:sz w:val="16"/>
                <w:szCs w:val="16"/>
              </w:rPr>
            </w:pPr>
            <w:r w:rsidRPr="00BD6DBC">
              <w:rPr>
                <w:rFonts w:cs="Segoe UI"/>
                <w:sz w:val="16"/>
                <w:szCs w:val="16"/>
              </w:rPr>
              <w:t>1534</w:t>
            </w:r>
          </w:p>
        </w:tc>
        <w:tc>
          <w:tcPr>
            <w:tcW w:w="2127" w:type="dxa"/>
            <w:tcBorders>
              <w:top w:val="nil"/>
              <w:left w:val="nil"/>
              <w:bottom w:val="nil"/>
              <w:right w:val="nil"/>
            </w:tcBorders>
            <w:vAlign w:val="bottom"/>
          </w:tcPr>
          <w:p w14:paraId="43A7DD6F" w14:textId="77777777" w:rsidR="00B86097" w:rsidRPr="00BD6DBC" w:rsidRDefault="00B86097" w:rsidP="009B6E5B">
            <w:pPr>
              <w:spacing w:before="0" w:line="240" w:lineRule="auto"/>
              <w:rPr>
                <w:rFonts w:cs="Segoe UI"/>
                <w:sz w:val="16"/>
                <w:szCs w:val="16"/>
              </w:rPr>
            </w:pPr>
            <w:r w:rsidRPr="00BD6DBC">
              <w:rPr>
                <w:rFonts w:cs="Segoe UI"/>
                <w:sz w:val="16"/>
                <w:szCs w:val="16"/>
              </w:rPr>
              <w:t>1084.5</w:t>
            </w:r>
          </w:p>
        </w:tc>
        <w:tc>
          <w:tcPr>
            <w:tcW w:w="1984" w:type="dxa"/>
            <w:tcBorders>
              <w:top w:val="nil"/>
              <w:left w:val="nil"/>
              <w:bottom w:val="nil"/>
              <w:right w:val="nil"/>
            </w:tcBorders>
          </w:tcPr>
          <w:p w14:paraId="19E6CDB5"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466E5F30" w14:textId="77777777" w:rsidR="00B86097" w:rsidRPr="00BD6DBC" w:rsidRDefault="00B86097" w:rsidP="009B6E5B">
            <w:pPr>
              <w:spacing w:before="0" w:line="240" w:lineRule="auto"/>
              <w:rPr>
                <w:rFonts w:cs="Segoe UI"/>
                <w:sz w:val="16"/>
                <w:szCs w:val="16"/>
              </w:rPr>
            </w:pPr>
            <w:r w:rsidRPr="00BD6DBC">
              <w:rPr>
                <w:rFonts w:cs="Segoe UI"/>
                <w:sz w:val="16"/>
                <w:szCs w:val="16"/>
              </w:rPr>
              <w:t>0.459</w:t>
            </w:r>
          </w:p>
        </w:tc>
      </w:tr>
      <w:tr w:rsidR="00B86097" w:rsidRPr="00BD6DBC" w14:paraId="459B8D5A" w14:textId="77777777" w:rsidTr="003A5664">
        <w:tc>
          <w:tcPr>
            <w:tcW w:w="1701" w:type="dxa"/>
            <w:tcBorders>
              <w:top w:val="nil"/>
              <w:left w:val="nil"/>
              <w:bottom w:val="nil"/>
              <w:right w:val="nil"/>
            </w:tcBorders>
            <w:vAlign w:val="bottom"/>
          </w:tcPr>
          <w:p w14:paraId="3CEF140E"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India</w:t>
            </w:r>
          </w:p>
        </w:tc>
        <w:tc>
          <w:tcPr>
            <w:tcW w:w="959" w:type="dxa"/>
            <w:tcBorders>
              <w:top w:val="nil"/>
              <w:left w:val="nil"/>
              <w:bottom w:val="nil"/>
              <w:right w:val="nil"/>
            </w:tcBorders>
          </w:tcPr>
          <w:p w14:paraId="3AE12039" w14:textId="77777777" w:rsidR="00B86097" w:rsidRPr="00BD6DBC" w:rsidRDefault="00B86097" w:rsidP="009B6E5B">
            <w:pPr>
              <w:spacing w:before="0" w:line="240" w:lineRule="auto"/>
              <w:rPr>
                <w:rFonts w:cs="Segoe UI"/>
                <w:sz w:val="16"/>
                <w:szCs w:val="16"/>
              </w:rPr>
            </w:pPr>
            <w:r w:rsidRPr="00BD6DBC">
              <w:rPr>
                <w:rFonts w:cs="Segoe UI"/>
                <w:sz w:val="16"/>
                <w:szCs w:val="16"/>
              </w:rPr>
              <w:t>IND</w:t>
            </w:r>
          </w:p>
        </w:tc>
        <w:tc>
          <w:tcPr>
            <w:tcW w:w="709" w:type="dxa"/>
            <w:tcBorders>
              <w:top w:val="nil"/>
              <w:left w:val="nil"/>
              <w:bottom w:val="nil"/>
              <w:right w:val="nil"/>
            </w:tcBorders>
          </w:tcPr>
          <w:p w14:paraId="699DFAF4"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6CB15115" w14:textId="77777777" w:rsidR="00B86097" w:rsidRPr="00BD6DBC" w:rsidRDefault="00B86097" w:rsidP="009B6E5B">
            <w:pPr>
              <w:spacing w:before="0" w:line="240" w:lineRule="auto"/>
              <w:rPr>
                <w:rFonts w:cs="Segoe UI"/>
                <w:sz w:val="16"/>
                <w:szCs w:val="16"/>
              </w:rPr>
            </w:pPr>
            <w:r w:rsidRPr="00BD6DBC">
              <w:rPr>
                <w:rFonts w:cs="Segoe UI"/>
                <w:sz w:val="16"/>
                <w:szCs w:val="16"/>
              </w:rPr>
              <w:t>2001</w:t>
            </w:r>
          </w:p>
        </w:tc>
        <w:tc>
          <w:tcPr>
            <w:tcW w:w="2127" w:type="dxa"/>
            <w:tcBorders>
              <w:top w:val="nil"/>
              <w:left w:val="nil"/>
              <w:bottom w:val="nil"/>
              <w:right w:val="nil"/>
            </w:tcBorders>
            <w:vAlign w:val="bottom"/>
          </w:tcPr>
          <w:p w14:paraId="698088CA" w14:textId="77777777" w:rsidR="00B86097" w:rsidRPr="00BD6DBC" w:rsidRDefault="00B86097" w:rsidP="009B6E5B">
            <w:pPr>
              <w:spacing w:before="0" w:line="240" w:lineRule="auto"/>
              <w:rPr>
                <w:rFonts w:cs="Segoe UI"/>
                <w:sz w:val="16"/>
                <w:szCs w:val="16"/>
              </w:rPr>
            </w:pPr>
            <w:r w:rsidRPr="00BD6DBC">
              <w:rPr>
                <w:rFonts w:cs="Segoe UI"/>
                <w:sz w:val="16"/>
                <w:szCs w:val="16"/>
              </w:rPr>
              <w:t>857.2</w:t>
            </w:r>
          </w:p>
        </w:tc>
        <w:tc>
          <w:tcPr>
            <w:tcW w:w="1984" w:type="dxa"/>
            <w:tcBorders>
              <w:top w:val="nil"/>
              <w:left w:val="nil"/>
              <w:bottom w:val="nil"/>
              <w:right w:val="nil"/>
            </w:tcBorders>
          </w:tcPr>
          <w:p w14:paraId="030C9876"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154189A3" w14:textId="77777777" w:rsidR="00B86097" w:rsidRPr="00BD6DBC" w:rsidRDefault="00B86097" w:rsidP="009B6E5B">
            <w:pPr>
              <w:spacing w:before="0" w:line="240" w:lineRule="auto"/>
              <w:rPr>
                <w:rFonts w:cs="Segoe UI"/>
                <w:sz w:val="16"/>
                <w:szCs w:val="16"/>
              </w:rPr>
            </w:pPr>
            <w:r w:rsidRPr="00BD6DBC">
              <w:rPr>
                <w:rFonts w:cs="Segoe UI"/>
                <w:sz w:val="16"/>
                <w:szCs w:val="16"/>
              </w:rPr>
              <w:t>0.491</w:t>
            </w:r>
          </w:p>
        </w:tc>
      </w:tr>
      <w:tr w:rsidR="00B86097" w:rsidRPr="00BD6DBC" w14:paraId="4E9E8A6C" w14:textId="77777777" w:rsidTr="003A5664">
        <w:tc>
          <w:tcPr>
            <w:tcW w:w="1701" w:type="dxa"/>
            <w:tcBorders>
              <w:top w:val="nil"/>
              <w:left w:val="nil"/>
              <w:bottom w:val="nil"/>
              <w:right w:val="nil"/>
            </w:tcBorders>
            <w:vAlign w:val="bottom"/>
          </w:tcPr>
          <w:p w14:paraId="7B8A9A65"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Indonesia</w:t>
            </w:r>
          </w:p>
        </w:tc>
        <w:tc>
          <w:tcPr>
            <w:tcW w:w="959" w:type="dxa"/>
            <w:tcBorders>
              <w:top w:val="nil"/>
              <w:left w:val="nil"/>
              <w:bottom w:val="nil"/>
              <w:right w:val="nil"/>
            </w:tcBorders>
          </w:tcPr>
          <w:p w14:paraId="0F5219B1" w14:textId="77777777" w:rsidR="00B86097" w:rsidRPr="00BD6DBC" w:rsidRDefault="00B86097" w:rsidP="009B6E5B">
            <w:pPr>
              <w:spacing w:before="0" w:line="240" w:lineRule="auto"/>
              <w:rPr>
                <w:rFonts w:cs="Segoe UI"/>
                <w:sz w:val="16"/>
                <w:szCs w:val="16"/>
              </w:rPr>
            </w:pPr>
            <w:r w:rsidRPr="00BD6DBC">
              <w:rPr>
                <w:rFonts w:cs="Segoe UI"/>
                <w:sz w:val="16"/>
                <w:szCs w:val="16"/>
              </w:rPr>
              <w:t>IDN</w:t>
            </w:r>
          </w:p>
        </w:tc>
        <w:tc>
          <w:tcPr>
            <w:tcW w:w="709" w:type="dxa"/>
            <w:tcBorders>
              <w:top w:val="nil"/>
              <w:left w:val="nil"/>
              <w:bottom w:val="nil"/>
              <w:right w:val="nil"/>
            </w:tcBorders>
          </w:tcPr>
          <w:p w14:paraId="5BB05EA9"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182C5E8D" w14:textId="77777777" w:rsidR="00B86097" w:rsidRPr="00BD6DBC" w:rsidRDefault="00B86097" w:rsidP="009B6E5B">
            <w:pPr>
              <w:spacing w:before="0" w:line="240" w:lineRule="auto"/>
              <w:rPr>
                <w:rFonts w:cs="Segoe UI"/>
                <w:sz w:val="16"/>
                <w:szCs w:val="16"/>
              </w:rPr>
            </w:pPr>
            <w:r w:rsidRPr="00BD6DBC">
              <w:rPr>
                <w:rFonts w:cs="Segoe UI"/>
                <w:sz w:val="16"/>
                <w:szCs w:val="16"/>
              </w:rPr>
              <w:t>2015</w:t>
            </w:r>
          </w:p>
        </w:tc>
        <w:tc>
          <w:tcPr>
            <w:tcW w:w="2127" w:type="dxa"/>
            <w:tcBorders>
              <w:top w:val="nil"/>
              <w:left w:val="nil"/>
              <w:bottom w:val="nil"/>
              <w:right w:val="nil"/>
            </w:tcBorders>
            <w:vAlign w:val="bottom"/>
          </w:tcPr>
          <w:p w14:paraId="793402F0" w14:textId="77777777" w:rsidR="00B86097" w:rsidRPr="00BD6DBC" w:rsidRDefault="00B86097" w:rsidP="009B6E5B">
            <w:pPr>
              <w:spacing w:before="0" w:line="240" w:lineRule="auto"/>
              <w:rPr>
                <w:rFonts w:cs="Segoe UI"/>
                <w:sz w:val="16"/>
                <w:szCs w:val="16"/>
              </w:rPr>
            </w:pPr>
            <w:r w:rsidRPr="00BD6DBC">
              <w:rPr>
                <w:rFonts w:cs="Segoe UI"/>
                <w:sz w:val="16"/>
                <w:szCs w:val="16"/>
              </w:rPr>
              <w:t>1585.7</w:t>
            </w:r>
          </w:p>
        </w:tc>
        <w:tc>
          <w:tcPr>
            <w:tcW w:w="1984" w:type="dxa"/>
            <w:tcBorders>
              <w:top w:val="nil"/>
              <w:left w:val="nil"/>
              <w:bottom w:val="nil"/>
              <w:right w:val="nil"/>
            </w:tcBorders>
          </w:tcPr>
          <w:p w14:paraId="5B61A879"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4C890A64" w14:textId="77777777" w:rsidR="00B86097" w:rsidRPr="00BD6DBC" w:rsidRDefault="00B86097" w:rsidP="009B6E5B">
            <w:pPr>
              <w:spacing w:before="0" w:line="240" w:lineRule="auto"/>
              <w:rPr>
                <w:rFonts w:cs="Segoe UI"/>
                <w:sz w:val="16"/>
                <w:szCs w:val="16"/>
              </w:rPr>
            </w:pPr>
            <w:r w:rsidRPr="00BD6DBC">
              <w:rPr>
                <w:rFonts w:cs="Segoe UI"/>
                <w:sz w:val="16"/>
                <w:szCs w:val="16"/>
              </w:rPr>
              <w:t>0.568</w:t>
            </w:r>
          </w:p>
        </w:tc>
      </w:tr>
      <w:tr w:rsidR="00B86097" w:rsidRPr="00BD6DBC" w14:paraId="0255B7C2" w14:textId="77777777" w:rsidTr="003A5664">
        <w:tc>
          <w:tcPr>
            <w:tcW w:w="1701" w:type="dxa"/>
            <w:tcBorders>
              <w:top w:val="nil"/>
              <w:left w:val="nil"/>
              <w:bottom w:val="nil"/>
              <w:right w:val="nil"/>
            </w:tcBorders>
            <w:vAlign w:val="bottom"/>
          </w:tcPr>
          <w:p w14:paraId="3331406E"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Iran</w:t>
            </w:r>
          </w:p>
        </w:tc>
        <w:tc>
          <w:tcPr>
            <w:tcW w:w="959" w:type="dxa"/>
            <w:tcBorders>
              <w:top w:val="nil"/>
              <w:left w:val="nil"/>
              <w:bottom w:val="nil"/>
              <w:right w:val="nil"/>
            </w:tcBorders>
          </w:tcPr>
          <w:p w14:paraId="038184B8" w14:textId="77777777" w:rsidR="00B86097" w:rsidRPr="00BD6DBC" w:rsidRDefault="00B86097" w:rsidP="009B6E5B">
            <w:pPr>
              <w:spacing w:before="0" w:line="240" w:lineRule="auto"/>
              <w:rPr>
                <w:rFonts w:cs="Segoe UI"/>
                <w:sz w:val="16"/>
                <w:szCs w:val="16"/>
              </w:rPr>
            </w:pPr>
            <w:r w:rsidRPr="00BD6DBC">
              <w:rPr>
                <w:rFonts w:cs="Segoe UI"/>
                <w:sz w:val="16"/>
                <w:szCs w:val="16"/>
              </w:rPr>
              <w:t>IRN</w:t>
            </w:r>
          </w:p>
        </w:tc>
        <w:tc>
          <w:tcPr>
            <w:tcW w:w="709" w:type="dxa"/>
            <w:tcBorders>
              <w:top w:val="nil"/>
              <w:left w:val="nil"/>
              <w:bottom w:val="nil"/>
              <w:right w:val="nil"/>
            </w:tcBorders>
          </w:tcPr>
          <w:p w14:paraId="1ACD48A2"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506834C2" w14:textId="77777777" w:rsidR="00B86097" w:rsidRPr="00BD6DBC" w:rsidRDefault="00B86097" w:rsidP="009B6E5B">
            <w:pPr>
              <w:spacing w:before="0" w:line="240" w:lineRule="auto"/>
              <w:rPr>
                <w:rFonts w:cs="Segoe UI"/>
                <w:sz w:val="16"/>
                <w:szCs w:val="16"/>
              </w:rPr>
            </w:pPr>
            <w:r w:rsidRPr="00BD6DBC">
              <w:rPr>
                <w:rFonts w:cs="Segoe UI"/>
                <w:sz w:val="16"/>
                <w:szCs w:val="16"/>
              </w:rPr>
              <w:t>2667</w:t>
            </w:r>
          </w:p>
        </w:tc>
        <w:tc>
          <w:tcPr>
            <w:tcW w:w="2127" w:type="dxa"/>
            <w:tcBorders>
              <w:top w:val="nil"/>
              <w:left w:val="nil"/>
              <w:bottom w:val="nil"/>
              <w:right w:val="nil"/>
            </w:tcBorders>
            <w:vAlign w:val="bottom"/>
          </w:tcPr>
          <w:p w14:paraId="48BCE260" w14:textId="77777777" w:rsidR="00B86097" w:rsidRPr="00BD6DBC" w:rsidRDefault="00B86097" w:rsidP="009B6E5B">
            <w:pPr>
              <w:spacing w:before="0" w:line="240" w:lineRule="auto"/>
              <w:rPr>
                <w:rFonts w:cs="Segoe UI"/>
                <w:sz w:val="16"/>
                <w:szCs w:val="16"/>
              </w:rPr>
            </w:pPr>
            <w:r w:rsidRPr="00BD6DBC">
              <w:rPr>
                <w:rFonts w:cs="Segoe UI"/>
                <w:sz w:val="16"/>
                <w:szCs w:val="16"/>
              </w:rPr>
              <w:t>2753.6</w:t>
            </w:r>
          </w:p>
        </w:tc>
        <w:tc>
          <w:tcPr>
            <w:tcW w:w="1984" w:type="dxa"/>
            <w:tcBorders>
              <w:top w:val="nil"/>
              <w:left w:val="nil"/>
              <w:bottom w:val="nil"/>
              <w:right w:val="nil"/>
            </w:tcBorders>
          </w:tcPr>
          <w:p w14:paraId="114545EF" w14:textId="77777777" w:rsidR="00B86097" w:rsidRPr="00BD6DBC" w:rsidRDefault="00B86097" w:rsidP="009B6E5B">
            <w:pPr>
              <w:spacing w:before="0" w:line="240" w:lineRule="auto"/>
              <w:rPr>
                <w:rFonts w:cs="Segoe UI"/>
                <w:sz w:val="16"/>
                <w:szCs w:val="16"/>
              </w:rPr>
            </w:pPr>
            <w:r w:rsidRPr="00BD6DBC">
              <w:rPr>
                <w:rFonts w:cs="Segoe UI"/>
                <w:sz w:val="16"/>
                <w:szCs w:val="16"/>
              </w:rPr>
              <w:t>Not Free</w:t>
            </w:r>
          </w:p>
        </w:tc>
        <w:tc>
          <w:tcPr>
            <w:tcW w:w="709" w:type="dxa"/>
            <w:tcBorders>
              <w:top w:val="nil"/>
              <w:left w:val="nil"/>
              <w:bottom w:val="nil"/>
              <w:right w:val="nil"/>
            </w:tcBorders>
          </w:tcPr>
          <w:p w14:paraId="2998991F" w14:textId="77777777" w:rsidR="00B86097" w:rsidRPr="00BD6DBC" w:rsidRDefault="00B86097" w:rsidP="009B6E5B">
            <w:pPr>
              <w:spacing w:before="0" w:line="240" w:lineRule="auto"/>
              <w:rPr>
                <w:rFonts w:cs="Segoe UI"/>
                <w:sz w:val="16"/>
                <w:szCs w:val="16"/>
              </w:rPr>
            </w:pPr>
            <w:r w:rsidRPr="00BD6DBC">
              <w:rPr>
                <w:rFonts w:cs="Segoe UI"/>
                <w:sz w:val="16"/>
                <w:szCs w:val="16"/>
              </w:rPr>
              <w:t>0.66</w:t>
            </w:r>
          </w:p>
        </w:tc>
      </w:tr>
      <w:tr w:rsidR="00B86097" w:rsidRPr="00BD6DBC" w14:paraId="3CFA2ADF" w14:textId="77777777" w:rsidTr="003A5664">
        <w:tc>
          <w:tcPr>
            <w:tcW w:w="1701" w:type="dxa"/>
            <w:tcBorders>
              <w:top w:val="nil"/>
              <w:left w:val="nil"/>
              <w:bottom w:val="nil"/>
              <w:right w:val="nil"/>
            </w:tcBorders>
            <w:vAlign w:val="bottom"/>
          </w:tcPr>
          <w:p w14:paraId="0B0E2AC1"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Japan</w:t>
            </w:r>
          </w:p>
        </w:tc>
        <w:tc>
          <w:tcPr>
            <w:tcW w:w="959" w:type="dxa"/>
            <w:tcBorders>
              <w:top w:val="nil"/>
              <w:left w:val="nil"/>
              <w:bottom w:val="nil"/>
              <w:right w:val="nil"/>
            </w:tcBorders>
          </w:tcPr>
          <w:p w14:paraId="398AE377" w14:textId="77777777" w:rsidR="00B86097" w:rsidRPr="00BD6DBC" w:rsidRDefault="00B86097" w:rsidP="009B6E5B">
            <w:pPr>
              <w:spacing w:before="0" w:line="240" w:lineRule="auto"/>
              <w:rPr>
                <w:rFonts w:cs="Segoe UI"/>
                <w:sz w:val="16"/>
                <w:szCs w:val="16"/>
              </w:rPr>
            </w:pPr>
            <w:r w:rsidRPr="00BD6DBC">
              <w:rPr>
                <w:rFonts w:cs="Segoe UI"/>
                <w:sz w:val="16"/>
                <w:szCs w:val="16"/>
              </w:rPr>
              <w:t>JPN</w:t>
            </w:r>
          </w:p>
        </w:tc>
        <w:tc>
          <w:tcPr>
            <w:tcW w:w="709" w:type="dxa"/>
            <w:tcBorders>
              <w:top w:val="nil"/>
              <w:left w:val="nil"/>
              <w:bottom w:val="nil"/>
              <w:right w:val="nil"/>
            </w:tcBorders>
          </w:tcPr>
          <w:p w14:paraId="20450C4C"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13F57EB4" w14:textId="77777777" w:rsidR="00B86097" w:rsidRPr="00BD6DBC" w:rsidRDefault="00B86097" w:rsidP="009B6E5B">
            <w:pPr>
              <w:spacing w:before="0" w:line="240" w:lineRule="auto"/>
              <w:rPr>
                <w:rFonts w:cs="Segoe UI"/>
                <w:sz w:val="16"/>
                <w:szCs w:val="16"/>
              </w:rPr>
            </w:pPr>
            <w:r w:rsidRPr="00BD6DBC">
              <w:rPr>
                <w:rFonts w:cs="Segoe UI"/>
                <w:sz w:val="16"/>
                <w:szCs w:val="16"/>
              </w:rPr>
              <w:t>1096</w:t>
            </w:r>
          </w:p>
        </w:tc>
        <w:tc>
          <w:tcPr>
            <w:tcW w:w="2127" w:type="dxa"/>
            <w:tcBorders>
              <w:top w:val="nil"/>
              <w:left w:val="nil"/>
              <w:bottom w:val="nil"/>
              <w:right w:val="nil"/>
            </w:tcBorders>
            <w:vAlign w:val="bottom"/>
          </w:tcPr>
          <w:p w14:paraId="4C0A709E" w14:textId="77777777" w:rsidR="00B86097" w:rsidRPr="00BD6DBC" w:rsidRDefault="00B86097" w:rsidP="009B6E5B">
            <w:pPr>
              <w:spacing w:before="0" w:line="240" w:lineRule="auto"/>
              <w:rPr>
                <w:rFonts w:cs="Segoe UI"/>
                <w:sz w:val="16"/>
                <w:szCs w:val="16"/>
              </w:rPr>
            </w:pPr>
            <w:r w:rsidRPr="00BD6DBC">
              <w:rPr>
                <w:rFonts w:cs="Segoe UI"/>
                <w:sz w:val="16"/>
                <w:szCs w:val="16"/>
              </w:rPr>
              <w:t>35627.2</w:t>
            </w:r>
          </w:p>
        </w:tc>
        <w:tc>
          <w:tcPr>
            <w:tcW w:w="1984" w:type="dxa"/>
            <w:tcBorders>
              <w:top w:val="nil"/>
              <w:left w:val="nil"/>
              <w:bottom w:val="nil"/>
              <w:right w:val="nil"/>
            </w:tcBorders>
          </w:tcPr>
          <w:p w14:paraId="478F4433"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5E383A75" w14:textId="77777777" w:rsidR="00B86097" w:rsidRPr="00BD6DBC" w:rsidRDefault="00B86097" w:rsidP="009B6E5B">
            <w:pPr>
              <w:spacing w:before="0" w:line="240" w:lineRule="auto"/>
              <w:rPr>
                <w:rFonts w:cs="Segoe UI"/>
                <w:sz w:val="16"/>
                <w:szCs w:val="16"/>
              </w:rPr>
            </w:pPr>
            <w:r w:rsidRPr="00BD6DBC">
              <w:rPr>
                <w:rFonts w:cs="Segoe UI"/>
                <w:sz w:val="16"/>
                <w:szCs w:val="16"/>
              </w:rPr>
              <w:t>0.873</w:t>
            </w:r>
          </w:p>
        </w:tc>
      </w:tr>
      <w:tr w:rsidR="00B86097" w:rsidRPr="00BD6DBC" w14:paraId="68A53B59" w14:textId="77777777" w:rsidTr="003A5664">
        <w:tc>
          <w:tcPr>
            <w:tcW w:w="1701" w:type="dxa"/>
            <w:tcBorders>
              <w:top w:val="nil"/>
              <w:left w:val="nil"/>
              <w:bottom w:val="nil"/>
              <w:right w:val="nil"/>
            </w:tcBorders>
            <w:vAlign w:val="bottom"/>
          </w:tcPr>
          <w:p w14:paraId="68FB77FC"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Malaysia</w:t>
            </w:r>
          </w:p>
        </w:tc>
        <w:tc>
          <w:tcPr>
            <w:tcW w:w="959" w:type="dxa"/>
            <w:tcBorders>
              <w:top w:val="nil"/>
              <w:left w:val="nil"/>
              <w:bottom w:val="nil"/>
              <w:right w:val="nil"/>
            </w:tcBorders>
          </w:tcPr>
          <w:p w14:paraId="1236EA4C" w14:textId="77777777" w:rsidR="00B86097" w:rsidRPr="00BD6DBC" w:rsidRDefault="00B86097" w:rsidP="009B6E5B">
            <w:pPr>
              <w:spacing w:before="0" w:line="240" w:lineRule="auto"/>
              <w:rPr>
                <w:rFonts w:cs="Segoe UI"/>
                <w:sz w:val="16"/>
                <w:szCs w:val="16"/>
              </w:rPr>
            </w:pPr>
            <w:r w:rsidRPr="00BD6DBC">
              <w:rPr>
                <w:rFonts w:cs="Segoe UI"/>
                <w:sz w:val="16"/>
                <w:szCs w:val="16"/>
              </w:rPr>
              <w:t>MYS</w:t>
            </w:r>
          </w:p>
        </w:tc>
        <w:tc>
          <w:tcPr>
            <w:tcW w:w="709" w:type="dxa"/>
            <w:tcBorders>
              <w:top w:val="nil"/>
              <w:left w:val="nil"/>
              <w:bottom w:val="nil"/>
              <w:right w:val="nil"/>
            </w:tcBorders>
          </w:tcPr>
          <w:p w14:paraId="5FC720BA"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753F6578" w14:textId="77777777" w:rsidR="00B86097" w:rsidRPr="00BD6DBC" w:rsidRDefault="00B86097" w:rsidP="009B6E5B">
            <w:pPr>
              <w:spacing w:before="0" w:line="240" w:lineRule="auto"/>
              <w:rPr>
                <w:rFonts w:cs="Segoe UI"/>
                <w:sz w:val="16"/>
                <w:szCs w:val="16"/>
              </w:rPr>
            </w:pPr>
            <w:r w:rsidRPr="00BD6DBC">
              <w:rPr>
                <w:rFonts w:cs="Segoe UI"/>
                <w:sz w:val="16"/>
                <w:szCs w:val="16"/>
              </w:rPr>
              <w:t>1201</w:t>
            </w:r>
          </w:p>
        </w:tc>
        <w:tc>
          <w:tcPr>
            <w:tcW w:w="2127" w:type="dxa"/>
            <w:tcBorders>
              <w:top w:val="nil"/>
              <w:left w:val="nil"/>
              <w:bottom w:val="nil"/>
              <w:right w:val="nil"/>
            </w:tcBorders>
            <w:vAlign w:val="bottom"/>
          </w:tcPr>
          <w:p w14:paraId="1C24ADFF" w14:textId="77777777" w:rsidR="00B86097" w:rsidRPr="00BD6DBC" w:rsidRDefault="00B86097" w:rsidP="009B6E5B">
            <w:pPr>
              <w:spacing w:before="0" w:line="240" w:lineRule="auto"/>
              <w:rPr>
                <w:rFonts w:cs="Segoe UI"/>
                <w:sz w:val="16"/>
                <w:szCs w:val="16"/>
              </w:rPr>
            </w:pPr>
            <w:r w:rsidRPr="00BD6DBC">
              <w:rPr>
                <w:rFonts w:cs="Segoe UI"/>
                <w:sz w:val="16"/>
                <w:szCs w:val="16"/>
              </w:rPr>
              <w:t>5887.4</w:t>
            </w:r>
          </w:p>
        </w:tc>
        <w:tc>
          <w:tcPr>
            <w:tcW w:w="1984" w:type="dxa"/>
            <w:tcBorders>
              <w:top w:val="nil"/>
              <w:left w:val="nil"/>
              <w:bottom w:val="nil"/>
              <w:right w:val="nil"/>
            </w:tcBorders>
          </w:tcPr>
          <w:p w14:paraId="4633DDC9"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4ED0532B" w14:textId="77777777" w:rsidR="00B86097" w:rsidRPr="00BD6DBC" w:rsidRDefault="00B86097" w:rsidP="009B6E5B">
            <w:pPr>
              <w:spacing w:before="0" w:line="240" w:lineRule="auto"/>
              <w:rPr>
                <w:rFonts w:cs="Segoe UI"/>
                <w:sz w:val="16"/>
                <w:szCs w:val="16"/>
              </w:rPr>
            </w:pPr>
            <w:r w:rsidRPr="00BD6DBC">
              <w:rPr>
                <w:rFonts w:cs="Segoe UI"/>
                <w:sz w:val="16"/>
                <w:szCs w:val="16"/>
              </w:rPr>
              <w:t>0.731</w:t>
            </w:r>
          </w:p>
        </w:tc>
      </w:tr>
      <w:tr w:rsidR="00B86097" w:rsidRPr="00BD6DBC" w14:paraId="13400C71" w14:textId="77777777" w:rsidTr="003A5664">
        <w:tc>
          <w:tcPr>
            <w:tcW w:w="1701" w:type="dxa"/>
            <w:tcBorders>
              <w:top w:val="nil"/>
              <w:left w:val="nil"/>
              <w:bottom w:val="nil"/>
              <w:right w:val="nil"/>
            </w:tcBorders>
            <w:vAlign w:val="bottom"/>
          </w:tcPr>
          <w:p w14:paraId="25E2C3BD"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Mali</w:t>
            </w:r>
          </w:p>
        </w:tc>
        <w:tc>
          <w:tcPr>
            <w:tcW w:w="959" w:type="dxa"/>
            <w:tcBorders>
              <w:top w:val="nil"/>
              <w:left w:val="nil"/>
              <w:bottom w:val="nil"/>
              <w:right w:val="nil"/>
            </w:tcBorders>
          </w:tcPr>
          <w:p w14:paraId="077BED8D" w14:textId="77777777" w:rsidR="00B86097" w:rsidRPr="00BD6DBC" w:rsidRDefault="00B86097" w:rsidP="009B6E5B">
            <w:pPr>
              <w:spacing w:before="0" w:line="240" w:lineRule="auto"/>
              <w:rPr>
                <w:rFonts w:cs="Segoe UI"/>
                <w:sz w:val="16"/>
                <w:szCs w:val="16"/>
              </w:rPr>
            </w:pPr>
            <w:r w:rsidRPr="00BD6DBC">
              <w:rPr>
                <w:rFonts w:cs="Segoe UI"/>
                <w:sz w:val="16"/>
                <w:szCs w:val="16"/>
              </w:rPr>
              <w:t>MLI</w:t>
            </w:r>
          </w:p>
        </w:tc>
        <w:tc>
          <w:tcPr>
            <w:tcW w:w="709" w:type="dxa"/>
            <w:tcBorders>
              <w:top w:val="nil"/>
              <w:left w:val="nil"/>
              <w:bottom w:val="nil"/>
              <w:right w:val="nil"/>
            </w:tcBorders>
          </w:tcPr>
          <w:p w14:paraId="3854DD11"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2AB19A69" w14:textId="77777777" w:rsidR="00B86097" w:rsidRPr="00BD6DBC" w:rsidRDefault="00B86097" w:rsidP="009B6E5B">
            <w:pPr>
              <w:spacing w:before="0" w:line="240" w:lineRule="auto"/>
              <w:rPr>
                <w:rFonts w:cs="Segoe UI"/>
                <w:sz w:val="16"/>
                <w:szCs w:val="16"/>
              </w:rPr>
            </w:pPr>
            <w:r w:rsidRPr="00BD6DBC">
              <w:rPr>
                <w:rFonts w:cs="Segoe UI"/>
                <w:sz w:val="16"/>
                <w:szCs w:val="16"/>
              </w:rPr>
              <w:t>1534</w:t>
            </w:r>
          </w:p>
        </w:tc>
        <w:tc>
          <w:tcPr>
            <w:tcW w:w="2127" w:type="dxa"/>
            <w:tcBorders>
              <w:top w:val="nil"/>
              <w:left w:val="nil"/>
              <w:bottom w:val="nil"/>
              <w:right w:val="nil"/>
            </w:tcBorders>
            <w:vAlign w:val="bottom"/>
          </w:tcPr>
          <w:p w14:paraId="7A7D81B0" w14:textId="77777777" w:rsidR="00B86097" w:rsidRPr="00BD6DBC" w:rsidRDefault="00B86097" w:rsidP="009B6E5B">
            <w:pPr>
              <w:spacing w:before="0" w:line="240" w:lineRule="auto"/>
              <w:rPr>
                <w:rFonts w:cs="Segoe UI"/>
                <w:sz w:val="16"/>
                <w:szCs w:val="16"/>
              </w:rPr>
            </w:pPr>
            <w:r w:rsidRPr="00BD6DBC">
              <w:rPr>
                <w:rFonts w:cs="Segoe UI"/>
                <w:sz w:val="16"/>
                <w:szCs w:val="16"/>
              </w:rPr>
              <w:t>509.7</w:t>
            </w:r>
          </w:p>
        </w:tc>
        <w:tc>
          <w:tcPr>
            <w:tcW w:w="1984" w:type="dxa"/>
            <w:tcBorders>
              <w:top w:val="nil"/>
              <w:left w:val="nil"/>
              <w:bottom w:val="nil"/>
              <w:right w:val="nil"/>
            </w:tcBorders>
          </w:tcPr>
          <w:p w14:paraId="3BE52B15"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61B29EEA" w14:textId="77777777" w:rsidR="00B86097" w:rsidRPr="00BD6DBC" w:rsidRDefault="00B86097" w:rsidP="009B6E5B">
            <w:pPr>
              <w:spacing w:before="0" w:line="240" w:lineRule="auto"/>
              <w:rPr>
                <w:rFonts w:cs="Segoe UI"/>
                <w:sz w:val="16"/>
                <w:szCs w:val="16"/>
              </w:rPr>
            </w:pPr>
            <w:r w:rsidRPr="00BD6DBC">
              <w:rPr>
                <w:rFonts w:cs="Segoe UI"/>
                <w:sz w:val="16"/>
                <w:szCs w:val="16"/>
              </w:rPr>
              <w:t>0.298</w:t>
            </w:r>
          </w:p>
        </w:tc>
      </w:tr>
      <w:tr w:rsidR="00B86097" w:rsidRPr="00BD6DBC" w14:paraId="62C88A99" w14:textId="77777777" w:rsidTr="003A5664">
        <w:tc>
          <w:tcPr>
            <w:tcW w:w="1701" w:type="dxa"/>
            <w:tcBorders>
              <w:top w:val="nil"/>
              <w:left w:val="nil"/>
              <w:bottom w:val="nil"/>
              <w:right w:val="nil"/>
            </w:tcBorders>
            <w:vAlign w:val="bottom"/>
          </w:tcPr>
          <w:p w14:paraId="1B29F52A"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Mexico</w:t>
            </w:r>
          </w:p>
        </w:tc>
        <w:tc>
          <w:tcPr>
            <w:tcW w:w="959" w:type="dxa"/>
            <w:tcBorders>
              <w:top w:val="nil"/>
              <w:left w:val="nil"/>
              <w:bottom w:val="nil"/>
              <w:right w:val="nil"/>
            </w:tcBorders>
          </w:tcPr>
          <w:p w14:paraId="33AF02E2" w14:textId="77777777" w:rsidR="00B86097" w:rsidRPr="00BD6DBC" w:rsidRDefault="00B86097" w:rsidP="009B6E5B">
            <w:pPr>
              <w:spacing w:before="0" w:line="240" w:lineRule="auto"/>
              <w:rPr>
                <w:rFonts w:cs="Segoe UI"/>
                <w:sz w:val="16"/>
                <w:szCs w:val="16"/>
              </w:rPr>
            </w:pPr>
            <w:r w:rsidRPr="00BD6DBC">
              <w:rPr>
                <w:rFonts w:cs="Segoe UI"/>
                <w:sz w:val="16"/>
                <w:szCs w:val="16"/>
              </w:rPr>
              <w:t>MEX</w:t>
            </w:r>
          </w:p>
        </w:tc>
        <w:tc>
          <w:tcPr>
            <w:tcW w:w="709" w:type="dxa"/>
            <w:tcBorders>
              <w:top w:val="nil"/>
              <w:left w:val="nil"/>
              <w:bottom w:val="nil"/>
              <w:right w:val="nil"/>
            </w:tcBorders>
          </w:tcPr>
          <w:p w14:paraId="5C0E5B89"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2DDA82E4" w14:textId="77777777" w:rsidR="00B86097" w:rsidRPr="00BD6DBC" w:rsidRDefault="00B86097" w:rsidP="009B6E5B">
            <w:pPr>
              <w:spacing w:before="0" w:line="240" w:lineRule="auto"/>
              <w:rPr>
                <w:rFonts w:cs="Segoe UI"/>
                <w:sz w:val="16"/>
                <w:szCs w:val="16"/>
              </w:rPr>
            </w:pPr>
            <w:r w:rsidRPr="00BD6DBC">
              <w:rPr>
                <w:rFonts w:cs="Segoe UI"/>
                <w:sz w:val="16"/>
                <w:szCs w:val="16"/>
              </w:rPr>
              <w:t>1560</w:t>
            </w:r>
          </w:p>
        </w:tc>
        <w:tc>
          <w:tcPr>
            <w:tcW w:w="2127" w:type="dxa"/>
            <w:tcBorders>
              <w:top w:val="nil"/>
              <w:left w:val="nil"/>
              <w:bottom w:val="nil"/>
              <w:right w:val="nil"/>
            </w:tcBorders>
            <w:vAlign w:val="bottom"/>
          </w:tcPr>
          <w:p w14:paraId="32DC42CA" w14:textId="77777777" w:rsidR="00B86097" w:rsidRPr="00BD6DBC" w:rsidRDefault="00B86097" w:rsidP="009B6E5B">
            <w:pPr>
              <w:spacing w:before="0" w:line="240" w:lineRule="auto"/>
              <w:rPr>
                <w:rFonts w:cs="Segoe UI"/>
                <w:sz w:val="16"/>
                <w:szCs w:val="16"/>
              </w:rPr>
            </w:pPr>
            <w:r w:rsidRPr="00BD6DBC">
              <w:rPr>
                <w:rFonts w:cs="Segoe UI"/>
                <w:sz w:val="16"/>
                <w:szCs w:val="16"/>
              </w:rPr>
              <w:t>7972.6</w:t>
            </w:r>
          </w:p>
        </w:tc>
        <w:tc>
          <w:tcPr>
            <w:tcW w:w="1984" w:type="dxa"/>
            <w:tcBorders>
              <w:top w:val="nil"/>
              <w:left w:val="nil"/>
              <w:bottom w:val="nil"/>
              <w:right w:val="nil"/>
            </w:tcBorders>
          </w:tcPr>
          <w:p w14:paraId="46FB10AE"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28BBC020" w14:textId="77777777" w:rsidR="00B86097" w:rsidRPr="00BD6DBC" w:rsidRDefault="00B86097" w:rsidP="009B6E5B">
            <w:pPr>
              <w:spacing w:before="0" w:line="240" w:lineRule="auto"/>
              <w:rPr>
                <w:rFonts w:cs="Segoe UI"/>
                <w:sz w:val="16"/>
                <w:szCs w:val="16"/>
              </w:rPr>
            </w:pPr>
            <w:r w:rsidRPr="00BD6DBC">
              <w:rPr>
                <w:rFonts w:cs="Segoe UI"/>
                <w:sz w:val="16"/>
                <w:szCs w:val="16"/>
              </w:rPr>
              <w:t>0.727</w:t>
            </w:r>
          </w:p>
        </w:tc>
      </w:tr>
      <w:tr w:rsidR="00B86097" w:rsidRPr="00BD6DBC" w14:paraId="19A6E371" w14:textId="77777777" w:rsidTr="003A5664">
        <w:tc>
          <w:tcPr>
            <w:tcW w:w="1701" w:type="dxa"/>
            <w:tcBorders>
              <w:top w:val="nil"/>
              <w:left w:val="nil"/>
              <w:bottom w:val="nil"/>
              <w:right w:val="nil"/>
            </w:tcBorders>
            <w:vAlign w:val="bottom"/>
          </w:tcPr>
          <w:p w14:paraId="4279ED2B"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Moldova</w:t>
            </w:r>
          </w:p>
        </w:tc>
        <w:tc>
          <w:tcPr>
            <w:tcW w:w="959" w:type="dxa"/>
            <w:tcBorders>
              <w:top w:val="nil"/>
              <w:left w:val="nil"/>
              <w:bottom w:val="nil"/>
              <w:right w:val="nil"/>
            </w:tcBorders>
          </w:tcPr>
          <w:p w14:paraId="5A8C5F70" w14:textId="77777777" w:rsidR="00B86097" w:rsidRPr="00BD6DBC" w:rsidRDefault="00B86097" w:rsidP="009B6E5B">
            <w:pPr>
              <w:spacing w:before="0" w:line="240" w:lineRule="auto"/>
              <w:rPr>
                <w:rFonts w:cs="Segoe UI"/>
                <w:sz w:val="16"/>
                <w:szCs w:val="16"/>
              </w:rPr>
            </w:pPr>
            <w:r w:rsidRPr="00BD6DBC">
              <w:rPr>
                <w:rFonts w:cs="Segoe UI"/>
                <w:sz w:val="16"/>
                <w:szCs w:val="16"/>
              </w:rPr>
              <w:t>MDA</w:t>
            </w:r>
          </w:p>
        </w:tc>
        <w:tc>
          <w:tcPr>
            <w:tcW w:w="709" w:type="dxa"/>
            <w:tcBorders>
              <w:top w:val="nil"/>
              <w:left w:val="nil"/>
              <w:bottom w:val="nil"/>
              <w:right w:val="nil"/>
            </w:tcBorders>
          </w:tcPr>
          <w:p w14:paraId="56363D34"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79D6D4D8" w14:textId="77777777" w:rsidR="00B86097" w:rsidRPr="00BD6DBC" w:rsidRDefault="00B86097" w:rsidP="009B6E5B">
            <w:pPr>
              <w:spacing w:before="0" w:line="240" w:lineRule="auto"/>
              <w:rPr>
                <w:rFonts w:cs="Segoe UI"/>
                <w:sz w:val="16"/>
                <w:szCs w:val="16"/>
              </w:rPr>
            </w:pPr>
            <w:r w:rsidRPr="00BD6DBC">
              <w:rPr>
                <w:rFonts w:cs="Segoe UI"/>
                <w:sz w:val="16"/>
                <w:szCs w:val="16"/>
              </w:rPr>
              <w:t>1046</w:t>
            </w:r>
          </w:p>
        </w:tc>
        <w:tc>
          <w:tcPr>
            <w:tcW w:w="2127" w:type="dxa"/>
            <w:tcBorders>
              <w:top w:val="nil"/>
              <w:left w:val="nil"/>
              <w:bottom w:val="nil"/>
              <w:right w:val="nil"/>
            </w:tcBorders>
            <w:vAlign w:val="bottom"/>
          </w:tcPr>
          <w:p w14:paraId="41B06452" w14:textId="77777777" w:rsidR="00B86097" w:rsidRPr="00BD6DBC" w:rsidRDefault="00B86097" w:rsidP="009B6E5B">
            <w:pPr>
              <w:spacing w:before="0" w:line="240" w:lineRule="auto"/>
              <w:rPr>
                <w:rFonts w:cs="Segoe UI"/>
                <w:sz w:val="16"/>
                <w:szCs w:val="16"/>
              </w:rPr>
            </w:pPr>
            <w:r w:rsidRPr="00BD6DBC">
              <w:rPr>
                <w:rFonts w:cs="Segoe UI"/>
                <w:sz w:val="16"/>
                <w:szCs w:val="16"/>
              </w:rPr>
              <w:t>950.6</w:t>
            </w:r>
          </w:p>
        </w:tc>
        <w:tc>
          <w:tcPr>
            <w:tcW w:w="1984" w:type="dxa"/>
            <w:tcBorders>
              <w:top w:val="nil"/>
              <w:left w:val="nil"/>
              <w:bottom w:val="nil"/>
              <w:right w:val="nil"/>
            </w:tcBorders>
          </w:tcPr>
          <w:p w14:paraId="27056F63"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168EFB64" w14:textId="77777777" w:rsidR="00B86097" w:rsidRPr="00BD6DBC" w:rsidRDefault="00B86097" w:rsidP="009B6E5B">
            <w:pPr>
              <w:spacing w:before="0" w:line="240" w:lineRule="auto"/>
              <w:rPr>
                <w:rFonts w:cs="Segoe UI"/>
                <w:sz w:val="16"/>
                <w:szCs w:val="16"/>
              </w:rPr>
            </w:pPr>
            <w:r w:rsidRPr="00BD6DBC">
              <w:rPr>
                <w:rFonts w:cs="Segoe UI"/>
                <w:sz w:val="16"/>
                <w:szCs w:val="16"/>
              </w:rPr>
              <w:t>0.613</w:t>
            </w:r>
          </w:p>
        </w:tc>
      </w:tr>
      <w:tr w:rsidR="00B86097" w:rsidRPr="00BD6DBC" w14:paraId="0CBB72B8" w14:textId="77777777" w:rsidTr="003A5664">
        <w:tc>
          <w:tcPr>
            <w:tcW w:w="1701" w:type="dxa"/>
            <w:tcBorders>
              <w:top w:val="nil"/>
              <w:left w:val="nil"/>
              <w:bottom w:val="nil"/>
              <w:right w:val="nil"/>
            </w:tcBorders>
            <w:vAlign w:val="bottom"/>
          </w:tcPr>
          <w:p w14:paraId="3270358D"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Morocco</w:t>
            </w:r>
          </w:p>
        </w:tc>
        <w:tc>
          <w:tcPr>
            <w:tcW w:w="959" w:type="dxa"/>
            <w:tcBorders>
              <w:top w:val="nil"/>
              <w:left w:val="nil"/>
              <w:bottom w:val="nil"/>
              <w:right w:val="nil"/>
            </w:tcBorders>
          </w:tcPr>
          <w:p w14:paraId="15C3315A" w14:textId="77777777" w:rsidR="00B86097" w:rsidRPr="00BD6DBC" w:rsidRDefault="00B86097" w:rsidP="009B6E5B">
            <w:pPr>
              <w:spacing w:before="0" w:line="240" w:lineRule="auto"/>
              <w:rPr>
                <w:rFonts w:cs="Segoe UI"/>
                <w:sz w:val="16"/>
                <w:szCs w:val="16"/>
              </w:rPr>
            </w:pPr>
            <w:r w:rsidRPr="00BD6DBC">
              <w:rPr>
                <w:rFonts w:cs="Segoe UI"/>
                <w:sz w:val="16"/>
                <w:szCs w:val="16"/>
              </w:rPr>
              <w:t>MAR</w:t>
            </w:r>
          </w:p>
        </w:tc>
        <w:tc>
          <w:tcPr>
            <w:tcW w:w="709" w:type="dxa"/>
            <w:tcBorders>
              <w:top w:val="nil"/>
              <w:left w:val="nil"/>
              <w:bottom w:val="nil"/>
              <w:right w:val="nil"/>
            </w:tcBorders>
          </w:tcPr>
          <w:p w14:paraId="7C48F5F9"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16115F13" w14:textId="77777777" w:rsidR="00B86097" w:rsidRPr="00BD6DBC" w:rsidRDefault="00B86097" w:rsidP="009B6E5B">
            <w:pPr>
              <w:spacing w:before="0" w:line="240" w:lineRule="auto"/>
              <w:rPr>
                <w:rFonts w:cs="Segoe UI"/>
                <w:sz w:val="16"/>
                <w:szCs w:val="16"/>
              </w:rPr>
            </w:pPr>
            <w:r w:rsidRPr="00BD6DBC">
              <w:rPr>
                <w:rFonts w:cs="Segoe UI"/>
                <w:sz w:val="16"/>
                <w:szCs w:val="16"/>
              </w:rPr>
              <w:t>1200</w:t>
            </w:r>
          </w:p>
        </w:tc>
        <w:tc>
          <w:tcPr>
            <w:tcW w:w="2127" w:type="dxa"/>
            <w:tcBorders>
              <w:top w:val="nil"/>
              <w:left w:val="nil"/>
              <w:bottom w:val="nil"/>
              <w:right w:val="nil"/>
            </w:tcBorders>
            <w:vAlign w:val="bottom"/>
          </w:tcPr>
          <w:p w14:paraId="33791AEB" w14:textId="77777777" w:rsidR="00B86097" w:rsidRPr="00BD6DBC" w:rsidRDefault="00B86097" w:rsidP="009B6E5B">
            <w:pPr>
              <w:spacing w:before="0" w:line="240" w:lineRule="auto"/>
              <w:rPr>
                <w:rFonts w:cs="Segoe UI"/>
                <w:sz w:val="16"/>
                <w:szCs w:val="16"/>
              </w:rPr>
            </w:pPr>
            <w:r w:rsidRPr="00BD6DBC">
              <w:rPr>
                <w:rFonts w:cs="Segoe UI"/>
                <w:sz w:val="16"/>
                <w:szCs w:val="16"/>
              </w:rPr>
              <w:t>2388.8</w:t>
            </w:r>
          </w:p>
        </w:tc>
        <w:tc>
          <w:tcPr>
            <w:tcW w:w="1984" w:type="dxa"/>
            <w:tcBorders>
              <w:top w:val="nil"/>
              <w:left w:val="nil"/>
              <w:bottom w:val="nil"/>
              <w:right w:val="nil"/>
            </w:tcBorders>
          </w:tcPr>
          <w:p w14:paraId="480A79FE"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54F6F032" w14:textId="77777777" w:rsidR="00B86097" w:rsidRPr="00BD6DBC" w:rsidRDefault="00B86097" w:rsidP="009B6E5B">
            <w:pPr>
              <w:spacing w:before="0" w:line="240" w:lineRule="auto"/>
              <w:rPr>
                <w:rFonts w:cs="Segoe UI"/>
                <w:sz w:val="16"/>
                <w:szCs w:val="16"/>
              </w:rPr>
            </w:pPr>
            <w:r w:rsidRPr="00BD6DBC">
              <w:rPr>
                <w:rFonts w:cs="Segoe UI"/>
                <w:sz w:val="16"/>
                <w:szCs w:val="16"/>
              </w:rPr>
              <w:t>0.551</w:t>
            </w:r>
          </w:p>
        </w:tc>
      </w:tr>
      <w:tr w:rsidR="00B86097" w:rsidRPr="00BD6DBC" w14:paraId="1145D5E2" w14:textId="77777777" w:rsidTr="003A5664">
        <w:tc>
          <w:tcPr>
            <w:tcW w:w="1701" w:type="dxa"/>
            <w:tcBorders>
              <w:top w:val="nil"/>
              <w:left w:val="nil"/>
              <w:bottom w:val="nil"/>
              <w:right w:val="nil"/>
            </w:tcBorders>
            <w:vAlign w:val="bottom"/>
          </w:tcPr>
          <w:p w14:paraId="0E2CAD67"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Netherlands</w:t>
            </w:r>
          </w:p>
        </w:tc>
        <w:tc>
          <w:tcPr>
            <w:tcW w:w="959" w:type="dxa"/>
            <w:tcBorders>
              <w:top w:val="nil"/>
              <w:left w:val="nil"/>
              <w:bottom w:val="nil"/>
              <w:right w:val="nil"/>
            </w:tcBorders>
          </w:tcPr>
          <w:p w14:paraId="6304F081" w14:textId="77777777" w:rsidR="00B86097" w:rsidRPr="00BD6DBC" w:rsidRDefault="00B86097" w:rsidP="009B6E5B">
            <w:pPr>
              <w:spacing w:before="0" w:line="240" w:lineRule="auto"/>
              <w:rPr>
                <w:rFonts w:cs="Segoe UI"/>
                <w:sz w:val="16"/>
                <w:szCs w:val="16"/>
              </w:rPr>
            </w:pPr>
            <w:r w:rsidRPr="00BD6DBC">
              <w:rPr>
                <w:rFonts w:cs="Segoe UI"/>
                <w:sz w:val="16"/>
                <w:szCs w:val="16"/>
              </w:rPr>
              <w:t>NLD</w:t>
            </w:r>
          </w:p>
        </w:tc>
        <w:tc>
          <w:tcPr>
            <w:tcW w:w="709" w:type="dxa"/>
            <w:tcBorders>
              <w:top w:val="nil"/>
              <w:left w:val="nil"/>
              <w:bottom w:val="nil"/>
              <w:right w:val="nil"/>
            </w:tcBorders>
          </w:tcPr>
          <w:p w14:paraId="4F8B6585"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31C2854C" w14:textId="77777777" w:rsidR="00B86097" w:rsidRPr="00BD6DBC" w:rsidRDefault="00B86097" w:rsidP="009B6E5B">
            <w:pPr>
              <w:spacing w:before="0" w:line="240" w:lineRule="auto"/>
              <w:rPr>
                <w:rFonts w:cs="Segoe UI"/>
                <w:sz w:val="16"/>
                <w:szCs w:val="16"/>
              </w:rPr>
            </w:pPr>
            <w:r w:rsidRPr="00BD6DBC">
              <w:rPr>
                <w:rFonts w:cs="Segoe UI"/>
                <w:sz w:val="16"/>
                <w:szCs w:val="16"/>
              </w:rPr>
              <w:t>1050</w:t>
            </w:r>
          </w:p>
        </w:tc>
        <w:tc>
          <w:tcPr>
            <w:tcW w:w="2127" w:type="dxa"/>
            <w:tcBorders>
              <w:top w:val="nil"/>
              <w:left w:val="nil"/>
              <w:bottom w:val="nil"/>
              <w:right w:val="nil"/>
            </w:tcBorders>
            <w:vAlign w:val="bottom"/>
          </w:tcPr>
          <w:p w14:paraId="0E807041" w14:textId="77777777" w:rsidR="00B86097" w:rsidRPr="00BD6DBC" w:rsidRDefault="00B86097" w:rsidP="009B6E5B">
            <w:pPr>
              <w:spacing w:before="0" w:line="240" w:lineRule="auto"/>
              <w:rPr>
                <w:rFonts w:cs="Segoe UI"/>
                <w:sz w:val="16"/>
                <w:szCs w:val="16"/>
              </w:rPr>
            </w:pPr>
            <w:r w:rsidRPr="00BD6DBC">
              <w:rPr>
                <w:rFonts w:cs="Segoe UI"/>
                <w:sz w:val="16"/>
                <w:szCs w:val="16"/>
              </w:rPr>
              <w:t>41458.9</w:t>
            </w:r>
          </w:p>
        </w:tc>
        <w:tc>
          <w:tcPr>
            <w:tcW w:w="1984" w:type="dxa"/>
            <w:tcBorders>
              <w:top w:val="nil"/>
              <w:left w:val="nil"/>
              <w:bottom w:val="nil"/>
              <w:right w:val="nil"/>
            </w:tcBorders>
          </w:tcPr>
          <w:p w14:paraId="705F3791"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0FE39A3C" w14:textId="77777777" w:rsidR="00B86097" w:rsidRPr="00BD6DBC" w:rsidRDefault="00B86097" w:rsidP="009B6E5B">
            <w:pPr>
              <w:spacing w:before="0" w:line="240" w:lineRule="auto"/>
              <w:rPr>
                <w:rFonts w:cs="Segoe UI"/>
                <w:sz w:val="16"/>
                <w:szCs w:val="16"/>
              </w:rPr>
            </w:pPr>
            <w:r w:rsidRPr="00BD6DBC">
              <w:rPr>
                <w:rFonts w:cs="Segoe UI"/>
                <w:sz w:val="16"/>
                <w:szCs w:val="16"/>
              </w:rPr>
              <w:t>0.882</w:t>
            </w:r>
          </w:p>
        </w:tc>
      </w:tr>
      <w:tr w:rsidR="00B86097" w:rsidRPr="00BD6DBC" w14:paraId="7FFF8CB3" w14:textId="77777777" w:rsidTr="003A5664">
        <w:tc>
          <w:tcPr>
            <w:tcW w:w="1701" w:type="dxa"/>
            <w:tcBorders>
              <w:top w:val="nil"/>
              <w:left w:val="nil"/>
              <w:bottom w:val="nil"/>
              <w:right w:val="nil"/>
            </w:tcBorders>
            <w:vAlign w:val="bottom"/>
          </w:tcPr>
          <w:p w14:paraId="3F2AF62D"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Norway</w:t>
            </w:r>
          </w:p>
        </w:tc>
        <w:tc>
          <w:tcPr>
            <w:tcW w:w="959" w:type="dxa"/>
            <w:tcBorders>
              <w:top w:val="nil"/>
              <w:left w:val="nil"/>
              <w:bottom w:val="nil"/>
              <w:right w:val="nil"/>
            </w:tcBorders>
          </w:tcPr>
          <w:p w14:paraId="6E32E33A" w14:textId="77777777" w:rsidR="00B86097" w:rsidRPr="00BD6DBC" w:rsidRDefault="00B86097" w:rsidP="009B6E5B">
            <w:pPr>
              <w:spacing w:before="0" w:line="240" w:lineRule="auto"/>
              <w:rPr>
                <w:rFonts w:cs="Segoe UI"/>
                <w:sz w:val="16"/>
                <w:szCs w:val="16"/>
              </w:rPr>
            </w:pPr>
            <w:r w:rsidRPr="00BD6DBC">
              <w:rPr>
                <w:rFonts w:cs="Segoe UI"/>
                <w:sz w:val="16"/>
                <w:szCs w:val="16"/>
              </w:rPr>
              <w:t>NOR</w:t>
            </w:r>
          </w:p>
        </w:tc>
        <w:tc>
          <w:tcPr>
            <w:tcW w:w="709" w:type="dxa"/>
            <w:tcBorders>
              <w:top w:val="nil"/>
              <w:left w:val="nil"/>
              <w:bottom w:val="nil"/>
              <w:right w:val="nil"/>
            </w:tcBorders>
          </w:tcPr>
          <w:p w14:paraId="314421D4"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1DD2A24D" w14:textId="77777777" w:rsidR="00B86097" w:rsidRPr="00BD6DBC" w:rsidRDefault="00B86097" w:rsidP="009B6E5B">
            <w:pPr>
              <w:spacing w:before="0" w:line="240" w:lineRule="auto"/>
              <w:rPr>
                <w:rFonts w:cs="Segoe UI"/>
                <w:sz w:val="16"/>
                <w:szCs w:val="16"/>
              </w:rPr>
            </w:pPr>
            <w:r w:rsidRPr="00BD6DBC">
              <w:rPr>
                <w:rFonts w:cs="Segoe UI"/>
                <w:sz w:val="16"/>
                <w:szCs w:val="16"/>
              </w:rPr>
              <w:t>1025</w:t>
            </w:r>
          </w:p>
        </w:tc>
        <w:tc>
          <w:tcPr>
            <w:tcW w:w="2127" w:type="dxa"/>
            <w:tcBorders>
              <w:top w:val="nil"/>
              <w:left w:val="nil"/>
              <w:bottom w:val="nil"/>
              <w:right w:val="nil"/>
            </w:tcBorders>
            <w:vAlign w:val="bottom"/>
          </w:tcPr>
          <w:p w14:paraId="34A9271C" w14:textId="77777777" w:rsidR="00B86097" w:rsidRPr="00BD6DBC" w:rsidRDefault="00B86097" w:rsidP="009B6E5B">
            <w:pPr>
              <w:spacing w:before="0" w:line="240" w:lineRule="auto"/>
              <w:rPr>
                <w:rFonts w:cs="Segoe UI"/>
                <w:sz w:val="16"/>
                <w:szCs w:val="16"/>
              </w:rPr>
            </w:pPr>
            <w:r w:rsidRPr="00BD6DBC">
              <w:rPr>
                <w:rFonts w:cs="Segoe UI"/>
                <w:sz w:val="16"/>
                <w:szCs w:val="16"/>
              </w:rPr>
              <w:t>82294.2</w:t>
            </w:r>
          </w:p>
        </w:tc>
        <w:tc>
          <w:tcPr>
            <w:tcW w:w="1984" w:type="dxa"/>
            <w:tcBorders>
              <w:top w:val="nil"/>
              <w:left w:val="nil"/>
              <w:bottom w:val="nil"/>
              <w:right w:val="nil"/>
            </w:tcBorders>
          </w:tcPr>
          <w:p w14:paraId="584E2D6B"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4A315051" w14:textId="77777777" w:rsidR="00B86097" w:rsidRPr="00BD6DBC" w:rsidRDefault="00B86097" w:rsidP="009B6E5B">
            <w:pPr>
              <w:spacing w:before="0" w:line="240" w:lineRule="auto"/>
              <w:rPr>
                <w:rFonts w:cs="Segoe UI"/>
                <w:sz w:val="16"/>
                <w:szCs w:val="16"/>
              </w:rPr>
            </w:pPr>
            <w:r w:rsidRPr="00BD6DBC">
              <w:rPr>
                <w:rFonts w:cs="Segoe UI"/>
                <w:sz w:val="16"/>
                <w:szCs w:val="16"/>
              </w:rPr>
              <w:t>0.937</w:t>
            </w:r>
          </w:p>
        </w:tc>
      </w:tr>
      <w:tr w:rsidR="00B86097" w:rsidRPr="00BD6DBC" w14:paraId="54CCA41C" w14:textId="77777777" w:rsidTr="003A5664">
        <w:tc>
          <w:tcPr>
            <w:tcW w:w="1701" w:type="dxa"/>
            <w:tcBorders>
              <w:top w:val="nil"/>
              <w:left w:val="nil"/>
              <w:bottom w:val="nil"/>
              <w:right w:val="nil"/>
            </w:tcBorders>
            <w:vAlign w:val="bottom"/>
          </w:tcPr>
          <w:p w14:paraId="09C5BDEB"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Peru</w:t>
            </w:r>
          </w:p>
        </w:tc>
        <w:tc>
          <w:tcPr>
            <w:tcW w:w="959" w:type="dxa"/>
            <w:tcBorders>
              <w:top w:val="nil"/>
              <w:left w:val="nil"/>
              <w:bottom w:val="nil"/>
              <w:right w:val="nil"/>
            </w:tcBorders>
          </w:tcPr>
          <w:p w14:paraId="0213A2D6" w14:textId="77777777" w:rsidR="00B86097" w:rsidRPr="00BD6DBC" w:rsidRDefault="00B86097" w:rsidP="009B6E5B">
            <w:pPr>
              <w:spacing w:before="0" w:line="240" w:lineRule="auto"/>
              <w:rPr>
                <w:rFonts w:cs="Segoe UI"/>
                <w:sz w:val="16"/>
                <w:szCs w:val="16"/>
              </w:rPr>
            </w:pPr>
            <w:r w:rsidRPr="00BD6DBC">
              <w:rPr>
                <w:rFonts w:cs="Segoe UI"/>
                <w:sz w:val="16"/>
                <w:szCs w:val="16"/>
              </w:rPr>
              <w:t>PER</w:t>
            </w:r>
          </w:p>
        </w:tc>
        <w:tc>
          <w:tcPr>
            <w:tcW w:w="709" w:type="dxa"/>
            <w:tcBorders>
              <w:top w:val="nil"/>
              <w:left w:val="nil"/>
              <w:bottom w:val="nil"/>
              <w:right w:val="nil"/>
            </w:tcBorders>
          </w:tcPr>
          <w:p w14:paraId="465AA3A3"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1E449164" w14:textId="77777777" w:rsidR="00B86097" w:rsidRPr="00BD6DBC" w:rsidRDefault="00B86097" w:rsidP="009B6E5B">
            <w:pPr>
              <w:spacing w:before="0" w:line="240" w:lineRule="auto"/>
              <w:rPr>
                <w:rFonts w:cs="Segoe UI"/>
                <w:sz w:val="16"/>
                <w:szCs w:val="16"/>
              </w:rPr>
            </w:pPr>
            <w:r w:rsidRPr="00BD6DBC">
              <w:rPr>
                <w:rFonts w:cs="Segoe UI"/>
                <w:sz w:val="16"/>
                <w:szCs w:val="16"/>
              </w:rPr>
              <w:t>1500</w:t>
            </w:r>
          </w:p>
        </w:tc>
        <w:tc>
          <w:tcPr>
            <w:tcW w:w="2127" w:type="dxa"/>
            <w:tcBorders>
              <w:top w:val="nil"/>
              <w:left w:val="nil"/>
              <w:bottom w:val="nil"/>
              <w:right w:val="nil"/>
            </w:tcBorders>
            <w:vAlign w:val="bottom"/>
          </w:tcPr>
          <w:p w14:paraId="478A6665" w14:textId="77777777" w:rsidR="00B86097" w:rsidRPr="00BD6DBC" w:rsidRDefault="00B86097" w:rsidP="009B6E5B">
            <w:pPr>
              <w:spacing w:before="0" w:line="240" w:lineRule="auto"/>
              <w:rPr>
                <w:rFonts w:cs="Segoe UI"/>
                <w:sz w:val="16"/>
                <w:szCs w:val="16"/>
              </w:rPr>
            </w:pPr>
            <w:r w:rsidRPr="00BD6DBC">
              <w:rPr>
                <w:rFonts w:cs="Segoe UI"/>
                <w:sz w:val="16"/>
                <w:szCs w:val="16"/>
              </w:rPr>
              <w:t>3312.4</w:t>
            </w:r>
          </w:p>
        </w:tc>
        <w:tc>
          <w:tcPr>
            <w:tcW w:w="1984" w:type="dxa"/>
            <w:tcBorders>
              <w:top w:val="nil"/>
              <w:left w:val="nil"/>
              <w:bottom w:val="nil"/>
              <w:right w:val="nil"/>
            </w:tcBorders>
          </w:tcPr>
          <w:p w14:paraId="23870BF5"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0EE272A0" w14:textId="77777777" w:rsidR="00B86097" w:rsidRPr="00BD6DBC" w:rsidRDefault="00B86097" w:rsidP="009B6E5B">
            <w:pPr>
              <w:spacing w:before="0" w:line="240" w:lineRule="auto"/>
              <w:rPr>
                <w:rFonts w:cs="Segoe UI"/>
                <w:sz w:val="16"/>
                <w:szCs w:val="16"/>
              </w:rPr>
            </w:pPr>
            <w:r w:rsidRPr="00BD6DBC">
              <w:rPr>
                <w:rFonts w:cs="Segoe UI"/>
                <w:sz w:val="16"/>
                <w:szCs w:val="16"/>
              </w:rPr>
              <w:t>0.7</w:t>
            </w:r>
          </w:p>
        </w:tc>
      </w:tr>
      <w:tr w:rsidR="00B86097" w:rsidRPr="00BD6DBC" w14:paraId="688DCF4C" w14:textId="77777777" w:rsidTr="003A5664">
        <w:tc>
          <w:tcPr>
            <w:tcW w:w="1701" w:type="dxa"/>
            <w:tcBorders>
              <w:top w:val="nil"/>
              <w:left w:val="nil"/>
              <w:bottom w:val="nil"/>
              <w:right w:val="nil"/>
            </w:tcBorders>
            <w:vAlign w:val="bottom"/>
          </w:tcPr>
          <w:p w14:paraId="49C09BBD"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Poland</w:t>
            </w:r>
          </w:p>
        </w:tc>
        <w:tc>
          <w:tcPr>
            <w:tcW w:w="959" w:type="dxa"/>
            <w:tcBorders>
              <w:top w:val="nil"/>
              <w:left w:val="nil"/>
              <w:bottom w:val="nil"/>
              <w:right w:val="nil"/>
            </w:tcBorders>
          </w:tcPr>
          <w:p w14:paraId="7D238C21" w14:textId="77777777" w:rsidR="00B86097" w:rsidRPr="00BD6DBC" w:rsidRDefault="00B86097" w:rsidP="009B6E5B">
            <w:pPr>
              <w:spacing w:before="0" w:line="240" w:lineRule="auto"/>
              <w:rPr>
                <w:rFonts w:cs="Segoe UI"/>
                <w:sz w:val="16"/>
                <w:szCs w:val="16"/>
              </w:rPr>
            </w:pPr>
            <w:r w:rsidRPr="00BD6DBC">
              <w:rPr>
                <w:rFonts w:cs="Segoe UI"/>
                <w:sz w:val="16"/>
                <w:szCs w:val="16"/>
              </w:rPr>
              <w:t>POL</w:t>
            </w:r>
          </w:p>
        </w:tc>
        <w:tc>
          <w:tcPr>
            <w:tcW w:w="709" w:type="dxa"/>
            <w:tcBorders>
              <w:top w:val="nil"/>
              <w:left w:val="nil"/>
              <w:bottom w:val="nil"/>
              <w:right w:val="nil"/>
            </w:tcBorders>
          </w:tcPr>
          <w:p w14:paraId="57C3D276"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0E6DD81B" w14:textId="77777777" w:rsidR="00B86097" w:rsidRPr="00BD6DBC" w:rsidRDefault="00B86097" w:rsidP="009B6E5B">
            <w:pPr>
              <w:spacing w:before="0" w:line="240" w:lineRule="auto"/>
              <w:rPr>
                <w:rFonts w:cs="Segoe UI"/>
                <w:sz w:val="16"/>
                <w:szCs w:val="16"/>
              </w:rPr>
            </w:pPr>
            <w:r w:rsidRPr="00BD6DBC">
              <w:rPr>
                <w:rFonts w:cs="Segoe UI"/>
                <w:sz w:val="16"/>
                <w:szCs w:val="16"/>
              </w:rPr>
              <w:t>1000</w:t>
            </w:r>
          </w:p>
        </w:tc>
        <w:tc>
          <w:tcPr>
            <w:tcW w:w="2127" w:type="dxa"/>
            <w:tcBorders>
              <w:top w:val="nil"/>
              <w:left w:val="nil"/>
              <w:bottom w:val="nil"/>
              <w:right w:val="nil"/>
            </w:tcBorders>
            <w:vAlign w:val="bottom"/>
          </w:tcPr>
          <w:p w14:paraId="2708321E" w14:textId="77777777" w:rsidR="00B86097" w:rsidRPr="00BD6DBC" w:rsidRDefault="00B86097" w:rsidP="009B6E5B">
            <w:pPr>
              <w:spacing w:before="0" w:line="240" w:lineRule="auto"/>
              <w:rPr>
                <w:rFonts w:cs="Segoe UI"/>
                <w:sz w:val="16"/>
                <w:szCs w:val="16"/>
              </w:rPr>
            </w:pPr>
            <w:r w:rsidRPr="00BD6DBC">
              <w:rPr>
                <w:rFonts w:cs="Segoe UI"/>
                <w:sz w:val="16"/>
                <w:szCs w:val="16"/>
              </w:rPr>
              <w:t>7963</w:t>
            </w:r>
          </w:p>
        </w:tc>
        <w:tc>
          <w:tcPr>
            <w:tcW w:w="1984" w:type="dxa"/>
            <w:tcBorders>
              <w:top w:val="nil"/>
              <w:left w:val="nil"/>
              <w:bottom w:val="nil"/>
              <w:right w:val="nil"/>
            </w:tcBorders>
          </w:tcPr>
          <w:p w14:paraId="0077661E"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7F954FBB" w14:textId="77777777" w:rsidR="00B86097" w:rsidRPr="00BD6DBC" w:rsidRDefault="00B86097" w:rsidP="009B6E5B">
            <w:pPr>
              <w:spacing w:before="0" w:line="240" w:lineRule="auto"/>
              <w:rPr>
                <w:rFonts w:cs="Segoe UI"/>
                <w:sz w:val="16"/>
                <w:szCs w:val="16"/>
              </w:rPr>
            </w:pPr>
            <w:r w:rsidRPr="00BD6DBC">
              <w:rPr>
                <w:rFonts w:cs="Segoe UI"/>
                <w:sz w:val="16"/>
                <w:szCs w:val="16"/>
              </w:rPr>
              <w:t>0.775</w:t>
            </w:r>
          </w:p>
        </w:tc>
      </w:tr>
      <w:tr w:rsidR="00B86097" w:rsidRPr="00BD6DBC" w14:paraId="7E58D400" w14:textId="77777777" w:rsidTr="003A5664">
        <w:tc>
          <w:tcPr>
            <w:tcW w:w="1701" w:type="dxa"/>
            <w:tcBorders>
              <w:top w:val="nil"/>
              <w:left w:val="nil"/>
              <w:bottom w:val="nil"/>
              <w:right w:val="nil"/>
            </w:tcBorders>
            <w:vAlign w:val="bottom"/>
          </w:tcPr>
          <w:p w14:paraId="23568342"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Romania</w:t>
            </w:r>
          </w:p>
        </w:tc>
        <w:tc>
          <w:tcPr>
            <w:tcW w:w="959" w:type="dxa"/>
            <w:tcBorders>
              <w:top w:val="nil"/>
              <w:left w:val="nil"/>
              <w:bottom w:val="nil"/>
              <w:right w:val="nil"/>
            </w:tcBorders>
          </w:tcPr>
          <w:p w14:paraId="48F63CFD" w14:textId="77777777" w:rsidR="00B86097" w:rsidRPr="00BD6DBC" w:rsidRDefault="00B86097" w:rsidP="009B6E5B">
            <w:pPr>
              <w:spacing w:before="0" w:line="240" w:lineRule="auto"/>
              <w:rPr>
                <w:rFonts w:cs="Segoe UI"/>
                <w:sz w:val="16"/>
                <w:szCs w:val="16"/>
              </w:rPr>
            </w:pPr>
            <w:r w:rsidRPr="00BD6DBC">
              <w:rPr>
                <w:rFonts w:cs="Segoe UI"/>
                <w:sz w:val="16"/>
                <w:szCs w:val="16"/>
              </w:rPr>
              <w:t>ROU</w:t>
            </w:r>
          </w:p>
        </w:tc>
        <w:tc>
          <w:tcPr>
            <w:tcW w:w="709" w:type="dxa"/>
            <w:tcBorders>
              <w:top w:val="nil"/>
              <w:left w:val="nil"/>
              <w:bottom w:val="nil"/>
              <w:right w:val="nil"/>
            </w:tcBorders>
          </w:tcPr>
          <w:p w14:paraId="298E90BA"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5D52E8BD" w14:textId="77777777" w:rsidR="00B86097" w:rsidRPr="00BD6DBC" w:rsidRDefault="00B86097" w:rsidP="009B6E5B">
            <w:pPr>
              <w:spacing w:before="0" w:line="240" w:lineRule="auto"/>
              <w:rPr>
                <w:rFonts w:cs="Segoe UI"/>
                <w:sz w:val="16"/>
                <w:szCs w:val="16"/>
              </w:rPr>
            </w:pPr>
            <w:r w:rsidRPr="00BD6DBC">
              <w:rPr>
                <w:rFonts w:cs="Segoe UI"/>
                <w:sz w:val="16"/>
                <w:szCs w:val="16"/>
              </w:rPr>
              <w:t>1776</w:t>
            </w:r>
          </w:p>
        </w:tc>
        <w:tc>
          <w:tcPr>
            <w:tcW w:w="2127" w:type="dxa"/>
            <w:tcBorders>
              <w:top w:val="nil"/>
              <w:left w:val="nil"/>
              <w:bottom w:val="nil"/>
              <w:right w:val="nil"/>
            </w:tcBorders>
            <w:vAlign w:val="bottom"/>
          </w:tcPr>
          <w:p w14:paraId="50B78B34" w14:textId="77777777" w:rsidR="00B86097" w:rsidRPr="00BD6DBC" w:rsidRDefault="00B86097" w:rsidP="009B6E5B">
            <w:pPr>
              <w:spacing w:before="0" w:line="240" w:lineRule="auto"/>
              <w:rPr>
                <w:rFonts w:cs="Segoe UI"/>
                <w:sz w:val="16"/>
                <w:szCs w:val="16"/>
              </w:rPr>
            </w:pPr>
            <w:r w:rsidRPr="00BD6DBC">
              <w:rPr>
                <w:rFonts w:cs="Segoe UI"/>
                <w:sz w:val="16"/>
                <w:szCs w:val="16"/>
              </w:rPr>
              <w:t>4572</w:t>
            </w:r>
          </w:p>
        </w:tc>
        <w:tc>
          <w:tcPr>
            <w:tcW w:w="1984" w:type="dxa"/>
            <w:tcBorders>
              <w:top w:val="nil"/>
              <w:left w:val="nil"/>
              <w:bottom w:val="nil"/>
              <w:right w:val="nil"/>
            </w:tcBorders>
          </w:tcPr>
          <w:p w14:paraId="2C641CFD"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17B8DA3F" w14:textId="77777777" w:rsidR="00B86097" w:rsidRPr="00BD6DBC" w:rsidRDefault="00B86097" w:rsidP="009B6E5B">
            <w:pPr>
              <w:spacing w:before="0" w:line="240" w:lineRule="auto"/>
              <w:rPr>
                <w:rFonts w:cs="Segoe UI"/>
                <w:sz w:val="16"/>
                <w:szCs w:val="16"/>
              </w:rPr>
            </w:pPr>
            <w:r w:rsidRPr="00BD6DBC">
              <w:rPr>
                <w:rFonts w:cs="Segoe UI"/>
                <w:sz w:val="16"/>
                <w:szCs w:val="16"/>
              </w:rPr>
              <w:t>0.733</w:t>
            </w:r>
          </w:p>
        </w:tc>
      </w:tr>
      <w:tr w:rsidR="00B86097" w:rsidRPr="00BD6DBC" w14:paraId="7A2E7CF7" w14:textId="77777777" w:rsidTr="003A5664">
        <w:tc>
          <w:tcPr>
            <w:tcW w:w="1701" w:type="dxa"/>
            <w:tcBorders>
              <w:top w:val="nil"/>
              <w:left w:val="nil"/>
              <w:bottom w:val="nil"/>
              <w:right w:val="nil"/>
            </w:tcBorders>
            <w:vAlign w:val="bottom"/>
          </w:tcPr>
          <w:p w14:paraId="30CA0028"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Russia</w:t>
            </w:r>
          </w:p>
        </w:tc>
        <w:tc>
          <w:tcPr>
            <w:tcW w:w="959" w:type="dxa"/>
            <w:tcBorders>
              <w:top w:val="nil"/>
              <w:left w:val="nil"/>
              <w:bottom w:val="nil"/>
              <w:right w:val="nil"/>
            </w:tcBorders>
          </w:tcPr>
          <w:p w14:paraId="5074D79F" w14:textId="77777777" w:rsidR="00B86097" w:rsidRPr="00BD6DBC" w:rsidRDefault="00B86097" w:rsidP="009B6E5B">
            <w:pPr>
              <w:spacing w:before="0" w:line="240" w:lineRule="auto"/>
              <w:rPr>
                <w:rFonts w:cs="Segoe UI"/>
                <w:sz w:val="16"/>
                <w:szCs w:val="16"/>
              </w:rPr>
            </w:pPr>
            <w:r w:rsidRPr="00BD6DBC">
              <w:rPr>
                <w:rFonts w:cs="Segoe UI"/>
                <w:sz w:val="16"/>
                <w:szCs w:val="16"/>
              </w:rPr>
              <w:t>RUS</w:t>
            </w:r>
          </w:p>
        </w:tc>
        <w:tc>
          <w:tcPr>
            <w:tcW w:w="709" w:type="dxa"/>
            <w:tcBorders>
              <w:top w:val="nil"/>
              <w:left w:val="nil"/>
              <w:bottom w:val="nil"/>
              <w:right w:val="nil"/>
            </w:tcBorders>
          </w:tcPr>
          <w:p w14:paraId="2D80C77A"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40716F8F" w14:textId="77777777" w:rsidR="00B86097" w:rsidRPr="00BD6DBC" w:rsidRDefault="00B86097" w:rsidP="009B6E5B">
            <w:pPr>
              <w:spacing w:before="0" w:line="240" w:lineRule="auto"/>
              <w:rPr>
                <w:rFonts w:cs="Segoe UI"/>
                <w:sz w:val="16"/>
                <w:szCs w:val="16"/>
              </w:rPr>
            </w:pPr>
            <w:r w:rsidRPr="00BD6DBC">
              <w:rPr>
                <w:rFonts w:cs="Segoe UI"/>
                <w:sz w:val="16"/>
                <w:szCs w:val="16"/>
              </w:rPr>
              <w:t>2033</w:t>
            </w:r>
          </w:p>
        </w:tc>
        <w:tc>
          <w:tcPr>
            <w:tcW w:w="2127" w:type="dxa"/>
            <w:tcBorders>
              <w:top w:val="nil"/>
              <w:left w:val="nil"/>
              <w:bottom w:val="nil"/>
              <w:right w:val="nil"/>
            </w:tcBorders>
            <w:vAlign w:val="bottom"/>
          </w:tcPr>
          <w:p w14:paraId="5AD18B6D" w14:textId="77777777" w:rsidR="00B86097" w:rsidRPr="00BD6DBC" w:rsidRDefault="00B86097" w:rsidP="009B6E5B">
            <w:pPr>
              <w:spacing w:before="0" w:line="240" w:lineRule="auto"/>
              <w:rPr>
                <w:rFonts w:cs="Segoe UI"/>
                <w:sz w:val="16"/>
                <w:szCs w:val="16"/>
              </w:rPr>
            </w:pPr>
            <w:r w:rsidRPr="00BD6DBC">
              <w:rPr>
                <w:rFonts w:cs="Segoe UI"/>
                <w:sz w:val="16"/>
                <w:szCs w:val="16"/>
              </w:rPr>
              <w:t>6946.9</w:t>
            </w:r>
          </w:p>
        </w:tc>
        <w:tc>
          <w:tcPr>
            <w:tcW w:w="1984" w:type="dxa"/>
            <w:tcBorders>
              <w:top w:val="nil"/>
              <w:left w:val="nil"/>
              <w:bottom w:val="nil"/>
              <w:right w:val="nil"/>
            </w:tcBorders>
          </w:tcPr>
          <w:p w14:paraId="33DEC391" w14:textId="77777777" w:rsidR="00B86097" w:rsidRPr="00BD6DBC" w:rsidRDefault="00B86097" w:rsidP="009B6E5B">
            <w:pPr>
              <w:spacing w:before="0" w:line="240" w:lineRule="auto"/>
              <w:rPr>
                <w:rFonts w:cs="Segoe UI"/>
                <w:sz w:val="16"/>
                <w:szCs w:val="16"/>
              </w:rPr>
            </w:pPr>
            <w:r w:rsidRPr="00BD6DBC">
              <w:rPr>
                <w:rFonts w:cs="Segoe UI"/>
                <w:sz w:val="16"/>
                <w:szCs w:val="16"/>
              </w:rPr>
              <w:t>Not Free</w:t>
            </w:r>
          </w:p>
        </w:tc>
        <w:tc>
          <w:tcPr>
            <w:tcW w:w="709" w:type="dxa"/>
            <w:tcBorders>
              <w:top w:val="nil"/>
              <w:left w:val="nil"/>
              <w:bottom w:val="nil"/>
              <w:right w:val="nil"/>
            </w:tcBorders>
          </w:tcPr>
          <w:p w14:paraId="04016BE5" w14:textId="77777777" w:rsidR="00B86097" w:rsidRPr="00BD6DBC" w:rsidRDefault="00B86097" w:rsidP="009B6E5B">
            <w:pPr>
              <w:spacing w:before="0" w:line="240" w:lineRule="auto"/>
              <w:rPr>
                <w:rFonts w:cs="Segoe UI"/>
                <w:sz w:val="16"/>
                <w:szCs w:val="16"/>
              </w:rPr>
            </w:pPr>
            <w:r w:rsidRPr="00BD6DBC">
              <w:rPr>
                <w:rFonts w:cs="Segoe UI"/>
                <w:sz w:val="16"/>
                <w:szCs w:val="16"/>
              </w:rPr>
              <w:t>0.7</w:t>
            </w:r>
          </w:p>
        </w:tc>
      </w:tr>
      <w:tr w:rsidR="00B86097" w:rsidRPr="00BD6DBC" w14:paraId="7B63EDD4" w14:textId="77777777" w:rsidTr="003A5664">
        <w:tc>
          <w:tcPr>
            <w:tcW w:w="1701" w:type="dxa"/>
            <w:tcBorders>
              <w:top w:val="nil"/>
              <w:left w:val="nil"/>
              <w:bottom w:val="nil"/>
              <w:right w:val="nil"/>
            </w:tcBorders>
            <w:vAlign w:val="bottom"/>
          </w:tcPr>
          <w:p w14:paraId="647D0631"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S Africa</w:t>
            </w:r>
          </w:p>
        </w:tc>
        <w:tc>
          <w:tcPr>
            <w:tcW w:w="959" w:type="dxa"/>
            <w:tcBorders>
              <w:top w:val="nil"/>
              <w:left w:val="nil"/>
              <w:bottom w:val="nil"/>
              <w:right w:val="nil"/>
            </w:tcBorders>
          </w:tcPr>
          <w:p w14:paraId="2B636663" w14:textId="77777777" w:rsidR="00B86097" w:rsidRPr="00BD6DBC" w:rsidRDefault="00B86097" w:rsidP="009B6E5B">
            <w:pPr>
              <w:spacing w:before="0" w:line="240" w:lineRule="auto"/>
              <w:rPr>
                <w:rFonts w:cs="Segoe UI"/>
                <w:sz w:val="16"/>
                <w:szCs w:val="16"/>
              </w:rPr>
            </w:pPr>
            <w:r w:rsidRPr="00BD6DBC">
              <w:rPr>
                <w:rFonts w:cs="Segoe UI"/>
                <w:sz w:val="16"/>
                <w:szCs w:val="16"/>
              </w:rPr>
              <w:t>ZAF</w:t>
            </w:r>
          </w:p>
        </w:tc>
        <w:tc>
          <w:tcPr>
            <w:tcW w:w="709" w:type="dxa"/>
            <w:tcBorders>
              <w:top w:val="nil"/>
              <w:left w:val="nil"/>
              <w:bottom w:val="nil"/>
              <w:right w:val="nil"/>
            </w:tcBorders>
          </w:tcPr>
          <w:p w14:paraId="1F5B9C9D"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1893F2CD" w14:textId="77777777" w:rsidR="00B86097" w:rsidRPr="00BD6DBC" w:rsidRDefault="00B86097" w:rsidP="009B6E5B">
            <w:pPr>
              <w:spacing w:before="0" w:line="240" w:lineRule="auto"/>
              <w:rPr>
                <w:rFonts w:cs="Segoe UI"/>
                <w:sz w:val="16"/>
                <w:szCs w:val="16"/>
              </w:rPr>
            </w:pPr>
            <w:r w:rsidRPr="00BD6DBC">
              <w:rPr>
                <w:rFonts w:cs="Segoe UI"/>
                <w:sz w:val="16"/>
                <w:szCs w:val="16"/>
              </w:rPr>
              <w:t>2988</w:t>
            </w:r>
          </w:p>
        </w:tc>
        <w:tc>
          <w:tcPr>
            <w:tcW w:w="2127" w:type="dxa"/>
            <w:tcBorders>
              <w:top w:val="nil"/>
              <w:left w:val="nil"/>
              <w:bottom w:val="nil"/>
              <w:right w:val="nil"/>
            </w:tcBorders>
            <w:vAlign w:val="bottom"/>
          </w:tcPr>
          <w:p w14:paraId="7ED66C0C" w14:textId="77777777" w:rsidR="00B86097" w:rsidRPr="00BD6DBC" w:rsidRDefault="00B86097" w:rsidP="009B6E5B">
            <w:pPr>
              <w:spacing w:before="0" w:line="240" w:lineRule="auto"/>
              <w:rPr>
                <w:rFonts w:cs="Segoe UI"/>
                <w:sz w:val="16"/>
                <w:szCs w:val="16"/>
              </w:rPr>
            </w:pPr>
            <w:r w:rsidRPr="00BD6DBC">
              <w:rPr>
                <w:rFonts w:cs="Segoe UI"/>
                <w:sz w:val="16"/>
                <w:szCs w:val="16"/>
              </w:rPr>
              <w:t>5930.1</w:t>
            </w:r>
          </w:p>
        </w:tc>
        <w:tc>
          <w:tcPr>
            <w:tcW w:w="1984" w:type="dxa"/>
            <w:tcBorders>
              <w:top w:val="nil"/>
              <w:left w:val="nil"/>
              <w:bottom w:val="nil"/>
              <w:right w:val="nil"/>
            </w:tcBorders>
          </w:tcPr>
          <w:p w14:paraId="02FC16CD"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1C03757D" w14:textId="77777777" w:rsidR="00B86097" w:rsidRPr="00BD6DBC" w:rsidRDefault="00B86097" w:rsidP="009B6E5B">
            <w:pPr>
              <w:spacing w:before="0" w:line="240" w:lineRule="auto"/>
              <w:rPr>
                <w:rFonts w:cs="Segoe UI"/>
                <w:sz w:val="16"/>
                <w:szCs w:val="16"/>
              </w:rPr>
            </w:pPr>
            <w:r w:rsidRPr="00BD6DBC">
              <w:rPr>
                <w:rFonts w:cs="Segoe UI"/>
                <w:sz w:val="16"/>
                <w:szCs w:val="16"/>
              </w:rPr>
              <w:t>0.59</w:t>
            </w:r>
          </w:p>
        </w:tc>
      </w:tr>
      <w:tr w:rsidR="00B86097" w:rsidRPr="00BD6DBC" w14:paraId="3C1C4A35" w14:textId="77777777" w:rsidTr="003A5664">
        <w:tc>
          <w:tcPr>
            <w:tcW w:w="1701" w:type="dxa"/>
            <w:tcBorders>
              <w:top w:val="nil"/>
              <w:left w:val="nil"/>
              <w:bottom w:val="nil"/>
              <w:right w:val="nil"/>
            </w:tcBorders>
            <w:vAlign w:val="bottom"/>
          </w:tcPr>
          <w:p w14:paraId="43A7DCDF"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S Korea</w:t>
            </w:r>
          </w:p>
        </w:tc>
        <w:tc>
          <w:tcPr>
            <w:tcW w:w="959" w:type="dxa"/>
            <w:tcBorders>
              <w:top w:val="nil"/>
              <w:left w:val="nil"/>
              <w:bottom w:val="nil"/>
              <w:right w:val="nil"/>
            </w:tcBorders>
          </w:tcPr>
          <w:p w14:paraId="19D11E6C" w14:textId="77777777" w:rsidR="00B86097" w:rsidRPr="00BD6DBC" w:rsidRDefault="00B86097" w:rsidP="009B6E5B">
            <w:pPr>
              <w:spacing w:before="0" w:line="240" w:lineRule="auto"/>
              <w:rPr>
                <w:rFonts w:cs="Segoe UI"/>
                <w:sz w:val="16"/>
                <w:szCs w:val="16"/>
              </w:rPr>
            </w:pPr>
            <w:r w:rsidRPr="00BD6DBC">
              <w:rPr>
                <w:rFonts w:cs="Segoe UI"/>
                <w:sz w:val="16"/>
                <w:szCs w:val="16"/>
              </w:rPr>
              <w:t>KOR</w:t>
            </w:r>
          </w:p>
        </w:tc>
        <w:tc>
          <w:tcPr>
            <w:tcW w:w="709" w:type="dxa"/>
            <w:tcBorders>
              <w:top w:val="nil"/>
              <w:left w:val="nil"/>
              <w:bottom w:val="nil"/>
              <w:right w:val="nil"/>
            </w:tcBorders>
          </w:tcPr>
          <w:p w14:paraId="0688CCAF"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492118EF" w14:textId="77777777" w:rsidR="00B86097" w:rsidRPr="00BD6DBC" w:rsidRDefault="00B86097" w:rsidP="009B6E5B">
            <w:pPr>
              <w:spacing w:before="0" w:line="240" w:lineRule="auto"/>
              <w:rPr>
                <w:rFonts w:cs="Segoe UI"/>
                <w:sz w:val="16"/>
                <w:szCs w:val="16"/>
              </w:rPr>
            </w:pPr>
            <w:r w:rsidRPr="00BD6DBC">
              <w:rPr>
                <w:rFonts w:cs="Segoe UI"/>
                <w:sz w:val="16"/>
                <w:szCs w:val="16"/>
              </w:rPr>
              <w:t>1200</w:t>
            </w:r>
          </w:p>
        </w:tc>
        <w:tc>
          <w:tcPr>
            <w:tcW w:w="2127" w:type="dxa"/>
            <w:tcBorders>
              <w:top w:val="nil"/>
              <w:left w:val="nil"/>
              <w:bottom w:val="nil"/>
              <w:right w:val="nil"/>
            </w:tcBorders>
            <w:vAlign w:val="bottom"/>
          </w:tcPr>
          <w:p w14:paraId="15C66DFB" w14:textId="77777777" w:rsidR="00B86097" w:rsidRPr="00BD6DBC" w:rsidRDefault="00B86097" w:rsidP="009B6E5B">
            <w:pPr>
              <w:spacing w:before="0" w:line="240" w:lineRule="auto"/>
              <w:rPr>
                <w:rFonts w:cs="Segoe UI"/>
                <w:sz w:val="16"/>
                <w:szCs w:val="16"/>
              </w:rPr>
            </w:pPr>
            <w:r w:rsidRPr="00BD6DBC">
              <w:rPr>
                <w:rFonts w:cs="Segoe UI"/>
                <w:sz w:val="16"/>
                <w:szCs w:val="16"/>
              </w:rPr>
              <w:t>17550.9</w:t>
            </w:r>
          </w:p>
        </w:tc>
        <w:tc>
          <w:tcPr>
            <w:tcW w:w="1984" w:type="dxa"/>
            <w:tcBorders>
              <w:top w:val="nil"/>
              <w:left w:val="nil"/>
              <w:bottom w:val="nil"/>
              <w:right w:val="nil"/>
            </w:tcBorders>
          </w:tcPr>
          <w:p w14:paraId="7875F1E6"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5FCDFBD7" w14:textId="77777777" w:rsidR="00B86097" w:rsidRPr="00BD6DBC" w:rsidRDefault="00B86097" w:rsidP="009B6E5B">
            <w:pPr>
              <w:spacing w:before="0" w:line="240" w:lineRule="auto"/>
              <w:rPr>
                <w:rFonts w:cs="Segoe UI"/>
                <w:sz w:val="16"/>
                <w:szCs w:val="16"/>
              </w:rPr>
            </w:pPr>
            <w:r w:rsidRPr="00BD6DBC">
              <w:rPr>
                <w:rFonts w:cs="Segoe UI"/>
                <w:sz w:val="16"/>
                <w:szCs w:val="16"/>
              </w:rPr>
              <w:t>0.851</w:t>
            </w:r>
          </w:p>
        </w:tc>
      </w:tr>
      <w:tr w:rsidR="00B86097" w:rsidRPr="00BD6DBC" w14:paraId="32353CA3" w14:textId="77777777" w:rsidTr="003A5664">
        <w:tc>
          <w:tcPr>
            <w:tcW w:w="1701" w:type="dxa"/>
            <w:tcBorders>
              <w:top w:val="nil"/>
              <w:left w:val="nil"/>
              <w:bottom w:val="nil"/>
              <w:right w:val="nil"/>
            </w:tcBorders>
            <w:vAlign w:val="bottom"/>
          </w:tcPr>
          <w:p w14:paraId="24579B43"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Serbia</w:t>
            </w:r>
          </w:p>
        </w:tc>
        <w:tc>
          <w:tcPr>
            <w:tcW w:w="959" w:type="dxa"/>
            <w:tcBorders>
              <w:top w:val="nil"/>
              <w:left w:val="nil"/>
              <w:bottom w:val="nil"/>
              <w:right w:val="nil"/>
            </w:tcBorders>
          </w:tcPr>
          <w:p w14:paraId="4FEC222B" w14:textId="77777777" w:rsidR="00B86097" w:rsidRPr="00BD6DBC" w:rsidRDefault="00B86097" w:rsidP="009B6E5B">
            <w:pPr>
              <w:spacing w:before="0" w:line="240" w:lineRule="auto"/>
              <w:rPr>
                <w:rFonts w:cs="Segoe UI"/>
                <w:sz w:val="16"/>
                <w:szCs w:val="16"/>
              </w:rPr>
            </w:pPr>
            <w:r w:rsidRPr="00BD6DBC">
              <w:rPr>
                <w:rFonts w:cs="Segoe UI"/>
                <w:sz w:val="16"/>
                <w:szCs w:val="16"/>
              </w:rPr>
              <w:t>SRB</w:t>
            </w:r>
          </w:p>
        </w:tc>
        <w:tc>
          <w:tcPr>
            <w:tcW w:w="709" w:type="dxa"/>
            <w:tcBorders>
              <w:top w:val="nil"/>
              <w:left w:val="nil"/>
              <w:bottom w:val="nil"/>
              <w:right w:val="nil"/>
            </w:tcBorders>
          </w:tcPr>
          <w:p w14:paraId="30E7BABE"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44F3CCCF" w14:textId="77777777" w:rsidR="00B86097" w:rsidRPr="00BD6DBC" w:rsidRDefault="00B86097" w:rsidP="009B6E5B">
            <w:pPr>
              <w:spacing w:before="0" w:line="240" w:lineRule="auto"/>
              <w:rPr>
                <w:rFonts w:cs="Segoe UI"/>
                <w:sz w:val="16"/>
                <w:szCs w:val="16"/>
              </w:rPr>
            </w:pPr>
            <w:r w:rsidRPr="00BD6DBC">
              <w:rPr>
                <w:rFonts w:cs="Segoe UI"/>
                <w:sz w:val="16"/>
                <w:szCs w:val="16"/>
              </w:rPr>
              <w:t>1220</w:t>
            </w:r>
          </w:p>
        </w:tc>
        <w:tc>
          <w:tcPr>
            <w:tcW w:w="2127" w:type="dxa"/>
            <w:tcBorders>
              <w:top w:val="nil"/>
              <w:left w:val="nil"/>
              <w:bottom w:val="nil"/>
              <w:right w:val="nil"/>
            </w:tcBorders>
            <w:vAlign w:val="bottom"/>
          </w:tcPr>
          <w:p w14:paraId="58050D78" w14:textId="77777777" w:rsidR="00B86097" w:rsidRPr="00BD6DBC" w:rsidRDefault="00B86097" w:rsidP="009B6E5B">
            <w:pPr>
              <w:spacing w:before="0" w:line="240" w:lineRule="auto"/>
              <w:rPr>
                <w:rFonts w:cs="Segoe UI"/>
                <w:sz w:val="16"/>
                <w:szCs w:val="16"/>
              </w:rPr>
            </w:pPr>
            <w:r w:rsidRPr="00BD6DBC">
              <w:rPr>
                <w:rFonts w:cs="Segoe UI"/>
                <w:sz w:val="16"/>
                <w:szCs w:val="16"/>
              </w:rPr>
              <w:t>3942.6</w:t>
            </w:r>
          </w:p>
        </w:tc>
        <w:tc>
          <w:tcPr>
            <w:tcW w:w="1984" w:type="dxa"/>
            <w:tcBorders>
              <w:top w:val="nil"/>
              <w:left w:val="nil"/>
              <w:bottom w:val="nil"/>
              <w:right w:val="nil"/>
            </w:tcBorders>
          </w:tcPr>
          <w:p w14:paraId="54E2A07D"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1533CAD5" w14:textId="77777777" w:rsidR="00B86097" w:rsidRPr="00BD6DBC" w:rsidRDefault="00B86097" w:rsidP="009B6E5B">
            <w:pPr>
              <w:spacing w:before="0" w:line="240" w:lineRule="auto"/>
              <w:rPr>
                <w:rFonts w:cs="Segoe UI"/>
                <w:sz w:val="16"/>
                <w:szCs w:val="16"/>
              </w:rPr>
            </w:pPr>
            <w:r w:rsidRPr="00BD6DBC">
              <w:rPr>
                <w:rFonts w:cs="Segoe UI"/>
                <w:sz w:val="16"/>
                <w:szCs w:val="16"/>
              </w:rPr>
              <w:t>0.724</w:t>
            </w:r>
          </w:p>
        </w:tc>
      </w:tr>
      <w:tr w:rsidR="00B86097" w:rsidRPr="00BD6DBC" w14:paraId="0B9A69AF" w14:textId="77777777" w:rsidTr="003A5664">
        <w:tc>
          <w:tcPr>
            <w:tcW w:w="1701" w:type="dxa"/>
            <w:tcBorders>
              <w:top w:val="nil"/>
              <w:left w:val="nil"/>
              <w:bottom w:val="nil"/>
              <w:right w:val="nil"/>
            </w:tcBorders>
            <w:vAlign w:val="bottom"/>
          </w:tcPr>
          <w:p w14:paraId="3F640052"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Slovenia</w:t>
            </w:r>
          </w:p>
        </w:tc>
        <w:tc>
          <w:tcPr>
            <w:tcW w:w="959" w:type="dxa"/>
            <w:tcBorders>
              <w:top w:val="nil"/>
              <w:left w:val="nil"/>
              <w:bottom w:val="nil"/>
              <w:right w:val="nil"/>
            </w:tcBorders>
          </w:tcPr>
          <w:p w14:paraId="7A6D3216" w14:textId="77777777" w:rsidR="00B86097" w:rsidRPr="00BD6DBC" w:rsidRDefault="00B86097" w:rsidP="009B6E5B">
            <w:pPr>
              <w:spacing w:before="0" w:line="240" w:lineRule="auto"/>
              <w:rPr>
                <w:rFonts w:cs="Segoe UI"/>
                <w:sz w:val="16"/>
                <w:szCs w:val="16"/>
              </w:rPr>
            </w:pPr>
            <w:r w:rsidRPr="00BD6DBC">
              <w:rPr>
                <w:rFonts w:cs="Segoe UI"/>
                <w:sz w:val="16"/>
                <w:szCs w:val="16"/>
              </w:rPr>
              <w:t>SVN</w:t>
            </w:r>
          </w:p>
        </w:tc>
        <w:tc>
          <w:tcPr>
            <w:tcW w:w="709" w:type="dxa"/>
            <w:tcBorders>
              <w:top w:val="nil"/>
              <w:left w:val="nil"/>
              <w:bottom w:val="nil"/>
              <w:right w:val="nil"/>
            </w:tcBorders>
          </w:tcPr>
          <w:p w14:paraId="4A277033" w14:textId="77777777" w:rsidR="00B86097" w:rsidRPr="00BD6DBC" w:rsidRDefault="00B86097" w:rsidP="009B6E5B">
            <w:pPr>
              <w:spacing w:before="0" w:line="240" w:lineRule="auto"/>
              <w:rPr>
                <w:rFonts w:cs="Segoe UI"/>
                <w:sz w:val="16"/>
                <w:szCs w:val="16"/>
              </w:rPr>
            </w:pPr>
            <w:r w:rsidRPr="00BD6DBC">
              <w:rPr>
                <w:rFonts w:cs="Segoe UI"/>
                <w:sz w:val="16"/>
                <w:szCs w:val="16"/>
              </w:rPr>
              <w:t>2005</w:t>
            </w:r>
          </w:p>
        </w:tc>
        <w:tc>
          <w:tcPr>
            <w:tcW w:w="1167" w:type="dxa"/>
            <w:tcBorders>
              <w:top w:val="nil"/>
              <w:left w:val="nil"/>
              <w:bottom w:val="nil"/>
              <w:right w:val="nil"/>
            </w:tcBorders>
          </w:tcPr>
          <w:p w14:paraId="66083841" w14:textId="77777777" w:rsidR="00B86097" w:rsidRPr="00BD6DBC" w:rsidRDefault="00B86097" w:rsidP="009B6E5B">
            <w:pPr>
              <w:spacing w:before="0" w:line="240" w:lineRule="auto"/>
              <w:rPr>
                <w:rFonts w:cs="Segoe UI"/>
                <w:sz w:val="16"/>
                <w:szCs w:val="16"/>
              </w:rPr>
            </w:pPr>
            <w:r w:rsidRPr="00BD6DBC">
              <w:rPr>
                <w:rFonts w:cs="Segoe UI"/>
                <w:sz w:val="16"/>
                <w:szCs w:val="16"/>
              </w:rPr>
              <w:t>1037</w:t>
            </w:r>
          </w:p>
        </w:tc>
        <w:tc>
          <w:tcPr>
            <w:tcW w:w="2127" w:type="dxa"/>
            <w:tcBorders>
              <w:top w:val="nil"/>
              <w:left w:val="nil"/>
              <w:bottom w:val="nil"/>
              <w:right w:val="nil"/>
            </w:tcBorders>
            <w:vAlign w:val="bottom"/>
          </w:tcPr>
          <w:p w14:paraId="64630CBF" w14:textId="77777777" w:rsidR="00B86097" w:rsidRPr="00BD6DBC" w:rsidRDefault="00B86097" w:rsidP="009B6E5B">
            <w:pPr>
              <w:spacing w:before="0" w:line="240" w:lineRule="auto"/>
              <w:rPr>
                <w:rFonts w:cs="Segoe UI"/>
                <w:sz w:val="16"/>
                <w:szCs w:val="16"/>
              </w:rPr>
            </w:pPr>
            <w:r w:rsidRPr="00BD6DBC">
              <w:rPr>
                <w:rFonts w:cs="Segoe UI"/>
                <w:sz w:val="16"/>
                <w:szCs w:val="16"/>
              </w:rPr>
              <w:t>19409.3</w:t>
            </w:r>
          </w:p>
        </w:tc>
        <w:tc>
          <w:tcPr>
            <w:tcW w:w="1984" w:type="dxa"/>
            <w:tcBorders>
              <w:top w:val="nil"/>
              <w:left w:val="nil"/>
              <w:bottom w:val="nil"/>
              <w:right w:val="nil"/>
            </w:tcBorders>
          </w:tcPr>
          <w:p w14:paraId="46ECF43F"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0B62EE34" w14:textId="77777777" w:rsidR="00B86097" w:rsidRPr="00BD6DBC" w:rsidRDefault="00B86097" w:rsidP="009B6E5B">
            <w:pPr>
              <w:spacing w:before="0" w:line="240" w:lineRule="auto"/>
              <w:rPr>
                <w:rFonts w:cs="Segoe UI"/>
                <w:sz w:val="16"/>
                <w:szCs w:val="16"/>
              </w:rPr>
            </w:pPr>
            <w:r w:rsidRPr="00BD6DBC">
              <w:rPr>
                <w:rFonts w:cs="Segoe UI"/>
                <w:sz w:val="16"/>
                <w:szCs w:val="16"/>
              </w:rPr>
              <w:t>0.813</w:t>
            </w:r>
          </w:p>
        </w:tc>
      </w:tr>
      <w:tr w:rsidR="00B86097" w:rsidRPr="00BD6DBC" w14:paraId="5CDB68E2" w14:textId="77777777" w:rsidTr="003A5664">
        <w:tc>
          <w:tcPr>
            <w:tcW w:w="1701" w:type="dxa"/>
            <w:tcBorders>
              <w:top w:val="nil"/>
              <w:left w:val="nil"/>
              <w:bottom w:val="nil"/>
              <w:right w:val="nil"/>
            </w:tcBorders>
            <w:vAlign w:val="bottom"/>
          </w:tcPr>
          <w:p w14:paraId="3DD503D0"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Spain</w:t>
            </w:r>
          </w:p>
        </w:tc>
        <w:tc>
          <w:tcPr>
            <w:tcW w:w="959" w:type="dxa"/>
            <w:tcBorders>
              <w:top w:val="nil"/>
              <w:left w:val="nil"/>
              <w:bottom w:val="nil"/>
              <w:right w:val="nil"/>
            </w:tcBorders>
          </w:tcPr>
          <w:p w14:paraId="300026F8" w14:textId="77777777" w:rsidR="00B86097" w:rsidRPr="00BD6DBC" w:rsidRDefault="00B86097" w:rsidP="009B6E5B">
            <w:pPr>
              <w:spacing w:before="0" w:line="240" w:lineRule="auto"/>
              <w:rPr>
                <w:rFonts w:cs="Segoe UI"/>
                <w:sz w:val="16"/>
                <w:szCs w:val="16"/>
              </w:rPr>
            </w:pPr>
            <w:r w:rsidRPr="00BD6DBC">
              <w:rPr>
                <w:rFonts w:cs="Segoe UI"/>
                <w:sz w:val="16"/>
                <w:szCs w:val="16"/>
              </w:rPr>
              <w:t>ESP</w:t>
            </w:r>
          </w:p>
        </w:tc>
        <w:tc>
          <w:tcPr>
            <w:tcW w:w="709" w:type="dxa"/>
            <w:tcBorders>
              <w:top w:val="nil"/>
              <w:left w:val="nil"/>
              <w:bottom w:val="nil"/>
              <w:right w:val="nil"/>
            </w:tcBorders>
          </w:tcPr>
          <w:p w14:paraId="10E3BADC"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0B843755" w14:textId="77777777" w:rsidR="00B86097" w:rsidRPr="00BD6DBC" w:rsidRDefault="00B86097" w:rsidP="009B6E5B">
            <w:pPr>
              <w:spacing w:before="0" w:line="240" w:lineRule="auto"/>
              <w:rPr>
                <w:rFonts w:cs="Segoe UI"/>
                <w:sz w:val="16"/>
                <w:szCs w:val="16"/>
              </w:rPr>
            </w:pPr>
            <w:r w:rsidRPr="00BD6DBC">
              <w:rPr>
                <w:rFonts w:cs="Segoe UI"/>
                <w:sz w:val="16"/>
                <w:szCs w:val="16"/>
              </w:rPr>
              <w:t>1200</w:t>
            </w:r>
          </w:p>
        </w:tc>
        <w:tc>
          <w:tcPr>
            <w:tcW w:w="2127" w:type="dxa"/>
            <w:tcBorders>
              <w:top w:val="nil"/>
              <w:left w:val="nil"/>
              <w:bottom w:val="nil"/>
              <w:right w:val="nil"/>
            </w:tcBorders>
            <w:vAlign w:val="bottom"/>
          </w:tcPr>
          <w:p w14:paraId="6A4B6E33" w14:textId="77777777" w:rsidR="00B86097" w:rsidRPr="00BD6DBC" w:rsidRDefault="00B86097" w:rsidP="009B6E5B">
            <w:pPr>
              <w:spacing w:before="0" w:line="240" w:lineRule="auto"/>
              <w:rPr>
                <w:rFonts w:cs="Segoe UI"/>
                <w:sz w:val="16"/>
                <w:szCs w:val="16"/>
              </w:rPr>
            </w:pPr>
            <w:r w:rsidRPr="00BD6DBC">
              <w:rPr>
                <w:rFonts w:cs="Segoe UI"/>
                <w:sz w:val="16"/>
                <w:szCs w:val="16"/>
              </w:rPr>
              <w:t>32129.6</w:t>
            </w:r>
          </w:p>
        </w:tc>
        <w:tc>
          <w:tcPr>
            <w:tcW w:w="1984" w:type="dxa"/>
            <w:tcBorders>
              <w:top w:val="nil"/>
              <w:left w:val="nil"/>
              <w:bottom w:val="nil"/>
              <w:right w:val="nil"/>
            </w:tcBorders>
          </w:tcPr>
          <w:p w14:paraId="6ACF8ED0"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37A6BE2B" w14:textId="77777777" w:rsidR="00B86097" w:rsidRPr="00BD6DBC" w:rsidRDefault="00B86097" w:rsidP="009B6E5B">
            <w:pPr>
              <w:spacing w:before="0" w:line="240" w:lineRule="auto"/>
              <w:rPr>
                <w:rFonts w:cs="Segoe UI"/>
                <w:sz w:val="16"/>
                <w:szCs w:val="16"/>
              </w:rPr>
            </w:pPr>
            <w:r w:rsidRPr="00BD6DBC">
              <w:rPr>
                <w:rFonts w:cs="Segoe UI"/>
                <w:sz w:val="16"/>
                <w:szCs w:val="16"/>
              </w:rPr>
              <w:t>0.857</w:t>
            </w:r>
          </w:p>
        </w:tc>
      </w:tr>
      <w:tr w:rsidR="00B86097" w:rsidRPr="00BD6DBC" w14:paraId="0ECD1A54" w14:textId="77777777" w:rsidTr="003A5664">
        <w:tc>
          <w:tcPr>
            <w:tcW w:w="1701" w:type="dxa"/>
            <w:tcBorders>
              <w:top w:val="nil"/>
              <w:left w:val="nil"/>
              <w:bottom w:val="nil"/>
              <w:right w:val="nil"/>
            </w:tcBorders>
            <w:vAlign w:val="bottom"/>
          </w:tcPr>
          <w:p w14:paraId="68538496"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Sweden</w:t>
            </w:r>
          </w:p>
        </w:tc>
        <w:tc>
          <w:tcPr>
            <w:tcW w:w="959" w:type="dxa"/>
            <w:tcBorders>
              <w:top w:val="nil"/>
              <w:left w:val="nil"/>
              <w:bottom w:val="nil"/>
              <w:right w:val="nil"/>
            </w:tcBorders>
          </w:tcPr>
          <w:p w14:paraId="67124A34" w14:textId="77777777" w:rsidR="00B86097" w:rsidRPr="00BD6DBC" w:rsidRDefault="00B86097" w:rsidP="009B6E5B">
            <w:pPr>
              <w:spacing w:before="0" w:line="240" w:lineRule="auto"/>
              <w:rPr>
                <w:rFonts w:cs="Segoe UI"/>
                <w:sz w:val="16"/>
                <w:szCs w:val="16"/>
              </w:rPr>
            </w:pPr>
            <w:r w:rsidRPr="00BD6DBC">
              <w:rPr>
                <w:rFonts w:cs="Segoe UI"/>
                <w:sz w:val="16"/>
                <w:szCs w:val="16"/>
              </w:rPr>
              <w:t>SWE</w:t>
            </w:r>
          </w:p>
        </w:tc>
        <w:tc>
          <w:tcPr>
            <w:tcW w:w="709" w:type="dxa"/>
            <w:tcBorders>
              <w:top w:val="nil"/>
              <w:left w:val="nil"/>
              <w:bottom w:val="nil"/>
              <w:right w:val="nil"/>
            </w:tcBorders>
          </w:tcPr>
          <w:p w14:paraId="43B59351"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27E16FE1" w14:textId="77777777" w:rsidR="00B86097" w:rsidRPr="00BD6DBC" w:rsidRDefault="00B86097" w:rsidP="009B6E5B">
            <w:pPr>
              <w:spacing w:before="0" w:line="240" w:lineRule="auto"/>
              <w:rPr>
                <w:rFonts w:cs="Segoe UI"/>
                <w:sz w:val="16"/>
                <w:szCs w:val="16"/>
              </w:rPr>
            </w:pPr>
            <w:r w:rsidRPr="00BD6DBC">
              <w:rPr>
                <w:rFonts w:cs="Segoe UI"/>
                <w:sz w:val="16"/>
                <w:szCs w:val="16"/>
              </w:rPr>
              <w:t>1003</w:t>
            </w:r>
          </w:p>
        </w:tc>
        <w:tc>
          <w:tcPr>
            <w:tcW w:w="2127" w:type="dxa"/>
            <w:tcBorders>
              <w:top w:val="nil"/>
              <w:left w:val="nil"/>
              <w:bottom w:val="nil"/>
              <w:right w:val="nil"/>
            </w:tcBorders>
            <w:vAlign w:val="bottom"/>
          </w:tcPr>
          <w:p w14:paraId="0E8DE255" w14:textId="77777777" w:rsidR="00B86097" w:rsidRPr="00BD6DBC" w:rsidRDefault="00B86097" w:rsidP="009B6E5B">
            <w:pPr>
              <w:spacing w:before="0" w:line="240" w:lineRule="auto"/>
              <w:rPr>
                <w:rFonts w:cs="Segoe UI"/>
                <w:sz w:val="16"/>
                <w:szCs w:val="16"/>
              </w:rPr>
            </w:pPr>
            <w:r w:rsidRPr="00BD6DBC">
              <w:rPr>
                <w:rFonts w:cs="Segoe UI"/>
                <w:sz w:val="16"/>
                <w:szCs w:val="16"/>
              </w:rPr>
              <w:t>43948.6</w:t>
            </w:r>
          </w:p>
        </w:tc>
        <w:tc>
          <w:tcPr>
            <w:tcW w:w="1984" w:type="dxa"/>
            <w:tcBorders>
              <w:top w:val="nil"/>
              <w:left w:val="nil"/>
              <w:bottom w:val="nil"/>
              <w:right w:val="nil"/>
            </w:tcBorders>
          </w:tcPr>
          <w:p w14:paraId="74309750"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0729E05C" w14:textId="77777777" w:rsidR="00B86097" w:rsidRPr="00BD6DBC" w:rsidRDefault="00B86097" w:rsidP="009B6E5B">
            <w:pPr>
              <w:spacing w:before="0" w:line="240" w:lineRule="auto"/>
              <w:rPr>
                <w:rFonts w:cs="Segoe UI"/>
                <w:sz w:val="16"/>
                <w:szCs w:val="16"/>
              </w:rPr>
            </w:pPr>
            <w:r w:rsidRPr="00BD6DBC">
              <w:rPr>
                <w:rFonts w:cs="Segoe UI"/>
                <w:sz w:val="16"/>
                <w:szCs w:val="16"/>
              </w:rPr>
              <w:t>0.885</w:t>
            </w:r>
          </w:p>
        </w:tc>
      </w:tr>
      <w:tr w:rsidR="00B86097" w:rsidRPr="00BD6DBC" w14:paraId="52048873" w14:textId="77777777" w:rsidTr="003A5664">
        <w:tc>
          <w:tcPr>
            <w:tcW w:w="1701" w:type="dxa"/>
            <w:tcBorders>
              <w:top w:val="nil"/>
              <w:left w:val="nil"/>
              <w:bottom w:val="nil"/>
              <w:right w:val="nil"/>
            </w:tcBorders>
            <w:vAlign w:val="bottom"/>
          </w:tcPr>
          <w:p w14:paraId="6D77D4B7"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Switzerland</w:t>
            </w:r>
          </w:p>
        </w:tc>
        <w:tc>
          <w:tcPr>
            <w:tcW w:w="959" w:type="dxa"/>
            <w:tcBorders>
              <w:top w:val="nil"/>
              <w:left w:val="nil"/>
              <w:bottom w:val="nil"/>
              <w:right w:val="nil"/>
            </w:tcBorders>
          </w:tcPr>
          <w:p w14:paraId="29286645" w14:textId="77777777" w:rsidR="00B86097" w:rsidRPr="00BD6DBC" w:rsidRDefault="00B86097" w:rsidP="009B6E5B">
            <w:pPr>
              <w:spacing w:before="0" w:line="240" w:lineRule="auto"/>
              <w:rPr>
                <w:rFonts w:cs="Segoe UI"/>
                <w:sz w:val="16"/>
                <w:szCs w:val="16"/>
              </w:rPr>
            </w:pPr>
            <w:r w:rsidRPr="00BD6DBC">
              <w:rPr>
                <w:rFonts w:cs="Segoe UI"/>
                <w:sz w:val="16"/>
                <w:szCs w:val="16"/>
              </w:rPr>
              <w:t>CHE</w:t>
            </w:r>
          </w:p>
        </w:tc>
        <w:tc>
          <w:tcPr>
            <w:tcW w:w="709" w:type="dxa"/>
            <w:tcBorders>
              <w:top w:val="nil"/>
              <w:left w:val="nil"/>
              <w:bottom w:val="nil"/>
              <w:right w:val="nil"/>
            </w:tcBorders>
          </w:tcPr>
          <w:p w14:paraId="0DE82D3A"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1F1BBA7A" w14:textId="77777777" w:rsidR="00B86097" w:rsidRPr="00BD6DBC" w:rsidRDefault="00B86097" w:rsidP="009B6E5B">
            <w:pPr>
              <w:spacing w:before="0" w:line="240" w:lineRule="auto"/>
              <w:rPr>
                <w:rFonts w:cs="Segoe UI"/>
                <w:sz w:val="16"/>
                <w:szCs w:val="16"/>
              </w:rPr>
            </w:pPr>
            <w:r w:rsidRPr="00BD6DBC">
              <w:rPr>
                <w:rFonts w:cs="Segoe UI"/>
                <w:sz w:val="16"/>
                <w:szCs w:val="16"/>
              </w:rPr>
              <w:t>1241</w:t>
            </w:r>
          </w:p>
        </w:tc>
        <w:tc>
          <w:tcPr>
            <w:tcW w:w="2127" w:type="dxa"/>
            <w:tcBorders>
              <w:top w:val="nil"/>
              <w:left w:val="nil"/>
              <w:bottom w:val="nil"/>
              <w:right w:val="nil"/>
            </w:tcBorders>
            <w:vAlign w:val="bottom"/>
          </w:tcPr>
          <w:p w14:paraId="05CD9AD6" w14:textId="77777777" w:rsidR="00B86097" w:rsidRPr="00BD6DBC" w:rsidRDefault="00B86097" w:rsidP="009B6E5B">
            <w:pPr>
              <w:spacing w:before="0" w:line="240" w:lineRule="auto"/>
              <w:rPr>
                <w:rFonts w:cs="Segoe UI"/>
                <w:sz w:val="16"/>
                <w:szCs w:val="16"/>
              </w:rPr>
            </w:pPr>
            <w:r w:rsidRPr="00BD6DBC">
              <w:rPr>
                <w:rFonts w:cs="Segoe UI"/>
                <w:sz w:val="16"/>
                <w:szCs w:val="16"/>
              </w:rPr>
              <w:t>57490.4</w:t>
            </w:r>
          </w:p>
        </w:tc>
        <w:tc>
          <w:tcPr>
            <w:tcW w:w="1984" w:type="dxa"/>
            <w:tcBorders>
              <w:top w:val="nil"/>
              <w:left w:val="nil"/>
              <w:bottom w:val="nil"/>
              <w:right w:val="nil"/>
            </w:tcBorders>
          </w:tcPr>
          <w:p w14:paraId="3BB9C647"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60F87705" w14:textId="77777777" w:rsidR="00B86097" w:rsidRPr="00BD6DBC" w:rsidRDefault="00B86097" w:rsidP="009B6E5B">
            <w:pPr>
              <w:spacing w:before="0" w:line="240" w:lineRule="auto"/>
              <w:rPr>
                <w:rFonts w:cs="Segoe UI"/>
                <w:sz w:val="16"/>
                <w:szCs w:val="16"/>
              </w:rPr>
            </w:pPr>
            <w:r w:rsidRPr="00BD6DBC">
              <w:rPr>
                <w:rFonts w:cs="Segoe UI"/>
                <w:sz w:val="16"/>
                <w:szCs w:val="16"/>
              </w:rPr>
              <w:t>0.876</w:t>
            </w:r>
          </w:p>
        </w:tc>
      </w:tr>
      <w:tr w:rsidR="00B86097" w:rsidRPr="00BD6DBC" w14:paraId="079D96F2" w14:textId="77777777" w:rsidTr="003A5664">
        <w:tc>
          <w:tcPr>
            <w:tcW w:w="1701" w:type="dxa"/>
            <w:tcBorders>
              <w:top w:val="nil"/>
              <w:left w:val="nil"/>
              <w:bottom w:val="nil"/>
              <w:right w:val="nil"/>
            </w:tcBorders>
            <w:vAlign w:val="bottom"/>
          </w:tcPr>
          <w:p w14:paraId="52BBC309"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Thailand</w:t>
            </w:r>
          </w:p>
        </w:tc>
        <w:tc>
          <w:tcPr>
            <w:tcW w:w="959" w:type="dxa"/>
            <w:tcBorders>
              <w:top w:val="nil"/>
              <w:left w:val="nil"/>
              <w:bottom w:val="nil"/>
              <w:right w:val="nil"/>
            </w:tcBorders>
          </w:tcPr>
          <w:p w14:paraId="0836204B" w14:textId="77777777" w:rsidR="00B86097" w:rsidRPr="00BD6DBC" w:rsidRDefault="00B86097" w:rsidP="009B6E5B">
            <w:pPr>
              <w:spacing w:before="0" w:line="240" w:lineRule="auto"/>
              <w:rPr>
                <w:rFonts w:cs="Segoe UI"/>
                <w:sz w:val="16"/>
                <w:szCs w:val="16"/>
              </w:rPr>
            </w:pPr>
            <w:r w:rsidRPr="00BD6DBC">
              <w:rPr>
                <w:rFonts w:cs="Segoe UI"/>
                <w:sz w:val="16"/>
                <w:szCs w:val="16"/>
              </w:rPr>
              <w:t>THA</w:t>
            </w:r>
          </w:p>
        </w:tc>
        <w:tc>
          <w:tcPr>
            <w:tcW w:w="709" w:type="dxa"/>
            <w:tcBorders>
              <w:top w:val="nil"/>
              <w:left w:val="nil"/>
              <w:bottom w:val="nil"/>
              <w:right w:val="nil"/>
            </w:tcBorders>
          </w:tcPr>
          <w:p w14:paraId="1F817F91"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4607987F" w14:textId="77777777" w:rsidR="00B86097" w:rsidRPr="00BD6DBC" w:rsidRDefault="00B86097" w:rsidP="009B6E5B">
            <w:pPr>
              <w:spacing w:before="0" w:line="240" w:lineRule="auto"/>
              <w:rPr>
                <w:rFonts w:cs="Segoe UI"/>
                <w:sz w:val="16"/>
                <w:szCs w:val="16"/>
              </w:rPr>
            </w:pPr>
            <w:r w:rsidRPr="00BD6DBC">
              <w:rPr>
                <w:rFonts w:cs="Segoe UI"/>
                <w:sz w:val="16"/>
                <w:szCs w:val="16"/>
              </w:rPr>
              <w:t>1534</w:t>
            </w:r>
          </w:p>
        </w:tc>
        <w:tc>
          <w:tcPr>
            <w:tcW w:w="2127" w:type="dxa"/>
            <w:tcBorders>
              <w:top w:val="nil"/>
              <w:left w:val="nil"/>
              <w:bottom w:val="nil"/>
              <w:right w:val="nil"/>
            </w:tcBorders>
            <w:vAlign w:val="bottom"/>
          </w:tcPr>
          <w:p w14:paraId="2C720A2B" w14:textId="77777777" w:rsidR="00B86097" w:rsidRPr="00BD6DBC" w:rsidRDefault="00B86097" w:rsidP="009B6E5B">
            <w:pPr>
              <w:spacing w:before="0" w:line="240" w:lineRule="auto"/>
              <w:rPr>
                <w:rFonts w:cs="Segoe UI"/>
                <w:sz w:val="16"/>
                <w:szCs w:val="16"/>
              </w:rPr>
            </w:pPr>
            <w:r w:rsidRPr="00BD6DBC">
              <w:rPr>
                <w:rFonts w:cs="Segoe UI"/>
                <w:sz w:val="16"/>
                <w:szCs w:val="16"/>
              </w:rPr>
              <w:t>3642.9</w:t>
            </w:r>
          </w:p>
        </w:tc>
        <w:tc>
          <w:tcPr>
            <w:tcW w:w="1984" w:type="dxa"/>
            <w:tcBorders>
              <w:top w:val="nil"/>
              <w:left w:val="nil"/>
              <w:bottom w:val="nil"/>
              <w:right w:val="nil"/>
            </w:tcBorders>
          </w:tcPr>
          <w:p w14:paraId="2DFCD8C8"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58153D3B" w14:textId="77777777" w:rsidR="00B86097" w:rsidRPr="00BD6DBC" w:rsidRDefault="00B86097" w:rsidP="009B6E5B">
            <w:pPr>
              <w:spacing w:before="0" w:line="240" w:lineRule="auto"/>
              <w:rPr>
                <w:rFonts w:cs="Segoe UI"/>
                <w:sz w:val="16"/>
                <w:szCs w:val="16"/>
              </w:rPr>
            </w:pPr>
            <w:r w:rsidRPr="00BD6DBC">
              <w:rPr>
                <w:rFonts w:cs="Segoe UI"/>
                <w:sz w:val="16"/>
                <w:szCs w:val="16"/>
              </w:rPr>
              <w:t>0.642</w:t>
            </w:r>
          </w:p>
        </w:tc>
      </w:tr>
      <w:tr w:rsidR="00B86097" w:rsidRPr="00BD6DBC" w14:paraId="73F0DE74" w14:textId="77777777" w:rsidTr="003A5664">
        <w:tc>
          <w:tcPr>
            <w:tcW w:w="1701" w:type="dxa"/>
            <w:tcBorders>
              <w:top w:val="nil"/>
              <w:left w:val="nil"/>
              <w:bottom w:val="nil"/>
              <w:right w:val="nil"/>
            </w:tcBorders>
            <w:vAlign w:val="bottom"/>
          </w:tcPr>
          <w:p w14:paraId="43B47431"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Trinidad &amp; Tobago</w:t>
            </w:r>
          </w:p>
        </w:tc>
        <w:tc>
          <w:tcPr>
            <w:tcW w:w="959" w:type="dxa"/>
            <w:tcBorders>
              <w:top w:val="nil"/>
              <w:left w:val="nil"/>
              <w:bottom w:val="nil"/>
              <w:right w:val="nil"/>
            </w:tcBorders>
            <w:vAlign w:val="bottom"/>
          </w:tcPr>
          <w:p w14:paraId="7CDA5111" w14:textId="77777777" w:rsidR="00B86097" w:rsidRPr="00BD6DBC" w:rsidRDefault="00B86097" w:rsidP="009B6E5B">
            <w:pPr>
              <w:spacing w:before="0" w:line="240" w:lineRule="auto"/>
              <w:rPr>
                <w:rFonts w:cs="Segoe UI"/>
                <w:sz w:val="16"/>
                <w:szCs w:val="16"/>
              </w:rPr>
            </w:pPr>
            <w:r w:rsidRPr="00BD6DBC">
              <w:rPr>
                <w:rFonts w:cs="Segoe UI"/>
                <w:sz w:val="16"/>
                <w:szCs w:val="16"/>
              </w:rPr>
              <w:t>TTO</w:t>
            </w:r>
          </w:p>
        </w:tc>
        <w:tc>
          <w:tcPr>
            <w:tcW w:w="709" w:type="dxa"/>
            <w:tcBorders>
              <w:top w:val="nil"/>
              <w:left w:val="nil"/>
              <w:bottom w:val="nil"/>
              <w:right w:val="nil"/>
            </w:tcBorders>
            <w:vAlign w:val="bottom"/>
          </w:tcPr>
          <w:p w14:paraId="5E64EE23"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vAlign w:val="bottom"/>
          </w:tcPr>
          <w:p w14:paraId="6110A362" w14:textId="77777777" w:rsidR="00B86097" w:rsidRPr="00BD6DBC" w:rsidRDefault="00B86097" w:rsidP="009B6E5B">
            <w:pPr>
              <w:spacing w:before="0" w:line="240" w:lineRule="auto"/>
              <w:rPr>
                <w:rFonts w:cs="Segoe UI"/>
                <w:sz w:val="16"/>
                <w:szCs w:val="16"/>
              </w:rPr>
            </w:pPr>
            <w:r w:rsidRPr="00BD6DBC">
              <w:rPr>
                <w:rFonts w:cs="Segoe UI"/>
                <w:sz w:val="16"/>
                <w:szCs w:val="16"/>
              </w:rPr>
              <w:t>1002</w:t>
            </w:r>
          </w:p>
        </w:tc>
        <w:tc>
          <w:tcPr>
            <w:tcW w:w="2127" w:type="dxa"/>
            <w:tcBorders>
              <w:top w:val="nil"/>
              <w:left w:val="nil"/>
              <w:bottom w:val="nil"/>
              <w:right w:val="nil"/>
            </w:tcBorders>
            <w:vAlign w:val="bottom"/>
          </w:tcPr>
          <w:p w14:paraId="5658CB4E" w14:textId="77777777" w:rsidR="00B86097" w:rsidRPr="00BD6DBC" w:rsidRDefault="00B86097" w:rsidP="009B6E5B">
            <w:pPr>
              <w:spacing w:before="0" w:line="240" w:lineRule="auto"/>
              <w:rPr>
                <w:rFonts w:cs="Segoe UI"/>
                <w:sz w:val="16"/>
                <w:szCs w:val="16"/>
              </w:rPr>
            </w:pPr>
            <w:r w:rsidRPr="00BD6DBC">
              <w:rPr>
                <w:rFonts w:cs="Segoe UI"/>
                <w:sz w:val="16"/>
                <w:szCs w:val="16"/>
              </w:rPr>
              <w:t>13912.4</w:t>
            </w:r>
          </w:p>
        </w:tc>
        <w:tc>
          <w:tcPr>
            <w:tcW w:w="1984" w:type="dxa"/>
            <w:tcBorders>
              <w:top w:val="nil"/>
              <w:left w:val="nil"/>
              <w:bottom w:val="nil"/>
              <w:right w:val="nil"/>
            </w:tcBorders>
            <w:vAlign w:val="bottom"/>
          </w:tcPr>
          <w:p w14:paraId="277C4DF9"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vAlign w:val="bottom"/>
          </w:tcPr>
          <w:p w14:paraId="66C80CBE" w14:textId="77777777" w:rsidR="00B86097" w:rsidRPr="00BD6DBC" w:rsidRDefault="00B86097" w:rsidP="009B6E5B">
            <w:pPr>
              <w:spacing w:before="0" w:line="240" w:lineRule="auto"/>
              <w:rPr>
                <w:rFonts w:cs="Segoe UI"/>
                <w:sz w:val="16"/>
                <w:szCs w:val="16"/>
              </w:rPr>
            </w:pPr>
            <w:r w:rsidRPr="00BD6DBC">
              <w:rPr>
                <w:rFonts w:cs="Segoe UI"/>
                <w:sz w:val="16"/>
                <w:szCs w:val="16"/>
              </w:rPr>
              <w:t>0.721</w:t>
            </w:r>
          </w:p>
        </w:tc>
      </w:tr>
      <w:tr w:rsidR="00B86097" w:rsidRPr="00BD6DBC" w14:paraId="63B0A4D2" w14:textId="77777777" w:rsidTr="003A5664">
        <w:tc>
          <w:tcPr>
            <w:tcW w:w="1701" w:type="dxa"/>
            <w:tcBorders>
              <w:top w:val="nil"/>
              <w:left w:val="nil"/>
              <w:bottom w:val="nil"/>
              <w:right w:val="nil"/>
            </w:tcBorders>
            <w:vAlign w:val="bottom"/>
          </w:tcPr>
          <w:p w14:paraId="7A92FF0C"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Turkey</w:t>
            </w:r>
          </w:p>
        </w:tc>
        <w:tc>
          <w:tcPr>
            <w:tcW w:w="959" w:type="dxa"/>
            <w:tcBorders>
              <w:top w:val="nil"/>
              <w:left w:val="nil"/>
              <w:bottom w:val="nil"/>
              <w:right w:val="nil"/>
            </w:tcBorders>
          </w:tcPr>
          <w:p w14:paraId="744F79C0" w14:textId="77777777" w:rsidR="00B86097" w:rsidRPr="00BD6DBC" w:rsidRDefault="00B86097" w:rsidP="009B6E5B">
            <w:pPr>
              <w:spacing w:before="0" w:line="240" w:lineRule="auto"/>
              <w:rPr>
                <w:rFonts w:cs="Segoe UI"/>
                <w:sz w:val="16"/>
                <w:szCs w:val="16"/>
              </w:rPr>
            </w:pPr>
            <w:r w:rsidRPr="00BD6DBC">
              <w:rPr>
                <w:rFonts w:cs="Segoe UI"/>
                <w:sz w:val="16"/>
                <w:szCs w:val="16"/>
              </w:rPr>
              <w:t>TUR</w:t>
            </w:r>
          </w:p>
        </w:tc>
        <w:tc>
          <w:tcPr>
            <w:tcW w:w="709" w:type="dxa"/>
            <w:tcBorders>
              <w:top w:val="nil"/>
              <w:left w:val="nil"/>
              <w:bottom w:val="nil"/>
              <w:right w:val="nil"/>
            </w:tcBorders>
          </w:tcPr>
          <w:p w14:paraId="27FEA779"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nil"/>
              <w:right w:val="nil"/>
            </w:tcBorders>
          </w:tcPr>
          <w:p w14:paraId="6F6B9602" w14:textId="77777777" w:rsidR="00B86097" w:rsidRPr="00BD6DBC" w:rsidRDefault="00B86097" w:rsidP="009B6E5B">
            <w:pPr>
              <w:spacing w:before="0" w:line="240" w:lineRule="auto"/>
              <w:rPr>
                <w:rFonts w:cs="Segoe UI"/>
                <w:sz w:val="16"/>
                <w:szCs w:val="16"/>
              </w:rPr>
            </w:pPr>
            <w:r w:rsidRPr="00BD6DBC">
              <w:rPr>
                <w:rFonts w:cs="Segoe UI"/>
                <w:sz w:val="16"/>
                <w:szCs w:val="16"/>
              </w:rPr>
              <w:t>1346</w:t>
            </w:r>
          </w:p>
        </w:tc>
        <w:tc>
          <w:tcPr>
            <w:tcW w:w="2127" w:type="dxa"/>
            <w:tcBorders>
              <w:top w:val="nil"/>
              <w:left w:val="nil"/>
              <w:bottom w:val="nil"/>
              <w:right w:val="nil"/>
            </w:tcBorders>
            <w:vAlign w:val="bottom"/>
          </w:tcPr>
          <w:p w14:paraId="0D66CEC1" w14:textId="77777777" w:rsidR="00B86097" w:rsidRPr="00BD6DBC" w:rsidRDefault="00B86097" w:rsidP="009B6E5B">
            <w:pPr>
              <w:spacing w:before="0" w:line="240" w:lineRule="auto"/>
              <w:rPr>
                <w:rFonts w:cs="Segoe UI"/>
                <w:sz w:val="16"/>
                <w:szCs w:val="16"/>
              </w:rPr>
            </w:pPr>
            <w:r w:rsidRPr="00BD6DBC">
              <w:rPr>
                <w:rFonts w:cs="Segoe UI"/>
                <w:sz w:val="16"/>
                <w:szCs w:val="16"/>
              </w:rPr>
              <w:t>9246</w:t>
            </w:r>
          </w:p>
        </w:tc>
        <w:tc>
          <w:tcPr>
            <w:tcW w:w="1984" w:type="dxa"/>
            <w:tcBorders>
              <w:top w:val="nil"/>
              <w:left w:val="nil"/>
              <w:bottom w:val="nil"/>
              <w:right w:val="nil"/>
            </w:tcBorders>
          </w:tcPr>
          <w:p w14:paraId="3C16778A"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44F4B02A" w14:textId="77777777" w:rsidR="00B86097" w:rsidRPr="00BD6DBC" w:rsidRDefault="00B86097" w:rsidP="009B6E5B">
            <w:pPr>
              <w:spacing w:before="0" w:line="240" w:lineRule="auto"/>
              <w:rPr>
                <w:rFonts w:cs="Segoe UI"/>
                <w:sz w:val="16"/>
                <w:szCs w:val="16"/>
              </w:rPr>
            </w:pPr>
            <w:r w:rsidRPr="00BD6DBC">
              <w:rPr>
                <w:rFonts w:cs="Segoe UI"/>
                <w:sz w:val="16"/>
                <w:szCs w:val="16"/>
              </w:rPr>
              <w:t>0.672</w:t>
            </w:r>
          </w:p>
        </w:tc>
      </w:tr>
      <w:tr w:rsidR="00B86097" w:rsidRPr="00BD6DBC" w14:paraId="0F0871B5" w14:textId="77777777" w:rsidTr="003A5664">
        <w:tc>
          <w:tcPr>
            <w:tcW w:w="1701" w:type="dxa"/>
            <w:tcBorders>
              <w:top w:val="nil"/>
              <w:left w:val="nil"/>
              <w:bottom w:val="nil"/>
              <w:right w:val="nil"/>
            </w:tcBorders>
            <w:vAlign w:val="bottom"/>
          </w:tcPr>
          <w:p w14:paraId="0AAFEF93"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Ukraine</w:t>
            </w:r>
          </w:p>
        </w:tc>
        <w:tc>
          <w:tcPr>
            <w:tcW w:w="959" w:type="dxa"/>
            <w:tcBorders>
              <w:top w:val="nil"/>
              <w:left w:val="nil"/>
              <w:bottom w:val="nil"/>
              <w:right w:val="nil"/>
            </w:tcBorders>
          </w:tcPr>
          <w:p w14:paraId="1A86815E" w14:textId="77777777" w:rsidR="00B86097" w:rsidRPr="00BD6DBC" w:rsidRDefault="00B86097" w:rsidP="009B6E5B">
            <w:pPr>
              <w:spacing w:before="0" w:line="240" w:lineRule="auto"/>
              <w:rPr>
                <w:rFonts w:cs="Segoe UI"/>
                <w:sz w:val="16"/>
                <w:szCs w:val="16"/>
              </w:rPr>
            </w:pPr>
            <w:r w:rsidRPr="00BD6DBC">
              <w:rPr>
                <w:rFonts w:cs="Segoe UI"/>
                <w:sz w:val="16"/>
                <w:szCs w:val="16"/>
              </w:rPr>
              <w:t>UKR</w:t>
            </w:r>
          </w:p>
        </w:tc>
        <w:tc>
          <w:tcPr>
            <w:tcW w:w="709" w:type="dxa"/>
            <w:tcBorders>
              <w:top w:val="nil"/>
              <w:left w:val="nil"/>
              <w:bottom w:val="nil"/>
              <w:right w:val="nil"/>
            </w:tcBorders>
          </w:tcPr>
          <w:p w14:paraId="351DB802"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5028FBCB" w14:textId="77777777" w:rsidR="00B86097" w:rsidRPr="00BD6DBC" w:rsidRDefault="00B86097" w:rsidP="009B6E5B">
            <w:pPr>
              <w:spacing w:before="0" w:line="240" w:lineRule="auto"/>
              <w:rPr>
                <w:rFonts w:cs="Segoe UI"/>
                <w:sz w:val="16"/>
                <w:szCs w:val="16"/>
              </w:rPr>
            </w:pPr>
            <w:r w:rsidRPr="00BD6DBC">
              <w:rPr>
                <w:rFonts w:cs="Segoe UI"/>
                <w:sz w:val="16"/>
                <w:szCs w:val="16"/>
              </w:rPr>
              <w:t>1000</w:t>
            </w:r>
          </w:p>
        </w:tc>
        <w:tc>
          <w:tcPr>
            <w:tcW w:w="2127" w:type="dxa"/>
            <w:tcBorders>
              <w:top w:val="nil"/>
              <w:left w:val="nil"/>
              <w:bottom w:val="nil"/>
              <w:right w:val="nil"/>
            </w:tcBorders>
            <w:vAlign w:val="bottom"/>
          </w:tcPr>
          <w:p w14:paraId="4F507722" w14:textId="77777777" w:rsidR="00B86097" w:rsidRPr="00BD6DBC" w:rsidRDefault="00B86097" w:rsidP="009B6E5B">
            <w:pPr>
              <w:spacing w:before="0" w:line="240" w:lineRule="auto"/>
              <w:rPr>
                <w:rFonts w:cs="Segoe UI"/>
                <w:sz w:val="16"/>
                <w:szCs w:val="16"/>
              </w:rPr>
            </w:pPr>
            <w:r w:rsidRPr="00BD6DBC">
              <w:rPr>
                <w:rFonts w:cs="Segoe UI"/>
                <w:sz w:val="16"/>
                <w:szCs w:val="16"/>
              </w:rPr>
              <w:t>2303</w:t>
            </w:r>
          </w:p>
        </w:tc>
        <w:tc>
          <w:tcPr>
            <w:tcW w:w="1984" w:type="dxa"/>
            <w:tcBorders>
              <w:top w:val="nil"/>
              <w:left w:val="nil"/>
              <w:bottom w:val="nil"/>
              <w:right w:val="nil"/>
            </w:tcBorders>
          </w:tcPr>
          <w:p w14:paraId="5CF72BC4"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nil"/>
              <w:right w:val="nil"/>
            </w:tcBorders>
          </w:tcPr>
          <w:p w14:paraId="1156E4EF" w14:textId="77777777" w:rsidR="00B86097" w:rsidRPr="00BD6DBC" w:rsidRDefault="00B86097" w:rsidP="009B6E5B">
            <w:pPr>
              <w:spacing w:before="0" w:line="240" w:lineRule="auto"/>
              <w:rPr>
                <w:rFonts w:cs="Segoe UI"/>
                <w:sz w:val="16"/>
                <w:szCs w:val="16"/>
              </w:rPr>
            </w:pPr>
            <w:r w:rsidRPr="00BD6DBC">
              <w:rPr>
                <w:rFonts w:cs="Segoe UI"/>
                <w:sz w:val="16"/>
                <w:szCs w:val="16"/>
              </w:rPr>
              <w:t>0.703</w:t>
            </w:r>
          </w:p>
        </w:tc>
      </w:tr>
      <w:tr w:rsidR="00B86097" w:rsidRPr="00BD6DBC" w14:paraId="0AB787D4" w14:textId="77777777" w:rsidTr="003A5664">
        <w:tc>
          <w:tcPr>
            <w:tcW w:w="1701" w:type="dxa"/>
            <w:tcBorders>
              <w:top w:val="nil"/>
              <w:left w:val="nil"/>
              <w:bottom w:val="nil"/>
              <w:right w:val="nil"/>
            </w:tcBorders>
            <w:vAlign w:val="bottom"/>
          </w:tcPr>
          <w:p w14:paraId="51FEEEB1"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Uruguay</w:t>
            </w:r>
          </w:p>
        </w:tc>
        <w:tc>
          <w:tcPr>
            <w:tcW w:w="959" w:type="dxa"/>
            <w:tcBorders>
              <w:top w:val="nil"/>
              <w:left w:val="nil"/>
              <w:bottom w:val="nil"/>
              <w:right w:val="nil"/>
            </w:tcBorders>
          </w:tcPr>
          <w:p w14:paraId="3C17D025" w14:textId="77777777" w:rsidR="00B86097" w:rsidRPr="00BD6DBC" w:rsidRDefault="00B86097" w:rsidP="009B6E5B">
            <w:pPr>
              <w:spacing w:before="0" w:line="240" w:lineRule="auto"/>
              <w:rPr>
                <w:rFonts w:cs="Segoe UI"/>
                <w:sz w:val="16"/>
                <w:szCs w:val="16"/>
              </w:rPr>
            </w:pPr>
            <w:r w:rsidRPr="00BD6DBC">
              <w:rPr>
                <w:rFonts w:cs="Segoe UI"/>
                <w:sz w:val="16"/>
                <w:szCs w:val="16"/>
              </w:rPr>
              <w:t>URY</w:t>
            </w:r>
          </w:p>
        </w:tc>
        <w:tc>
          <w:tcPr>
            <w:tcW w:w="709" w:type="dxa"/>
            <w:tcBorders>
              <w:top w:val="nil"/>
              <w:left w:val="nil"/>
              <w:bottom w:val="nil"/>
              <w:right w:val="nil"/>
            </w:tcBorders>
          </w:tcPr>
          <w:p w14:paraId="7898FF18"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207F2BE3" w14:textId="77777777" w:rsidR="00B86097" w:rsidRPr="00BD6DBC" w:rsidRDefault="00B86097" w:rsidP="009B6E5B">
            <w:pPr>
              <w:spacing w:before="0" w:line="240" w:lineRule="auto"/>
              <w:rPr>
                <w:rFonts w:cs="Segoe UI"/>
                <w:sz w:val="16"/>
                <w:szCs w:val="16"/>
              </w:rPr>
            </w:pPr>
            <w:r w:rsidRPr="00BD6DBC">
              <w:rPr>
                <w:rFonts w:cs="Segoe UI"/>
                <w:sz w:val="16"/>
                <w:szCs w:val="16"/>
              </w:rPr>
              <w:t>1000</w:t>
            </w:r>
          </w:p>
        </w:tc>
        <w:tc>
          <w:tcPr>
            <w:tcW w:w="2127" w:type="dxa"/>
            <w:tcBorders>
              <w:top w:val="nil"/>
              <w:left w:val="nil"/>
              <w:bottom w:val="nil"/>
              <w:right w:val="nil"/>
            </w:tcBorders>
            <w:vAlign w:val="bottom"/>
          </w:tcPr>
          <w:p w14:paraId="49C37A28" w14:textId="77777777" w:rsidR="00B86097" w:rsidRPr="00BD6DBC" w:rsidRDefault="00B86097" w:rsidP="009B6E5B">
            <w:pPr>
              <w:spacing w:before="0" w:line="240" w:lineRule="auto"/>
              <w:rPr>
                <w:rFonts w:cs="Segoe UI"/>
                <w:sz w:val="16"/>
                <w:szCs w:val="16"/>
              </w:rPr>
            </w:pPr>
            <w:r w:rsidRPr="00BD6DBC">
              <w:rPr>
                <w:rFonts w:cs="Segoe UI"/>
                <w:sz w:val="16"/>
                <w:szCs w:val="16"/>
              </w:rPr>
              <w:t>5974.5</w:t>
            </w:r>
          </w:p>
        </w:tc>
        <w:tc>
          <w:tcPr>
            <w:tcW w:w="1984" w:type="dxa"/>
            <w:tcBorders>
              <w:top w:val="nil"/>
              <w:left w:val="nil"/>
              <w:bottom w:val="nil"/>
              <w:right w:val="nil"/>
            </w:tcBorders>
          </w:tcPr>
          <w:p w14:paraId="6B323070"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7F7925B4" w14:textId="77777777" w:rsidR="00B86097" w:rsidRPr="00BD6DBC" w:rsidRDefault="00B86097" w:rsidP="009B6E5B">
            <w:pPr>
              <w:spacing w:before="0" w:line="240" w:lineRule="auto"/>
              <w:rPr>
                <w:rFonts w:cs="Segoe UI"/>
                <w:sz w:val="16"/>
                <w:szCs w:val="16"/>
              </w:rPr>
            </w:pPr>
            <w:r w:rsidRPr="00BD6DBC">
              <w:rPr>
                <w:rFonts w:cs="Segoe UI"/>
                <w:sz w:val="16"/>
                <w:szCs w:val="16"/>
              </w:rPr>
              <w:t>0.74</w:t>
            </w:r>
          </w:p>
        </w:tc>
      </w:tr>
      <w:tr w:rsidR="00B86097" w:rsidRPr="00BD6DBC" w14:paraId="2BB08C91" w14:textId="77777777" w:rsidTr="003A5664">
        <w:tc>
          <w:tcPr>
            <w:tcW w:w="1701" w:type="dxa"/>
            <w:tcBorders>
              <w:top w:val="nil"/>
              <w:left w:val="nil"/>
              <w:bottom w:val="nil"/>
              <w:right w:val="nil"/>
            </w:tcBorders>
            <w:vAlign w:val="bottom"/>
          </w:tcPr>
          <w:p w14:paraId="3DE28DE8"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USA</w:t>
            </w:r>
          </w:p>
        </w:tc>
        <w:tc>
          <w:tcPr>
            <w:tcW w:w="959" w:type="dxa"/>
            <w:tcBorders>
              <w:top w:val="nil"/>
              <w:left w:val="nil"/>
              <w:bottom w:val="nil"/>
              <w:right w:val="nil"/>
            </w:tcBorders>
          </w:tcPr>
          <w:p w14:paraId="376AD878" w14:textId="77777777" w:rsidR="00B86097" w:rsidRPr="00BD6DBC" w:rsidRDefault="00B86097" w:rsidP="009B6E5B">
            <w:pPr>
              <w:spacing w:before="0" w:line="240" w:lineRule="auto"/>
              <w:rPr>
                <w:rFonts w:cs="Segoe UI"/>
                <w:sz w:val="16"/>
                <w:szCs w:val="16"/>
              </w:rPr>
            </w:pPr>
            <w:r w:rsidRPr="00BD6DBC">
              <w:rPr>
                <w:rFonts w:cs="Segoe UI"/>
                <w:sz w:val="16"/>
                <w:szCs w:val="16"/>
              </w:rPr>
              <w:t>USA</w:t>
            </w:r>
          </w:p>
        </w:tc>
        <w:tc>
          <w:tcPr>
            <w:tcW w:w="709" w:type="dxa"/>
            <w:tcBorders>
              <w:top w:val="nil"/>
              <w:left w:val="nil"/>
              <w:bottom w:val="nil"/>
              <w:right w:val="nil"/>
            </w:tcBorders>
          </w:tcPr>
          <w:p w14:paraId="18FF4F9C"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159DC940" w14:textId="77777777" w:rsidR="00B86097" w:rsidRPr="00BD6DBC" w:rsidRDefault="00B86097" w:rsidP="009B6E5B">
            <w:pPr>
              <w:spacing w:before="0" w:line="240" w:lineRule="auto"/>
              <w:rPr>
                <w:rFonts w:cs="Segoe UI"/>
                <w:sz w:val="16"/>
                <w:szCs w:val="16"/>
              </w:rPr>
            </w:pPr>
            <w:r w:rsidRPr="00BD6DBC">
              <w:rPr>
                <w:rFonts w:cs="Segoe UI"/>
                <w:sz w:val="16"/>
                <w:szCs w:val="16"/>
              </w:rPr>
              <w:t>1249</w:t>
            </w:r>
          </w:p>
        </w:tc>
        <w:tc>
          <w:tcPr>
            <w:tcW w:w="2127" w:type="dxa"/>
            <w:tcBorders>
              <w:top w:val="nil"/>
              <w:left w:val="nil"/>
              <w:bottom w:val="nil"/>
              <w:right w:val="nil"/>
            </w:tcBorders>
            <w:vAlign w:val="bottom"/>
          </w:tcPr>
          <w:p w14:paraId="613E4ADB" w14:textId="77777777" w:rsidR="00B86097" w:rsidRPr="00BD6DBC" w:rsidRDefault="00B86097" w:rsidP="009B6E5B">
            <w:pPr>
              <w:spacing w:before="0" w:line="240" w:lineRule="auto"/>
              <w:rPr>
                <w:rFonts w:cs="Segoe UI"/>
                <w:sz w:val="16"/>
                <w:szCs w:val="16"/>
              </w:rPr>
            </w:pPr>
            <w:r w:rsidRPr="00BD6DBC">
              <w:rPr>
                <w:rFonts w:cs="Segoe UI"/>
                <w:sz w:val="16"/>
                <w:szCs w:val="16"/>
              </w:rPr>
              <w:t>44663.5</w:t>
            </w:r>
          </w:p>
        </w:tc>
        <w:tc>
          <w:tcPr>
            <w:tcW w:w="1984" w:type="dxa"/>
            <w:tcBorders>
              <w:top w:val="nil"/>
              <w:left w:val="nil"/>
              <w:bottom w:val="nil"/>
              <w:right w:val="nil"/>
            </w:tcBorders>
          </w:tcPr>
          <w:p w14:paraId="2DCA8CA6" w14:textId="77777777" w:rsidR="00B86097" w:rsidRPr="00BD6DBC" w:rsidRDefault="00B86097" w:rsidP="009B6E5B">
            <w:pPr>
              <w:spacing w:before="0" w:line="240" w:lineRule="auto"/>
              <w:rPr>
                <w:rFonts w:cs="Segoe UI"/>
                <w:sz w:val="16"/>
                <w:szCs w:val="16"/>
              </w:rPr>
            </w:pPr>
            <w:r w:rsidRPr="00BD6DBC">
              <w:rPr>
                <w:rFonts w:cs="Segoe UI"/>
                <w:sz w:val="16"/>
                <w:szCs w:val="16"/>
              </w:rPr>
              <w:t>Free</w:t>
            </w:r>
          </w:p>
        </w:tc>
        <w:tc>
          <w:tcPr>
            <w:tcW w:w="709" w:type="dxa"/>
            <w:tcBorders>
              <w:top w:val="nil"/>
              <w:left w:val="nil"/>
              <w:bottom w:val="nil"/>
              <w:right w:val="nil"/>
            </w:tcBorders>
          </w:tcPr>
          <w:p w14:paraId="4E829505" w14:textId="77777777" w:rsidR="00B86097" w:rsidRPr="00BD6DBC" w:rsidRDefault="00B86097" w:rsidP="009B6E5B">
            <w:pPr>
              <w:spacing w:before="0" w:line="240" w:lineRule="auto"/>
              <w:rPr>
                <w:rFonts w:cs="Segoe UI"/>
                <w:sz w:val="16"/>
                <w:szCs w:val="16"/>
              </w:rPr>
            </w:pPr>
            <w:r w:rsidRPr="00BD6DBC">
              <w:rPr>
                <w:rFonts w:cs="Segoe UI"/>
                <w:sz w:val="16"/>
                <w:szCs w:val="16"/>
              </w:rPr>
              <w:t>0.897</w:t>
            </w:r>
          </w:p>
        </w:tc>
      </w:tr>
      <w:tr w:rsidR="00B86097" w:rsidRPr="00BD6DBC" w14:paraId="16A7D156" w14:textId="77777777" w:rsidTr="003A5664">
        <w:trPr>
          <w:trHeight w:val="74"/>
        </w:trPr>
        <w:tc>
          <w:tcPr>
            <w:tcW w:w="1701" w:type="dxa"/>
            <w:tcBorders>
              <w:top w:val="nil"/>
              <w:left w:val="nil"/>
              <w:bottom w:val="nil"/>
              <w:right w:val="nil"/>
            </w:tcBorders>
            <w:vAlign w:val="bottom"/>
          </w:tcPr>
          <w:p w14:paraId="2F0D5F49" w14:textId="77777777" w:rsidR="00B86097" w:rsidRPr="00BD6DBC" w:rsidRDefault="00B86097" w:rsidP="009B6E5B">
            <w:pPr>
              <w:spacing w:before="0" w:line="240" w:lineRule="auto"/>
              <w:rPr>
                <w:rFonts w:eastAsia="Times New Roman" w:cs="Segoe UI"/>
                <w:sz w:val="16"/>
                <w:szCs w:val="16"/>
              </w:rPr>
            </w:pPr>
            <w:r w:rsidRPr="00BD6DBC">
              <w:rPr>
                <w:rFonts w:eastAsia="Times New Roman" w:cs="Segoe UI"/>
                <w:sz w:val="16"/>
                <w:szCs w:val="16"/>
              </w:rPr>
              <w:t>Vietnam</w:t>
            </w:r>
          </w:p>
        </w:tc>
        <w:tc>
          <w:tcPr>
            <w:tcW w:w="959" w:type="dxa"/>
            <w:tcBorders>
              <w:top w:val="nil"/>
              <w:left w:val="nil"/>
              <w:bottom w:val="nil"/>
              <w:right w:val="nil"/>
            </w:tcBorders>
          </w:tcPr>
          <w:p w14:paraId="2F0D3E60" w14:textId="77777777" w:rsidR="00B86097" w:rsidRPr="00BD6DBC" w:rsidRDefault="00B86097" w:rsidP="009B6E5B">
            <w:pPr>
              <w:spacing w:before="0" w:line="240" w:lineRule="auto"/>
              <w:rPr>
                <w:rFonts w:cs="Segoe UI"/>
                <w:sz w:val="16"/>
                <w:szCs w:val="16"/>
              </w:rPr>
            </w:pPr>
            <w:r w:rsidRPr="00BD6DBC">
              <w:rPr>
                <w:rFonts w:cs="Segoe UI"/>
                <w:sz w:val="16"/>
                <w:szCs w:val="16"/>
              </w:rPr>
              <w:t>VNM</w:t>
            </w:r>
          </w:p>
        </w:tc>
        <w:tc>
          <w:tcPr>
            <w:tcW w:w="709" w:type="dxa"/>
            <w:tcBorders>
              <w:top w:val="nil"/>
              <w:left w:val="nil"/>
              <w:bottom w:val="nil"/>
              <w:right w:val="nil"/>
            </w:tcBorders>
          </w:tcPr>
          <w:p w14:paraId="2A1EADF6" w14:textId="77777777" w:rsidR="00B86097" w:rsidRPr="00BD6DBC" w:rsidRDefault="00B86097" w:rsidP="009B6E5B">
            <w:pPr>
              <w:spacing w:before="0" w:line="240" w:lineRule="auto"/>
              <w:rPr>
                <w:rFonts w:cs="Segoe UI"/>
                <w:sz w:val="16"/>
                <w:szCs w:val="16"/>
              </w:rPr>
            </w:pPr>
            <w:r w:rsidRPr="00BD6DBC">
              <w:rPr>
                <w:rFonts w:cs="Segoe UI"/>
                <w:sz w:val="16"/>
                <w:szCs w:val="16"/>
              </w:rPr>
              <w:t>2006</w:t>
            </w:r>
          </w:p>
        </w:tc>
        <w:tc>
          <w:tcPr>
            <w:tcW w:w="1167" w:type="dxa"/>
            <w:tcBorders>
              <w:top w:val="nil"/>
              <w:left w:val="nil"/>
              <w:bottom w:val="nil"/>
              <w:right w:val="nil"/>
            </w:tcBorders>
          </w:tcPr>
          <w:p w14:paraId="76047BF9" w14:textId="77777777" w:rsidR="00B86097" w:rsidRPr="00BD6DBC" w:rsidRDefault="00B86097" w:rsidP="009B6E5B">
            <w:pPr>
              <w:spacing w:before="0" w:line="240" w:lineRule="auto"/>
              <w:rPr>
                <w:rFonts w:cs="Segoe UI"/>
                <w:sz w:val="16"/>
                <w:szCs w:val="16"/>
              </w:rPr>
            </w:pPr>
            <w:r w:rsidRPr="00BD6DBC">
              <w:rPr>
                <w:rFonts w:cs="Segoe UI"/>
                <w:sz w:val="16"/>
                <w:szCs w:val="16"/>
              </w:rPr>
              <w:t>1495</w:t>
            </w:r>
          </w:p>
        </w:tc>
        <w:tc>
          <w:tcPr>
            <w:tcW w:w="2127" w:type="dxa"/>
            <w:tcBorders>
              <w:top w:val="nil"/>
              <w:left w:val="nil"/>
              <w:bottom w:val="nil"/>
              <w:right w:val="nil"/>
            </w:tcBorders>
            <w:vAlign w:val="bottom"/>
          </w:tcPr>
          <w:p w14:paraId="2514F5D8" w14:textId="77777777" w:rsidR="00B86097" w:rsidRPr="00BD6DBC" w:rsidRDefault="00B86097" w:rsidP="009B6E5B">
            <w:pPr>
              <w:spacing w:before="0" w:line="240" w:lineRule="auto"/>
              <w:rPr>
                <w:rFonts w:cs="Segoe UI"/>
                <w:sz w:val="16"/>
                <w:szCs w:val="16"/>
              </w:rPr>
            </w:pPr>
            <w:r w:rsidRPr="00BD6DBC">
              <w:rPr>
                <w:rFonts w:cs="Segoe UI"/>
                <w:sz w:val="16"/>
                <w:szCs w:val="16"/>
              </w:rPr>
              <w:t>731.4</w:t>
            </w:r>
          </w:p>
        </w:tc>
        <w:tc>
          <w:tcPr>
            <w:tcW w:w="1984" w:type="dxa"/>
            <w:tcBorders>
              <w:top w:val="nil"/>
              <w:left w:val="nil"/>
              <w:bottom w:val="nil"/>
              <w:right w:val="nil"/>
            </w:tcBorders>
          </w:tcPr>
          <w:p w14:paraId="30283902" w14:textId="77777777" w:rsidR="00B86097" w:rsidRPr="00BD6DBC" w:rsidRDefault="00B86097" w:rsidP="009B6E5B">
            <w:pPr>
              <w:spacing w:before="0" w:line="240" w:lineRule="auto"/>
              <w:rPr>
                <w:rFonts w:cs="Segoe UI"/>
                <w:sz w:val="16"/>
                <w:szCs w:val="16"/>
              </w:rPr>
            </w:pPr>
            <w:r w:rsidRPr="00BD6DBC">
              <w:rPr>
                <w:rFonts w:cs="Segoe UI"/>
                <w:sz w:val="16"/>
                <w:szCs w:val="16"/>
              </w:rPr>
              <w:t>Not Free</w:t>
            </w:r>
          </w:p>
        </w:tc>
        <w:tc>
          <w:tcPr>
            <w:tcW w:w="709" w:type="dxa"/>
            <w:tcBorders>
              <w:top w:val="nil"/>
              <w:left w:val="nil"/>
              <w:bottom w:val="nil"/>
              <w:right w:val="nil"/>
            </w:tcBorders>
          </w:tcPr>
          <w:p w14:paraId="121FDDE4" w14:textId="77777777" w:rsidR="00B86097" w:rsidRPr="00BD6DBC" w:rsidRDefault="00B86097" w:rsidP="009B6E5B">
            <w:pPr>
              <w:spacing w:before="0" w:line="240" w:lineRule="auto"/>
              <w:rPr>
                <w:rFonts w:cs="Segoe UI"/>
                <w:sz w:val="16"/>
                <w:szCs w:val="16"/>
              </w:rPr>
            </w:pPr>
            <w:r w:rsidRPr="00BD6DBC">
              <w:rPr>
                <w:rFonts w:cs="Segoe UI"/>
                <w:sz w:val="16"/>
                <w:szCs w:val="16"/>
              </w:rPr>
              <w:t>0.547</w:t>
            </w:r>
          </w:p>
        </w:tc>
      </w:tr>
      <w:tr w:rsidR="00B86097" w:rsidRPr="00BD6DBC" w14:paraId="2D4EDB25" w14:textId="77777777" w:rsidTr="003A5664">
        <w:tc>
          <w:tcPr>
            <w:tcW w:w="1701" w:type="dxa"/>
            <w:tcBorders>
              <w:top w:val="nil"/>
              <w:left w:val="nil"/>
              <w:bottom w:val="single" w:sz="4" w:space="0" w:color="auto"/>
              <w:right w:val="nil"/>
            </w:tcBorders>
          </w:tcPr>
          <w:p w14:paraId="3F1683B8" w14:textId="77777777" w:rsidR="00B86097" w:rsidRPr="00BD6DBC" w:rsidRDefault="00B86097" w:rsidP="009B6E5B">
            <w:pPr>
              <w:spacing w:before="0" w:line="240" w:lineRule="auto"/>
              <w:rPr>
                <w:rFonts w:cs="Segoe UI"/>
                <w:sz w:val="16"/>
                <w:szCs w:val="16"/>
              </w:rPr>
            </w:pPr>
            <w:r w:rsidRPr="00BD6DBC">
              <w:rPr>
                <w:rFonts w:cs="Segoe UI"/>
                <w:sz w:val="16"/>
                <w:szCs w:val="16"/>
              </w:rPr>
              <w:t>Zambia</w:t>
            </w:r>
          </w:p>
        </w:tc>
        <w:tc>
          <w:tcPr>
            <w:tcW w:w="959" w:type="dxa"/>
            <w:tcBorders>
              <w:top w:val="nil"/>
              <w:left w:val="nil"/>
              <w:bottom w:val="single" w:sz="4" w:space="0" w:color="auto"/>
              <w:right w:val="nil"/>
            </w:tcBorders>
          </w:tcPr>
          <w:p w14:paraId="5DC7FB84" w14:textId="77777777" w:rsidR="00B86097" w:rsidRPr="00BD6DBC" w:rsidRDefault="00B86097" w:rsidP="009B6E5B">
            <w:pPr>
              <w:spacing w:before="0" w:line="240" w:lineRule="auto"/>
              <w:rPr>
                <w:rFonts w:cs="Segoe UI"/>
                <w:sz w:val="16"/>
                <w:szCs w:val="16"/>
              </w:rPr>
            </w:pPr>
            <w:r w:rsidRPr="00BD6DBC">
              <w:rPr>
                <w:rFonts w:cs="Segoe UI"/>
                <w:sz w:val="16"/>
                <w:szCs w:val="16"/>
              </w:rPr>
              <w:t>ZMB</w:t>
            </w:r>
          </w:p>
        </w:tc>
        <w:tc>
          <w:tcPr>
            <w:tcW w:w="709" w:type="dxa"/>
            <w:tcBorders>
              <w:top w:val="nil"/>
              <w:left w:val="nil"/>
              <w:bottom w:val="single" w:sz="4" w:space="0" w:color="auto"/>
              <w:right w:val="nil"/>
            </w:tcBorders>
          </w:tcPr>
          <w:p w14:paraId="5C08D057" w14:textId="77777777" w:rsidR="00B86097" w:rsidRPr="00BD6DBC" w:rsidRDefault="00B86097" w:rsidP="009B6E5B">
            <w:pPr>
              <w:spacing w:before="0" w:line="240" w:lineRule="auto"/>
              <w:rPr>
                <w:rFonts w:cs="Segoe UI"/>
                <w:sz w:val="16"/>
                <w:szCs w:val="16"/>
              </w:rPr>
            </w:pPr>
            <w:r w:rsidRPr="00BD6DBC">
              <w:rPr>
                <w:rFonts w:cs="Segoe UI"/>
                <w:sz w:val="16"/>
                <w:szCs w:val="16"/>
              </w:rPr>
              <w:t>2007</w:t>
            </w:r>
          </w:p>
        </w:tc>
        <w:tc>
          <w:tcPr>
            <w:tcW w:w="1167" w:type="dxa"/>
            <w:tcBorders>
              <w:top w:val="nil"/>
              <w:left w:val="nil"/>
              <w:bottom w:val="single" w:sz="4" w:space="0" w:color="auto"/>
              <w:right w:val="nil"/>
            </w:tcBorders>
          </w:tcPr>
          <w:p w14:paraId="592D8E31" w14:textId="77777777" w:rsidR="00B86097" w:rsidRPr="00BD6DBC" w:rsidRDefault="00B86097" w:rsidP="009B6E5B">
            <w:pPr>
              <w:spacing w:before="0" w:line="240" w:lineRule="auto"/>
              <w:rPr>
                <w:rFonts w:cs="Segoe UI"/>
                <w:sz w:val="16"/>
                <w:szCs w:val="16"/>
              </w:rPr>
            </w:pPr>
            <w:r w:rsidRPr="00BD6DBC">
              <w:rPr>
                <w:rFonts w:cs="Segoe UI"/>
                <w:sz w:val="16"/>
                <w:szCs w:val="16"/>
              </w:rPr>
              <w:t>1500</w:t>
            </w:r>
          </w:p>
        </w:tc>
        <w:tc>
          <w:tcPr>
            <w:tcW w:w="2127" w:type="dxa"/>
            <w:tcBorders>
              <w:top w:val="nil"/>
              <w:left w:val="nil"/>
              <w:bottom w:val="single" w:sz="4" w:space="0" w:color="auto"/>
              <w:right w:val="nil"/>
            </w:tcBorders>
            <w:vAlign w:val="bottom"/>
          </w:tcPr>
          <w:p w14:paraId="43B4DFEB" w14:textId="77777777" w:rsidR="00B86097" w:rsidRPr="00BD6DBC" w:rsidRDefault="00B86097" w:rsidP="009B6E5B">
            <w:pPr>
              <w:spacing w:before="0" w:line="240" w:lineRule="auto"/>
              <w:rPr>
                <w:rFonts w:cs="Segoe UI"/>
                <w:sz w:val="16"/>
                <w:szCs w:val="16"/>
              </w:rPr>
            </w:pPr>
            <w:r w:rsidRPr="00BD6DBC">
              <w:rPr>
                <w:rFonts w:cs="Segoe UI"/>
                <w:sz w:val="16"/>
                <w:szCs w:val="16"/>
              </w:rPr>
              <w:t>957.4</w:t>
            </w:r>
          </w:p>
        </w:tc>
        <w:tc>
          <w:tcPr>
            <w:tcW w:w="1984" w:type="dxa"/>
            <w:tcBorders>
              <w:top w:val="nil"/>
              <w:left w:val="nil"/>
              <w:bottom w:val="single" w:sz="4" w:space="0" w:color="auto"/>
              <w:right w:val="nil"/>
            </w:tcBorders>
          </w:tcPr>
          <w:p w14:paraId="0CFF065A" w14:textId="77777777" w:rsidR="00B86097" w:rsidRPr="00BD6DBC" w:rsidRDefault="00B86097" w:rsidP="009B6E5B">
            <w:pPr>
              <w:spacing w:before="0" w:line="240" w:lineRule="auto"/>
              <w:rPr>
                <w:rFonts w:cs="Segoe UI"/>
                <w:sz w:val="16"/>
                <w:szCs w:val="16"/>
              </w:rPr>
            </w:pPr>
            <w:r w:rsidRPr="00BD6DBC">
              <w:rPr>
                <w:rFonts w:cs="Segoe UI"/>
                <w:sz w:val="16"/>
                <w:szCs w:val="16"/>
              </w:rPr>
              <w:t>Partly Free</w:t>
            </w:r>
          </w:p>
        </w:tc>
        <w:tc>
          <w:tcPr>
            <w:tcW w:w="709" w:type="dxa"/>
            <w:tcBorders>
              <w:top w:val="nil"/>
              <w:left w:val="nil"/>
              <w:bottom w:val="single" w:sz="4" w:space="0" w:color="auto"/>
              <w:right w:val="nil"/>
            </w:tcBorders>
          </w:tcPr>
          <w:p w14:paraId="2EA36537" w14:textId="77777777" w:rsidR="00B86097" w:rsidRPr="00BD6DBC" w:rsidRDefault="00B86097" w:rsidP="009B6E5B">
            <w:pPr>
              <w:spacing w:before="0" w:line="240" w:lineRule="auto"/>
              <w:rPr>
                <w:rFonts w:cs="Segoe UI"/>
                <w:sz w:val="16"/>
                <w:szCs w:val="16"/>
              </w:rPr>
            </w:pPr>
            <w:r w:rsidRPr="00BD6DBC">
              <w:rPr>
                <w:rFonts w:cs="Segoe UI"/>
                <w:sz w:val="16"/>
                <w:szCs w:val="16"/>
              </w:rPr>
              <w:t>0.37</w:t>
            </w:r>
          </w:p>
        </w:tc>
      </w:tr>
    </w:tbl>
    <w:bookmarkEnd w:id="130"/>
    <w:p w14:paraId="082F61C3" w14:textId="0D509E64" w:rsidR="00B77E5A" w:rsidRPr="003A5664" w:rsidRDefault="003A5664" w:rsidP="003A5664">
      <w:pPr>
        <w:jc w:val="right"/>
        <w:rPr>
          <w:sz w:val="18"/>
          <w:szCs w:val="20"/>
        </w:rPr>
      </w:pPr>
      <w:r w:rsidRPr="003A5664">
        <w:rPr>
          <w:sz w:val="18"/>
          <w:szCs w:val="20"/>
          <w:vertAlign w:val="superscript"/>
        </w:rPr>
        <w:t>a</w:t>
      </w:r>
      <w:r w:rsidRPr="003A5664">
        <w:rPr>
          <w:sz w:val="18"/>
          <w:szCs w:val="20"/>
        </w:rPr>
        <w:t xml:space="preserve"> Sample size once all missing data is removed is provided in the Appendix</w:t>
      </w:r>
    </w:p>
    <w:p w14:paraId="1CC6207A" w14:textId="77777777" w:rsidR="00B77E5A" w:rsidRPr="000367C8" w:rsidRDefault="00B77E5A" w:rsidP="00E223A2">
      <w:pPr>
        <w:pStyle w:val="Heading4"/>
      </w:pPr>
      <w:bookmarkStart w:id="131" w:name="_Toc441069185"/>
      <w:r w:rsidRPr="000367C8">
        <w:t>Freedom House</w:t>
      </w:r>
      <w:bookmarkEnd w:id="131"/>
    </w:p>
    <w:p w14:paraId="77D8A95B" w14:textId="5BDDFFA4" w:rsidR="00B77E5A" w:rsidRPr="000367C8" w:rsidRDefault="00B77E5A" w:rsidP="00D852C0">
      <w:r w:rsidRPr="000367C8">
        <w:t xml:space="preserve">The sixth column </w:t>
      </w:r>
      <w:r w:rsidR="00BD6DBC">
        <w:t xml:space="preserve">of Figure 3.2 </w:t>
      </w:r>
      <w:r w:rsidRPr="000367C8">
        <w:t>presents Freedom House (FH) scores for the year the survey was taken. The FH classification grades political rights and civil liberties for every country from the highest degree of freedom (score</w:t>
      </w:r>
      <w:r w:rsidR="00BD6DBC">
        <w:t>d</w:t>
      </w:r>
      <w:r w:rsidRPr="000367C8">
        <w:t xml:space="preserve"> 1) to the lowest degree of freedom (scored 7). It combines the results into three overall types: Free, Partly Free and Not Free. Although the FH scoring has its limitations (see </w:t>
      </w:r>
      <w:r w:rsidR="000D0A01">
        <w:fldChar w:fldCharType="begin" w:fldLock="1"/>
      </w:r>
      <w:r w:rsidR="00E63CC6">
        <w:instrText>ADDIN CSL_CITATION { "citationItems" : [ { "id" : "ITEM-1", "itemData" : { "author" : [ { "dropping-particle" : "", "family" : "Munck", "given" : "G.L.", "non-dropping-particle" : "", "parse-names" : false, "suffix" : "" } ], "id" : "ITEM-1", "issued" : { "date-parts" : [ [ "2009" ] ] }, "publisher" : "John Hopkins University Press", "publisher-place" : "Baltimore", "title" : "Measuring Democracy", "type" : "book" }, "uris" : [ "http://www.mendeley.com/documents/?uuid=71d71755-648e-4e8d-8aa2-965ea4c94ace" ] } ], "mendeley" : { "formattedCitation" : "(Munck, 2009)", "manualFormatting" : "Munck 2009)", "plainTextFormattedCitation" : "(Munck, 2009)", "previouslyFormattedCitation" : "(Munck, 2009)" }, "properties" : { "noteIndex" : 0 }, "schema" : "https://github.com/citation-style-language/schema/raw/master/csl-citation.json" }</w:instrText>
      </w:r>
      <w:r w:rsidR="000D0A01">
        <w:fldChar w:fldCharType="separate"/>
      </w:r>
      <w:r w:rsidR="000D0A01" w:rsidRPr="000D0A01">
        <w:rPr>
          <w:noProof/>
        </w:rPr>
        <w:t>Munck 2009)</w:t>
      </w:r>
      <w:r w:rsidR="000D0A01">
        <w:fldChar w:fldCharType="end"/>
      </w:r>
      <w:r w:rsidRPr="000367C8">
        <w:t xml:space="preserve">, the three categories are distinct and straightforward. Additionally, FH scores are not only one of the most widely used political indicators in comparative research but also highly correlated with other democracy measures including the Polity Index </w:t>
      </w:r>
      <w:r w:rsidR="000D0A01">
        <w:fldChar w:fldCharType="begin" w:fldLock="1"/>
      </w:r>
      <w:r w:rsidR="00E63CC6">
        <w:instrText>ADDIN CSL_CITATION { "citationItems" : [ { "id" : "ITEM-1", "itemData" : { "DOI" : "10.1177/0002716206287546", "ISSN" : "0002-7162", "abstract" : "In this article, the author argues that the transformation of justice administration in democratizing countries is a transition from a crime control to a due process orien- tation. In authoritarian states, criminal justice systems rely on a larger law enforcement\u2013punishment apparatus for order maintenance and produce higher rates of arrest, prosecution, conviction, and incarceration. By contrast, in liberal democracies, justice is sought as the defense of civil liberties through the due process of law, which leads to a heavier investment in the judiciary and a higher rate of case attrition in the criminal justice process. The analysis of United Nations data refutes the hypothesis of larger police and prison workforce in authoritarian countries and larger judicial staff in lib- eral democracies. Instead, democracy increases both the personnel strength of the courts and that of the police and the prisons. The proposed relationship between democracy and increased criminal case attri- tion receives very strong support.", "author" : [ { "dropping-particle" : "", "family" : "Sung", "given" : "H.-E.", "non-dropping-particle" : "", "parse-names" : false, "suffix" : "" } ], "container-title" : "The Annals of the American Academy of Political and Social Science", "id" : "ITEM-1", "issue" : "1", "issued" : { "date-parts" : [ [ "2006" ] ] }, "page" : "311-337", "title" : "Democracy and Criminal Justice in Cross-National Perspective: From Crime Control to Due Process", "type" : "article-journal", "volume" : "605" }, "uris" : [ "http://www.mendeley.com/documents/?uuid=97377494-e558-49e7-b953-089796f5e767" ] } ], "mendeley" : { "formattedCitation" : "(Sung, 2006)", "manualFormatting" : "(Sung 2006, p.320)", "plainTextFormattedCitation" : "(Sung, 2006)", "previouslyFormattedCitation" : "(Sung, 2006)" }, "properties" : { "noteIndex" : 0 }, "schema" : "https://github.com/citation-style-language/schema/raw/master/csl-citation.json" }</w:instrText>
      </w:r>
      <w:r w:rsidR="000D0A01">
        <w:fldChar w:fldCharType="separate"/>
      </w:r>
      <w:r w:rsidR="000D0A01" w:rsidRPr="000D0A01">
        <w:rPr>
          <w:noProof/>
        </w:rPr>
        <w:t>(Sung 2006</w:t>
      </w:r>
      <w:r w:rsidR="000D0A01">
        <w:rPr>
          <w:noProof/>
        </w:rPr>
        <w:t>, p.320</w:t>
      </w:r>
      <w:r w:rsidR="000D0A01" w:rsidRPr="000D0A01">
        <w:rPr>
          <w:noProof/>
        </w:rPr>
        <w:t>)</w:t>
      </w:r>
      <w:r w:rsidR="000D0A01">
        <w:fldChar w:fldCharType="end"/>
      </w:r>
      <w:r w:rsidRPr="000367C8">
        <w:t>. On this measure the dataset demon</w:t>
      </w:r>
      <w:r w:rsidR="00BF6A6E">
        <w:t>strates some bias. Out of the 46 countries in the data, 66.3</w:t>
      </w:r>
      <w:r w:rsidRPr="000367C8">
        <w:t xml:space="preserve">% are considered Free, </w:t>
      </w:r>
      <w:r w:rsidR="00BF6A6E">
        <w:t>19.4% are Partly Free and 14.4</w:t>
      </w:r>
      <w:r w:rsidRPr="000367C8">
        <w:t>% Not Free. In comparison, the averaged global distribution of scores for 193 states (2005-2008) was 46% Free, 17.5% Partly Free and 36.6% Not Free. In other words, there are more Free and democratic countries in the dataset at the expense of Not Free countries. Such a pattern is unfortunate but not unexpected; it is decidedly easier to administer surveys and examine public attitudes in open and democratic societies compared to closed and authoritarian societies. Again, the WVS does better than other major surveys in this respect, and so remains the best option for comparing trends across different political contexts.</w:t>
      </w:r>
    </w:p>
    <w:p w14:paraId="4DE5FB5F" w14:textId="4E6F08B5" w:rsidR="00B77E5A" w:rsidRPr="000367C8" w:rsidRDefault="00B77E5A" w:rsidP="00D852C0">
      <w:r w:rsidRPr="000367C8">
        <w:t xml:space="preserve">It is important to note that the FH scores reported here are for the specific year the survey was taken in that country. Whilst many of these countries have stable scores, it is worth highlighting those with fluctuating scores around the time the survey was administered. Trinidad and Tobago upgraded to Free from Partly Free in 2005, a year before the WVS was conducted there. Indonesia and Ukraine were also upgraded the same year; however Ukraine was downgraded again in 2010. Russia was downgraded to Not Free in 2004, two years </w:t>
      </w:r>
      <w:r w:rsidRPr="000367C8">
        <w:rPr>
          <w:i/>
          <w:iCs/>
        </w:rPr>
        <w:t>before</w:t>
      </w:r>
      <w:r w:rsidRPr="000367C8">
        <w:t xml:space="preserve"> the survey was taken. Jordan was downgraded to Not Free in 2009, two years </w:t>
      </w:r>
      <w:r w:rsidRPr="000367C8">
        <w:rPr>
          <w:i/>
          <w:iCs/>
        </w:rPr>
        <w:t>after</w:t>
      </w:r>
      <w:r w:rsidRPr="000367C8">
        <w:t xml:space="preserve"> the survey was conducted, and Ethiopia followed suit in 2010, three years after the survey. Finally, Thailand’s classification fluctuated due to a coup d’état in 2006 which removed a de</w:t>
      </w:r>
      <w:r w:rsidR="000D2F92">
        <w:t>mocratically elected government;</w:t>
      </w:r>
      <w:r w:rsidRPr="000367C8">
        <w:t xml:space="preserve"> Thailand was Free in 2004, Partly Free in 2005, Not Free in 2006 and back to Partly Free in 2007, with the change driven by the political rights aspect of the classification. </w:t>
      </w:r>
    </w:p>
    <w:p w14:paraId="6C02496B" w14:textId="213A2393" w:rsidR="000D2F92" w:rsidRDefault="00B77E5A" w:rsidP="00D852C0">
      <w:r w:rsidRPr="000367C8">
        <w:t>This is of course the issue with snapshot analyses</w:t>
      </w:r>
      <w:r w:rsidR="00BD6DBC">
        <w:t xml:space="preserve"> (something I also discuss in Chapter 7, Section 7.3)</w:t>
      </w:r>
      <w:r w:rsidRPr="000367C8">
        <w:t xml:space="preserve">. However, in later chapters different approaches are used to </w:t>
      </w:r>
      <w:r w:rsidR="00BD6DBC">
        <w:t>try and account for</w:t>
      </w:r>
      <w:r w:rsidRPr="000367C8">
        <w:t xml:space="preserve"> these issues, such as scores that examine democratic history, as opposed to simply current standings.</w:t>
      </w:r>
    </w:p>
    <w:p w14:paraId="4E738CC7" w14:textId="77777777" w:rsidR="009E79B8" w:rsidRPr="000367C8" w:rsidRDefault="009E79B8" w:rsidP="00D852C0"/>
    <w:p w14:paraId="353B3B28" w14:textId="2B594F69" w:rsidR="00B77E5A" w:rsidRPr="000367C8" w:rsidRDefault="00B77E5A" w:rsidP="00E223A2">
      <w:pPr>
        <w:pStyle w:val="Heading4"/>
      </w:pPr>
      <w:bookmarkStart w:id="132" w:name="_Toc441069186"/>
      <w:r w:rsidRPr="000367C8">
        <w:t>GDP</w:t>
      </w:r>
      <w:bookmarkEnd w:id="132"/>
      <w:r w:rsidR="00385243">
        <w:t xml:space="preserve"> per capita</w:t>
      </w:r>
    </w:p>
    <w:p w14:paraId="3C5943ED" w14:textId="04CC5B89" w:rsidR="00B77E5A" w:rsidRPr="000367C8" w:rsidRDefault="00B77E5A" w:rsidP="00D852C0">
      <w:r w:rsidRPr="000367C8">
        <w:t>Count</w:t>
      </w:r>
      <w:r w:rsidR="00385243">
        <w:t>r</w:t>
      </w:r>
      <w:r w:rsidRPr="000367C8">
        <w:t xml:space="preserve">ies in the dataset vary considerably in their levels of economic development, as indicated by the wide range of national Gross Domestic Products (GDP) per capita. Mali, Ethiopia and Burkina Faso all have per capita </w:t>
      </w:r>
      <w:r w:rsidR="00BD6DBC">
        <w:t>a GDP</w:t>
      </w:r>
      <w:r w:rsidRPr="000367C8">
        <w:t xml:space="preserve"> of $510 or less, suggesting a high degree of people living on less than a dollar-a-day, a widely acknowledged measurement of poverty (see un.org/millenniumgoals/poverty.shtml). South Africa represents the richest African state with a GDP</w:t>
      </w:r>
      <w:r w:rsidR="00385243">
        <w:t xml:space="preserve"> per capita</w:t>
      </w:r>
      <w:r w:rsidRPr="000367C8">
        <w:t xml:space="preserve"> not too dissimilar to Romania or Russia. However, in general the African states are by far the poorest. The Islamic states are slightly wealthier, followed by the Latin American, but Western states plus Japan and South Korea make up a substantially richer group of states. The mean GDP </w:t>
      </w:r>
      <w:r w:rsidR="00385243">
        <w:t xml:space="preserve">per capita </w:t>
      </w:r>
      <w:r w:rsidRPr="000367C8">
        <w:t>for these states is around $39,000 a year per capita, almost 80 times that of the poorest in the dataset.</w:t>
      </w:r>
    </w:p>
    <w:p w14:paraId="478F9F22" w14:textId="0D951528" w:rsidR="00B77E5A" w:rsidRPr="000367C8" w:rsidRDefault="00B77E5A" w:rsidP="00D852C0">
      <w:r w:rsidRPr="000367C8">
        <w:t>According to the World Bank the average global GDP</w:t>
      </w:r>
      <w:r w:rsidR="00385243">
        <w:t xml:space="preserve"> per capita</w:t>
      </w:r>
      <w:r w:rsidRPr="000367C8">
        <w:t xml:space="preserve"> in 2008 was $9,161. In comparison the weighted average GDP </w:t>
      </w:r>
      <w:r w:rsidR="00385243">
        <w:t xml:space="preserve">per capita </w:t>
      </w:r>
      <w:r w:rsidRPr="000367C8">
        <w:t xml:space="preserve">for the dataset (minus Taiwan) is $13,538. Although this is quite a bit higher, considering the range of the data (and accordingly a high standard deviation), this provides a satisfactory representation of the global picture. </w:t>
      </w:r>
    </w:p>
    <w:p w14:paraId="6BD8B27E" w14:textId="77777777" w:rsidR="00B77E5A" w:rsidRPr="000367C8" w:rsidRDefault="00B77E5A" w:rsidP="00E223A2">
      <w:pPr>
        <w:pStyle w:val="Heading4"/>
      </w:pPr>
      <w:bookmarkStart w:id="133" w:name="_Toc441069187"/>
      <w:r w:rsidRPr="000367C8">
        <w:t>HDI</w:t>
      </w:r>
      <w:bookmarkEnd w:id="133"/>
    </w:p>
    <w:p w14:paraId="73446F20" w14:textId="7CFC993B" w:rsidR="00B77E5A" w:rsidRPr="000367C8" w:rsidRDefault="00B77E5A" w:rsidP="00D852C0">
      <w:r w:rsidRPr="000367C8">
        <w:t xml:space="preserve">The Human Development Index (HDI) is a composite measure that integrates numerous indicators into one score, in order to judge the development of a country beyond singular economic measures. Alongside Gross National Income (GNI) </w:t>
      </w:r>
      <w:r w:rsidR="00BD6DBC">
        <w:t xml:space="preserve">per capita, </w:t>
      </w:r>
      <w:r w:rsidRPr="000367C8">
        <w:t>the index also includes life expectancy at birth, expected years of schooling and mean years of schooling. The index is aggregated geometrically, meaning uneven development across the attributes is considered. Even with the extra factors, the HDI score and GDP</w:t>
      </w:r>
      <w:r w:rsidR="00385243">
        <w:t xml:space="preserve"> per capita</w:t>
      </w:r>
      <w:r w:rsidRPr="000367C8">
        <w:t xml:space="preserve"> do strongly correlate (</w:t>
      </w:r>
      <w:r w:rsidR="000D0A01" w:rsidRPr="000D0A01">
        <w:t>r</w:t>
      </w:r>
      <w:r w:rsidR="000D0A01">
        <w:t>=</w:t>
      </w:r>
      <w:r w:rsidRPr="000D0A01">
        <w:t>0</w:t>
      </w:r>
      <w:r w:rsidRPr="000367C8">
        <w:t>.73 at p&lt;0.001).</w:t>
      </w:r>
      <w:r w:rsidR="000D2F92">
        <w:t>T</w:t>
      </w:r>
      <w:r w:rsidR="009E79B8">
        <w:t xml:space="preserve"> </w:t>
      </w:r>
      <w:r w:rsidRPr="000367C8">
        <w:t>he same set of countries – Mali, Ethiopia and Burkina Faso – are the lowest scoring, 0.309 or less out of a possible 1. This puts them in the “Low” development category, and in 2010 they were ranked in the bottom 13 in the world (see hdr.undp.org/en/reports/). The pattern for the other groups of countries also remains similar to that of GDP.</w:t>
      </w:r>
    </w:p>
    <w:p w14:paraId="198C76B5" w14:textId="190E3675" w:rsidR="00BF0AD2" w:rsidRPr="00BF0AD2" w:rsidRDefault="00B77E5A" w:rsidP="00BF0AD2">
      <w:r w:rsidRPr="000367C8">
        <w:t>The global picture in 2008 was an average HDI of 0.634 from 168 states. For the states available in the data</w:t>
      </w:r>
      <w:r w:rsidR="00BF6A6E">
        <w:t>, the average score was 0.72</w:t>
      </w:r>
      <w:r w:rsidRPr="000367C8">
        <w:t>. As with GDP</w:t>
      </w:r>
      <w:r w:rsidR="00385243">
        <w:t xml:space="preserve"> per capita</w:t>
      </w:r>
      <w:r w:rsidRPr="000367C8">
        <w:t>, this result is a</w:t>
      </w:r>
      <w:r w:rsidR="00385243">
        <w:t>s</w:t>
      </w:r>
      <w:r w:rsidRPr="000367C8">
        <w:t xml:space="preserve"> good as could be expected, considering the usual underrepresentation of poorer and less-developed countries. </w:t>
      </w:r>
    </w:p>
    <w:p w14:paraId="6BA48612" w14:textId="77777777" w:rsidR="00B77E5A" w:rsidRPr="00E223A2" w:rsidRDefault="00B77E5A" w:rsidP="00E223A2">
      <w:pPr>
        <w:pStyle w:val="Heading3"/>
      </w:pPr>
      <w:bookmarkStart w:id="134" w:name="_Toc441069188"/>
      <w:r w:rsidRPr="00E223A2">
        <w:t>Summary</w:t>
      </w:r>
      <w:bookmarkEnd w:id="134"/>
    </w:p>
    <w:p w14:paraId="21B85D12" w14:textId="49FBC552" w:rsidR="00B77E5A" w:rsidRDefault="00B77E5A" w:rsidP="00D852C0">
      <w:r w:rsidRPr="000367C8">
        <w:t>Overall, the WVS2008 provides a very good representation of global data, and is the best available. There will always be limitations in such datasets, a</w:t>
      </w:r>
      <w:r>
        <w:t>nd these should be acknowledged; there is underrepresentation in the WVS2008 of poorer countries, particularly in Africa. There are also some missing large autocracies and Islamic states. There is overrepresentation of rich and Western nations. However, there is no comparable dataset that captures the range of countries available in the WVS2008, and so despite these weaknesses, it remains the most appropriate dataset for a global test of democratic understanding.</w:t>
      </w:r>
    </w:p>
    <w:p w14:paraId="38D7512F" w14:textId="77777777" w:rsidR="00B77E5A" w:rsidRPr="00577217" w:rsidRDefault="00B77E5A" w:rsidP="00577217">
      <w:pPr>
        <w:pStyle w:val="Heading2"/>
      </w:pPr>
      <w:bookmarkStart w:id="135" w:name="_Toc441069023"/>
      <w:bookmarkStart w:id="136" w:name="_Toc441069189"/>
      <w:bookmarkStart w:id="137" w:name="_Toc494034216"/>
      <w:r w:rsidRPr="00577217">
        <w:t>3.2: The Data and the Theory</w:t>
      </w:r>
      <w:bookmarkEnd w:id="135"/>
      <w:bookmarkEnd w:id="136"/>
      <w:bookmarkEnd w:id="137"/>
    </w:p>
    <w:p w14:paraId="14C1734E" w14:textId="600E9A40" w:rsidR="00FC0F4F" w:rsidRPr="00BD6DBC" w:rsidRDefault="00B77E5A" w:rsidP="00BD6DBC">
      <w:r w:rsidRPr="000367C8">
        <w:t>The set of questions on democratic char</w:t>
      </w:r>
      <w:r>
        <w:t>acteristics used in the WVS</w:t>
      </w:r>
      <w:r w:rsidRPr="000367C8">
        <w:t xml:space="preserve">2008 is the first of its kind, and as such cannot be compared back to previous surveys. So far the </w:t>
      </w:r>
      <w:r w:rsidR="00BD6DBC">
        <w:t xml:space="preserve">full battery of </w:t>
      </w:r>
      <w:r w:rsidRPr="000367C8">
        <w:t>quest</w:t>
      </w:r>
      <w:r w:rsidR="00BD6DBC">
        <w:t xml:space="preserve">ions has been utilised in most detail by </w:t>
      </w:r>
      <w:r w:rsidRPr="000367C8">
        <w:t>W</w:t>
      </w:r>
      <w:r w:rsidR="00BD6DBC">
        <w:t>elzel (2013; 2011</w:t>
      </w:r>
      <w:r w:rsidRPr="000367C8">
        <w:t xml:space="preserve">) and Norris (2011). However, neither author presented an in-depth discussion on exactly what these questions are examining in terms of democratic theory. They </w:t>
      </w:r>
      <w:r w:rsidR="00FE71BF">
        <w:t>also</w:t>
      </w:r>
      <w:r w:rsidR="00385243" w:rsidRPr="000367C8">
        <w:t xml:space="preserve"> </w:t>
      </w:r>
      <w:r w:rsidRPr="000367C8">
        <w:t>provided limited descriptive analysis of the results.</w:t>
      </w:r>
      <w:r w:rsidR="000D2F92">
        <w:t xml:space="preserve"> T</w:t>
      </w:r>
      <w:r w:rsidRPr="000367C8">
        <w:t>his chapter fills this gap; first by unpacking the relationship between each question presented to the respondent and democratic theory, and then with individual and nationa</w:t>
      </w:r>
      <w:r>
        <w:t>l-level descriptive statistics.</w:t>
      </w:r>
      <w:r w:rsidR="00FC0F4F">
        <w:t xml:space="preserve"> </w:t>
      </w:r>
      <w:r w:rsidR="004069C9" w:rsidRPr="000367C8">
        <w:t xml:space="preserve">As a reminder, the group of questions I will be using from the </w:t>
      </w:r>
      <w:r w:rsidR="00BD6DBC">
        <w:t>WVS2008 was presented in Figure 3.1</w:t>
      </w:r>
      <w:r w:rsidR="004069C9" w:rsidRPr="000367C8">
        <w:t xml:space="preserve">. </w:t>
      </w:r>
    </w:p>
    <w:p w14:paraId="69E70928" w14:textId="3003723C" w:rsidR="00B77E5A" w:rsidRPr="000367C8" w:rsidRDefault="00B77E5A" w:rsidP="00D852C0">
      <w:r w:rsidRPr="000367C8">
        <w:t xml:space="preserve">In terms of other global analyses of understandings of democracy, Dalton </w:t>
      </w:r>
      <w:r w:rsidR="00803848">
        <w:t>et al</w:t>
      </w:r>
      <w:r w:rsidR="009B2D2A">
        <w:t>.</w:t>
      </w:r>
      <w:r w:rsidRPr="00BD6DBC">
        <w:t>’s</w:t>
      </w:r>
      <w:r w:rsidRPr="000367C8">
        <w:t xml:space="preserve"> (2008</w:t>
      </w:r>
      <w:r w:rsidR="000D0A01">
        <w:t>, pp.</w:t>
      </w:r>
      <w:r w:rsidRPr="000367C8">
        <w:t xml:space="preserve">3-11), analysis came to </w:t>
      </w:r>
      <w:r w:rsidR="009B2D2A">
        <w:t>conclude that</w:t>
      </w:r>
      <w:r w:rsidRPr="000367C8">
        <w:t>:</w:t>
      </w:r>
    </w:p>
    <w:p w14:paraId="2CEBED3A" w14:textId="5AB352A0" w:rsidR="00B77E5A" w:rsidRPr="000367C8" w:rsidRDefault="00B77E5A" w:rsidP="002032DF">
      <w:pPr>
        <w:pStyle w:val="ListParagraph"/>
        <w:numPr>
          <w:ilvl w:val="0"/>
          <w:numId w:val="11"/>
        </w:numPr>
      </w:pPr>
      <w:r w:rsidRPr="000367C8">
        <w:t>Contrary to what sceptics might expect, respondents</w:t>
      </w:r>
      <w:r w:rsidR="009E79B8">
        <w:t>’</w:t>
      </w:r>
      <w:r w:rsidRPr="000367C8">
        <w:t xml:space="preserve"> understandings of democracy conformed to liberal democratic ideals</w:t>
      </w:r>
      <w:r w:rsidR="00385243">
        <w:t>; and</w:t>
      </w:r>
    </w:p>
    <w:p w14:paraId="71F8990B" w14:textId="77777777" w:rsidR="00B77E5A" w:rsidRPr="000367C8" w:rsidRDefault="00B77E5A" w:rsidP="002032DF">
      <w:pPr>
        <w:pStyle w:val="ListParagraph"/>
        <w:numPr>
          <w:ilvl w:val="0"/>
          <w:numId w:val="11"/>
        </w:numPr>
      </w:pPr>
      <w:r w:rsidRPr="000367C8">
        <w:t>Consequently, even in less-developed natures, relatively few people equate democracy with such social benefits as a higher living standard, secure employment, or personal security</w:t>
      </w:r>
    </w:p>
    <w:p w14:paraId="69142611" w14:textId="54AF6763" w:rsidR="00B77E5A" w:rsidRPr="00326592" w:rsidRDefault="00B77E5A" w:rsidP="00D852C0">
      <w:r w:rsidRPr="00326592">
        <w:t xml:space="preserve">I structure my descriptive statistics around assessing these conclusions in more depth. There is a fundamental difference between the approach used by Dalton </w:t>
      </w:r>
      <w:r w:rsidR="00803848">
        <w:t>et al</w:t>
      </w:r>
      <w:r w:rsidR="00385243">
        <w:rPr>
          <w:i/>
        </w:rPr>
        <w:t xml:space="preserve"> </w:t>
      </w:r>
      <w:r w:rsidR="00385243" w:rsidRPr="00FC0F4F">
        <w:t>(2008)</w:t>
      </w:r>
      <w:r w:rsidRPr="00385243">
        <w:t>,</w:t>
      </w:r>
      <w:r w:rsidRPr="00326592">
        <w:t xml:space="preserve"> and my approach. I analyse a set of questions on a 1-10 scale between ‘Not at all essential’ and ‘Completely essential’.  To come to </w:t>
      </w:r>
      <w:r w:rsidR="00385243" w:rsidRPr="00326592">
        <w:t>the</w:t>
      </w:r>
      <w:r w:rsidR="00385243">
        <w:t>ir</w:t>
      </w:r>
      <w:r w:rsidR="00385243" w:rsidRPr="00326592">
        <w:t xml:space="preserve"> </w:t>
      </w:r>
      <w:r w:rsidRPr="00326592">
        <w:t xml:space="preserve">conclusions, Dalton </w:t>
      </w:r>
      <w:r w:rsidR="00803848">
        <w:t>et al</w:t>
      </w:r>
      <w:r w:rsidRPr="00326592">
        <w:t xml:space="preserve"> asked respondent’s to fill in an open-ended question on their understanding of democracy. My argument is that an open-ended question is not necessarily the best way to examine this issue as democracy is such an essentially-contested and complicated concept it is likely prone to issues of questionnair</w:t>
      </w:r>
      <w:r w:rsidR="003639BD">
        <w:t>e fatigue and shallow responses: t</w:t>
      </w:r>
      <w:r w:rsidRPr="00326592">
        <w:t>he WVS2008 provides more com</w:t>
      </w:r>
      <w:r w:rsidR="003639BD">
        <w:t>parable and generalizable data.</w:t>
      </w:r>
    </w:p>
    <w:p w14:paraId="450549BE" w14:textId="77777777" w:rsidR="00B77E5A" w:rsidRPr="00326592" w:rsidRDefault="00B77E5A" w:rsidP="00D852C0">
      <w:r w:rsidRPr="00326592">
        <w:t>The following section discusses the questions in groups of procedural, instrumental and authoritarian characteristics.</w:t>
      </w:r>
    </w:p>
    <w:p w14:paraId="76EAE99E" w14:textId="77777777" w:rsidR="00B77E5A" w:rsidRPr="00E223A2" w:rsidRDefault="00B77E5A" w:rsidP="00E223A2">
      <w:pPr>
        <w:pStyle w:val="Heading3"/>
      </w:pPr>
      <w:bookmarkStart w:id="138" w:name="_Toc441069190"/>
      <w:r w:rsidRPr="00E223A2">
        <w:t>Procedural Characteristics</w:t>
      </w:r>
      <w:bookmarkEnd w:id="138"/>
    </w:p>
    <w:p w14:paraId="2D114C4F" w14:textId="09ABAF9B" w:rsidR="00B77E5A" w:rsidRPr="00326592" w:rsidRDefault="00B77E5A" w:rsidP="00D852C0">
      <w:r w:rsidRPr="00326592">
        <w:t>Welzel</w:t>
      </w:r>
      <w:r w:rsidR="00F83AA8">
        <w:t xml:space="preserve"> (2013; 2011</w:t>
      </w:r>
      <w:r>
        <w:t>) and Norris (2011)</w:t>
      </w:r>
      <w:r w:rsidRPr="00326592">
        <w:t xml:space="preserve"> class the four procedural </w:t>
      </w:r>
      <w:r w:rsidR="00F83AA8">
        <w:t>characteristics</w:t>
      </w:r>
      <w:r w:rsidRPr="00326592">
        <w:t xml:space="preserve"> in this set of questions as: ‘People choose t</w:t>
      </w:r>
      <w:r>
        <w:t>heir leaders in free elections’;</w:t>
      </w:r>
      <w:r w:rsidRPr="00326592">
        <w:t xml:space="preserve"> ‘People can </w:t>
      </w:r>
      <w:r>
        <w:t>change the laws in referendums’;</w:t>
      </w:r>
      <w:r w:rsidRPr="00326592">
        <w:t xml:space="preserve"> Civil rights protect people’s liberty against oppression’</w:t>
      </w:r>
      <w:r>
        <w:t>;</w:t>
      </w:r>
      <w:r w:rsidRPr="00326592">
        <w:t xml:space="preserve"> and</w:t>
      </w:r>
      <w:r>
        <w:t>,</w:t>
      </w:r>
      <w:r w:rsidRPr="00326592">
        <w:t xml:space="preserve"> ‘Women have the same rights as men’. This section discusses these characteristics in order. I argue that these are essential characteristi</w:t>
      </w:r>
      <w:r w:rsidR="000D2F92">
        <w:t>cs of liberal democratic theory</w:t>
      </w:r>
      <w:r w:rsidRPr="00326592">
        <w:t xml:space="preserve"> and if people understand democracy in a liberal democratic manner, they </w:t>
      </w:r>
      <w:r>
        <w:t>will</w:t>
      </w:r>
      <w:r w:rsidRPr="00326592">
        <w:t xml:space="preserve"> score these characteristics highly. </w:t>
      </w:r>
    </w:p>
    <w:p w14:paraId="0BA93A8F" w14:textId="77777777" w:rsidR="00B77E5A" w:rsidRPr="00326592" w:rsidRDefault="00B77E5A" w:rsidP="00E223A2">
      <w:pPr>
        <w:pStyle w:val="Heading4"/>
      </w:pPr>
      <w:bookmarkStart w:id="139" w:name="_Toc441069191"/>
      <w:r w:rsidRPr="00326592">
        <w:t>People choose their leaders in free elections</w:t>
      </w:r>
      <w:bookmarkEnd w:id="139"/>
    </w:p>
    <w:p w14:paraId="76383AD7" w14:textId="24CD4D1F" w:rsidR="00B77E5A" w:rsidRPr="00326592" w:rsidRDefault="00B77E5A" w:rsidP="00D852C0">
      <w:r w:rsidRPr="00326592">
        <w:t xml:space="preserve">Without elaborating on exactly who </w:t>
      </w:r>
      <w:r w:rsidR="000D0A01">
        <w:t>the ‘we’ might be, Saward (2003, p.</w:t>
      </w:r>
      <w:r w:rsidRPr="00326592">
        <w:t xml:space="preserve">169) makes the general point that; “We are accustomed to thinking of democracy as standard liberal representative democracy, with elections as by far the most important device.” </w:t>
      </w:r>
      <w:r w:rsidR="00F83AA8">
        <w:t xml:space="preserve">I used this quote to open this chapter, as it makes a clear point on what we might expect to be at the core of any understanding of democracy. </w:t>
      </w:r>
      <w:r w:rsidR="008111C8">
        <w:t>A polity</w:t>
      </w:r>
      <w:r w:rsidR="008111C8" w:rsidRPr="00326592">
        <w:t xml:space="preserve"> </w:t>
      </w:r>
      <w:r w:rsidRPr="00326592">
        <w:t xml:space="preserve">cannot be a democratic system without a system of voting; even in the most elitist and minimalist definition of democracy, being able to vote representatives into government is considered a basic requirement (see Schumpeter 1947, and </w:t>
      </w:r>
      <w:r>
        <w:t>Chapter Two, Section 2.2</w:t>
      </w:r>
      <w:r w:rsidRPr="00326592">
        <w:t>).</w:t>
      </w:r>
    </w:p>
    <w:p w14:paraId="66364177" w14:textId="17B383CF" w:rsidR="00B77E5A" w:rsidRPr="00326592" w:rsidRDefault="00B77E5A" w:rsidP="00D852C0">
      <w:r w:rsidRPr="00326592">
        <w:t xml:space="preserve">It is during free and fair elections that power is wielded by the people, making </w:t>
      </w:r>
      <w:r w:rsidR="008111C8">
        <w:t>them</w:t>
      </w:r>
      <w:r w:rsidR="008111C8" w:rsidRPr="00326592">
        <w:t xml:space="preserve"> </w:t>
      </w:r>
      <w:r w:rsidRPr="00326592">
        <w:t>the central mechanism of accountability that differentiates d</w:t>
      </w:r>
      <w:r w:rsidR="00C85619">
        <w:t>emocracies from non-democracies;</w:t>
      </w:r>
      <w:r w:rsidRPr="00326592">
        <w:t xml:space="preserve"> it is a highly essential characteristic of democracy.</w:t>
      </w:r>
    </w:p>
    <w:p w14:paraId="4A7A59B5" w14:textId="77777777" w:rsidR="00B77E5A" w:rsidRPr="00F06F39" w:rsidRDefault="00B77E5A" w:rsidP="00E223A2">
      <w:pPr>
        <w:pStyle w:val="Heading4"/>
      </w:pPr>
      <w:bookmarkStart w:id="140" w:name="_Toc441069192"/>
      <w:r w:rsidRPr="00F06F39">
        <w:t>People can change the laws in referendums</w:t>
      </w:r>
      <w:bookmarkEnd w:id="140"/>
    </w:p>
    <w:p w14:paraId="52D048AC" w14:textId="31662C8B" w:rsidR="00B77E5A" w:rsidRPr="00326592" w:rsidRDefault="00B77E5A" w:rsidP="00D852C0">
      <w:r w:rsidRPr="00326592">
        <w:t xml:space="preserve">In theoretical terms, referendums sit between ideas of representative and direct democracy. Usually referendums are handed </w:t>
      </w:r>
      <w:r w:rsidRPr="00326592">
        <w:rPr>
          <w:i/>
          <w:iCs/>
        </w:rPr>
        <w:t>down</w:t>
      </w:r>
      <w:r w:rsidRPr="00326592">
        <w:t xml:space="preserve"> to citizens, with the topic and timing decided by government. However, citizen-lead initiatives are growing in popularity. Here, a policy suggestion supported by a number of signatures is passed </w:t>
      </w:r>
      <w:r w:rsidRPr="00326592">
        <w:rPr>
          <w:i/>
          <w:iCs/>
        </w:rPr>
        <w:t>up</w:t>
      </w:r>
      <w:r w:rsidRPr="00326592">
        <w:t xml:space="preserve"> to government, which is expected to at least raise and discuss the idea. Such proposals can then spawn a referendum (</w:t>
      </w:r>
      <w:r w:rsidR="00425390">
        <w:t>whilst</w:t>
      </w:r>
      <w:r w:rsidRPr="00326592">
        <w:t xml:space="preserve"> not at the national</w:t>
      </w:r>
      <w:r w:rsidR="00D7272C">
        <w:t xml:space="preserve"> </w:t>
      </w:r>
      <w:r w:rsidRPr="00326592">
        <w:t>level, in California this approach has led to almost 80 proposed referendums in the last century, with 48 qualifying and run, and 20 being approved by voters)</w:t>
      </w:r>
      <w:r w:rsidR="009E79B8">
        <w:t>.</w:t>
      </w:r>
      <w:r w:rsidRPr="00AD1B56">
        <w:rPr>
          <w:rStyle w:val="FootnoteReference"/>
        </w:rPr>
        <w:footnoteReference w:id="9"/>
      </w:r>
    </w:p>
    <w:p w14:paraId="1B80D91C" w14:textId="58B4E378" w:rsidR="00B77E5A" w:rsidRPr="00326592" w:rsidRDefault="00B77E5A" w:rsidP="00D852C0">
      <w:r w:rsidRPr="00326592">
        <w:t xml:space="preserve">Compared to elections, there are issues particular to referendums which make it trickier to judge how essential they are as a characteristic of liberal democracy. </w:t>
      </w:r>
      <w:r w:rsidR="008679CE">
        <w:t>Three</w:t>
      </w:r>
      <w:r w:rsidRPr="00326592">
        <w:t xml:space="preserve"> issues are highlighted here, using examples from two parliamentary democracies, the UK and New Zealand. There are clearly differences between referendums and elections, but also variability between the countries for these issues too. When compared to general elections, referendums are</w:t>
      </w:r>
      <w:r w:rsidR="00D7272C">
        <w:t>:</w:t>
      </w:r>
    </w:p>
    <w:p w14:paraId="3915CCDB" w14:textId="3F8B65FF" w:rsidR="00B77E5A" w:rsidRPr="00326592" w:rsidRDefault="00B77E5A" w:rsidP="002032DF">
      <w:pPr>
        <w:pStyle w:val="ListParagraph"/>
        <w:numPr>
          <w:ilvl w:val="0"/>
          <w:numId w:val="12"/>
        </w:numPr>
      </w:pPr>
      <w:r w:rsidRPr="00326592">
        <w:t>Usually rarer: at the national-level, New Zealand has held ten an</w:t>
      </w:r>
      <w:r w:rsidR="00425390">
        <w:t xml:space="preserve">d the UK has only held </w:t>
      </w:r>
      <w:r w:rsidR="009E79B8">
        <w:t>three</w:t>
      </w:r>
      <w:r w:rsidR="00425390">
        <w:t xml:space="preserve"> (</w:t>
      </w:r>
      <w:r w:rsidR="009E79B8">
        <w:t>with the most recent being</w:t>
      </w:r>
      <w:r w:rsidR="00425390">
        <w:t xml:space="preserve"> 23 June 2016).</w:t>
      </w:r>
    </w:p>
    <w:p w14:paraId="5F612AA4" w14:textId="77777777" w:rsidR="00B77E5A" w:rsidRPr="00326592" w:rsidRDefault="00B77E5A" w:rsidP="002032DF">
      <w:pPr>
        <w:pStyle w:val="ListParagraph"/>
        <w:numPr>
          <w:ilvl w:val="0"/>
          <w:numId w:val="12"/>
        </w:numPr>
      </w:pPr>
      <w:r w:rsidRPr="00326592">
        <w:t>More variable in how much they capture public interest; in 1993 the second-stage of the New Zealand referendum on changing the electoral system attracted an 83% turnout, whereas the 2011 UK referendum on electoral change attracted a turnout of 42%.</w:t>
      </w:r>
    </w:p>
    <w:p w14:paraId="2DADB21E" w14:textId="77777777" w:rsidR="00B77E5A" w:rsidRPr="00326592" w:rsidRDefault="00B77E5A" w:rsidP="002032DF">
      <w:pPr>
        <w:pStyle w:val="ListParagraph"/>
        <w:numPr>
          <w:ilvl w:val="0"/>
          <w:numId w:val="12"/>
        </w:numPr>
      </w:pPr>
      <w:r w:rsidRPr="00326592">
        <w:t>On narrower topics; some are more technical and institutional, such as electoral change, but some are more involving, such as abortions, same-sex marriage or independence.</w:t>
      </w:r>
    </w:p>
    <w:p w14:paraId="7B96E8E2" w14:textId="2BB2669C" w:rsidR="00B77E5A" w:rsidRPr="00326592" w:rsidRDefault="00B77E5A" w:rsidP="00D852C0">
      <w:r>
        <w:t>Whilst not as pivotal to democratic systems as a general election,</w:t>
      </w:r>
      <w:r w:rsidRPr="00326592">
        <w:t xml:space="preserve"> referendums are popul</w:t>
      </w:r>
      <w:r w:rsidR="000D0A01">
        <w:t xml:space="preserve">ar with the public. </w:t>
      </w:r>
      <w:r w:rsidR="000D0A01">
        <w:fldChar w:fldCharType="begin" w:fldLock="1"/>
      </w:r>
      <w:r w:rsidR="00E63CC6">
        <w:instrText>ADDIN CSL_CITATION { "citationItems" : [ { "id" : "ITEM-1", "itemData" : { "author" : [ { "dropping-particle" : "", "family" : "Bowler", "given" : "Shaun", "non-dropping-particle" : "", "parse-names" : false, "suffix" : "" }, { "dropping-particle" : "", "family" : "Donovan", "given" : "Todd", "non-dropping-particle" : "", "parse-names" : false, "suffix" : "" }, { "dropping-particle" : "", "family" : "Karp", "given" : "Jeffrey A", "non-dropping-particle" : "", "parse-names" : false, "suffix" : "" } ], "container-title" : "Political Research Quarterly", "id" : "ITEM-1", "issue" : "3", "issued" : { "date-parts" : [ [ "2007" ] ] }, "page" : "351-362", "title" : "Enraged or Engaged? Preferences for Direct Citizen Participation in Affluent Democracies", "type" : "article-journal", "volume" : "60" }, "uris" : [ "http://www.mendeley.com/documents/?uuid=1f7e50d0-7c06-4e29-a9f4-72e52e162a72" ] } ], "mendeley" : { "formattedCitation" : "(Bowler, Donovan and Karp, 2007)", "manualFormatting" : "Bowler et al (2007)", "plainTextFormattedCitation" : "(Bowler, Donovan and Karp, 2007)", "previouslyFormattedCitation" : "(Bowler, Donovan and Karp, 2007)" }, "properties" : { "noteIndex" : 0 }, "schema" : "https://github.com/citation-style-language/schema/raw/master/csl-citation.json" }</w:instrText>
      </w:r>
      <w:r w:rsidR="000D0A01">
        <w:fldChar w:fldCharType="separate"/>
      </w:r>
      <w:r w:rsidR="000D0A01" w:rsidRPr="000D0A01">
        <w:rPr>
          <w:noProof/>
        </w:rPr>
        <w:t xml:space="preserve">Bowler </w:t>
      </w:r>
      <w:r w:rsidR="00803848">
        <w:rPr>
          <w:noProof/>
        </w:rPr>
        <w:t>et al</w:t>
      </w:r>
      <w:r w:rsidR="000D0A01" w:rsidRPr="000D0A01">
        <w:rPr>
          <w:noProof/>
        </w:rPr>
        <w:t xml:space="preserve"> </w:t>
      </w:r>
      <w:r w:rsidR="000D0A01">
        <w:rPr>
          <w:noProof/>
        </w:rPr>
        <w:t>(</w:t>
      </w:r>
      <w:r w:rsidR="000D0A01" w:rsidRPr="000D0A01">
        <w:rPr>
          <w:noProof/>
        </w:rPr>
        <w:t>2007)</w:t>
      </w:r>
      <w:r w:rsidR="000D0A01">
        <w:fldChar w:fldCharType="end"/>
      </w:r>
      <w:r w:rsidRPr="00326592">
        <w:t xml:space="preserve"> found that, in 14 out of the 16 affluent democracies they looked at, the majority of those surveyed supported the idea of referendums. Where support was not in the majority, attitudes were ambivalent rat</w:t>
      </w:r>
      <w:r w:rsidR="000D0A01">
        <w:t>her than negative. Saward (2003, p.</w:t>
      </w:r>
      <w:r w:rsidRPr="00326592">
        <w:t>168) argues that the ‘direct’ nature of a referendum is appealing to citizens because, compared to general elections:</w:t>
      </w:r>
    </w:p>
    <w:p w14:paraId="67712AF3" w14:textId="77777777" w:rsidR="00B77E5A" w:rsidRPr="00D852C0" w:rsidRDefault="00B77E5A" w:rsidP="00D852C0">
      <w:pPr>
        <w:pStyle w:val="Quote"/>
      </w:pPr>
      <w:r w:rsidRPr="00326592">
        <w:t>“…the device of the referendum offers a broader and more radical interpretation or enactment of the principle of political equality, since it bypasses a more-than-equal group of representatives, placing power instead in the hands or the votes of the primary community of citizens.”</w:t>
      </w:r>
    </w:p>
    <w:p w14:paraId="7B898810" w14:textId="77A7F5C0" w:rsidR="00B77E5A" w:rsidRPr="00326592" w:rsidRDefault="00B77E5A" w:rsidP="00D852C0">
      <w:r w:rsidRPr="00326592">
        <w:t xml:space="preserve">Bowler </w:t>
      </w:r>
      <w:r w:rsidR="00803848">
        <w:t>et al</w:t>
      </w:r>
      <w:r w:rsidRPr="00326592">
        <w:t xml:space="preserve"> (2007) argue that referendums are not seen as about becoming full participatory citizens, but rather as ‘instructive’ mechanisms that allow citizens to ‘keep watch’ on government. They are, “a tool for making delegates in the legislature adhere more closely to constituents' preferences”, not necessarily for constituent’s themselves to get their hands dirty (</w:t>
      </w:r>
      <w:r w:rsidR="00425390">
        <w:t>i</w:t>
      </w:r>
      <w:r w:rsidR="000D0A01" w:rsidRPr="00425390">
        <w:t>bid</w:t>
      </w:r>
      <w:r w:rsidR="000D0A01">
        <w:rPr>
          <w:i/>
        </w:rPr>
        <w:t>,</w:t>
      </w:r>
      <w:r w:rsidRPr="00326592">
        <w:t xml:space="preserve"> </w:t>
      </w:r>
      <w:r w:rsidR="000D0A01">
        <w:t>p.</w:t>
      </w:r>
      <w:r w:rsidRPr="00326592">
        <w:t xml:space="preserve">361). </w:t>
      </w:r>
    </w:p>
    <w:p w14:paraId="6635BB35" w14:textId="53F57B83" w:rsidR="00B77E5A" w:rsidRPr="00326592" w:rsidRDefault="00B77E5A" w:rsidP="00D852C0">
      <w:r w:rsidRPr="00326592">
        <w:t>In sum, referendums are arguably not completely essential in the way that elections are, as a democracy could exist without having them. However, they provide a deeper conception of democracy and a mechanism for providing checks and balances on government policy, in a more specified way than a ‘wholesale’ electoral vote might.</w:t>
      </w:r>
    </w:p>
    <w:p w14:paraId="365BC196" w14:textId="77777777" w:rsidR="00B77E5A" w:rsidRPr="00EB5757" w:rsidRDefault="00B77E5A" w:rsidP="00E223A2">
      <w:pPr>
        <w:pStyle w:val="Heading4"/>
      </w:pPr>
      <w:bookmarkStart w:id="141" w:name="_Toc441069193"/>
      <w:r w:rsidRPr="00EB5757">
        <w:t>Civil rights protect people’s liberty against repression</w:t>
      </w:r>
      <w:bookmarkEnd w:id="141"/>
    </w:p>
    <w:p w14:paraId="791E6F74" w14:textId="77777777" w:rsidR="00B77E5A" w:rsidRPr="00326592" w:rsidRDefault="00B77E5A" w:rsidP="00B77E5A">
      <w:pPr>
        <w:rPr>
          <w:szCs w:val="24"/>
        </w:rPr>
      </w:pPr>
      <w:r w:rsidRPr="00326592">
        <w:rPr>
          <w:szCs w:val="24"/>
        </w:rPr>
        <w:t xml:space="preserve">Since voting is a central element of liberal democratic theory, there needs to be discussion around the idea that citizens should have access to, and protection of, this act. </w:t>
      </w:r>
      <w:r w:rsidRPr="00326592">
        <w:rPr>
          <w:iCs/>
          <w:szCs w:val="24"/>
        </w:rPr>
        <w:t>If there is no guarantee of protection against violence or coercion when casting a vote then an election cannot be considered free and fair (as the election characteristic makes clear). International observers regularly question the integrity of elections around the world: notable cases from this dataset include Russian in December 2011, Iraq in March 2010 and Jordan in 2009.</w:t>
      </w:r>
    </w:p>
    <w:p w14:paraId="1FA6BEC9" w14:textId="1D9E8533" w:rsidR="00B77E5A" w:rsidRPr="00326592" w:rsidRDefault="00B77E5A" w:rsidP="00B77E5A">
      <w:pPr>
        <w:rPr>
          <w:szCs w:val="24"/>
        </w:rPr>
      </w:pPr>
      <w:r w:rsidRPr="00326592">
        <w:rPr>
          <w:iCs/>
          <w:szCs w:val="24"/>
        </w:rPr>
        <w:t>Alternatively,</w:t>
      </w:r>
      <w:r w:rsidR="004D6A4F">
        <w:rPr>
          <w:iCs/>
          <w:szCs w:val="24"/>
        </w:rPr>
        <w:t xml:space="preserve"> if the public are technically </w:t>
      </w:r>
      <w:r w:rsidRPr="00326592">
        <w:rPr>
          <w:iCs/>
          <w:szCs w:val="24"/>
        </w:rPr>
        <w:t xml:space="preserve">able to go and vote, yet face repression in every other sphere of their lives, it would be disingenuous to describe the system as democratic; such a system is better described as ‘electoral authoritarianism’ </w:t>
      </w:r>
      <w:r w:rsidR="000D0A01">
        <w:rPr>
          <w:iCs/>
          <w:szCs w:val="24"/>
        </w:rPr>
        <w:fldChar w:fldCharType="begin" w:fldLock="1"/>
      </w:r>
      <w:r w:rsidR="00E63CC6">
        <w:rPr>
          <w:iCs/>
          <w:szCs w:val="24"/>
        </w:rPr>
        <w:instrText>ADDIN CSL_CITATION { "citationItems" : [ { "id" : "ITEM-1", "itemData" : { "DOI" : "10.1353/jod.2002.0026", "ISBN" : "978-0521709156", "ISSN" : "1086-3214", "abstract" : "Discusses regime in which formal democratic institutions are widely viewed as the principal means of obtaining and exercising political authority; focus on four areas: electoral, legislative, judicial, and media. Included in a collection of articles under the overall title, \"Elections without democracy.", "author" : [ { "dropping-particle" : "", "family" : "Levitsky", "given" : "Steven", "non-dropping-particle" : "", "parse-names" : false, "suffix" : "" }, { "dropping-particle" : "", "family" : "Way", "given" : "Lucan", "non-dropping-particle" : "", "parse-names" : false, "suffix" : "" } ], "container-title" : "Journal of Democracy", "id" : "ITEM-1", "issue" : "2", "issued" : { "date-parts" : [ [ "2002" ] ] }, "page" : "51-65", "title" : "The Rise of Competitive Authoritarianism", "type" : "article-journal", "volume" : "13" }, "uris" : [ "http://www.mendeley.com/documents/?uuid=f77c9865-78dc-4a84-8aa4-dc694d86c601" ] } ], "mendeley" : { "formattedCitation" : "(Levitsky and Way, 2002)", "plainTextFormattedCitation" : "(Levitsky and Way, 2002)", "previouslyFormattedCitation" : "(Levitsky and Way, 2002)" }, "properties" : { "noteIndex" : 0 }, "schema" : "https://github.com/citation-style-language/schema/raw/master/csl-citation.json" }</w:instrText>
      </w:r>
      <w:r w:rsidR="000D0A01">
        <w:rPr>
          <w:iCs/>
          <w:szCs w:val="24"/>
        </w:rPr>
        <w:fldChar w:fldCharType="separate"/>
      </w:r>
      <w:r w:rsidR="00E63CC6" w:rsidRPr="00E63CC6">
        <w:rPr>
          <w:iCs/>
          <w:noProof/>
          <w:szCs w:val="24"/>
        </w:rPr>
        <w:t>(Levitsky and Way, 2002)</w:t>
      </w:r>
      <w:r w:rsidR="000D0A01">
        <w:rPr>
          <w:iCs/>
          <w:szCs w:val="24"/>
        </w:rPr>
        <w:fldChar w:fldCharType="end"/>
      </w:r>
      <w:r w:rsidRPr="00326592">
        <w:rPr>
          <w:iCs/>
          <w:szCs w:val="24"/>
        </w:rPr>
        <w:t>. This is where the characteristic that ‘</w:t>
      </w:r>
      <w:r w:rsidRPr="00326592">
        <w:rPr>
          <w:i/>
          <w:szCs w:val="24"/>
        </w:rPr>
        <w:t>civil rights protect people’s liberty against repression</w:t>
      </w:r>
      <w:r w:rsidRPr="00326592">
        <w:rPr>
          <w:iCs/>
          <w:szCs w:val="24"/>
        </w:rPr>
        <w:t>’ fits into liberal democratic theory.</w:t>
      </w:r>
    </w:p>
    <w:p w14:paraId="5AF1F26B" w14:textId="73774BCB" w:rsidR="00B77E5A" w:rsidRPr="00326592" w:rsidRDefault="00B77E5A" w:rsidP="00B77E5A">
      <w:pPr>
        <w:rPr>
          <w:szCs w:val="24"/>
        </w:rPr>
      </w:pPr>
      <w:r w:rsidRPr="00326592">
        <w:rPr>
          <w:szCs w:val="24"/>
        </w:rPr>
        <w:t>The details of how civil rights are integral to liberal democracy are discussed in the literature review, and so won’t be repeated in detail here. A concise rem</w:t>
      </w:r>
      <w:r w:rsidR="000D0A01">
        <w:rPr>
          <w:szCs w:val="24"/>
        </w:rPr>
        <w:t>inder is provided by Held (1996, pp.</w:t>
      </w:r>
      <w:r w:rsidRPr="00326592">
        <w:rPr>
          <w:szCs w:val="24"/>
        </w:rPr>
        <w:t xml:space="preserve">81-82) in his discussion of how </w:t>
      </w:r>
      <w:r w:rsidR="00425390">
        <w:rPr>
          <w:szCs w:val="24"/>
        </w:rPr>
        <w:t>Locke’s philosophical arguments</w:t>
      </w:r>
    </w:p>
    <w:p w14:paraId="42A3A002" w14:textId="7597F34C" w:rsidR="00425390" w:rsidRPr="004D6A4F" w:rsidRDefault="00B77E5A" w:rsidP="004D6A4F">
      <w:pPr>
        <w:pStyle w:val="Quote"/>
      </w:pPr>
      <w:r w:rsidRPr="00326592">
        <w:t>“…helped inaugurate one of the most central t</w:t>
      </w:r>
      <w:r w:rsidR="00FE71BF">
        <w:t>ene</w:t>
      </w:r>
      <w:r w:rsidRPr="00326592">
        <w:t>ts of European liberalism; that is, that government exists to safeguard the rights and liberties of citizens who are ultimately the best judges of their own interests; and that accordingly government must be restricted in scope and constrained in practice in order to ensure the maximum possible freedom of every citizen.”</w:t>
      </w:r>
    </w:p>
    <w:p w14:paraId="67DB143C" w14:textId="60E45AFF" w:rsidR="00B77E5A" w:rsidRPr="00326592" w:rsidRDefault="00FE71BF" w:rsidP="00B77E5A">
      <w:pPr>
        <w:rPr>
          <w:szCs w:val="24"/>
        </w:rPr>
      </w:pPr>
      <w:r>
        <w:rPr>
          <w:szCs w:val="24"/>
        </w:rPr>
        <w:t>Yet</w:t>
      </w:r>
      <w:r w:rsidR="00B77E5A" w:rsidRPr="00326592">
        <w:rPr>
          <w:szCs w:val="24"/>
        </w:rPr>
        <w:t xml:space="preserve"> there is a tension between the mechanisms of democracy, particularly its focus o</w:t>
      </w:r>
      <w:r w:rsidR="00B77E5A">
        <w:rPr>
          <w:szCs w:val="24"/>
        </w:rPr>
        <w:t>n equal individuals (see</w:t>
      </w:r>
      <w:r w:rsidR="00B77E5A" w:rsidRPr="00BA0ACA">
        <w:rPr>
          <w:szCs w:val="24"/>
        </w:rPr>
        <w:t xml:space="preserve"> </w:t>
      </w:r>
      <w:r w:rsidR="000D0A01">
        <w:rPr>
          <w:szCs w:val="24"/>
        </w:rPr>
        <w:t>Satori 1989, p.</w:t>
      </w:r>
      <w:r w:rsidR="00B77E5A" w:rsidRPr="00326592">
        <w:rPr>
          <w:szCs w:val="24"/>
        </w:rPr>
        <w:t>386</w:t>
      </w:r>
      <w:r w:rsidR="00425390">
        <w:rPr>
          <w:szCs w:val="24"/>
        </w:rPr>
        <w:t xml:space="preserve"> and Chapter 2, S</w:t>
      </w:r>
      <w:r w:rsidR="00B77E5A">
        <w:rPr>
          <w:szCs w:val="24"/>
        </w:rPr>
        <w:t>ection 2.2, in particular the section on Liberal Democracy). A</w:t>
      </w:r>
      <w:r w:rsidR="000D0A01">
        <w:rPr>
          <w:szCs w:val="24"/>
        </w:rPr>
        <w:t>s Held (1996, p.</w:t>
      </w:r>
      <w:r w:rsidR="00B77E5A" w:rsidRPr="00326592">
        <w:rPr>
          <w:szCs w:val="24"/>
        </w:rPr>
        <w:t>80) further notes, Locke is clear that:</w:t>
      </w:r>
    </w:p>
    <w:p w14:paraId="69C71435" w14:textId="4052C629" w:rsidR="00B77E5A" w:rsidRPr="004D6A4F" w:rsidRDefault="00B77E5A" w:rsidP="004D6A4F">
      <w:pPr>
        <w:pStyle w:val="Quote"/>
      </w:pPr>
      <w:r w:rsidRPr="00326592">
        <w:t>“…authority is bestowed by individuals in society on government for pursuing the ends of the governed; and should these ends fail to be represented adequately, the final judges are the people – the citizens – who can dispense both with their duties and, if need be, with the existing form of government itself.”</w:t>
      </w:r>
    </w:p>
    <w:p w14:paraId="155F1218" w14:textId="32FE9268" w:rsidR="00B77E5A" w:rsidRPr="00326592" w:rsidRDefault="00B77E5A" w:rsidP="00B77E5A">
      <w:pPr>
        <w:rPr>
          <w:szCs w:val="24"/>
        </w:rPr>
      </w:pPr>
      <w:r w:rsidRPr="00326592">
        <w:rPr>
          <w:szCs w:val="24"/>
        </w:rPr>
        <w:t>In a liberal democracy</w:t>
      </w:r>
      <w:r w:rsidR="00D7272C">
        <w:rPr>
          <w:szCs w:val="24"/>
        </w:rPr>
        <w:t>,</w:t>
      </w:r>
      <w:r w:rsidRPr="00326592">
        <w:rPr>
          <w:szCs w:val="24"/>
        </w:rPr>
        <w:t xml:space="preserve"> then, a citizen must have rights that free them from any government repression. And this is particularly so when it comes to political participation</w:t>
      </w:r>
      <w:r w:rsidR="00153DD6">
        <w:rPr>
          <w:szCs w:val="24"/>
        </w:rPr>
        <w:t>, freedom of expression and freedom of organisation</w:t>
      </w:r>
      <w:r w:rsidRPr="00326592">
        <w:rPr>
          <w:szCs w:val="24"/>
        </w:rPr>
        <w:t xml:space="preserve">, because </w:t>
      </w:r>
      <w:r w:rsidR="00153DD6">
        <w:rPr>
          <w:szCs w:val="24"/>
        </w:rPr>
        <w:t>these types of</w:t>
      </w:r>
      <w:r w:rsidRPr="00326592">
        <w:rPr>
          <w:szCs w:val="24"/>
        </w:rPr>
        <w:t xml:space="preserve"> political participatio</w:t>
      </w:r>
      <w:r w:rsidR="00153DD6">
        <w:rPr>
          <w:szCs w:val="24"/>
        </w:rPr>
        <w:t>n help keep</w:t>
      </w:r>
      <w:r w:rsidRPr="00326592">
        <w:rPr>
          <w:szCs w:val="24"/>
        </w:rPr>
        <w:t xml:space="preserve"> government</w:t>
      </w:r>
      <w:r w:rsidR="00153DD6">
        <w:rPr>
          <w:szCs w:val="24"/>
        </w:rPr>
        <w:t>s</w:t>
      </w:r>
      <w:r w:rsidRPr="00326592">
        <w:rPr>
          <w:szCs w:val="24"/>
        </w:rPr>
        <w:t xml:space="preserve"> in check. Civil rights understood in this manner</w:t>
      </w:r>
      <w:r w:rsidR="00FE71BF">
        <w:rPr>
          <w:szCs w:val="24"/>
        </w:rPr>
        <w:t xml:space="preserve"> </w:t>
      </w:r>
      <w:r w:rsidRPr="00326592">
        <w:rPr>
          <w:szCs w:val="24"/>
        </w:rPr>
        <w:t>are</w:t>
      </w:r>
      <w:r w:rsidR="00C85619">
        <w:rPr>
          <w:szCs w:val="24"/>
        </w:rPr>
        <w:t xml:space="preserve"> </w:t>
      </w:r>
      <w:r w:rsidRPr="00326592">
        <w:rPr>
          <w:szCs w:val="24"/>
        </w:rPr>
        <w:t>essential characteristics of democracy.</w:t>
      </w:r>
    </w:p>
    <w:p w14:paraId="7B45D837" w14:textId="77777777" w:rsidR="00B77E5A" w:rsidRPr="00494731" w:rsidRDefault="00B77E5A" w:rsidP="00E223A2">
      <w:pPr>
        <w:pStyle w:val="Heading4"/>
      </w:pPr>
      <w:bookmarkStart w:id="142" w:name="_Toc441069194"/>
      <w:r w:rsidRPr="00494731">
        <w:t>Women have the same rights as men</w:t>
      </w:r>
      <w:bookmarkEnd w:id="142"/>
    </w:p>
    <w:p w14:paraId="4184AA58" w14:textId="15D345F6" w:rsidR="00B77E5A" w:rsidRPr="00326592" w:rsidRDefault="00B77E5A" w:rsidP="00B77E5A">
      <w:pPr>
        <w:rPr>
          <w:szCs w:val="24"/>
        </w:rPr>
      </w:pPr>
      <w:r w:rsidRPr="00326592">
        <w:rPr>
          <w:szCs w:val="24"/>
        </w:rPr>
        <w:t xml:space="preserve">In the literature review, it is made clear from </w:t>
      </w:r>
      <w:r w:rsidR="00D7272C" w:rsidRPr="00326592">
        <w:rPr>
          <w:szCs w:val="24"/>
        </w:rPr>
        <w:t>Woll</w:t>
      </w:r>
      <w:r w:rsidR="00D7272C">
        <w:rPr>
          <w:szCs w:val="24"/>
        </w:rPr>
        <w:t>stonecraft</w:t>
      </w:r>
      <w:r w:rsidR="000D0A01">
        <w:rPr>
          <w:szCs w:val="24"/>
        </w:rPr>
        <w:t xml:space="preserve"> </w:t>
      </w:r>
      <w:r w:rsidR="000D0A01">
        <w:rPr>
          <w:szCs w:val="24"/>
        </w:rPr>
        <w:fldChar w:fldCharType="begin" w:fldLock="1"/>
      </w:r>
      <w:r w:rsidR="00E63CC6">
        <w:rPr>
          <w:szCs w:val="24"/>
        </w:rPr>
        <w:instrText>ADDIN CSL_CITATION { "citationItems" : [ { "id" : "ITEM-1", "itemData" : { "author" : [ { "dropping-particle" : "", "family" : "Wollstonecraft", "given" : "Mary", "non-dropping-particle" : "", "parse-names" : false, "suffix" : "" } ], "editor" : [ { "dropping-particle" : "", "family" : "Lynch", "given" : "Deidre Shauna", "non-dropping-particle" : "", "parse-names" : false, "suffix" : "" } ], "id" : "ITEM-1", "issued" : { "date-parts" : [ [ "1792" ] ] }, "publisher" : "Penguin", "publisher-place" : "Harmondsworth", "title" : "A Vindication of the Rights of Woman", "type" : "book" }, "uris" : [ "http://www.mendeley.com/documents/?uuid=c74fe425-a926-49e2-aad3-947f458ed1e3" ] } ], "mendeley" : { "formattedCitation" : "(Wollstonecraft, 1792)", "manualFormatting" : "(1792)", "plainTextFormattedCitation" : "(Wollstonecraft, 1792)", "previouslyFormattedCitation" : "(Wollstonecraft, 1792)" }, "properties" : { "noteIndex" : 0 }, "schema" : "https://github.com/citation-style-language/schema/raw/master/csl-citation.json" }</w:instrText>
      </w:r>
      <w:r w:rsidR="000D0A01">
        <w:rPr>
          <w:szCs w:val="24"/>
        </w:rPr>
        <w:fldChar w:fldCharType="separate"/>
      </w:r>
      <w:r w:rsidR="000D0A01" w:rsidRPr="000D0A01">
        <w:rPr>
          <w:noProof/>
          <w:szCs w:val="24"/>
        </w:rPr>
        <w:t>(1792)</w:t>
      </w:r>
      <w:r w:rsidR="000D0A01">
        <w:rPr>
          <w:szCs w:val="24"/>
        </w:rPr>
        <w:fldChar w:fldCharType="end"/>
      </w:r>
      <w:r w:rsidRPr="00326592">
        <w:rPr>
          <w:szCs w:val="24"/>
        </w:rPr>
        <w:t xml:space="preserve"> through to Mill (1898) and </w:t>
      </w:r>
      <w:r w:rsidR="007E7EDB">
        <w:rPr>
          <w:szCs w:val="24"/>
        </w:rPr>
        <w:t xml:space="preserve">with the works of </w:t>
      </w:r>
      <w:r w:rsidRPr="00326592">
        <w:rPr>
          <w:szCs w:val="24"/>
        </w:rPr>
        <w:t xml:space="preserve">Pateman </w:t>
      </w:r>
      <w:r w:rsidR="000D0A01">
        <w:rPr>
          <w:szCs w:val="24"/>
        </w:rPr>
        <w:fldChar w:fldCharType="begin" w:fldLock="1"/>
      </w:r>
      <w:r w:rsidR="00E63CC6">
        <w:rPr>
          <w:szCs w:val="24"/>
        </w:rPr>
        <w:instrText>ADDIN CSL_CITATION { "citationItems" : [ { "id" : "ITEM-1", "itemData" : { "author" : [ { "dropping-particle" : "", "family" : "Pateman", "given" : "Carole", "non-dropping-particle" : "", "parse-names" : false, "suffix" : "" } ], "id" : "ITEM-1", "issued" : { "date-parts" : [ [ "1970" ] ] }, "publisher" : "Cambridge University Press", "publisher-place" : "Cambridge", "title" : "Participation and Democratic Theory", "type" : "book" }, "uris" : [ "http://www.mendeley.com/documents/?uuid=545c653c-d525-42eb-8eee-38a13c6874e9" ] }, { "id" : "ITEM-2", "itemData" : { "author" : [ { "dropping-particle" : "", "family" : "Pateman", "given" : "Carole", "non-dropping-particle" : "", "parse-names" : false, "suffix" : "" } ], "id" : "ITEM-2", "issued" : { "date-parts" : [ [ "1988" ] ] }, "publisher" : "Polity Press", "publisher-place" : "Cambridge", "title" : "The Sexual Contract", "type" : "book" }, "uris" : [ "http://www.mendeley.com/documents/?uuid=a7a4f12d-66dc-4c0d-a8ce-3df8f12b7051" ] } ], "mendeley" : { "formattedCitation" : "(Pateman, 1970, 1988)", "manualFormatting" : "(1970; 1988)", "plainTextFormattedCitation" : "(Pateman, 1970, 1988)", "previouslyFormattedCitation" : "(Pateman, 1970, 1988)" }, "properties" : { "noteIndex" : 0 }, "schema" : "https://github.com/citation-style-language/schema/raw/master/csl-citation.json" }</w:instrText>
      </w:r>
      <w:r w:rsidR="000D0A01">
        <w:rPr>
          <w:szCs w:val="24"/>
        </w:rPr>
        <w:fldChar w:fldCharType="separate"/>
      </w:r>
      <w:r w:rsidR="000D0A01" w:rsidRPr="000D0A01">
        <w:rPr>
          <w:noProof/>
          <w:szCs w:val="24"/>
        </w:rPr>
        <w:t>(1970; 1988)</w:t>
      </w:r>
      <w:r w:rsidR="000D0A01">
        <w:rPr>
          <w:szCs w:val="24"/>
        </w:rPr>
        <w:fldChar w:fldCharType="end"/>
      </w:r>
      <w:r w:rsidR="007E7EDB">
        <w:rPr>
          <w:szCs w:val="24"/>
        </w:rPr>
        <w:t xml:space="preserve">, </w:t>
      </w:r>
      <w:r w:rsidR="00E87007">
        <w:rPr>
          <w:szCs w:val="24"/>
        </w:rPr>
        <w:t>Phillips</w:t>
      </w:r>
      <w:r w:rsidR="007E7EDB">
        <w:rPr>
          <w:szCs w:val="24"/>
        </w:rPr>
        <w:t xml:space="preserve"> (1992a), and Young (1989),</w:t>
      </w:r>
      <w:r w:rsidRPr="00326592">
        <w:rPr>
          <w:szCs w:val="24"/>
        </w:rPr>
        <w:t xml:space="preserve"> that the role of men and women in liberal democratic theory is open to criticism on a number of fronts. Much of this critique concerns the historical </w:t>
      </w:r>
      <w:r w:rsidR="001E3FD2">
        <w:rPr>
          <w:szCs w:val="24"/>
        </w:rPr>
        <w:t>conceptualis</w:t>
      </w:r>
      <w:r w:rsidRPr="00326592">
        <w:rPr>
          <w:szCs w:val="24"/>
        </w:rPr>
        <w:t xml:space="preserve">ation of civil rights </w:t>
      </w:r>
      <w:r w:rsidR="003639BD">
        <w:rPr>
          <w:szCs w:val="24"/>
        </w:rPr>
        <w:t>and their relationship</w:t>
      </w:r>
      <w:r w:rsidRPr="00326592">
        <w:rPr>
          <w:szCs w:val="24"/>
        </w:rPr>
        <w:t xml:space="preserve"> </w:t>
      </w:r>
      <w:r w:rsidR="003639BD">
        <w:rPr>
          <w:szCs w:val="24"/>
        </w:rPr>
        <w:t xml:space="preserve">with </w:t>
      </w:r>
      <w:r w:rsidRPr="00326592">
        <w:rPr>
          <w:szCs w:val="24"/>
        </w:rPr>
        <w:t>the state and</w:t>
      </w:r>
      <w:r w:rsidR="003639BD">
        <w:rPr>
          <w:szCs w:val="24"/>
        </w:rPr>
        <w:t xml:space="preserve"> the subsequent impact of this relationship on</w:t>
      </w:r>
      <w:r w:rsidRPr="00326592">
        <w:rPr>
          <w:szCs w:val="24"/>
        </w:rPr>
        <w:t xml:space="preserve"> the public/private sphere. Yet, in principle, the notion of equal rights to participate in democracy means that women </w:t>
      </w:r>
      <w:r w:rsidRPr="00326592">
        <w:rPr>
          <w:i/>
          <w:szCs w:val="24"/>
        </w:rPr>
        <w:t>should</w:t>
      </w:r>
      <w:r w:rsidRPr="00326592">
        <w:rPr>
          <w:szCs w:val="24"/>
        </w:rPr>
        <w:t xml:space="preserve"> have the same rights as men. Whilst the liberal </w:t>
      </w:r>
      <w:r w:rsidR="001E3FD2">
        <w:rPr>
          <w:szCs w:val="24"/>
        </w:rPr>
        <w:t>conceptualis</w:t>
      </w:r>
      <w:r w:rsidRPr="00326592">
        <w:rPr>
          <w:szCs w:val="24"/>
        </w:rPr>
        <w:t xml:space="preserve">ation problematizes this issue, even then, theoretically, individuals should be protected </w:t>
      </w:r>
      <w:r w:rsidR="00D7272C" w:rsidRPr="00326592">
        <w:rPr>
          <w:szCs w:val="24"/>
        </w:rPr>
        <w:t xml:space="preserve">equally </w:t>
      </w:r>
      <w:r w:rsidRPr="00326592">
        <w:rPr>
          <w:szCs w:val="24"/>
        </w:rPr>
        <w:t xml:space="preserve">by civil rights. Accordingly, the prediction is that citizens should score this characteristic of democracy as highly essential. </w:t>
      </w:r>
    </w:p>
    <w:p w14:paraId="1987CF42" w14:textId="77777777" w:rsidR="00B77E5A" w:rsidRPr="00E223A2" w:rsidRDefault="00B77E5A" w:rsidP="00E223A2">
      <w:pPr>
        <w:pStyle w:val="Heading3"/>
      </w:pPr>
      <w:bookmarkStart w:id="143" w:name="_Toc380995529"/>
      <w:bookmarkStart w:id="144" w:name="_Toc381100503"/>
      <w:bookmarkStart w:id="145" w:name="_Toc381717089"/>
      <w:bookmarkStart w:id="146" w:name="_Toc441069195"/>
      <w:r w:rsidRPr="00E223A2">
        <w:t>Instrumental Characteristics</w:t>
      </w:r>
      <w:bookmarkEnd w:id="143"/>
      <w:bookmarkEnd w:id="144"/>
      <w:bookmarkEnd w:id="145"/>
      <w:bookmarkEnd w:id="146"/>
    </w:p>
    <w:p w14:paraId="0A26CFED" w14:textId="033A489A" w:rsidR="00B77E5A" w:rsidRDefault="00B77E5A" w:rsidP="00B77E5A">
      <w:pPr>
        <w:spacing w:after="120"/>
        <w:rPr>
          <w:szCs w:val="24"/>
        </w:rPr>
      </w:pPr>
      <w:r w:rsidRPr="000367C8">
        <w:rPr>
          <w:szCs w:val="24"/>
        </w:rPr>
        <w:t xml:space="preserve">The four instrumental elements in this set of </w:t>
      </w:r>
      <w:r>
        <w:rPr>
          <w:szCs w:val="24"/>
        </w:rPr>
        <w:t>WVS</w:t>
      </w:r>
      <w:r w:rsidRPr="000367C8">
        <w:rPr>
          <w:szCs w:val="24"/>
        </w:rPr>
        <w:t>2008 questions are: ‘Governments tax th</w:t>
      </w:r>
      <w:r>
        <w:rPr>
          <w:szCs w:val="24"/>
        </w:rPr>
        <w:t xml:space="preserve">e rich and subsidise the poor’; </w:t>
      </w:r>
      <w:r w:rsidRPr="000367C8">
        <w:rPr>
          <w:szCs w:val="24"/>
        </w:rPr>
        <w:t>‘People rece</w:t>
      </w:r>
      <w:r>
        <w:rPr>
          <w:szCs w:val="24"/>
        </w:rPr>
        <w:t>ive state aid for unemployment’; ‘The economy is prospering’;</w:t>
      </w:r>
      <w:r w:rsidRPr="000367C8">
        <w:rPr>
          <w:szCs w:val="24"/>
        </w:rPr>
        <w:t xml:space="preserve"> and</w:t>
      </w:r>
      <w:r>
        <w:rPr>
          <w:szCs w:val="24"/>
        </w:rPr>
        <w:t>,</w:t>
      </w:r>
      <w:r w:rsidRPr="000367C8">
        <w:rPr>
          <w:szCs w:val="24"/>
        </w:rPr>
        <w:t xml:space="preserve"> ‘Criminals are severely punished’. This section discusses these characteristics in order, grouping the first two</w:t>
      </w:r>
      <w:r w:rsidR="002464B7" w:rsidRPr="002464B7">
        <w:rPr>
          <w:szCs w:val="24"/>
        </w:rPr>
        <w:t xml:space="preserve"> </w:t>
      </w:r>
      <w:r w:rsidR="002464B7" w:rsidRPr="000367C8">
        <w:rPr>
          <w:szCs w:val="24"/>
        </w:rPr>
        <w:t>together</w:t>
      </w:r>
      <w:r w:rsidR="002464B7">
        <w:rPr>
          <w:szCs w:val="24"/>
        </w:rPr>
        <w:t>, and then the second two</w:t>
      </w:r>
      <w:r w:rsidRPr="000367C8">
        <w:rPr>
          <w:szCs w:val="24"/>
        </w:rPr>
        <w:t xml:space="preserve">. The importance of these characteristics to democracy is less straightforward than </w:t>
      </w:r>
      <w:r w:rsidR="00D7272C">
        <w:rPr>
          <w:szCs w:val="24"/>
        </w:rPr>
        <w:t xml:space="preserve">is the case </w:t>
      </w:r>
      <w:r w:rsidRPr="000367C8">
        <w:rPr>
          <w:szCs w:val="24"/>
        </w:rPr>
        <w:t xml:space="preserve">with the four procedural characteristics. </w:t>
      </w:r>
    </w:p>
    <w:p w14:paraId="0E036C60" w14:textId="7EE66549" w:rsidR="00B77E5A" w:rsidRPr="00E87007" w:rsidRDefault="00B77E5A" w:rsidP="00B77E5A">
      <w:pPr>
        <w:rPr>
          <w:szCs w:val="24"/>
          <w:highlight w:val="yellow"/>
        </w:rPr>
      </w:pPr>
      <w:r w:rsidRPr="00E87007">
        <w:rPr>
          <w:szCs w:val="24"/>
          <w:highlight w:val="yellow"/>
        </w:rPr>
        <w:t xml:space="preserve">The first two instrumental </w:t>
      </w:r>
      <w:r w:rsidR="00F256ED" w:rsidRPr="00E87007">
        <w:rPr>
          <w:szCs w:val="24"/>
          <w:highlight w:val="yellow"/>
        </w:rPr>
        <w:t>characteristics are</w:t>
      </w:r>
      <w:r w:rsidRPr="00E87007">
        <w:rPr>
          <w:szCs w:val="24"/>
          <w:highlight w:val="yellow"/>
        </w:rPr>
        <w:t xml:space="preserve"> linked to ‘social’ democracy, they </w:t>
      </w:r>
      <w:r w:rsidR="00383CA3">
        <w:rPr>
          <w:szCs w:val="24"/>
          <w:highlight w:val="yellow"/>
        </w:rPr>
        <w:t>can potentially</w:t>
      </w:r>
      <w:r w:rsidRPr="00E87007">
        <w:rPr>
          <w:szCs w:val="24"/>
          <w:highlight w:val="yellow"/>
        </w:rPr>
        <w:t xml:space="preserve"> be stretched and fitted into democratic theory, </w:t>
      </w:r>
      <w:r w:rsidRPr="00E87007">
        <w:rPr>
          <w:i/>
          <w:szCs w:val="24"/>
          <w:highlight w:val="yellow"/>
        </w:rPr>
        <w:t>if</w:t>
      </w:r>
      <w:r w:rsidRPr="00E87007">
        <w:rPr>
          <w:szCs w:val="24"/>
          <w:highlight w:val="yellow"/>
        </w:rPr>
        <w:t xml:space="preserve"> one integrates ideas of social justice into the definition of democracy. But there is no consensus on this approach and so how essential they are to democracy</w:t>
      </w:r>
      <w:r w:rsidR="00D7272C" w:rsidRPr="00E87007">
        <w:rPr>
          <w:szCs w:val="24"/>
          <w:highlight w:val="yellow"/>
        </w:rPr>
        <w:t xml:space="preserve"> is not clear-cut</w:t>
      </w:r>
      <w:r w:rsidRPr="00E87007">
        <w:rPr>
          <w:szCs w:val="24"/>
          <w:highlight w:val="yellow"/>
        </w:rPr>
        <w:t xml:space="preserve">. </w:t>
      </w:r>
    </w:p>
    <w:p w14:paraId="346157F9" w14:textId="589E2CD3" w:rsidR="00B77E5A" w:rsidRPr="000367C8" w:rsidRDefault="00B77E5A" w:rsidP="00B77E5A">
      <w:pPr>
        <w:spacing w:after="120"/>
        <w:rPr>
          <w:szCs w:val="24"/>
        </w:rPr>
      </w:pPr>
      <w:r w:rsidRPr="00E87007">
        <w:rPr>
          <w:szCs w:val="24"/>
          <w:highlight w:val="yellow"/>
        </w:rPr>
        <w:t>The second two are ‘</w:t>
      </w:r>
      <w:r w:rsidR="00383CA3">
        <w:rPr>
          <w:szCs w:val="24"/>
          <w:highlight w:val="yellow"/>
        </w:rPr>
        <w:t>populist’ characteristics. For the most part the literature suggests that they</w:t>
      </w:r>
      <w:r w:rsidRPr="00E87007">
        <w:rPr>
          <w:szCs w:val="24"/>
          <w:highlight w:val="yellow"/>
        </w:rPr>
        <w:t xml:space="preserve"> are not essential to democracy, but it is important to discuss the reasons why this is so,</w:t>
      </w:r>
      <w:r w:rsidR="00383CA3">
        <w:rPr>
          <w:szCs w:val="24"/>
          <w:highlight w:val="yellow"/>
        </w:rPr>
        <w:t xml:space="preserve"> and acknowledge the limitations of the questions. It is unclear exactly how to draw the </w:t>
      </w:r>
      <w:r w:rsidRPr="00E87007">
        <w:rPr>
          <w:szCs w:val="24"/>
          <w:highlight w:val="yellow"/>
        </w:rPr>
        <w:t xml:space="preserve">distinction between ideals inherent to democracy and </w:t>
      </w:r>
      <w:r w:rsidR="00383CA3" w:rsidRPr="00383CA3">
        <w:rPr>
          <w:i/>
          <w:szCs w:val="24"/>
          <w:highlight w:val="yellow"/>
        </w:rPr>
        <w:t>policy</w:t>
      </w:r>
      <w:r w:rsidR="00383CA3">
        <w:rPr>
          <w:i/>
          <w:szCs w:val="24"/>
          <w:highlight w:val="yellow"/>
        </w:rPr>
        <w:t xml:space="preserve"> </w:t>
      </w:r>
      <w:r w:rsidRPr="00E87007">
        <w:rPr>
          <w:i/>
          <w:szCs w:val="24"/>
          <w:highlight w:val="yellow"/>
        </w:rPr>
        <w:t>outputs</w:t>
      </w:r>
      <w:r w:rsidRPr="00E87007">
        <w:rPr>
          <w:szCs w:val="24"/>
          <w:highlight w:val="yellow"/>
        </w:rPr>
        <w:t xml:space="preserve"> that citizens might want a democracy to provide.</w:t>
      </w:r>
      <w:r w:rsidR="00926FAE">
        <w:rPr>
          <w:szCs w:val="24"/>
        </w:rPr>
        <w:t xml:space="preserve"> </w:t>
      </w:r>
      <w:r w:rsidR="00926FAE" w:rsidRPr="00926FAE">
        <w:rPr>
          <w:szCs w:val="24"/>
          <w:highlight w:val="yellow"/>
        </w:rPr>
        <w:t>This conceptual confusion is raised in the discussion below, and then outlined in more detail in the summary of this section.</w:t>
      </w:r>
    </w:p>
    <w:p w14:paraId="1578AEAC" w14:textId="77777777" w:rsidR="00B77E5A" w:rsidRPr="00F53C83" w:rsidRDefault="00B77E5A" w:rsidP="00E223A2">
      <w:pPr>
        <w:pStyle w:val="Heading4"/>
      </w:pPr>
      <w:bookmarkStart w:id="147" w:name="_Toc441069196"/>
      <w:r w:rsidRPr="00F53C83">
        <w:t>Social Security and Redistribution</w:t>
      </w:r>
      <w:bookmarkEnd w:id="147"/>
    </w:p>
    <w:p w14:paraId="51D1AD56" w14:textId="64A8B1F5" w:rsidR="00B77E5A" w:rsidRPr="000367C8" w:rsidRDefault="00B77E5A" w:rsidP="00B77E5A">
      <w:pPr>
        <w:rPr>
          <w:szCs w:val="24"/>
        </w:rPr>
      </w:pPr>
      <w:r w:rsidRPr="000367C8">
        <w:rPr>
          <w:szCs w:val="24"/>
        </w:rPr>
        <w:t>At first glance there appears to be vast swathes of literature on democracy, redistribution</w:t>
      </w:r>
      <w:r w:rsidR="002464B7">
        <w:rPr>
          <w:szCs w:val="24"/>
        </w:rPr>
        <w:t>,</w:t>
      </w:r>
      <w:r w:rsidRPr="000367C8">
        <w:rPr>
          <w:szCs w:val="24"/>
        </w:rPr>
        <w:t xml:space="preserve"> and social security</w:t>
      </w:r>
      <w:r w:rsidR="00333388">
        <w:rPr>
          <w:szCs w:val="24"/>
        </w:rPr>
        <w:t>.</w:t>
      </w:r>
      <w:r w:rsidR="00333388" w:rsidRPr="000367C8">
        <w:rPr>
          <w:szCs w:val="24"/>
        </w:rPr>
        <w:t xml:space="preserve"> </w:t>
      </w:r>
      <w:r w:rsidR="00333388">
        <w:rPr>
          <w:szCs w:val="24"/>
        </w:rPr>
        <w:t>H</w:t>
      </w:r>
      <w:r w:rsidRPr="000367C8">
        <w:rPr>
          <w:szCs w:val="24"/>
        </w:rPr>
        <w:t xml:space="preserve">owever, </w:t>
      </w:r>
      <w:r w:rsidR="00333388">
        <w:rPr>
          <w:szCs w:val="24"/>
        </w:rPr>
        <w:t>this work</w:t>
      </w:r>
      <w:r w:rsidR="00333388" w:rsidRPr="000367C8">
        <w:rPr>
          <w:szCs w:val="24"/>
        </w:rPr>
        <w:t xml:space="preserve"> </w:t>
      </w:r>
      <w:r w:rsidRPr="000367C8">
        <w:rPr>
          <w:szCs w:val="24"/>
        </w:rPr>
        <w:t xml:space="preserve">generally focuses on issues of how they relate to each other, addressing issues such as whether redistribution leads to democracy or democracy leads to redistribution (Boix 2003); whether certain levels of income make a country more likely </w:t>
      </w:r>
      <w:r>
        <w:rPr>
          <w:szCs w:val="24"/>
        </w:rPr>
        <w:t>to transition to democracy</w:t>
      </w:r>
      <w:r w:rsidRPr="000367C8">
        <w:rPr>
          <w:szCs w:val="24"/>
        </w:rPr>
        <w:t xml:space="preserve">; whether at certain income levels democracies are impregnable </w:t>
      </w:r>
      <w:r w:rsidR="00456503">
        <w:rPr>
          <w:szCs w:val="24"/>
        </w:rPr>
        <w:fldChar w:fldCharType="begin" w:fldLock="1"/>
      </w:r>
      <w:r w:rsidR="00E63CC6">
        <w:rPr>
          <w:szCs w:val="24"/>
        </w:rPr>
        <w:instrText>ADDIN CSL_CITATION { "citationItems" : [ { "id" : "ITEM-1", "itemData" : { "author" : [ { "dropping-particle" : "", "family" : "Przeworski", "given" : "A", "non-dropping-particle" : "", "parse-names" : false, "suffix" : "" } ], "id" : "ITEM-1", "issued" : { "date-parts" : [ [ "2000" ] ] }, "publisher" : "Cambridge University Press", "publisher-place" : "Cambridge", "title" : "Democracy and Development", "type" : "book" }, "uris" : [ "http://www.mendeley.com/documents/?uuid=1de02e5c-8fa1-477a-8d68-8327d401acf8" ] } ], "mendeley" : { "formattedCitation" : "(Przeworski, 2000)", "plainTextFormattedCitation" : "(Przeworski, 2000)", "previouslyFormattedCitation" : "(Przeworski, 2000)" }, "properties" : { "noteIndex" : 0 }, "schema" : "https://github.com/citation-style-language/schema/raw/master/csl-citation.json" }</w:instrText>
      </w:r>
      <w:r w:rsidR="00456503">
        <w:rPr>
          <w:szCs w:val="24"/>
        </w:rPr>
        <w:fldChar w:fldCharType="separate"/>
      </w:r>
      <w:r w:rsidR="00E63CC6" w:rsidRPr="00E63CC6">
        <w:rPr>
          <w:noProof/>
          <w:szCs w:val="24"/>
        </w:rPr>
        <w:t>(Przeworski, 2000)</w:t>
      </w:r>
      <w:r w:rsidR="00456503">
        <w:rPr>
          <w:szCs w:val="24"/>
        </w:rPr>
        <w:fldChar w:fldCharType="end"/>
      </w:r>
      <w:r w:rsidRPr="000367C8">
        <w:rPr>
          <w:szCs w:val="24"/>
        </w:rPr>
        <w:t xml:space="preserve">, and so on. </w:t>
      </w:r>
      <w:r w:rsidRPr="00E87007">
        <w:rPr>
          <w:szCs w:val="24"/>
          <w:highlight w:val="yellow"/>
        </w:rPr>
        <w:t xml:space="preserve">This literature is quieter on the theoretical or normative questions of whether redistribution, safety nets and economic growth are essential requirements </w:t>
      </w:r>
      <w:r w:rsidRPr="00E87007">
        <w:rPr>
          <w:i/>
          <w:iCs/>
          <w:szCs w:val="24"/>
          <w:highlight w:val="yellow"/>
        </w:rPr>
        <w:t>of</w:t>
      </w:r>
      <w:r w:rsidRPr="00E87007">
        <w:rPr>
          <w:szCs w:val="24"/>
          <w:highlight w:val="yellow"/>
        </w:rPr>
        <w:t xml:space="preserve"> a democratic system.</w:t>
      </w:r>
      <w:r w:rsidRPr="000367C8">
        <w:rPr>
          <w:szCs w:val="24"/>
        </w:rPr>
        <w:t xml:space="preserve"> </w:t>
      </w:r>
    </w:p>
    <w:p w14:paraId="73F3A690" w14:textId="77777777" w:rsidR="00B77E5A" w:rsidRPr="003F1C3C" w:rsidRDefault="00B77E5A" w:rsidP="00B77E5A">
      <w:pPr>
        <w:rPr>
          <w:szCs w:val="24"/>
          <w:highlight w:val="yellow"/>
        </w:rPr>
      </w:pPr>
      <w:r w:rsidRPr="003F1C3C">
        <w:rPr>
          <w:szCs w:val="24"/>
          <w:highlight w:val="yellow"/>
        </w:rPr>
        <w:t>So why would liberal democratic theory necessarily have anything to say on the issue? It depends on quite how wide the account of democracy is stretched. So far this chapter has argued that democracies require the process of voting to hold political leaders to account and to affect policy – from this the government gains its legitimacy. Further, it has pointed out the role that civil rights have in protecting this ability to vote, as well as making sure the rule of representatives never becomes oppressive.</w:t>
      </w:r>
    </w:p>
    <w:p w14:paraId="6549D8D9" w14:textId="125F57AB" w:rsidR="00B77E5A" w:rsidRPr="003F1C3C" w:rsidRDefault="00B77E5A" w:rsidP="00B77E5A">
      <w:pPr>
        <w:rPr>
          <w:iCs/>
          <w:szCs w:val="24"/>
          <w:highlight w:val="yellow"/>
        </w:rPr>
      </w:pPr>
      <w:r w:rsidRPr="003F1C3C">
        <w:rPr>
          <w:szCs w:val="24"/>
          <w:highlight w:val="yellow"/>
        </w:rPr>
        <w:t xml:space="preserve">As such, thicker </w:t>
      </w:r>
      <w:r w:rsidR="001E3FD2" w:rsidRPr="003F1C3C">
        <w:rPr>
          <w:szCs w:val="24"/>
          <w:highlight w:val="yellow"/>
        </w:rPr>
        <w:t>conceptualis</w:t>
      </w:r>
      <w:r w:rsidRPr="003F1C3C">
        <w:rPr>
          <w:szCs w:val="24"/>
          <w:highlight w:val="yellow"/>
        </w:rPr>
        <w:t xml:space="preserve">ations of a democratic system require its populace to be ‘citizens’ and not just an apolitical mass. </w:t>
      </w:r>
      <w:r w:rsidRPr="003F1C3C">
        <w:rPr>
          <w:iCs/>
          <w:szCs w:val="24"/>
          <w:highlight w:val="yellow"/>
        </w:rPr>
        <w:t>TH Marshall’s inf</w:t>
      </w:r>
      <w:r w:rsidR="000D0A01" w:rsidRPr="003F1C3C">
        <w:rPr>
          <w:iCs/>
          <w:szCs w:val="24"/>
          <w:highlight w:val="yellow"/>
        </w:rPr>
        <w:t xml:space="preserve">luential theory on citizenship </w:t>
      </w:r>
      <w:r w:rsidR="000D0A01" w:rsidRPr="003F1C3C">
        <w:rPr>
          <w:iCs/>
          <w:szCs w:val="24"/>
          <w:highlight w:val="yellow"/>
        </w:rPr>
        <w:fldChar w:fldCharType="begin" w:fldLock="1"/>
      </w:r>
      <w:r w:rsidR="00E63CC6">
        <w:rPr>
          <w:iCs/>
          <w:szCs w:val="24"/>
          <w:highlight w:val="yellow"/>
        </w:rPr>
        <w:instrText>ADDIN CSL_CITATION { "citationItems" : [ { "id" : "ITEM-1", "itemData" : { "author" : [ { "dropping-particle" : "", "family" : "Marshall", "given" : "T.H.", "non-dropping-particle" : "", "parse-names" : false, "suffix" : "" } ], "id" : "ITEM-1", "issued" : { "date-parts" : [ [ "1950" ] ] }, "publisher" : "Pluto Press", "publisher-place" : "London", "title" : "Citizenshp and Social Class", "type" : "book" }, "uris" : [ "http://www.mendeley.com/documents/?uuid=390c69d0-a729-42ed-b138-802711015a7a" ] } ], "mendeley" : { "formattedCitation" : "(Marshall, 1950)", "manualFormatting" : "(1950, p.8)", "plainTextFormattedCitation" : "(Marshall, 1950)", "previouslyFormattedCitation" : "(Marshall, 1950)" }, "properties" : { "noteIndex" : 0 }, "schema" : "https://github.com/citation-style-language/schema/raw/master/csl-citation.json" }</w:instrText>
      </w:r>
      <w:r w:rsidR="000D0A01" w:rsidRPr="003F1C3C">
        <w:rPr>
          <w:iCs/>
          <w:szCs w:val="24"/>
          <w:highlight w:val="yellow"/>
        </w:rPr>
        <w:fldChar w:fldCharType="separate"/>
      </w:r>
      <w:r w:rsidR="000D0A01" w:rsidRPr="003F1C3C">
        <w:rPr>
          <w:iCs/>
          <w:noProof/>
          <w:szCs w:val="24"/>
          <w:highlight w:val="yellow"/>
        </w:rPr>
        <w:t>(1950, p.8)</w:t>
      </w:r>
      <w:r w:rsidR="000D0A01" w:rsidRPr="003F1C3C">
        <w:rPr>
          <w:iCs/>
          <w:szCs w:val="24"/>
          <w:highlight w:val="yellow"/>
        </w:rPr>
        <w:fldChar w:fldCharType="end"/>
      </w:r>
      <w:r w:rsidR="000D0A01" w:rsidRPr="003F1C3C">
        <w:rPr>
          <w:iCs/>
          <w:szCs w:val="24"/>
          <w:highlight w:val="yellow"/>
        </w:rPr>
        <w:t xml:space="preserve"> </w:t>
      </w:r>
      <w:r w:rsidRPr="003F1C3C">
        <w:rPr>
          <w:iCs/>
          <w:szCs w:val="24"/>
          <w:highlight w:val="yellow"/>
        </w:rPr>
        <w:t xml:space="preserve">divides the concept into three elements: civil, political and social. The first two of these feature in the democratic characteristics discussed so far. The social element is new – if individuals can’t meet the social needs that are expected in their society, to live free from deprivation and poverty for instance, how can they be expected to participate? As Dalton </w:t>
      </w:r>
      <w:r w:rsidR="00803848" w:rsidRPr="003F1C3C">
        <w:rPr>
          <w:iCs/>
          <w:szCs w:val="24"/>
          <w:highlight w:val="yellow"/>
        </w:rPr>
        <w:t>et al</w:t>
      </w:r>
      <w:r w:rsidR="000D0A01" w:rsidRPr="003F1C3C">
        <w:rPr>
          <w:iCs/>
          <w:szCs w:val="24"/>
          <w:highlight w:val="yellow"/>
        </w:rPr>
        <w:t xml:space="preserve"> (2008, p.</w:t>
      </w:r>
      <w:r w:rsidRPr="003F1C3C">
        <w:rPr>
          <w:iCs/>
          <w:szCs w:val="24"/>
          <w:highlight w:val="yellow"/>
        </w:rPr>
        <w:t>3) note, “proponents of this view argue that the democratic principles of political equality and participation are meaningless unless individuals have sufficient resources to meet their basic social needs”.</w:t>
      </w:r>
    </w:p>
    <w:p w14:paraId="5D10E475" w14:textId="77777777" w:rsidR="00B77E5A" w:rsidRPr="003F1C3C" w:rsidRDefault="00B77E5A" w:rsidP="00B77E5A">
      <w:pPr>
        <w:rPr>
          <w:szCs w:val="24"/>
          <w:highlight w:val="yellow"/>
        </w:rPr>
      </w:pPr>
      <w:r w:rsidRPr="003F1C3C">
        <w:rPr>
          <w:iCs/>
          <w:szCs w:val="24"/>
          <w:highlight w:val="yellow"/>
        </w:rPr>
        <w:t>It is not difficult to see why citizens may emphasize a social dimension when defining democracy, away from overt political, civil or procedural issues. Whilst in theory political rights are seen as fundamental, in reality, food, shelter, clothing and the means to provide these, will likely take centre stage in a citizens’ life, especially when these are hard to come by.</w:t>
      </w:r>
    </w:p>
    <w:p w14:paraId="6C193E5C" w14:textId="188F1D4C" w:rsidR="00B77E5A" w:rsidRPr="000367C8" w:rsidRDefault="00B77E5A" w:rsidP="00B77E5A">
      <w:pPr>
        <w:rPr>
          <w:szCs w:val="24"/>
        </w:rPr>
      </w:pPr>
      <w:r w:rsidRPr="003F1C3C">
        <w:rPr>
          <w:szCs w:val="24"/>
          <w:highlight w:val="yellow"/>
        </w:rPr>
        <w:t>As discuss</w:t>
      </w:r>
      <w:r w:rsidR="000D0A01" w:rsidRPr="003F1C3C">
        <w:rPr>
          <w:szCs w:val="24"/>
          <w:highlight w:val="yellow"/>
        </w:rPr>
        <w:t>ed in Chapter Two, Satori (1989, p.</w:t>
      </w:r>
      <w:r w:rsidRPr="003F1C3C">
        <w:rPr>
          <w:szCs w:val="24"/>
          <w:highlight w:val="yellow"/>
        </w:rPr>
        <w:t>384) suggests that democracy has an equalizing urge, making redistribution a key part of such as system. Indeed, the issue of redistribution is extremely important to governing a state (Przeworski 2005) and indeed some go as far as to argue that redistribution is essential in order to placate the poor and keep revolutions at bay</w:t>
      </w:r>
      <w:r w:rsidR="000D0A01" w:rsidRPr="003F1C3C">
        <w:rPr>
          <w:szCs w:val="24"/>
          <w:highlight w:val="yellow"/>
        </w:rPr>
        <w:t xml:space="preserve"> </w:t>
      </w:r>
      <w:r w:rsidR="000D0A01" w:rsidRPr="003F1C3C">
        <w:rPr>
          <w:szCs w:val="24"/>
          <w:highlight w:val="yellow"/>
        </w:rPr>
        <w:fldChar w:fldCharType="begin" w:fldLock="1"/>
      </w:r>
      <w:r w:rsidR="00E63CC6">
        <w:rPr>
          <w:szCs w:val="24"/>
          <w:highlight w:val="yellow"/>
        </w:rPr>
        <w:instrText>ADDIN CSL_CITATION { "citationItems" : [ { "id" : "ITEM-1", "itemData" : { "author" : [ { "dropping-particle" : "", "family" : "Zhaohui", "given" : "Bi", "non-dropping-particle" : "", "parse-names" : false, "suffix" : "" } ], "container-title" : "Economics Bulletin", "id" : "ITEM-1", "issue" : "35", "issued" : { "date-parts" : [ [ "2007" ] ] }, "page" : "1-10", "title" : "Income inequality , redistribution and democratization", "type" : "article-journal", "volume" : "4" }, "uris" : [ "http://www.mendeley.com/documents/?uuid=84bc16f3-a9db-400f-bfde-6063c588bca3" ] }, { "id" : "ITEM-2", "itemData" : { "DOI" : "10.1017/S0022381613000340", "author" : [ { "dropping-particle" : "", "family" : "Wallace", "given" : "Jeremy", "non-dropping-particle" : "", "parse-names" : false, "suffix" : "" } ], "container-title" : "The Journal of Politics", "id" : "ITEM-2", "issue" : "3", "issued" : { "date-parts" : [ [ "2013" ] ] }, "page" : "632-645", "title" : "Cities, Redistribution, and Authoritarian Regime Survival", "type" : "article-journal", "volume" : "75" }, "uris" : [ "http://www.mendeley.com/documents/?uuid=a48b8be5-3c11-4197-b4b6-20f6729d0c17" ] } ], "mendeley" : { "formattedCitation" : "(Zhaohui, 2007; Wallace, 2013)", "manualFormatting" : "(see Zhaohui 2007; Wallace 2013)", "plainTextFormattedCitation" : "(Zhaohui, 2007; Wallace, 2013)", "previouslyFormattedCitation" : "(Zhaohui, 2007; Wallace, 2013)" }, "properties" : { "noteIndex" : 0 }, "schema" : "https://github.com/citation-style-language/schema/raw/master/csl-citation.json" }</w:instrText>
      </w:r>
      <w:r w:rsidR="000D0A01" w:rsidRPr="003F1C3C">
        <w:rPr>
          <w:szCs w:val="24"/>
          <w:highlight w:val="yellow"/>
        </w:rPr>
        <w:fldChar w:fldCharType="separate"/>
      </w:r>
      <w:r w:rsidR="000D0A01" w:rsidRPr="003F1C3C">
        <w:rPr>
          <w:noProof/>
          <w:szCs w:val="24"/>
          <w:highlight w:val="yellow"/>
        </w:rPr>
        <w:t>(see Zhaohui 2007; Wallace 2013)</w:t>
      </w:r>
      <w:r w:rsidR="000D0A01" w:rsidRPr="003F1C3C">
        <w:rPr>
          <w:szCs w:val="24"/>
          <w:highlight w:val="yellow"/>
        </w:rPr>
        <w:fldChar w:fldCharType="end"/>
      </w:r>
      <w:r w:rsidRPr="003F1C3C">
        <w:rPr>
          <w:szCs w:val="24"/>
          <w:highlight w:val="yellow"/>
        </w:rPr>
        <w:t xml:space="preserve">. However, </w:t>
      </w:r>
      <w:r w:rsidRPr="003F1C3C">
        <w:rPr>
          <w:iCs/>
          <w:szCs w:val="24"/>
          <w:highlight w:val="yellow"/>
        </w:rPr>
        <w:t xml:space="preserve">there is no consensus on whether these are fundamentally issues of social justice </w:t>
      </w:r>
      <w:r w:rsidRPr="003F1C3C">
        <w:rPr>
          <w:i/>
          <w:iCs/>
          <w:szCs w:val="24"/>
          <w:highlight w:val="yellow"/>
        </w:rPr>
        <w:t>required</w:t>
      </w:r>
      <w:r w:rsidRPr="003F1C3C">
        <w:rPr>
          <w:iCs/>
          <w:szCs w:val="24"/>
          <w:highlight w:val="yellow"/>
        </w:rPr>
        <w:t xml:space="preserve"> in a democracy, or a </w:t>
      </w:r>
      <w:r w:rsidRPr="003F1C3C">
        <w:rPr>
          <w:i/>
          <w:iCs/>
          <w:szCs w:val="24"/>
          <w:highlight w:val="yellow"/>
        </w:rPr>
        <w:t>preferred</w:t>
      </w:r>
      <w:r w:rsidRPr="003F1C3C">
        <w:rPr>
          <w:iCs/>
          <w:szCs w:val="24"/>
          <w:highlight w:val="yellow"/>
        </w:rPr>
        <w:t xml:space="preserve"> material output of the system. </w:t>
      </w:r>
      <w:r w:rsidR="00383CA3">
        <w:rPr>
          <w:iCs/>
          <w:szCs w:val="24"/>
          <w:highlight w:val="yellow"/>
        </w:rPr>
        <w:t xml:space="preserve">It depends on how thick or thin the understanding of democracy might be. </w:t>
      </w:r>
      <w:r w:rsidRPr="003F1C3C">
        <w:rPr>
          <w:iCs/>
          <w:szCs w:val="24"/>
          <w:highlight w:val="yellow"/>
        </w:rPr>
        <w:t xml:space="preserve">This is reflected in the fact the two other major studies to use this set of questions treat these characteristics differently: Norris (2012) takes it as an instrumental variable and not essential to democracy; in her approach it is wrong to see these two characteristics as essential to democracy. In comparison, Welzel (2011, 2013) omits it from his calculations of democratic knowledge, suggesting that seeing it as a democratic necessity matches models of </w:t>
      </w:r>
      <w:r w:rsidRPr="003F1C3C">
        <w:rPr>
          <w:i/>
          <w:iCs/>
          <w:szCs w:val="24"/>
          <w:highlight w:val="yellow"/>
        </w:rPr>
        <w:t>social</w:t>
      </w:r>
      <w:r w:rsidRPr="003F1C3C">
        <w:rPr>
          <w:iCs/>
          <w:szCs w:val="24"/>
          <w:highlight w:val="yellow"/>
        </w:rPr>
        <w:t xml:space="preserve"> democracy, and would not be a ‘wrong’ answer in this sense.</w:t>
      </w:r>
    </w:p>
    <w:p w14:paraId="1F7A31CE" w14:textId="5A56C9BE" w:rsidR="00B77E5A" w:rsidRPr="000367C8" w:rsidRDefault="000D2F92" w:rsidP="00B77E5A">
      <w:pPr>
        <w:rPr>
          <w:szCs w:val="24"/>
        </w:rPr>
      </w:pPr>
      <w:r w:rsidRPr="00383CA3">
        <w:rPr>
          <w:iCs/>
          <w:szCs w:val="24"/>
          <w:highlight w:val="yellow"/>
        </w:rPr>
        <w:t>And so</w:t>
      </w:r>
      <w:r w:rsidR="00B77E5A" w:rsidRPr="00383CA3">
        <w:rPr>
          <w:iCs/>
          <w:szCs w:val="24"/>
          <w:highlight w:val="yellow"/>
        </w:rPr>
        <w:t xml:space="preserve"> the academic jury is out as to whether these two characteristics are theoretically essential to democracy or not. Th</w:t>
      </w:r>
      <w:r w:rsidR="00383CA3" w:rsidRPr="00383CA3">
        <w:rPr>
          <w:iCs/>
          <w:szCs w:val="24"/>
          <w:highlight w:val="yellow"/>
        </w:rPr>
        <w:t>is thesis, by allowing citizens</w:t>
      </w:r>
      <w:r w:rsidR="00B77E5A" w:rsidRPr="00383CA3">
        <w:rPr>
          <w:iCs/>
          <w:szCs w:val="24"/>
          <w:highlight w:val="yellow"/>
        </w:rPr>
        <w:t xml:space="preserve"> </w:t>
      </w:r>
      <w:r w:rsidR="00383CA3" w:rsidRPr="00383CA3">
        <w:rPr>
          <w:iCs/>
          <w:szCs w:val="24"/>
          <w:highlight w:val="yellow"/>
        </w:rPr>
        <w:t>to choose a degree of essentialness for these items, then demonstrates what the popular response might be to this academically contested issue.</w:t>
      </w:r>
    </w:p>
    <w:p w14:paraId="2DD57258" w14:textId="77777777" w:rsidR="00B77E5A" w:rsidRPr="00926FAE" w:rsidRDefault="00B77E5A" w:rsidP="00E223A2">
      <w:pPr>
        <w:pStyle w:val="Heading4"/>
        <w:rPr>
          <w:highlight w:val="yellow"/>
        </w:rPr>
      </w:pPr>
      <w:bookmarkStart w:id="148" w:name="_Toc441069197"/>
      <w:r w:rsidRPr="00926FAE">
        <w:rPr>
          <w:highlight w:val="yellow"/>
        </w:rPr>
        <w:t>Law and Order and Economic Growth</w:t>
      </w:r>
      <w:bookmarkEnd w:id="148"/>
    </w:p>
    <w:p w14:paraId="709070E2" w14:textId="701FF092" w:rsidR="00B77E5A" w:rsidRPr="00926FAE" w:rsidRDefault="00B77E5A" w:rsidP="00B77E5A">
      <w:pPr>
        <w:rPr>
          <w:iCs/>
          <w:szCs w:val="24"/>
          <w:highlight w:val="yellow"/>
        </w:rPr>
      </w:pPr>
      <w:r w:rsidRPr="00926FAE">
        <w:rPr>
          <w:iCs/>
          <w:szCs w:val="24"/>
          <w:highlight w:val="yellow"/>
        </w:rPr>
        <w:t xml:space="preserve">The first populist characteristic discussed here concerns whether criminals should be severely punished in a democracy. The link between criminal justice and democracy receives limited </w:t>
      </w:r>
      <w:r w:rsidR="00D00EFF" w:rsidRPr="00926FAE">
        <w:rPr>
          <w:iCs/>
          <w:szCs w:val="24"/>
          <w:highlight w:val="yellow"/>
        </w:rPr>
        <w:t xml:space="preserve">attention </w:t>
      </w:r>
      <w:r w:rsidRPr="00926FAE">
        <w:rPr>
          <w:iCs/>
          <w:szCs w:val="24"/>
          <w:highlight w:val="yellow"/>
        </w:rPr>
        <w:t>within democracy studies.</w:t>
      </w:r>
      <w:r w:rsidRPr="00926FAE">
        <w:rPr>
          <w:rStyle w:val="FootnoteReference"/>
          <w:highlight w:val="yellow"/>
        </w:rPr>
        <w:footnoteReference w:id="10"/>
      </w:r>
      <w:r w:rsidR="000D0A01" w:rsidRPr="00926FAE">
        <w:rPr>
          <w:iCs/>
          <w:szCs w:val="24"/>
          <w:highlight w:val="yellow"/>
        </w:rPr>
        <w:t xml:space="preserve"> Zimring and</w:t>
      </w:r>
      <w:r w:rsidRPr="00926FAE">
        <w:rPr>
          <w:iCs/>
          <w:szCs w:val="24"/>
          <w:highlight w:val="yellow"/>
        </w:rPr>
        <w:t xml:space="preserve"> Johnson</w:t>
      </w:r>
      <w:r w:rsidR="000D0A01" w:rsidRPr="00926FAE">
        <w:rPr>
          <w:iCs/>
          <w:szCs w:val="24"/>
          <w:highlight w:val="yellow"/>
        </w:rPr>
        <w:t xml:space="preserve"> </w:t>
      </w:r>
      <w:r w:rsidR="000D0A01" w:rsidRPr="00926FAE">
        <w:rPr>
          <w:iCs/>
          <w:szCs w:val="24"/>
          <w:highlight w:val="yellow"/>
        </w:rPr>
        <w:fldChar w:fldCharType="begin" w:fldLock="1"/>
      </w:r>
      <w:r w:rsidR="00E63CC6">
        <w:rPr>
          <w:iCs/>
          <w:szCs w:val="24"/>
          <w:highlight w:val="yellow"/>
        </w:rPr>
        <w:instrText>ADDIN CSL_CITATION { "citationItems" : [ { "id" : "ITEM-1", "itemData" : { "DOI" : "10.1177/0002716205285949", "abstract" : "It is unlikely that hostile attitudes about criminals or beliefs that punishments for crime were too lenient were the major causes of the explosive increase in punishments in the United States after 1970. Public hostility toward criminals has been a consistent theme in this country for a long time, but it did not cause big increases in imprisonment before 1970 in the United States or large expansions of incarceration elsewhere. In this article, the authors argue that growth in the salience of crime as a citizen concern and increasing public distrust of government competence and legitimacy were two of a number of changes that transformed ever-present hostile attitudes into a dynamic force in American politics. Negative attitudes toward offenders are a necessary condition for anticrime crusades, but they are always present. It was the addition of fear and distrust into the law and politics of punishment setting that produced the perfect storm of punitive expansion.", "author" : [ { "dropping-particle" : "", "family" : "Zimring", "given" : "Franklin E", "non-dropping-particle" : "", "parse-names" : false, "suffix" : "" }, { "dropping-particle" : "", "family" : "Johnson", "given" : "David T", "non-dropping-particle" : "", "parse-names" : false, "suffix" : "" } ], "container-title" : "The ANNALS of the American Academy of Political and Social Science", "id" : "ITEM-1", "issue" : "1", "issued" : { "date-parts" : [ [ "2006", "5" ] ] }, "page" : "265-280", "title" : "Public Opinion and the Governance of Punishment in Democratic Political Systems", "type" : "article-journal", "volume" : "605" }, "uris" : [ "http://www.mendeley.com/documents/?uuid=395717bc-3f33-481a-adcf-a98619e47db8" ] } ], "mendeley" : { "formattedCitation" : "(Zimring and Johnson, 2006)", "manualFormatting" : "(2006, p.267)", "plainTextFormattedCitation" : "(Zimring and Johnson, 2006)", "previouslyFormattedCitation" : "(Zimring and Johnson, 2006)" }, "properties" : { "noteIndex" : 0 }, "schema" : "https://github.com/citation-style-language/schema/raw/master/csl-citation.json" }</w:instrText>
      </w:r>
      <w:r w:rsidR="000D0A01" w:rsidRPr="00926FAE">
        <w:rPr>
          <w:iCs/>
          <w:szCs w:val="24"/>
          <w:highlight w:val="yellow"/>
        </w:rPr>
        <w:fldChar w:fldCharType="separate"/>
      </w:r>
      <w:r w:rsidR="000D0A01" w:rsidRPr="00926FAE">
        <w:rPr>
          <w:iCs/>
          <w:noProof/>
          <w:szCs w:val="24"/>
          <w:highlight w:val="yellow"/>
        </w:rPr>
        <w:t>(2006, p.267)</w:t>
      </w:r>
      <w:r w:rsidR="000D0A01" w:rsidRPr="00926FAE">
        <w:rPr>
          <w:iCs/>
          <w:szCs w:val="24"/>
          <w:highlight w:val="yellow"/>
        </w:rPr>
        <w:fldChar w:fldCharType="end"/>
      </w:r>
      <w:r w:rsidRPr="00926FAE">
        <w:rPr>
          <w:iCs/>
          <w:szCs w:val="24"/>
          <w:highlight w:val="yellow"/>
        </w:rPr>
        <w:t xml:space="preserve"> complain</w:t>
      </w:r>
      <w:r w:rsidR="000D0A01" w:rsidRPr="00926FAE">
        <w:rPr>
          <w:iCs/>
          <w:szCs w:val="24"/>
          <w:highlight w:val="yellow"/>
        </w:rPr>
        <w:t>ed</w:t>
      </w:r>
      <w:r w:rsidRPr="00926FAE">
        <w:rPr>
          <w:iCs/>
          <w:szCs w:val="24"/>
          <w:highlight w:val="yellow"/>
        </w:rPr>
        <w:t xml:space="preserve"> that “criminologists and sociologists rarely make the political dimension of crime policy a principal concern, and political scientists almost never do”. </w:t>
      </w:r>
      <w:r w:rsidR="000D0A01" w:rsidRPr="00926FAE">
        <w:rPr>
          <w:iCs/>
          <w:szCs w:val="24"/>
          <w:highlight w:val="yellow"/>
        </w:rPr>
        <w:t xml:space="preserve">Further, </w:t>
      </w:r>
      <w:r w:rsidRPr="00926FAE">
        <w:rPr>
          <w:iCs/>
          <w:szCs w:val="24"/>
          <w:highlight w:val="yellow"/>
        </w:rPr>
        <w:t xml:space="preserve">Karstedt and LaFree </w:t>
      </w:r>
      <w:r w:rsidR="000D0A01" w:rsidRPr="00926FAE">
        <w:rPr>
          <w:iCs/>
          <w:szCs w:val="24"/>
          <w:highlight w:val="yellow"/>
        </w:rPr>
        <w:fldChar w:fldCharType="begin" w:fldLock="1"/>
      </w:r>
      <w:r w:rsidR="00E63CC6">
        <w:rPr>
          <w:iCs/>
          <w:szCs w:val="24"/>
          <w:highlight w:val="yellow"/>
        </w:rPr>
        <w:instrText>ADDIN CSL_CITATION { "citationItems" : [ { "id" : "ITEM-1", "itemData" : { "DOI" : "10.1177/0002716206288230", "author" : [ { "dropping-particle" : "", "family" : "Karstedt", "given" : "Susanne", "non-dropping-particle" : "", "parse-names" : false, "suffix" : "" }, { "dropping-particle" : "", "family" : "Lafree", "given" : "Gary", "non-dropping-particle" : "", "parse-names" : false, "suffix" : "" } ], "container-title" : "The Annals of the American Academy of Political and Social Science", "id" : "ITEM-1", "issue" : "1", "issued" : { "date-parts" : [ [ "2006", "5" ] ] }, "page" : "6-23", "title" : "Democracy, Crime, and Justice", "type" : "article-journal", "volume" : "605" }, "uris" : [ "http://www.mendeley.com/documents/?uuid=48ca22e8-71b5-4af0-91eb-ff0d18f593bd" ] } ], "mendeley" : { "formattedCitation" : "(Karstedt and Lafree, 2006)", "manualFormatting" : "(2006, p.6)", "plainTextFormattedCitation" : "(Karstedt and Lafree, 2006)", "previouslyFormattedCitation" : "(Karstedt and Lafree, 2006)" }, "properties" : { "noteIndex" : 0 }, "schema" : "https://github.com/citation-style-language/schema/raw/master/csl-citation.json" }</w:instrText>
      </w:r>
      <w:r w:rsidR="000D0A01" w:rsidRPr="00926FAE">
        <w:rPr>
          <w:iCs/>
          <w:szCs w:val="24"/>
          <w:highlight w:val="yellow"/>
        </w:rPr>
        <w:fldChar w:fldCharType="separate"/>
      </w:r>
      <w:r w:rsidR="000D0A01" w:rsidRPr="00926FAE">
        <w:rPr>
          <w:iCs/>
          <w:noProof/>
          <w:szCs w:val="24"/>
          <w:highlight w:val="yellow"/>
        </w:rPr>
        <w:t>(2006, p.6)</w:t>
      </w:r>
      <w:r w:rsidR="000D0A01" w:rsidRPr="00926FAE">
        <w:rPr>
          <w:iCs/>
          <w:szCs w:val="24"/>
          <w:highlight w:val="yellow"/>
        </w:rPr>
        <w:fldChar w:fldCharType="end"/>
      </w:r>
      <w:r w:rsidRPr="00926FAE">
        <w:rPr>
          <w:iCs/>
          <w:szCs w:val="24"/>
          <w:highlight w:val="yellow"/>
        </w:rPr>
        <w:t xml:space="preserve"> suggest</w:t>
      </w:r>
      <w:r w:rsidR="000D0A01" w:rsidRPr="00926FAE">
        <w:rPr>
          <w:iCs/>
          <w:szCs w:val="24"/>
          <w:highlight w:val="yellow"/>
        </w:rPr>
        <w:t>ed</w:t>
      </w:r>
      <w:r w:rsidRPr="00926FAE">
        <w:rPr>
          <w:iCs/>
          <w:szCs w:val="24"/>
          <w:highlight w:val="yellow"/>
        </w:rPr>
        <w:t>:</w:t>
      </w:r>
    </w:p>
    <w:p w14:paraId="57204388" w14:textId="0E2D97D6" w:rsidR="000D0A01" w:rsidRPr="00926FAE" w:rsidRDefault="00B77E5A" w:rsidP="00456503">
      <w:pPr>
        <w:pStyle w:val="Quote"/>
        <w:rPr>
          <w:highlight w:val="yellow"/>
          <w:lang w:eastAsia="zh-CN"/>
        </w:rPr>
      </w:pPr>
      <w:r w:rsidRPr="00926FAE">
        <w:rPr>
          <w:highlight w:val="yellow"/>
          <w:lang w:eastAsia="zh-CN"/>
        </w:rPr>
        <w:t>“The connection between democracy and criminal justice is so fundamental as to be self-evident: the rule of law guarantees due process, and the observation of human rights is an integral part of the emergence and institutionalization of democracy.”</w:t>
      </w:r>
    </w:p>
    <w:p w14:paraId="0A78DEAF" w14:textId="21AC489F" w:rsidR="00B77E5A" w:rsidRPr="00926FAE" w:rsidRDefault="00B77E5A" w:rsidP="00B77E5A">
      <w:pPr>
        <w:rPr>
          <w:iCs/>
          <w:szCs w:val="24"/>
          <w:highlight w:val="yellow"/>
        </w:rPr>
      </w:pPr>
      <w:r w:rsidRPr="00926FAE">
        <w:rPr>
          <w:iCs/>
          <w:szCs w:val="24"/>
          <w:highlight w:val="yellow"/>
        </w:rPr>
        <w:t>Similarly, Burk</w:t>
      </w:r>
      <w:r w:rsidR="004D4A26" w:rsidRPr="00926FAE">
        <w:rPr>
          <w:iCs/>
          <w:szCs w:val="24"/>
          <w:highlight w:val="yellow"/>
        </w:rPr>
        <w:t xml:space="preserve"> </w:t>
      </w:r>
      <w:r w:rsidR="004D4A26" w:rsidRPr="00926FAE">
        <w:rPr>
          <w:iCs/>
          <w:szCs w:val="24"/>
          <w:highlight w:val="yellow"/>
        </w:rPr>
        <w:fldChar w:fldCharType="begin" w:fldLock="1"/>
      </w:r>
      <w:r w:rsidR="00E63CC6">
        <w:rPr>
          <w:iCs/>
          <w:szCs w:val="24"/>
          <w:highlight w:val="yellow"/>
        </w:rPr>
        <w:instrText>ADDIN CSL_CITATION { "citationItems" : [ { "id" : "ITEM-1", "itemData" : { "DOI" : "10.1177/0095327X0202900102", "ISSN" : "0095-327X", "author" : [ { "dropping-particle" : "", "family" : "Burk", "given" : "J.", "non-dropping-particle" : "", "parse-names" : false, "suffix" : "" } ], "container-title" : "Armed Forces &amp; Society", "id" : "ITEM-1", "issue" : "1", "issued" : { "date-parts" : [ [ "2002", "10", "1" ] ] }, "page" : "7-29", "title" : "Theories of Democratic Civil-Military Relations", "type" : "article-journal", "volume" : "29" }, "uris" : [ "http://www.mendeley.com/documents/?uuid=53707759-bc93-4833-8c9a-6b09671a04bd" ] } ], "mendeley" : { "formattedCitation" : "(Burk, 2002)", "manualFormatting" : "(2002, p.10)", "plainTextFormattedCitation" : "(Burk, 2002)", "previouslyFormattedCitation" : "(Burk, 2002)" }, "properties" : { "noteIndex" : 0 }, "schema" : "https://github.com/citation-style-language/schema/raw/master/csl-citation.json" }</w:instrText>
      </w:r>
      <w:r w:rsidR="004D4A26" w:rsidRPr="00926FAE">
        <w:rPr>
          <w:iCs/>
          <w:szCs w:val="24"/>
          <w:highlight w:val="yellow"/>
        </w:rPr>
        <w:fldChar w:fldCharType="separate"/>
      </w:r>
      <w:r w:rsidR="004D4A26" w:rsidRPr="00926FAE">
        <w:rPr>
          <w:iCs/>
          <w:noProof/>
          <w:szCs w:val="24"/>
          <w:highlight w:val="yellow"/>
        </w:rPr>
        <w:t>(2002, p.10)</w:t>
      </w:r>
      <w:r w:rsidR="004D4A26" w:rsidRPr="00926FAE">
        <w:rPr>
          <w:iCs/>
          <w:szCs w:val="24"/>
          <w:highlight w:val="yellow"/>
        </w:rPr>
        <w:fldChar w:fldCharType="end"/>
      </w:r>
      <w:r w:rsidR="00456503" w:rsidRPr="00926FAE">
        <w:rPr>
          <w:iCs/>
          <w:szCs w:val="24"/>
          <w:highlight w:val="yellow"/>
        </w:rPr>
        <w:t xml:space="preserve"> noted</w:t>
      </w:r>
      <w:r w:rsidR="004D4A26" w:rsidRPr="00926FAE">
        <w:rPr>
          <w:iCs/>
          <w:szCs w:val="24"/>
          <w:highlight w:val="yellow"/>
        </w:rPr>
        <w:t xml:space="preserve"> the crucial condition that </w:t>
      </w:r>
      <w:r w:rsidRPr="00926FAE">
        <w:rPr>
          <w:iCs/>
          <w:szCs w:val="24"/>
          <w:highlight w:val="yellow"/>
        </w:rPr>
        <w:t xml:space="preserve">a liberal democracy must protect the rights of individuals by “instituting a rule of law enforced by punishment”. But this offers little clue as to the actual nature of punitive policy we can expect in liberal democracies. </w:t>
      </w:r>
    </w:p>
    <w:p w14:paraId="5A039E11" w14:textId="1A817AF1" w:rsidR="00B77E5A" w:rsidRPr="00926FAE" w:rsidRDefault="00B77E5A" w:rsidP="00B77E5A">
      <w:pPr>
        <w:rPr>
          <w:iCs/>
          <w:szCs w:val="24"/>
          <w:highlight w:val="yellow"/>
        </w:rPr>
      </w:pPr>
      <w:r w:rsidRPr="00926FAE">
        <w:rPr>
          <w:iCs/>
          <w:szCs w:val="24"/>
          <w:highlight w:val="yellow"/>
        </w:rPr>
        <w:t xml:space="preserve">The term ‘policy’ is perhaps useful to focus on here. Aside from human rights issues, the way democracies deal with criminals is based on policy, which is generated from the democratic process. It is not necessarily predicted to be one thing or the other.  There is a wide spectrum of punitive approaches across longstanding democracies. Scandinavian democracies are typically used as examples where there is a strong orientation towards rehabilitative policy and low levels of incarceration </w:t>
      </w:r>
      <w:r w:rsidR="004D4A26" w:rsidRPr="00926FAE">
        <w:rPr>
          <w:iCs/>
          <w:szCs w:val="24"/>
          <w:highlight w:val="yellow"/>
        </w:rPr>
        <w:fldChar w:fldCharType="begin" w:fldLock="1"/>
      </w:r>
      <w:r w:rsidR="00E63CC6">
        <w:rPr>
          <w:iCs/>
          <w:szCs w:val="24"/>
          <w:highlight w:val="yellow"/>
        </w:rPr>
        <w:instrText>ADDIN CSL_CITATION { "citationItems" : [ { "id" : "ITEM-1", "itemData" : { "DOI" : "10.1093/bjc/azm072", "ISSN" : "00070955", "author" : [ { "dropping-particle" : "", "family" : "Pratt", "given" : "John", "non-dropping-particle" : "", "parse-names" : false, "suffix" : "" } ], "container-title" : "British Journal of Criminology", "id" : "ITEM-1", "issue" : "2", "issued" : { "date-parts" : [ [ "2008" ] ] }, "page" : "119-137", "title" : "Scandinavian Exceptionalism in an Era of Penal Excess: Part I: The Nature and Roots of Scandinavian Exceptionalism", "type" : "article-journal", "volume" : "48" }, "uris" : [ "http://www.mendeley.com/documents/?uuid=bbe0b1cc-eae0-48c0-8eea-53099f6cd3ce" ] }, { "id" : "ITEM-2", "itemData" : { "DOI" : "10.1093/bjc/azm072", "ISSN" : "00070955", "author" : [ { "dropping-particle" : "", "family" : "Pratt", "given" : "John", "non-dropping-particle" : "", "parse-names" : false, "suffix" : "" } ], "container-title" : "British Journal of Criminology", "id" : "ITEM-2", "issue" : "2", "issued" : { "date-parts" : [ [ "2008" ] ] }, "page" : "275-292", "title" : "Scandinavian Exceptionalism in an Era of Penal Excess - Part II: The Nature and Roots of Scandinavian Exceptionalism", "type" : "article-journal", "volume" : "48" }, "uris" : [ "http://www.mendeley.com/documents/?uuid=8c1b4456-52b6-4a84-be60-c2406769b053" ] } ], "mendeley" : { "formattedCitation" : "(Pratt, 2008a, 2008b)", "manualFormatting" : "(Pratt 2008a;2008b)", "plainTextFormattedCitation" : "(Pratt, 2008a, 2008b)", "previouslyFormattedCitation" : "(Pratt, 2008a, 2008b)" }, "properties" : { "noteIndex" : 0 }, "schema" : "https://github.com/citation-style-language/schema/raw/master/csl-citation.json" }</w:instrText>
      </w:r>
      <w:r w:rsidR="004D4A26" w:rsidRPr="00926FAE">
        <w:rPr>
          <w:iCs/>
          <w:szCs w:val="24"/>
          <w:highlight w:val="yellow"/>
        </w:rPr>
        <w:fldChar w:fldCharType="separate"/>
      </w:r>
      <w:r w:rsidR="004D4A26" w:rsidRPr="00926FAE">
        <w:rPr>
          <w:iCs/>
          <w:noProof/>
          <w:szCs w:val="24"/>
          <w:highlight w:val="yellow"/>
        </w:rPr>
        <w:t>(Pratt 2008a;2008b)</w:t>
      </w:r>
      <w:r w:rsidR="004D4A26" w:rsidRPr="00926FAE">
        <w:rPr>
          <w:iCs/>
          <w:szCs w:val="24"/>
          <w:highlight w:val="yellow"/>
        </w:rPr>
        <w:fldChar w:fldCharType="end"/>
      </w:r>
      <w:r w:rsidRPr="00926FAE">
        <w:rPr>
          <w:iCs/>
          <w:szCs w:val="24"/>
          <w:highlight w:val="yellow"/>
        </w:rPr>
        <w:t>. At the other end of the scale, it is widely acknowledged that, compared to other democratic states, the US stands out in terms of its high homicide and incarceration rates, punitive policy and use of the death penalty</w:t>
      </w:r>
      <w:r w:rsidR="004D4A26" w:rsidRPr="00926FAE">
        <w:rPr>
          <w:iCs/>
          <w:szCs w:val="24"/>
          <w:highlight w:val="yellow"/>
        </w:rPr>
        <w:t xml:space="preserve"> </w:t>
      </w:r>
      <w:r w:rsidR="004D4A26" w:rsidRPr="00926FAE">
        <w:rPr>
          <w:iCs/>
          <w:szCs w:val="24"/>
          <w:highlight w:val="yellow"/>
        </w:rPr>
        <w:fldChar w:fldCharType="begin" w:fldLock="1"/>
      </w:r>
      <w:r w:rsidR="00E63CC6">
        <w:rPr>
          <w:iCs/>
          <w:szCs w:val="24"/>
          <w:highlight w:val="yellow"/>
        </w:rPr>
        <w:instrText>ADDIN CSL_CITATION { "citationItems" : [ { "id" : "ITEM-1", "itemData" : { "DOI" : "10.1086/ahr.111.1.104", "ISSN" : "0002-8762", "PMID" : "21155375", "author" : [ { "dropping-particle" : "", "family" : "Spierenburg", "given" : "Pieter", "non-dropping-particle" : "", "parse-names" : false, "suffix" : "" } ], "container-title" : "The American historical review", "id" : "ITEM-1", "issue" : "1", "issued" : { "date-parts" : [ [ "2006" ] ] }, "page" : "104-114", "title" : "Democracy came too early: a tentative explanation for the problem of American homicide.", "type" : "article-journal", "volume" : "111" }, "uris" : [ "http://www.mendeley.com/documents/?uuid=dfd41080-dece-44bf-8401-9ccb9f32d0e9" ] }, { "id" : "ITEM-2", "itemData" : { "DOI" : "10.1177/0002716206287169", "abstract" : "Despite simultaneous increases in democratization and violent crime rates in many countries during the second half of the twentieth century, the authors could find no prior studies that have directly examined possible connections between these two processes. The civilization perspective predicts that violent crime rates will decline along with the civilizing effects of democratization, the conflict perspective predicts that violent crime rates will increase along with the brutalizing effects of the market economies that so far have universally accompanied democratization, and the modernization perspective predicts that violent crime rates will initially increase with the transition to democracy but then decline as democracies mature. Our analysis of data from forty-four countries from 1950 to 2000 shows the most support for a modernization perspective: violent crime rates are highest for transitional democracies. However, as predicted by the conflict perspective, we also find that during the second half of the twentieth century homicide rates gradually increased for full democracies.", "author" : [ { "dropping-particle" : "", "family" : "Lafree", "given" : "Gary", "non-dropping-particle" : "", "parse-names" : false, "suffix" : "" }, { "dropping-particle" : "", "family" : "Tseloni", "given" : "Andromachi", "non-dropping-particle" : "", "parse-names" : false, "suffix" : "" } ], "container-title" : "The ANNALS of the American Academy of Political and Social Science", "id" : "ITEM-2", "issue" : "1", "issued" : { "date-parts" : [ [ "2006", "5" ] ] }, "page" : "25-49", "title" : "Democracy and Crime: A Multilevel Analysis of Homicide Trends in Forty-Four Countries, 1950-2000", "type" : "article-journal", "volume" : "605" }, "uris" : [ "http://www.mendeley.com/documents/?uuid=b6435d8a-84f5-49a2-bbc1-020569ea48b2" ] }, { "id" : "ITEM-3", "itemData" : { "DOI" : "10.1177/0002716206288248", "abstract" : "Democracies represent an institutional framework and a way of life that is, almost by definition, nonviolent. Contrasting with this ideal are two simultaneous global trends: an extension of democratic regimes and rising levels of violent crime. This article explores this seeming gap between democracy's ideal and reality. The author identifies comparative advantages and disadvantages for both democracy and autocracy in restraining violent crime. Comparative advantages of two core democratic values\u2014individualism and egalitarianism\u2014are examined with data from a sample of twenty-six countries. Results show that compared to collectivistic and authoritarian patterns, individualistic and egalitarian values reduce levels of violence. Societies with high levels of violent crime are concentrated among autocracies, which mostly have collectivistic and authoritarian values. In contrast, democratic societies are mostly characterized by individualistic and egalitarian values and have lower levels of violent crime. Democratic values have comparative advantages if they are fostered by democratic practices and institutions.", "author" : [ { "dropping-particle" : "", "family" : "Karstedt", "given" : "Susanne", "non-dropping-particle" : "", "parse-names" : false, "suffix" : "" } ], "container-title" : "The Annals of the American Academy of Political and Social Science", "id" : "ITEM-3", "issue" : "1", "issued" : { "date-parts" : [ [ "2006", "5" ] ] }, "page" : "50-81", "title" : "Democracy, Values, and Violence: Paradoxes, Tensions, and Comparative Advantages of Liberal Inclusion", "type" : "article-journal", "volume" : "605" }, "uris" : [ "http://www.mendeley.com/documents/?uuid=92590aad-0c30-4e10-8126-f5449c03cb92" ] } ], "mendeley" : { "formattedCitation" : "(Karstedt, 2006; Lafree and Tseloni, 2006; Spierenburg, 2006)", "plainTextFormattedCitation" : "(Karstedt, 2006; Lafree and Tseloni, 2006; Spierenburg, 2006)", "previouslyFormattedCitation" : "(Karstedt, 2006; Lafree and Tseloni, 2006; Spierenburg, 2006)" }, "properties" : { "noteIndex" : 0 }, "schema" : "https://github.com/citation-style-language/schema/raw/master/csl-citation.json" }</w:instrText>
      </w:r>
      <w:r w:rsidR="004D4A26" w:rsidRPr="00926FAE">
        <w:rPr>
          <w:iCs/>
          <w:szCs w:val="24"/>
          <w:highlight w:val="yellow"/>
        </w:rPr>
        <w:fldChar w:fldCharType="separate"/>
      </w:r>
      <w:r w:rsidR="00E63CC6" w:rsidRPr="00E63CC6">
        <w:rPr>
          <w:iCs/>
          <w:noProof/>
          <w:szCs w:val="24"/>
          <w:highlight w:val="yellow"/>
        </w:rPr>
        <w:t>(Karstedt, 2006; Lafree and Tseloni, 2006; Spierenburg, 2006)</w:t>
      </w:r>
      <w:r w:rsidR="004D4A26" w:rsidRPr="00926FAE">
        <w:rPr>
          <w:iCs/>
          <w:szCs w:val="24"/>
          <w:highlight w:val="yellow"/>
        </w:rPr>
        <w:fldChar w:fldCharType="end"/>
      </w:r>
      <w:r w:rsidRPr="00926FAE">
        <w:rPr>
          <w:iCs/>
          <w:szCs w:val="24"/>
          <w:highlight w:val="yellow"/>
        </w:rPr>
        <w:t>.</w:t>
      </w:r>
    </w:p>
    <w:p w14:paraId="57D3CF60" w14:textId="19BAD300" w:rsidR="00B77E5A" w:rsidRPr="00926FAE" w:rsidRDefault="00741706" w:rsidP="00B77E5A">
      <w:pPr>
        <w:rPr>
          <w:iCs/>
          <w:szCs w:val="24"/>
          <w:highlight w:val="yellow"/>
        </w:rPr>
      </w:pPr>
      <w:r w:rsidRPr="00926FAE">
        <w:rPr>
          <w:iCs/>
          <w:szCs w:val="24"/>
          <w:highlight w:val="yellow"/>
        </w:rPr>
        <w:t xml:space="preserve">Whereas for the previously discussed issues of redistribution and social security it is possible to link these to deeper conceptualisations of social democracy, it is less clear how a particular punitive approach to criminal behaviour conceptually fits into the essential characteristics of democracy. </w:t>
      </w:r>
      <w:r w:rsidR="00B77E5A" w:rsidRPr="00926FAE">
        <w:rPr>
          <w:iCs/>
          <w:szCs w:val="24"/>
          <w:highlight w:val="yellow"/>
        </w:rPr>
        <w:t>What this variable is focused on</w:t>
      </w:r>
      <w:r w:rsidR="00D00EFF" w:rsidRPr="00926FAE">
        <w:rPr>
          <w:iCs/>
          <w:szCs w:val="24"/>
          <w:highlight w:val="yellow"/>
        </w:rPr>
        <w:t>,</w:t>
      </w:r>
      <w:r w:rsidR="00B77E5A" w:rsidRPr="00926FAE">
        <w:rPr>
          <w:iCs/>
          <w:szCs w:val="24"/>
          <w:highlight w:val="yellow"/>
        </w:rPr>
        <w:t xml:space="preserve"> then, is not something which is inherent to the </w:t>
      </w:r>
      <w:r w:rsidRPr="00926FAE">
        <w:rPr>
          <w:iCs/>
          <w:szCs w:val="24"/>
          <w:highlight w:val="yellow"/>
        </w:rPr>
        <w:t>theories</w:t>
      </w:r>
      <w:r w:rsidR="00B77E5A" w:rsidRPr="00926FAE">
        <w:rPr>
          <w:iCs/>
          <w:szCs w:val="24"/>
          <w:highlight w:val="yellow"/>
        </w:rPr>
        <w:t xml:space="preserve"> of democracy</w:t>
      </w:r>
      <w:r w:rsidRPr="00926FAE">
        <w:rPr>
          <w:iCs/>
          <w:szCs w:val="24"/>
          <w:highlight w:val="yellow"/>
        </w:rPr>
        <w:t xml:space="preserve"> outlined in this thesis</w:t>
      </w:r>
      <w:r w:rsidR="00B77E5A" w:rsidRPr="00926FAE">
        <w:rPr>
          <w:iCs/>
          <w:szCs w:val="24"/>
          <w:highlight w:val="yellow"/>
        </w:rPr>
        <w:t xml:space="preserve">. </w:t>
      </w:r>
      <w:r w:rsidRPr="00926FAE">
        <w:rPr>
          <w:iCs/>
          <w:szCs w:val="24"/>
          <w:highlight w:val="yellow"/>
        </w:rPr>
        <w:t>Rather it is a particular policy</w:t>
      </w:r>
      <w:r w:rsidR="00B77E5A" w:rsidRPr="00926FAE">
        <w:rPr>
          <w:iCs/>
          <w:szCs w:val="24"/>
          <w:highlight w:val="yellow"/>
        </w:rPr>
        <w:t xml:space="preserve"> output </w:t>
      </w:r>
      <w:r w:rsidRPr="00926FAE">
        <w:rPr>
          <w:iCs/>
          <w:szCs w:val="24"/>
          <w:highlight w:val="yellow"/>
        </w:rPr>
        <w:t>certain citizens may be interested in, depending on their understanding of criminal punishment or rehabilitation</w:t>
      </w:r>
      <w:r w:rsidR="00B77E5A" w:rsidRPr="00926FAE">
        <w:rPr>
          <w:iCs/>
          <w:szCs w:val="24"/>
          <w:highlight w:val="yellow"/>
        </w:rPr>
        <w:t xml:space="preserve">. </w:t>
      </w:r>
    </w:p>
    <w:p w14:paraId="73C7854A" w14:textId="6175B216" w:rsidR="00B77E5A" w:rsidRPr="00926FAE" w:rsidRDefault="00B77E5A" w:rsidP="00B77E5A">
      <w:pPr>
        <w:rPr>
          <w:szCs w:val="24"/>
          <w:highlight w:val="yellow"/>
        </w:rPr>
      </w:pPr>
      <w:r w:rsidRPr="00926FAE">
        <w:rPr>
          <w:iCs/>
          <w:szCs w:val="24"/>
          <w:highlight w:val="yellow"/>
        </w:rPr>
        <w:t>However, the WVS2005-2008 group of questions explicitly states that: “</w:t>
      </w:r>
      <w:r w:rsidRPr="00926FAE">
        <w:rPr>
          <w:i/>
          <w:iCs/>
          <w:szCs w:val="24"/>
          <w:highlight w:val="yellow"/>
        </w:rPr>
        <w:t>Many things may be desirable, but not all of them are essential characteristics of democracy</w:t>
      </w:r>
      <w:r w:rsidRPr="00926FAE">
        <w:rPr>
          <w:iCs/>
          <w:szCs w:val="24"/>
          <w:highlight w:val="yellow"/>
        </w:rPr>
        <w:t xml:space="preserve">”. </w:t>
      </w:r>
      <w:r w:rsidR="00741706" w:rsidRPr="00926FAE">
        <w:rPr>
          <w:iCs/>
          <w:szCs w:val="24"/>
          <w:highlight w:val="yellow"/>
        </w:rPr>
        <w:t xml:space="preserve">The question itself allows citizens to make the judgement whether the characteristic is inherent to democracy. It allows, for instance, for a respondent to have a preference for criminals to be severely punished, yet be of the opinion that this is a preferred policy, and not essential to a democratic system. The problem is, we don’t know from the way the question is answered if this is the case.  This conflation of preferred policy and characteristics of democracy might be considered a limitation, yet it also insightful in itself. I discuss it in further detail at the end of this section. </w:t>
      </w:r>
    </w:p>
    <w:p w14:paraId="48516BE8" w14:textId="5787E283" w:rsidR="00B77E5A" w:rsidRPr="00926FAE" w:rsidRDefault="00B77E5A" w:rsidP="00B77E5A">
      <w:pPr>
        <w:rPr>
          <w:iCs/>
          <w:szCs w:val="24"/>
          <w:highlight w:val="yellow"/>
        </w:rPr>
      </w:pPr>
      <w:r w:rsidRPr="00926FAE">
        <w:rPr>
          <w:iCs/>
          <w:szCs w:val="24"/>
          <w:highlight w:val="yellow"/>
        </w:rPr>
        <w:t xml:space="preserve">The same </w:t>
      </w:r>
      <w:r w:rsidR="0031391C" w:rsidRPr="00926FAE">
        <w:rPr>
          <w:iCs/>
          <w:szCs w:val="24"/>
          <w:highlight w:val="yellow"/>
        </w:rPr>
        <w:t>issues arises for the issue</w:t>
      </w:r>
      <w:r w:rsidRPr="00926FAE">
        <w:rPr>
          <w:iCs/>
          <w:szCs w:val="24"/>
          <w:highlight w:val="yellow"/>
        </w:rPr>
        <w:t xml:space="preserve"> of econ</w:t>
      </w:r>
      <w:r w:rsidR="0031391C" w:rsidRPr="00926FAE">
        <w:rPr>
          <w:iCs/>
          <w:szCs w:val="24"/>
          <w:highlight w:val="yellow"/>
        </w:rPr>
        <w:t>omic growth, and in particular</w:t>
      </w:r>
      <w:r w:rsidRPr="00926FAE">
        <w:rPr>
          <w:iCs/>
          <w:szCs w:val="24"/>
          <w:highlight w:val="yellow"/>
        </w:rPr>
        <w:t xml:space="preserve"> whether a prospering economy is essential to the idea of democracy. To date, richer states have been more likely to be democratic than poorer ones (see Lipset 1959, Almond &amp; Verba 1963, and Przeworski 2005). Citizens then may conflate economic growth and democracy.</w:t>
      </w:r>
    </w:p>
    <w:p w14:paraId="76A57F37" w14:textId="7307345D" w:rsidR="00B77E5A" w:rsidRPr="00926FAE" w:rsidRDefault="00B77E5A" w:rsidP="00B77E5A">
      <w:pPr>
        <w:rPr>
          <w:iCs/>
          <w:szCs w:val="24"/>
          <w:highlight w:val="yellow"/>
        </w:rPr>
      </w:pPr>
      <w:r w:rsidRPr="00926FAE">
        <w:rPr>
          <w:iCs/>
          <w:szCs w:val="24"/>
          <w:highlight w:val="yellow"/>
        </w:rPr>
        <w:t xml:space="preserve">The literature overall comes to mixed conclusions on whether democracy is necessarily good for growth, with some saying it is generally negative </w:t>
      </w:r>
      <w:r w:rsidR="00C31AE7" w:rsidRPr="00926FAE">
        <w:rPr>
          <w:iCs/>
          <w:szCs w:val="24"/>
          <w:highlight w:val="yellow"/>
        </w:rPr>
        <w:fldChar w:fldCharType="begin" w:fldLock="1"/>
      </w:r>
      <w:r w:rsidR="00E63CC6">
        <w:rPr>
          <w:iCs/>
          <w:szCs w:val="24"/>
          <w:highlight w:val="yellow"/>
        </w:rPr>
        <w:instrText>ADDIN CSL_CITATION { "citationItems" : [ { "id" : "ITEM-1", "itemData" : { "DOI" : "10.1016/S0014-2921(00)00093-3", "ISBN" : "0014-2921", "ISSN" : "00142921", "abstract" : "This paper introduces a new methodology to examine the empirical relationship between democracy and economic growth. Democratic institutions are assumed to affect growth through a series of channels. We specify and estimate a full system of equations determining growth and the channel variables. Results suggest that democracy fosters growth by improving the accumulation of human capital and, less robustly, by lowering income inequality. On the other hand, democracy hinders growth by reducing the rate of physical capital accumulation and, less robustly, by raising the ratio of government consumption to GDP. Once all of these indirect effects are accounted for, the overall effect of democracy on economic growth is moderately negative. Our results indicate that democratic institutions are responsive to the demands of the poor by expanding access to education and lowering income inequality, but do so at the expense of physical capital accumulation. \u00a9 2001 Elsevier Science B.V. All rights reserved.", "author" : [ { "dropping-particle" : "", "family" : "Tavares", "given" : "Jos\u00e9", "non-dropping-particle" : "", "parse-names" : false, "suffix" : "" }, { "dropping-particle" : "", "family" : "Wacziarg", "given" : "Romain", "non-dropping-particle" : "", "parse-names" : false, "suffix" : "" } ], "container-title" : "European Economic Review", "id" : "ITEM-1", "issue" : "8", "issued" : { "date-parts" : [ [ "2001" ] ] }, "page" : "1341-1378", "title" : "How democracy affects growth", "type" : "article-journal", "volume" : "45" }, "uris" : [ "http://www.mendeley.com/documents/?uuid=89fe2001-39dc-4be7-acbc-8ef6e15d92c5" ] } ], "mendeley" : { "formattedCitation" : "(Tavares and Wacziarg, 2001)", "plainTextFormattedCitation" : "(Tavares and Wacziarg, 2001)", "previouslyFormattedCitation" : "(Tavares and Wacziarg, 2001)" }, "properties" : { "noteIndex" : 0 }, "schema" : "https://github.com/citation-style-language/schema/raw/master/csl-citation.json" }</w:instrText>
      </w:r>
      <w:r w:rsidR="00C31AE7" w:rsidRPr="00926FAE">
        <w:rPr>
          <w:iCs/>
          <w:szCs w:val="24"/>
          <w:highlight w:val="yellow"/>
        </w:rPr>
        <w:fldChar w:fldCharType="separate"/>
      </w:r>
      <w:r w:rsidR="00E63CC6" w:rsidRPr="00E63CC6">
        <w:rPr>
          <w:iCs/>
          <w:noProof/>
          <w:szCs w:val="24"/>
          <w:highlight w:val="yellow"/>
        </w:rPr>
        <w:t>(Tavares and Wacziarg, 2001)</w:t>
      </w:r>
      <w:r w:rsidR="00C31AE7" w:rsidRPr="00926FAE">
        <w:rPr>
          <w:iCs/>
          <w:szCs w:val="24"/>
          <w:highlight w:val="yellow"/>
        </w:rPr>
        <w:fldChar w:fldCharType="end"/>
      </w:r>
      <w:r w:rsidRPr="00926FAE">
        <w:rPr>
          <w:iCs/>
          <w:szCs w:val="24"/>
          <w:highlight w:val="yellow"/>
        </w:rPr>
        <w:t xml:space="preserve"> but others saying it is generally positive</w:t>
      </w:r>
      <w:r w:rsidR="00C31AE7" w:rsidRPr="00926FAE">
        <w:rPr>
          <w:iCs/>
          <w:szCs w:val="24"/>
          <w:highlight w:val="yellow"/>
        </w:rPr>
        <w:t xml:space="preserve"> </w:t>
      </w:r>
      <w:r w:rsidR="00C31AE7" w:rsidRPr="00926FAE">
        <w:rPr>
          <w:iCs/>
          <w:szCs w:val="24"/>
          <w:highlight w:val="yellow"/>
        </w:rPr>
        <w:fldChar w:fldCharType="begin" w:fldLock="1"/>
      </w:r>
      <w:r w:rsidR="00E63CC6">
        <w:rPr>
          <w:iCs/>
          <w:szCs w:val="24"/>
          <w:highlight w:val="yellow"/>
        </w:rPr>
        <w:instrText>ADDIN CSL_CITATION { "citationItems" : [ { "id" : "ITEM-1", "itemData" : { "DOI" : "10.1353/wp.2006.0002", "ISSN" : "0043-8871", "abstract" : "Recent studies appear to show that democracy has no robust association with economic growth. Yet all such work assumes that the causal effect of democracy can be measured by a country's regime status in a particular year (T), which is correlated with its growth performance in a subsequent period (T+l). The authors argue that democracy must be understood as a stock, rather than a level, measure. That is, a country's growth performance is affected by the number of years it has been democratic, in addition to the degree of democracy experienced during that period. In this fashion, democracy is reconceptualized as a historical, rather than a contemporary, variable\u2014with the assumption that long-run historical patterns may help scholars to understand present trends. The authors speculate that these secular-historical influences operate through four causal pathways, each of which may be understood as a type of capital: physical capital, human capital, social capital, and political capital. This argument is tested in a crosscountry analysis and is shown to be robust in a wide variety of specifications and formats.", "author" : [ { "dropping-particle" : "", "family" : "Gerring", "given" : "John", "non-dropping-particle" : "", "parse-names" : false, "suffix" : "" }, { "dropping-particle" : "", "family" : "Bond", "given" : "Philip", "non-dropping-particle" : "", "parse-names" : false, "suffix" : "" }, { "dropping-particle" : "", "family" : "Barndt", "given" : "William T.", "non-dropping-particle" : "", "parse-names" : false, "suffix" : "" }, { "dropping-particle" : "", "family" : "Moreno", "given" : "Carola", "non-dropping-particle" : "", "parse-names" : false, "suffix" : "" } ], "container-title" : "World Politics", "id" : "ITEM-1", "issue" : "3", "issued" : { "date-parts" : [ [ "2005" ] ] }, "page" : "323-364", "title" : "Democracy and Economic Growth: A Historical Perspective", "type" : "article-journal", "volume" : "57" }, "uris" : [ "http://www.mendeley.com/documents/?uuid=4af4f2b0-db64-461c-9bbc-5f6d8b5e99da" ] } ], "mendeley" : { "formattedCitation" : "(Gerring &lt;i&gt;et al.&lt;/i&gt;, 2005)", "manualFormatting" : "(Gerring et al 2005)", "plainTextFormattedCitation" : "(Gerring et al., 2005)", "previouslyFormattedCitation" : "(Gerring &lt;i&gt;et al.&lt;/i&gt;, 2005)" }, "properties" : { "noteIndex" : 0 }, "schema" : "https://github.com/citation-style-language/schema/raw/master/csl-citation.json" }</w:instrText>
      </w:r>
      <w:r w:rsidR="00C31AE7" w:rsidRPr="00926FAE">
        <w:rPr>
          <w:iCs/>
          <w:szCs w:val="24"/>
          <w:highlight w:val="yellow"/>
        </w:rPr>
        <w:fldChar w:fldCharType="separate"/>
      </w:r>
      <w:r w:rsidR="00C31AE7" w:rsidRPr="00926FAE">
        <w:rPr>
          <w:iCs/>
          <w:noProof/>
          <w:szCs w:val="24"/>
          <w:highlight w:val="yellow"/>
        </w:rPr>
        <w:t>(</w:t>
      </w:r>
      <w:r w:rsidR="00456503" w:rsidRPr="00926FAE">
        <w:rPr>
          <w:iCs/>
          <w:noProof/>
          <w:szCs w:val="24"/>
          <w:highlight w:val="yellow"/>
        </w:rPr>
        <w:t xml:space="preserve">Gerring </w:t>
      </w:r>
      <w:r w:rsidR="00803848" w:rsidRPr="00926FAE">
        <w:rPr>
          <w:iCs/>
          <w:noProof/>
          <w:szCs w:val="24"/>
          <w:highlight w:val="yellow"/>
        </w:rPr>
        <w:t>et al</w:t>
      </w:r>
      <w:r w:rsidR="00C31AE7" w:rsidRPr="00926FAE">
        <w:rPr>
          <w:iCs/>
          <w:noProof/>
          <w:szCs w:val="24"/>
          <w:highlight w:val="yellow"/>
        </w:rPr>
        <w:t xml:space="preserve"> 2005)</w:t>
      </w:r>
      <w:r w:rsidR="00C31AE7" w:rsidRPr="00926FAE">
        <w:rPr>
          <w:iCs/>
          <w:szCs w:val="24"/>
          <w:highlight w:val="yellow"/>
        </w:rPr>
        <w:fldChar w:fldCharType="end"/>
      </w:r>
      <w:r w:rsidRPr="00926FAE">
        <w:rPr>
          <w:iCs/>
          <w:szCs w:val="24"/>
          <w:highlight w:val="yellow"/>
        </w:rPr>
        <w:t xml:space="preserve"> and others suggesting a positive interaction between growth and democracy in both directions </w:t>
      </w:r>
      <w:r w:rsidR="00C31AE7" w:rsidRPr="00926FAE">
        <w:rPr>
          <w:iCs/>
          <w:szCs w:val="24"/>
          <w:highlight w:val="yellow"/>
        </w:rPr>
        <w:fldChar w:fldCharType="begin" w:fldLock="1"/>
      </w:r>
      <w:r w:rsidR="00E63CC6">
        <w:rPr>
          <w:iCs/>
          <w:szCs w:val="24"/>
          <w:highlight w:val="yellow"/>
        </w:rPr>
        <w:instrText>ADDIN CSL_CITATION { "citationItems" : [ { "id" : "ITEM-1", "itemData" : { "DOI" : "10.1017/S0007123497000197", "ISSN" : "00071234", "abstract" : "This article investigates the interactions between democracy, political stability and economic growth. Two aspects of the study differentiate it from previous research. First, a simultaneous approach is adopted which combines the study of economic growth and political stability with that of economic growth and democracy. Secondly, a distinction is made between types of political instability, because different kinds of government change have different effects on economic growth and democracy. This analysis employs three-stage least-squares estimation, and utilizes aggregate data covering ninety-six countries from 1960 to 1980. The results indicate that democracy has a positive indirect effect upon growth through its impacts on the probabilities of both regime change and constitutional government change from one ruling party to another. In addition, the evidence indicates that the two kinds of political change mentioned above have significant and opposite effects on growth; that growth has a negative effect on regime change and a positive effect on the probability of the ruling party remaining in power; and that long-run economic growth tends to exert a positive effect upon democracy.", "author" : [ { "dropping-particle" : "", "family" : "Feng", "given" : "Yi", "non-dropping-particle" : "", "parse-names" : false, "suffix" : "" } ], "container-title" : "British Journal of Political Science", "id" : "ITEM-1", "issue" : "3", "issued" : { "date-parts" : [ [ "1997" ] ] }, "page" : "391-418", "title" : "Democracy, Political Stability and Economic Growth", "type" : "article-journal", "volume" : "27" }, "uris" : [ "http://www.mendeley.com/documents/?uuid=6e13b491-af49-473b-81f7-e029cd3b276f" ] } ], "mendeley" : { "formattedCitation" : "(Feng, 1997)", "plainTextFormattedCitation" : "(Feng, 1997)", "previouslyFormattedCitation" : "(Feng, 1997)" }, "properties" : { "noteIndex" : 0 }, "schema" : "https://github.com/citation-style-language/schema/raw/master/csl-citation.json" }</w:instrText>
      </w:r>
      <w:r w:rsidR="00C31AE7" w:rsidRPr="00926FAE">
        <w:rPr>
          <w:iCs/>
          <w:szCs w:val="24"/>
          <w:highlight w:val="yellow"/>
        </w:rPr>
        <w:fldChar w:fldCharType="separate"/>
      </w:r>
      <w:r w:rsidR="00E63CC6" w:rsidRPr="00E63CC6">
        <w:rPr>
          <w:iCs/>
          <w:noProof/>
          <w:szCs w:val="24"/>
          <w:highlight w:val="yellow"/>
        </w:rPr>
        <w:t>(Feng, 1997)</w:t>
      </w:r>
      <w:r w:rsidR="00C31AE7" w:rsidRPr="00926FAE">
        <w:rPr>
          <w:iCs/>
          <w:szCs w:val="24"/>
          <w:highlight w:val="yellow"/>
        </w:rPr>
        <w:fldChar w:fldCharType="end"/>
      </w:r>
      <w:r w:rsidR="00C31AE7" w:rsidRPr="00926FAE">
        <w:rPr>
          <w:iCs/>
          <w:szCs w:val="24"/>
          <w:highlight w:val="yellow"/>
        </w:rPr>
        <w:t>.</w:t>
      </w:r>
      <w:r w:rsidRPr="00926FAE">
        <w:rPr>
          <w:iCs/>
          <w:szCs w:val="24"/>
          <w:highlight w:val="yellow"/>
        </w:rPr>
        <w:t xml:space="preserve"> A more recent meta-review of the literature argued that democracy does not appear to be detrimental to economic growth, and may indeed have a positive effect, albeit indirectly </w:t>
      </w:r>
      <w:r w:rsidR="00C31AE7" w:rsidRPr="00926FAE">
        <w:rPr>
          <w:iCs/>
          <w:szCs w:val="24"/>
          <w:highlight w:val="yellow"/>
        </w:rPr>
        <w:fldChar w:fldCharType="begin" w:fldLock="1"/>
      </w:r>
      <w:r w:rsidR="00E63CC6">
        <w:rPr>
          <w:iCs/>
          <w:szCs w:val="24"/>
          <w:highlight w:val="yellow"/>
        </w:rPr>
        <w:instrText>ADDIN CSL_CITATION { "citationItems" : [ { "id" : "ITEM-1", "itemData" : { "DOI" : "10.1111/j.1540-5907.2007.00299.x", "ISBN" : "0092-5853", "ISSN" : "00925853", "abstract" : "Despite a sizeable theoretical and empirical literature, no firm conclusions have been drawn regarding the impact of political democracy on economic growth. This article challenges the consensus of an inconclusive relationship through a quantitative assessment of the democracy-growth literature. It applies meta-regression analysis to the population of 483 estimates derived from 84 studies on democracy and growth. Using traditional meta-analysis estimators, the bootstrap, and Fixed and Random Effects meta-regression models, it derives several robust conclusions. Taking all the available published evidence together, it concludes that democracy does not have a direct impact on economic growth. However, democracy has robust, significant, and positive indirect effects through higher human capital, lower inflation, lower political instability, and higher levels of economic freedom. Democracies may also be associated with larger governments and less free international trade. There also appear to be country- and region-specific democracy-growth effects. Overall, democracy's net effect on the economy does not seem to be detrimental.", "author" : [ { "dropping-particle" : "", "family" : "Doucouliagos", "given" : "Hristos", "non-dropping-particle" : "", "parse-names" : false, "suffix" : "" }, { "dropping-particle" : "", "family" : "Uluba\u015fo\u01e7lu", "given" : "Mehmet Ali", "non-dropping-particle" : "", "parse-names" : false, "suffix" : "" } ], "container-title" : "American Journal of Political Science", "id" : "ITEM-1", "issue" : "1", "issued" : { "date-parts" : [ [ "2008" ] ] }, "page" : "61-83", "title" : "Democracy and economic growth: A meta-analysis", "type" : "article-journal", "volume" : "52" }, "uris" : [ "http://www.mendeley.com/documents/?uuid=6606051b-a856-479f-867b-7f6a9ed5d9eb" ] } ], "mendeley" : { "formattedCitation" : "(Doucouliagos and Uluba\u015fo\u01e7lu, 2008)", "plainTextFormattedCitation" : "(Doucouliagos and Uluba\u015fo\u01e7lu, 2008)", "previouslyFormattedCitation" : "(Doucouliagos and Uluba\u015fo\u01e7lu, 2008)" }, "properties" : { "noteIndex" : 0 }, "schema" : "https://github.com/citation-style-language/schema/raw/master/csl-citation.json" }</w:instrText>
      </w:r>
      <w:r w:rsidR="00C31AE7" w:rsidRPr="00926FAE">
        <w:rPr>
          <w:iCs/>
          <w:szCs w:val="24"/>
          <w:highlight w:val="yellow"/>
        </w:rPr>
        <w:fldChar w:fldCharType="separate"/>
      </w:r>
      <w:r w:rsidR="00E63CC6" w:rsidRPr="00E63CC6">
        <w:rPr>
          <w:iCs/>
          <w:noProof/>
          <w:szCs w:val="24"/>
          <w:highlight w:val="yellow"/>
        </w:rPr>
        <w:t>(Doucouliagos and Ulubaşoǧlu, 2008)</w:t>
      </w:r>
      <w:r w:rsidR="00C31AE7" w:rsidRPr="00926FAE">
        <w:rPr>
          <w:iCs/>
          <w:szCs w:val="24"/>
          <w:highlight w:val="yellow"/>
        </w:rPr>
        <w:fldChar w:fldCharType="end"/>
      </w:r>
      <w:r w:rsidRPr="00926FAE">
        <w:rPr>
          <w:rFonts w:eastAsia="Times New Roman"/>
          <w:szCs w:val="24"/>
          <w:highlight w:val="yellow"/>
          <w:lang w:eastAsia="en-GB"/>
        </w:rPr>
        <w:t>.</w:t>
      </w:r>
    </w:p>
    <w:p w14:paraId="460E5C50" w14:textId="06BAD6C7" w:rsidR="00B77E5A" w:rsidRPr="00926FAE" w:rsidRDefault="00B77E5A" w:rsidP="00B77E5A">
      <w:pPr>
        <w:rPr>
          <w:iCs/>
          <w:szCs w:val="24"/>
          <w:highlight w:val="yellow"/>
        </w:rPr>
      </w:pPr>
      <w:r w:rsidRPr="00926FAE">
        <w:rPr>
          <w:iCs/>
          <w:szCs w:val="24"/>
          <w:highlight w:val="yellow"/>
        </w:rPr>
        <w:t xml:space="preserve">The problem with this relationship is the various </w:t>
      </w:r>
      <w:r w:rsidR="001E3FD2" w:rsidRPr="00926FAE">
        <w:rPr>
          <w:iCs/>
          <w:szCs w:val="24"/>
          <w:highlight w:val="yellow"/>
        </w:rPr>
        <w:t>conceptualis</w:t>
      </w:r>
      <w:r w:rsidRPr="00926FAE">
        <w:rPr>
          <w:iCs/>
          <w:szCs w:val="24"/>
          <w:highlight w:val="yellow"/>
        </w:rPr>
        <w:t xml:space="preserve">ations of both sides of the relationship can lead to diverging results, and new innovations can often call into question previous findings. For instance, an oft-repeated finding that authoritarian regimes grow quicker than democratic regimes has been recently questioned by </w:t>
      </w:r>
      <w:r w:rsidR="00C31AE7" w:rsidRPr="00926FAE">
        <w:rPr>
          <w:iCs/>
          <w:szCs w:val="24"/>
          <w:highlight w:val="yellow"/>
        </w:rPr>
        <w:fldChar w:fldCharType="begin" w:fldLock="1"/>
      </w:r>
      <w:r w:rsidR="00E63CC6">
        <w:rPr>
          <w:iCs/>
          <w:szCs w:val="24"/>
          <w:highlight w:val="yellow"/>
        </w:rPr>
        <w:instrText>ADDIN CSL_CITATION { "citationItems" : [ { "id" : "ITEM-1", "itemData" : { "DOI" : "10.1111/isqu.12143", "ISSN" : "00208833", "author" : [ { "dropping-particle" : "", "family" : "Magee", "given" : "Christopher S P", "non-dropping-particle" : "", "parse-names" : false, "suffix" : "" }, { "dropping-particle" : "", "family" : "Doces", "given" : "John a.", "non-dropping-particle" : "", "parse-names" : false, "suffix" : "" } ], "container-title" : "International Studies Quarterly", "id" : "ITEM-1", "issued" : { "date-parts" : [ [ "2015" ] ] }, "page" : "223-237", "title" : "Reconsidering Regime Type and Growth: Lies, Dictatorships, and Statistics", "type" : "article-journal", "volume" : "59" }, "uris" : [ "http://www.mendeley.com/documents/?uuid=07da4c7c-3001-4000-b243-2714b72d7720" ] } ], "mendeley" : { "formattedCitation" : "(Magee and Doces, 2015)", "plainTextFormattedCitation" : "(Magee and Doces, 2015)", "previouslyFormattedCitation" : "(Magee and Doces, 2015)" }, "properties" : { "noteIndex" : 0 }, "schema" : "https://github.com/citation-style-language/schema/raw/master/csl-citation.json" }</w:instrText>
      </w:r>
      <w:r w:rsidR="00C31AE7" w:rsidRPr="00926FAE">
        <w:rPr>
          <w:iCs/>
          <w:szCs w:val="24"/>
          <w:highlight w:val="yellow"/>
        </w:rPr>
        <w:fldChar w:fldCharType="separate"/>
      </w:r>
      <w:r w:rsidR="00E63CC6" w:rsidRPr="00E63CC6">
        <w:rPr>
          <w:iCs/>
          <w:noProof/>
          <w:szCs w:val="24"/>
          <w:highlight w:val="yellow"/>
        </w:rPr>
        <w:t>(Magee and Doces, 2015)</w:t>
      </w:r>
      <w:r w:rsidR="00C31AE7" w:rsidRPr="00926FAE">
        <w:rPr>
          <w:iCs/>
          <w:szCs w:val="24"/>
          <w:highlight w:val="yellow"/>
        </w:rPr>
        <w:fldChar w:fldCharType="end"/>
      </w:r>
      <w:r w:rsidR="00456503" w:rsidRPr="00926FAE">
        <w:rPr>
          <w:iCs/>
          <w:szCs w:val="24"/>
          <w:highlight w:val="yellow"/>
        </w:rPr>
        <w:t xml:space="preserve"> who use night </w:t>
      </w:r>
      <w:r w:rsidRPr="00926FAE">
        <w:rPr>
          <w:iCs/>
          <w:szCs w:val="24"/>
          <w:highlight w:val="yellow"/>
        </w:rPr>
        <w:t>time light imagery from satellites to suggest the economic data provided by authoritarian regimes is overstated.</w:t>
      </w:r>
    </w:p>
    <w:p w14:paraId="2FF8424E" w14:textId="096C184A" w:rsidR="00B77E5A" w:rsidRDefault="0031391C" w:rsidP="00B77E5A">
      <w:pPr>
        <w:rPr>
          <w:iCs/>
          <w:szCs w:val="24"/>
        </w:rPr>
      </w:pPr>
      <w:r w:rsidRPr="00926FAE">
        <w:rPr>
          <w:iCs/>
          <w:szCs w:val="24"/>
          <w:highlight w:val="yellow"/>
        </w:rPr>
        <w:t>Accordingly,</w:t>
      </w:r>
      <w:r w:rsidR="00B77E5A" w:rsidRPr="00926FAE">
        <w:rPr>
          <w:iCs/>
          <w:szCs w:val="24"/>
          <w:highlight w:val="yellow"/>
        </w:rPr>
        <w:t xml:space="preserve"> the picture is complicated when it comes to the relationship between democracy and economic growth, and it wouldn’t be surprising if there was no citizen consensus on how essential economic growth is as a characteristic of democracy. Theoretically however, a democracy should function on a systemic level whether the economic is booming or in a depression. Therefore, economic growth is not essential to democracy, </w:t>
      </w:r>
      <w:r w:rsidRPr="00926FAE">
        <w:rPr>
          <w:iCs/>
          <w:szCs w:val="24"/>
          <w:highlight w:val="yellow"/>
        </w:rPr>
        <w:t xml:space="preserve">yet </w:t>
      </w:r>
      <w:r w:rsidR="00B77E5A" w:rsidRPr="00926FAE">
        <w:rPr>
          <w:iCs/>
          <w:szCs w:val="24"/>
          <w:highlight w:val="yellow"/>
        </w:rPr>
        <w:t xml:space="preserve">popular understandings </w:t>
      </w:r>
      <w:r w:rsidRPr="00926FAE">
        <w:rPr>
          <w:iCs/>
          <w:szCs w:val="24"/>
          <w:highlight w:val="yellow"/>
        </w:rPr>
        <w:t>might</w:t>
      </w:r>
      <w:r w:rsidR="00B77E5A" w:rsidRPr="00926FAE">
        <w:rPr>
          <w:iCs/>
          <w:szCs w:val="24"/>
          <w:highlight w:val="yellow"/>
        </w:rPr>
        <w:t xml:space="preserve"> be predicted to be unclear on this issue.</w:t>
      </w:r>
    </w:p>
    <w:p w14:paraId="62146A9F" w14:textId="77777777" w:rsidR="00B77E5A" w:rsidRPr="00E223A2" w:rsidRDefault="00B77E5A" w:rsidP="00E223A2">
      <w:pPr>
        <w:pStyle w:val="Heading3"/>
      </w:pPr>
      <w:bookmarkStart w:id="149" w:name="_Toc380995535"/>
      <w:bookmarkStart w:id="150" w:name="_Toc381100509"/>
      <w:bookmarkStart w:id="151" w:name="_Toc381717093"/>
      <w:bookmarkStart w:id="152" w:name="_Toc441069198"/>
      <w:r w:rsidRPr="00E223A2">
        <w:t>Authoritarian Characteristics</w:t>
      </w:r>
      <w:bookmarkEnd w:id="149"/>
      <w:bookmarkEnd w:id="150"/>
      <w:bookmarkEnd w:id="151"/>
      <w:bookmarkEnd w:id="152"/>
      <w:r w:rsidRPr="00E223A2">
        <w:t xml:space="preserve"> </w:t>
      </w:r>
    </w:p>
    <w:p w14:paraId="444B501F" w14:textId="77777777" w:rsidR="00B77E5A" w:rsidRPr="000367C8" w:rsidRDefault="00B77E5A" w:rsidP="00B77E5A">
      <w:pPr>
        <w:rPr>
          <w:szCs w:val="24"/>
        </w:rPr>
      </w:pPr>
      <w:r w:rsidRPr="000367C8">
        <w:rPr>
          <w:bCs/>
          <w:szCs w:val="24"/>
        </w:rPr>
        <w:t>The final two characteristics in this set of questions are ‘The army takes over when the government is incompetent’ and ‘Religious authorities interpret the law’. This section discusses these two in that order, and makes the argument that theoretically they are authoritarian, and so anti-democratic, ideals.</w:t>
      </w:r>
    </w:p>
    <w:p w14:paraId="184D807E" w14:textId="77777777" w:rsidR="00B77E5A" w:rsidRPr="00054AB3" w:rsidRDefault="00B77E5A" w:rsidP="00E223A2">
      <w:pPr>
        <w:pStyle w:val="Heading4"/>
      </w:pPr>
      <w:bookmarkStart w:id="153" w:name="_Toc441069199"/>
      <w:r w:rsidRPr="00054AB3">
        <w:t>The Army Takes Over when Government is Incompetent</w:t>
      </w:r>
      <w:bookmarkEnd w:id="153"/>
    </w:p>
    <w:p w14:paraId="70472355" w14:textId="619FE8CD" w:rsidR="00B77E5A" w:rsidRPr="000367C8" w:rsidRDefault="00B77E5A" w:rsidP="00B77E5A">
      <w:pPr>
        <w:rPr>
          <w:szCs w:val="24"/>
        </w:rPr>
      </w:pPr>
      <w:r w:rsidRPr="000367C8">
        <w:rPr>
          <w:iCs/>
          <w:szCs w:val="24"/>
        </w:rPr>
        <w:t xml:space="preserve">When it comes to the role of the military in a democracy, there is a paradox that the “very institution created to protect the polity is given sufficient power to become a threat to the polity” </w:t>
      </w:r>
      <w:r w:rsidR="00C31AE7">
        <w:rPr>
          <w:iCs/>
          <w:szCs w:val="24"/>
        </w:rPr>
        <w:fldChar w:fldCharType="begin" w:fldLock="1"/>
      </w:r>
      <w:r w:rsidR="00E63CC6">
        <w:rPr>
          <w:iCs/>
          <w:szCs w:val="24"/>
        </w:rPr>
        <w:instrText>ADDIN CSL_CITATION { "citationItems" : [ { "id" : "ITEM-1", "itemData" : { "author" : [ { "dropping-particle" : "", "family" : "Feaver", "given" : "Peter", "non-dropping-particle" : "", "parse-names" : false, "suffix" : "" } ], "container-title" : "Annual Review of Political Science", "id" : "ITEM-1", "issued" : { "date-parts" : [ [ "1997" ] ] }, "page" : "211-241", "title" : "Civil-military relations", "type" : "article-journal", "volume" : "2" }, "uris" : [ "http://www.mendeley.com/documents/?uuid=b78a9548-97d3-45d7-90bc-7a915d8d3f97" ] } ], "mendeley" : { "formattedCitation" : "(Feaver, 1997)", "manualFormatting" : "(Feaver 1997, p.214)", "plainTextFormattedCitation" : "(Feaver, 1997)", "previouslyFormattedCitation" : "(Feaver, 1997)" }, "properties" : { "noteIndex" : 0 }, "schema" : "https://github.com/citation-style-language/schema/raw/master/csl-citation.json" }</w:instrText>
      </w:r>
      <w:r w:rsidR="00C31AE7">
        <w:rPr>
          <w:iCs/>
          <w:szCs w:val="24"/>
        </w:rPr>
        <w:fldChar w:fldCharType="separate"/>
      </w:r>
      <w:r w:rsidR="00C31AE7" w:rsidRPr="00C31AE7">
        <w:rPr>
          <w:iCs/>
          <w:noProof/>
          <w:szCs w:val="24"/>
        </w:rPr>
        <w:t>(Feaver 1997</w:t>
      </w:r>
      <w:r w:rsidR="00C31AE7">
        <w:rPr>
          <w:iCs/>
          <w:noProof/>
          <w:szCs w:val="24"/>
        </w:rPr>
        <w:t>, p.214</w:t>
      </w:r>
      <w:r w:rsidR="00C31AE7" w:rsidRPr="00C31AE7">
        <w:rPr>
          <w:iCs/>
          <w:noProof/>
          <w:szCs w:val="24"/>
        </w:rPr>
        <w:t>)</w:t>
      </w:r>
      <w:r w:rsidR="00C31AE7">
        <w:rPr>
          <w:iCs/>
          <w:szCs w:val="24"/>
        </w:rPr>
        <w:fldChar w:fldCharType="end"/>
      </w:r>
      <w:r w:rsidR="00C31AE7">
        <w:rPr>
          <w:iCs/>
          <w:szCs w:val="24"/>
        </w:rPr>
        <w:t>.</w:t>
      </w:r>
      <w:r w:rsidRPr="000367C8">
        <w:rPr>
          <w:iCs/>
          <w:szCs w:val="24"/>
        </w:rPr>
        <w:t xml:space="preserve"> A military strong enough to uphold and protect the regime can topple and replace it</w:t>
      </w:r>
      <w:r w:rsidR="006B0439">
        <w:rPr>
          <w:iCs/>
          <w:szCs w:val="24"/>
        </w:rPr>
        <w:t>,</w:t>
      </w:r>
      <w:r w:rsidRPr="000367C8">
        <w:rPr>
          <w:iCs/>
          <w:szCs w:val="24"/>
        </w:rPr>
        <w:t xml:space="preserve"> too. This can be highlighted with many examples but some of the more recent and high-profile cases include </w:t>
      </w:r>
      <w:r w:rsidRPr="000367C8">
        <w:rPr>
          <w:szCs w:val="24"/>
        </w:rPr>
        <w:t xml:space="preserve">coup d’états in Egypt in 2013, Nigeria in 2010, Madagascar in 2009, Mauritania in 2008 Thailand in 2006, and Fiji in 2006. </w:t>
      </w:r>
      <w:r w:rsidRPr="000367C8">
        <w:rPr>
          <w:iCs/>
          <w:szCs w:val="24"/>
        </w:rPr>
        <w:t xml:space="preserve"> </w:t>
      </w:r>
    </w:p>
    <w:p w14:paraId="7423719B" w14:textId="7FDCA45F" w:rsidR="00B77E5A" w:rsidRPr="000367C8" w:rsidRDefault="00B77E5A" w:rsidP="00B77E5A">
      <w:pPr>
        <w:rPr>
          <w:szCs w:val="24"/>
        </w:rPr>
      </w:pPr>
      <w:r w:rsidRPr="000367C8">
        <w:rPr>
          <w:iCs/>
          <w:szCs w:val="24"/>
        </w:rPr>
        <w:t xml:space="preserve">Huntington’s </w:t>
      </w:r>
      <w:r w:rsidR="000377A2">
        <w:rPr>
          <w:iCs/>
          <w:szCs w:val="24"/>
        </w:rPr>
        <w:fldChar w:fldCharType="begin" w:fldLock="1"/>
      </w:r>
      <w:r w:rsidR="00E63CC6">
        <w:rPr>
          <w:iCs/>
          <w:szCs w:val="24"/>
        </w:rPr>
        <w:instrText>ADDIN CSL_CITATION { "citationItems" : [ { "id" : "ITEM-1", "itemData" : { "author" : [ { "dropping-particle" : "", "family" : "Huntington", "given" : "Samuel P", "non-dropping-particle" : "", "parse-names" : false, "suffix" : "" } ], "id" : "ITEM-1", "issued" : { "date-parts" : [ [ "1957" ] ] }, "publisher" : "Belknap Press", "publisher-place" : "New York", "title" : "The Soldier and the State", "type" : "book" }, "uris" : [ "http://www.mendeley.com/documents/?uuid=6a2e60db-5795-4383-b533-66c2985708b5" ] } ], "mendeley" : { "formattedCitation" : "(Huntington, 1957)", "manualFormatting" : "(1957)", "plainTextFormattedCitation" : "(Huntington, 1957)", "previouslyFormattedCitation" : "(Huntington, 1957)" }, "properties" : { "noteIndex" : 0 }, "schema" : "https://github.com/citation-style-language/schema/raw/master/csl-citation.json" }</w:instrText>
      </w:r>
      <w:r w:rsidR="000377A2">
        <w:rPr>
          <w:iCs/>
          <w:szCs w:val="24"/>
        </w:rPr>
        <w:fldChar w:fldCharType="separate"/>
      </w:r>
      <w:r w:rsidR="000377A2" w:rsidRPr="000377A2">
        <w:rPr>
          <w:iCs/>
          <w:noProof/>
          <w:szCs w:val="24"/>
        </w:rPr>
        <w:t>(1957)</w:t>
      </w:r>
      <w:r w:rsidR="000377A2">
        <w:rPr>
          <w:iCs/>
          <w:szCs w:val="24"/>
        </w:rPr>
        <w:fldChar w:fldCharType="end"/>
      </w:r>
      <w:r w:rsidR="000377A2">
        <w:rPr>
          <w:iCs/>
          <w:szCs w:val="24"/>
        </w:rPr>
        <w:t xml:space="preserve"> </w:t>
      </w:r>
      <w:r w:rsidRPr="000367C8">
        <w:rPr>
          <w:iCs/>
          <w:szCs w:val="24"/>
        </w:rPr>
        <w:t xml:space="preserve">seminal study </w:t>
      </w:r>
      <w:r w:rsidRPr="000367C8">
        <w:rPr>
          <w:i/>
          <w:szCs w:val="24"/>
        </w:rPr>
        <w:t xml:space="preserve">The Soldier and the State </w:t>
      </w:r>
      <w:r w:rsidRPr="000367C8">
        <w:rPr>
          <w:iCs/>
          <w:szCs w:val="24"/>
        </w:rPr>
        <w:t>guided much of the research that followed on military-power dynamics and particularly their relationship to liberal democratic theory. In liberal theory, the military is there to protect democratic values (particularly individual liberty) from external threat. Political and military spheres are separate. Simply put, “civilian control is identified with democratic government, military control with absolute or totalitari</w:t>
      </w:r>
      <w:r w:rsidR="000377A2">
        <w:rPr>
          <w:iCs/>
          <w:szCs w:val="24"/>
        </w:rPr>
        <w:t>an government” (Huntington 1957, p.</w:t>
      </w:r>
      <w:r w:rsidRPr="000367C8">
        <w:rPr>
          <w:iCs/>
          <w:szCs w:val="24"/>
        </w:rPr>
        <w:t xml:space="preserve">82). However, having civilian control of the military is not straightforward. Too much control from civilians leads to the military detrimentally following the whims and passions of the majority, but too little control can threaten sovereign power </w:t>
      </w:r>
      <w:r w:rsidR="000377A2">
        <w:rPr>
          <w:iCs/>
          <w:szCs w:val="24"/>
        </w:rPr>
        <w:fldChar w:fldCharType="begin" w:fldLock="1"/>
      </w:r>
      <w:r w:rsidR="00E63CC6">
        <w:rPr>
          <w:iCs/>
          <w:szCs w:val="24"/>
        </w:rPr>
        <w:instrText>ADDIN CSL_CITATION { "citationItems" : [ { "id" : "ITEM-1", "itemData" : { "DOI" : "10.1177/0095327X0202900102", "ISSN" : "0095-327X", "author" : [ { "dropping-particle" : "", "family" : "Burk", "given" : "J.", "non-dropping-particle" : "", "parse-names" : false, "suffix" : "" } ], "container-title" : "Armed Forces &amp; Society", "id" : "ITEM-1", "issue" : "1", "issued" : { "date-parts" : [ [ "2002", "10", "1" ] ] }, "page" : "7-29", "title" : "Theories of Democratic Civil-Military Relations", "type" : "article-journal", "volume" : "29" }, "uris" : [ "http://www.mendeley.com/documents/?uuid=53707759-bc93-4833-8c9a-6b09671a04bd" ] } ], "mendeley" : { "formattedCitation" : "(Burk, 2002)", "manualFormatting" : "(Burk 2002, p.10)", "plainTextFormattedCitation" : "(Burk, 2002)", "previouslyFormattedCitation" : "(Burk, 2002)" }, "properties" : { "noteIndex" : 0 }, "schema" : "https://github.com/citation-style-language/schema/raw/master/csl-citation.json" }</w:instrText>
      </w:r>
      <w:r w:rsidR="000377A2">
        <w:rPr>
          <w:iCs/>
          <w:szCs w:val="24"/>
        </w:rPr>
        <w:fldChar w:fldCharType="separate"/>
      </w:r>
      <w:r w:rsidR="000377A2" w:rsidRPr="000377A2">
        <w:rPr>
          <w:iCs/>
          <w:noProof/>
          <w:szCs w:val="24"/>
        </w:rPr>
        <w:t>(Burk 2002</w:t>
      </w:r>
      <w:r w:rsidR="000377A2">
        <w:rPr>
          <w:iCs/>
          <w:noProof/>
          <w:szCs w:val="24"/>
        </w:rPr>
        <w:t>, p.10</w:t>
      </w:r>
      <w:r w:rsidR="000377A2" w:rsidRPr="000377A2">
        <w:rPr>
          <w:iCs/>
          <w:noProof/>
          <w:szCs w:val="24"/>
        </w:rPr>
        <w:t>)</w:t>
      </w:r>
      <w:r w:rsidR="000377A2">
        <w:rPr>
          <w:iCs/>
          <w:szCs w:val="24"/>
        </w:rPr>
        <w:fldChar w:fldCharType="end"/>
      </w:r>
      <w:r w:rsidR="000377A2">
        <w:rPr>
          <w:iCs/>
          <w:szCs w:val="24"/>
        </w:rPr>
        <w:t>.</w:t>
      </w:r>
      <w:r w:rsidRPr="000367C8">
        <w:rPr>
          <w:iCs/>
          <w:szCs w:val="24"/>
        </w:rPr>
        <w:t xml:space="preserve"> A middle-ground suggestion is that of ‘objective civilian control’ where “civilians would dictate military security policy, but would leave the military to determine what military operations were required to secure th</w:t>
      </w:r>
      <w:r w:rsidR="000377A2">
        <w:rPr>
          <w:iCs/>
          <w:szCs w:val="24"/>
        </w:rPr>
        <w:t>e policy objectives” (Burk 2002, p.</w:t>
      </w:r>
      <w:r w:rsidRPr="000367C8">
        <w:rPr>
          <w:iCs/>
          <w:szCs w:val="24"/>
        </w:rPr>
        <w:t>10).  In other words, the people decide ‘what’ whilst the military decide ‘how’. Notably, the ‘how’ need not be democratic in nature.</w:t>
      </w:r>
    </w:p>
    <w:p w14:paraId="0ECA3FB9" w14:textId="7D1B4431" w:rsidR="00B77E5A" w:rsidRPr="000367C8" w:rsidRDefault="0024468B" w:rsidP="00B77E5A">
      <w:pPr>
        <w:rPr>
          <w:szCs w:val="24"/>
        </w:rPr>
      </w:pPr>
      <w:r>
        <w:rPr>
          <w:iCs/>
          <w:szCs w:val="24"/>
        </w:rPr>
        <w:t>As Burke (2002) pointed</w:t>
      </w:r>
      <w:r w:rsidR="00B77E5A" w:rsidRPr="000367C8">
        <w:rPr>
          <w:iCs/>
          <w:szCs w:val="24"/>
        </w:rPr>
        <w:t xml:space="preserve"> out however, this liberal conceptualisation of the military-civilian relationship </w:t>
      </w:r>
      <w:r w:rsidR="00B77E5A">
        <w:rPr>
          <w:iCs/>
          <w:szCs w:val="24"/>
        </w:rPr>
        <w:t>came about</w:t>
      </w:r>
      <w:r w:rsidR="00B77E5A" w:rsidRPr="000367C8">
        <w:rPr>
          <w:iCs/>
          <w:szCs w:val="24"/>
        </w:rPr>
        <w:t xml:space="preserve"> during the Cold War, and the context is now very different. The distinction between military and political spheres is less defined, and increasingly blurs into the economy with the privatization of military training and use of contractors. Issues of how to conduct military action are less bound to single state decisions and often negotiated in transnational bodies, with their own problematic </w:t>
      </w:r>
      <w:r w:rsidR="00B77E5A">
        <w:rPr>
          <w:iCs/>
          <w:szCs w:val="24"/>
        </w:rPr>
        <w:t>relationships with sovereignty.</w:t>
      </w:r>
    </w:p>
    <w:p w14:paraId="669744F8" w14:textId="515484E1" w:rsidR="00B77E5A" w:rsidRPr="000367C8" w:rsidRDefault="00B77E5A" w:rsidP="00B77E5A">
      <w:pPr>
        <w:rPr>
          <w:szCs w:val="24"/>
        </w:rPr>
      </w:pPr>
      <w:r w:rsidRPr="000367C8">
        <w:rPr>
          <w:iCs/>
          <w:szCs w:val="24"/>
        </w:rPr>
        <w:t xml:space="preserve">Military coups have in the past led to democracy, or at least appeared to have the tacit approval of large swathes of the population. The “Carnation Revolution”, a bloodless coup in Portugal 1974, was conducted by the military that overthrew a dictatorship then oversaw the introduction of a successful democracy </w:t>
      </w:r>
      <w:r w:rsidR="00CE2A20">
        <w:rPr>
          <w:iCs/>
          <w:szCs w:val="24"/>
        </w:rPr>
        <w:fldChar w:fldCharType="begin" w:fldLock="1"/>
      </w:r>
      <w:r w:rsidR="00E63CC6">
        <w:rPr>
          <w:iCs/>
          <w:szCs w:val="24"/>
        </w:rPr>
        <w:instrText>ADDIN CSL_CITATION { "citationItems" : [ { "id" : "ITEM-1", "itemData" : { "author" : [ { "dropping-particle" : "", "family" : "Maxwell", "given" : "K", "non-dropping-particle" : "", "parse-names" : false, "suffix" : "" } ], "id" : "ITEM-1", "issued" : { "date-parts" : [ [ "1995" ] ] }, "publisher" : "Cambridge University Press", "publisher-place" : "Cambridge", "title" : "The Making of Portuguese Democracy", "type" : "book" }, "uris" : [ "http://www.mendeley.com/documents/?uuid=917fac08-b50a-4c74-91a8-cfcc323436b0" ] } ], "mendeley" : { "formattedCitation" : "(Maxwell, 1995)", "plainTextFormattedCitation" : "(Maxwell, 1995)", "previouslyFormattedCitation" : "(Maxwell, 1995)" }, "properties" : { "noteIndex" : 0 }, "schema" : "https://github.com/citation-style-language/schema/raw/master/csl-citation.json" }</w:instrText>
      </w:r>
      <w:r w:rsidR="00CE2A20">
        <w:rPr>
          <w:iCs/>
          <w:szCs w:val="24"/>
        </w:rPr>
        <w:fldChar w:fldCharType="separate"/>
      </w:r>
      <w:r w:rsidR="00E63CC6" w:rsidRPr="00E63CC6">
        <w:rPr>
          <w:iCs/>
          <w:noProof/>
          <w:szCs w:val="24"/>
        </w:rPr>
        <w:t>(Maxwell, 1995)</w:t>
      </w:r>
      <w:r w:rsidR="00CE2A20">
        <w:rPr>
          <w:iCs/>
          <w:szCs w:val="24"/>
        </w:rPr>
        <w:fldChar w:fldCharType="end"/>
      </w:r>
      <w:r w:rsidRPr="000367C8">
        <w:rPr>
          <w:iCs/>
          <w:szCs w:val="24"/>
        </w:rPr>
        <w:t>. This event informed more optimistic predictions for the outcome of the uprisings in Egypt,</w:t>
      </w:r>
      <w:r w:rsidR="00CE2A20">
        <w:rPr>
          <w:iCs/>
          <w:szCs w:val="24"/>
        </w:rPr>
        <w:t xml:space="preserve"> Tunisia and beyond </w:t>
      </w:r>
      <w:r w:rsidR="00CE2A20">
        <w:rPr>
          <w:iCs/>
          <w:szCs w:val="24"/>
        </w:rPr>
        <w:fldChar w:fldCharType="begin" w:fldLock="1"/>
      </w:r>
      <w:r w:rsidR="00E63CC6">
        <w:rPr>
          <w:iCs/>
          <w:szCs w:val="24"/>
        </w:rPr>
        <w:instrText>ADDIN CSL_CITATION { "citationItems" : [ { "id" : "ITEM-1", "itemData" : { "DOI" : "10.1177/0022343312469979", "ISSN" : "0022-3433", "author" : [ { "dropping-particle" : "", "family" : "Celestino", "given" : "Mauricio R.", "non-dropping-particle" : "", "parse-names" : false, "suffix" : "" }, { "dropping-particle" : "", "family" : "Gleditsch", "given" : "Kristian S.", "non-dropping-particle" : "", "parse-names" : false, "suffix" : "" } ], "container-title" : "Journal of Peace Research", "id" : "ITEM-1", "issue" : "3", "issued" : { "date-parts" : [ [ "2013" ] ] }, "page" : "385-400", "title" : "Fresh carnations or all thorn, no rose? Nonviolent campaigns and transitions in autocracies", "type" : "article-journal", "volume" : "50" }, "uris" : [ "http://www.mendeley.com/documents/?uuid=f6561e67-9d1f-4e1b-aab0-7acaf28b941e" ] } ], "mendeley" : { "formattedCitation" : "(Celestino and Gleditsch, 2013)", "manualFormatting" : "(Celestino &amp; Gleditsch 2013, p.385)", "plainTextFormattedCitation" : "(Celestino and Gleditsch, 2013)", "previouslyFormattedCitation" : "(Celestino and Gleditsch, 2013)" }, "properties" : { "noteIndex" : 0 }, "schema" : "https://github.com/citation-style-language/schema/raw/master/csl-citation.json" }</w:instrText>
      </w:r>
      <w:r w:rsidR="00CE2A20">
        <w:rPr>
          <w:iCs/>
          <w:szCs w:val="24"/>
        </w:rPr>
        <w:fldChar w:fldCharType="separate"/>
      </w:r>
      <w:r w:rsidR="00CE2A20" w:rsidRPr="00CE2A20">
        <w:rPr>
          <w:iCs/>
          <w:noProof/>
          <w:szCs w:val="24"/>
        </w:rPr>
        <w:t>(Celestino &amp; Gleditsch</w:t>
      </w:r>
      <w:r w:rsidR="00CE2A20">
        <w:rPr>
          <w:iCs/>
          <w:noProof/>
          <w:szCs w:val="24"/>
        </w:rPr>
        <w:t xml:space="preserve"> 2013, p.385</w:t>
      </w:r>
      <w:r w:rsidR="00CE2A20" w:rsidRPr="00CE2A20">
        <w:rPr>
          <w:iCs/>
          <w:noProof/>
          <w:szCs w:val="24"/>
        </w:rPr>
        <w:t>)</w:t>
      </w:r>
      <w:r w:rsidR="00CE2A20">
        <w:rPr>
          <w:iCs/>
          <w:szCs w:val="24"/>
        </w:rPr>
        <w:fldChar w:fldCharType="end"/>
      </w:r>
      <w:r w:rsidRPr="000367C8">
        <w:rPr>
          <w:iCs/>
          <w:szCs w:val="24"/>
        </w:rPr>
        <w:t xml:space="preserve">. In 2006 the Thai military overthrew the elected government of Thaksin Shinawatra, with </w:t>
      </w:r>
      <w:r w:rsidR="0024468B">
        <w:rPr>
          <w:iCs/>
          <w:szCs w:val="24"/>
        </w:rPr>
        <w:t xml:space="preserve">seemingly </w:t>
      </w:r>
      <w:r w:rsidRPr="000367C8">
        <w:rPr>
          <w:iCs/>
          <w:szCs w:val="24"/>
        </w:rPr>
        <w:t xml:space="preserve">wide-spread support from the population, especially the middle-classes </w:t>
      </w:r>
      <w:r w:rsidR="00CE2A20">
        <w:rPr>
          <w:iCs/>
          <w:szCs w:val="24"/>
        </w:rPr>
        <w:fldChar w:fldCharType="begin" w:fldLock="1"/>
      </w:r>
      <w:r w:rsidR="00E63CC6">
        <w:rPr>
          <w:iCs/>
          <w:szCs w:val="24"/>
        </w:rPr>
        <w:instrText>ADDIN CSL_CITATION { "citationItems" : [ { "id" : "ITEM-1", "itemData" : { "DOI" : "10.1080/13510347.2011.623353", "ISSN" : "1351-0347", "author" : [ { "dropping-particle" : "", "family" : "J\u00e4ger", "given" : "Kai", "non-dropping-particle" : "", "parse-names" : false, "suffix" : "" } ], "container-title" : "Democratization", "id" : "ITEM-1", "issue" : "6", "issued" : { "date-parts" : [ [ "2012" ] ] }, "page" : "1138-1165", "title" : "Why did Thailand's middle class turn against a democratically elected government? The information-gap hypothesis", "type" : "article-journal", "volume" : "19" }, "uris" : [ "http://www.mendeley.com/documents/?uuid=76c7f4f7-9558-4304-87af-4f1d6c8f8ee0" ] } ], "mendeley" : { "formattedCitation" : "(J\u00e4ger, 2012)", "manualFormatting" : "(see J\u00e4ger 2012)", "plainTextFormattedCitation" : "(J\u00e4ger, 2012)", "previouslyFormattedCitation" : "(J\u00e4ger, 2012)" }, "properties" : { "noteIndex" : 0 }, "schema" : "https://github.com/citation-style-language/schema/raw/master/csl-citation.json" }</w:instrText>
      </w:r>
      <w:r w:rsidR="00CE2A20">
        <w:rPr>
          <w:iCs/>
          <w:szCs w:val="24"/>
        </w:rPr>
        <w:fldChar w:fldCharType="separate"/>
      </w:r>
      <w:r w:rsidR="00CE2A20" w:rsidRPr="00CE2A20">
        <w:rPr>
          <w:iCs/>
          <w:noProof/>
          <w:szCs w:val="24"/>
        </w:rPr>
        <w:t>(</w:t>
      </w:r>
      <w:r w:rsidR="0024468B">
        <w:rPr>
          <w:iCs/>
          <w:noProof/>
          <w:szCs w:val="24"/>
        </w:rPr>
        <w:t xml:space="preserve">see </w:t>
      </w:r>
      <w:r w:rsidR="00CE2A20" w:rsidRPr="00CE2A20">
        <w:rPr>
          <w:iCs/>
          <w:noProof/>
          <w:szCs w:val="24"/>
        </w:rPr>
        <w:t>Jäger 2012)</w:t>
      </w:r>
      <w:r w:rsidR="00CE2A20">
        <w:rPr>
          <w:iCs/>
          <w:szCs w:val="24"/>
        </w:rPr>
        <w:fldChar w:fldCharType="end"/>
      </w:r>
      <w:r w:rsidR="00CE2A20">
        <w:rPr>
          <w:iCs/>
          <w:szCs w:val="24"/>
        </w:rPr>
        <w:t>.</w:t>
      </w:r>
      <w:r w:rsidRPr="000367C8">
        <w:rPr>
          <w:iCs/>
          <w:szCs w:val="24"/>
        </w:rPr>
        <w:t xml:space="preserve"> Many in the country saw the government as corrupt. Thailand has since returned to an electoral democracy, and has slowly improved its civil liberties and political rights in the years since, moving from Not Free to Partly Free according to Freedom House. It is not, however, back to the category of Free which it was from 1999-2005.</w:t>
      </w:r>
    </w:p>
    <w:p w14:paraId="543DCE1C" w14:textId="57135FB5" w:rsidR="00B77E5A" w:rsidRPr="000367C8" w:rsidRDefault="00B77E5A" w:rsidP="00B77E5A">
      <w:pPr>
        <w:rPr>
          <w:szCs w:val="24"/>
        </w:rPr>
      </w:pPr>
      <w:r w:rsidRPr="000367C8">
        <w:rPr>
          <w:iCs/>
          <w:szCs w:val="24"/>
        </w:rPr>
        <w:t xml:space="preserve">Of course, as Barany </w:t>
      </w:r>
      <w:r w:rsidR="00CE2A20">
        <w:rPr>
          <w:iCs/>
          <w:szCs w:val="24"/>
        </w:rPr>
        <w:fldChar w:fldCharType="begin" w:fldLock="1"/>
      </w:r>
      <w:r w:rsidR="00E63CC6">
        <w:rPr>
          <w:iCs/>
          <w:szCs w:val="24"/>
        </w:rPr>
        <w:instrText>ADDIN CSL_CITATION { "citationItems" : [ { "id" : "ITEM-1", "itemData" : { "author" : [ { "dropping-particle" : "", "family" : "Barany", "given" : "Zoltan", "non-dropping-particle" : "", "parse-names" : false, "suffix" : "" } ], "container-title" : "Journal of Democracy", "id" : "ITEM-1", "issue" : "4", "issued" : { "date-parts" : [ [ "2011" ] ] }, "page" : "24-35", "publisher" : "The Johns Hopkins University Press", "title" : "The Role of the Military", "type" : "article-journal", "volume" : "22" }, "uris" : [ "http://www.mendeley.com/documents/?uuid=3a174bac-4a91-4964-aa2b-19eb60eab6f7" ] } ], "mendeley" : { "formattedCitation" : "(Barany, 2011)", "manualFormatting" : "(2011)", "plainTextFormattedCitation" : "(Barany, 2011)", "previouslyFormattedCitation" : "(Barany, 2011)" }, "properties" : { "noteIndex" : 0 }, "schema" : "https://github.com/citation-style-language/schema/raw/master/csl-citation.json" }</w:instrText>
      </w:r>
      <w:r w:rsidR="00CE2A20">
        <w:rPr>
          <w:iCs/>
          <w:szCs w:val="24"/>
        </w:rPr>
        <w:fldChar w:fldCharType="separate"/>
      </w:r>
      <w:r w:rsidR="00CE2A20" w:rsidRPr="00CE2A20">
        <w:rPr>
          <w:iCs/>
          <w:noProof/>
          <w:szCs w:val="24"/>
        </w:rPr>
        <w:t>(2011)</w:t>
      </w:r>
      <w:r w:rsidR="00CE2A20">
        <w:rPr>
          <w:iCs/>
          <w:szCs w:val="24"/>
        </w:rPr>
        <w:fldChar w:fldCharType="end"/>
      </w:r>
      <w:r w:rsidR="0024468B">
        <w:rPr>
          <w:iCs/>
          <w:szCs w:val="24"/>
        </w:rPr>
        <w:t xml:space="preserve"> noted</w:t>
      </w:r>
      <w:r w:rsidRPr="000367C8">
        <w:rPr>
          <w:iCs/>
          <w:szCs w:val="24"/>
        </w:rPr>
        <w:t xml:space="preserve">, that there are numerous paths the military can take in situations where there appears to be large-scale disapproval of a regime. If they think it advantageous, they can side with an existing autocratic regime and violently repress any pushes for democracy. Or if they remove a democratic regime they could install their own regime. If a democratic regime is sliding into authoritarianism, it is perhaps possible to crowbar the notion of a “democratic coup” into liberal democratic theory. But this requires interpreting non-institutional mass protest as public support, and, obviously, circumnavigating the wishes of an elected government. This is a contentious suggestion since there is no guarantee this path will lead back to democracy. </w:t>
      </w:r>
    </w:p>
    <w:p w14:paraId="6218F737" w14:textId="1D78A8A0" w:rsidR="00B77E5A" w:rsidRPr="000367C8" w:rsidRDefault="00B77E5A" w:rsidP="00B77E5A">
      <w:pPr>
        <w:rPr>
          <w:szCs w:val="24"/>
        </w:rPr>
      </w:pPr>
      <w:r w:rsidRPr="000367C8">
        <w:rPr>
          <w:iCs/>
          <w:szCs w:val="24"/>
        </w:rPr>
        <w:t xml:space="preserve">Ultimately, a military takeover demonstrates that government leaders have lost control of the state’s coercive organisations, and when this happens to a democracy, democracy can be no longer said to function: the checks and balances that keep a democratic regime in check cannot then keep a military junta in check. Regardless of what path the military chooses to take once it has initiated a coup, military rule is anti-democratic because it lacks authority of a legitimate nature </w:t>
      </w:r>
      <w:r w:rsidR="00CE2A20">
        <w:rPr>
          <w:iCs/>
          <w:szCs w:val="24"/>
        </w:rPr>
        <w:fldChar w:fldCharType="begin" w:fldLock="1"/>
      </w:r>
      <w:r w:rsidR="00E63CC6">
        <w:rPr>
          <w:iCs/>
          <w:szCs w:val="24"/>
        </w:rPr>
        <w:instrText>ADDIN CSL_CITATION { "citationItems" : [ { "id" : "ITEM-1", "itemData" : { "author" : [ { "dropping-particle" : "", "family" : "Finer", "given" : "SE", "non-dropping-particle" : "", "parse-names" : false, "suffix" : "" } ], "id" : "ITEM-1", "issued" : { "date-parts" : [ [ "1962" ] ] }, "publisher" : "Pall Mall", "publisher-place" : "London", "title" : "The Man on Horseback", "type" : "book" }, "uris" : [ "http://www.mendeley.com/documents/?uuid=233a059a-6393-46aa-9324-b3807769678b" ] } ], "mendeley" : { "formattedCitation" : "(Finer, 1962)", "plainTextFormattedCitation" : "(Finer, 1962)", "previouslyFormattedCitation" : "(Finer, 1962)" }, "properties" : { "noteIndex" : 0 }, "schema" : "https://github.com/citation-style-language/schema/raw/master/csl-citation.json" }</w:instrText>
      </w:r>
      <w:r w:rsidR="00CE2A20">
        <w:rPr>
          <w:iCs/>
          <w:szCs w:val="24"/>
        </w:rPr>
        <w:fldChar w:fldCharType="separate"/>
      </w:r>
      <w:r w:rsidR="00E63CC6" w:rsidRPr="00E63CC6">
        <w:rPr>
          <w:iCs/>
          <w:noProof/>
          <w:szCs w:val="24"/>
        </w:rPr>
        <w:t>(Finer, 1962)</w:t>
      </w:r>
      <w:r w:rsidR="00CE2A20">
        <w:rPr>
          <w:iCs/>
          <w:szCs w:val="24"/>
        </w:rPr>
        <w:fldChar w:fldCharType="end"/>
      </w:r>
      <w:r w:rsidRPr="000367C8">
        <w:rPr>
          <w:iCs/>
          <w:szCs w:val="24"/>
        </w:rPr>
        <w:t xml:space="preserve">. Army rule is based on force, which is an open invitation to a challenge. In fact, many coups inspire counter-takeovers from other factions within the armed services, something </w:t>
      </w:r>
      <w:r w:rsidR="00CE2A20">
        <w:rPr>
          <w:iCs/>
          <w:szCs w:val="24"/>
        </w:rPr>
        <w:fldChar w:fldCharType="begin" w:fldLock="1"/>
      </w:r>
      <w:r w:rsidR="00E63CC6">
        <w:rPr>
          <w:iCs/>
          <w:szCs w:val="24"/>
        </w:rPr>
        <w:instrText>ADDIN CSL_CITATION { "citationItems" : [ { "id" : "ITEM-1", "itemData" : { "author" : [ { "dropping-particle" : "", "family" : "Londregan", "given" : "JB", "non-dropping-particle" : "", "parse-names" : false, "suffix" : "" }, { "dropping-particle" : "", "family" : "Poole", "given" : "Keith T", "non-dropping-particle" : "", "parse-names" : false, "suffix" : "" } ], "container-title" : "World Politics", "id" : "ITEM-1", "issue" : "2", "issued" : { "date-parts" : [ [ "1990" ] ] }, "page" : "151-183", "title" : "Poverty, The Coup Trap, and the Seizure of Executive Power", "type" : "article-journal", "volume" : "42" }, "uris" : [ "http://www.mendeley.com/documents/?uuid=0605480e-3fb1-48e6-86ba-8e00f7d490b0" ] } ], "mendeley" : { "formattedCitation" : "(Londregan and Poole, 1990)", "manualFormatting" : "Londregan &amp; Poole (1990)", "plainTextFormattedCitation" : "(Londregan and Poole, 1990)", "previouslyFormattedCitation" : "(Londregan and Poole, 1990)" }, "properties" : { "noteIndex" : 0 }, "schema" : "https://github.com/citation-style-language/schema/raw/master/csl-citation.json" }</w:instrText>
      </w:r>
      <w:r w:rsidR="00CE2A20">
        <w:rPr>
          <w:iCs/>
          <w:szCs w:val="24"/>
        </w:rPr>
        <w:fldChar w:fldCharType="separate"/>
      </w:r>
      <w:r w:rsidR="00CE2A20" w:rsidRPr="00CE2A20">
        <w:rPr>
          <w:iCs/>
          <w:noProof/>
          <w:szCs w:val="24"/>
        </w:rPr>
        <w:t xml:space="preserve">Londregan &amp; Poole </w:t>
      </w:r>
      <w:r w:rsidR="00CE2A20">
        <w:rPr>
          <w:iCs/>
          <w:noProof/>
          <w:szCs w:val="24"/>
        </w:rPr>
        <w:t>(</w:t>
      </w:r>
      <w:r w:rsidR="00CE2A20" w:rsidRPr="00CE2A20">
        <w:rPr>
          <w:iCs/>
          <w:noProof/>
          <w:szCs w:val="24"/>
        </w:rPr>
        <w:t>1990)</w:t>
      </w:r>
      <w:r w:rsidR="00CE2A20">
        <w:rPr>
          <w:iCs/>
          <w:szCs w:val="24"/>
        </w:rPr>
        <w:fldChar w:fldCharType="end"/>
      </w:r>
      <w:r w:rsidRPr="000367C8">
        <w:rPr>
          <w:iCs/>
          <w:szCs w:val="24"/>
        </w:rPr>
        <w:t xml:space="preserve"> refe</w:t>
      </w:r>
      <w:r w:rsidR="0024468B">
        <w:rPr>
          <w:iCs/>
          <w:szCs w:val="24"/>
        </w:rPr>
        <w:t>r</w:t>
      </w:r>
      <w:r w:rsidRPr="000367C8">
        <w:rPr>
          <w:iCs/>
          <w:szCs w:val="24"/>
        </w:rPr>
        <w:t>r</w:t>
      </w:r>
      <w:r w:rsidR="00CE2A20">
        <w:rPr>
          <w:iCs/>
          <w:szCs w:val="24"/>
        </w:rPr>
        <w:t>ed</w:t>
      </w:r>
      <w:r w:rsidRPr="000367C8">
        <w:rPr>
          <w:iCs/>
          <w:szCs w:val="24"/>
        </w:rPr>
        <w:t xml:space="preserve"> to as the ‘coup trap’.</w:t>
      </w:r>
    </w:p>
    <w:p w14:paraId="72D0DA29" w14:textId="21D8683E" w:rsidR="00B77E5A" w:rsidRPr="000367C8" w:rsidRDefault="00B77E5A" w:rsidP="00B77E5A">
      <w:pPr>
        <w:rPr>
          <w:szCs w:val="24"/>
        </w:rPr>
      </w:pPr>
      <w:r w:rsidRPr="000367C8">
        <w:rPr>
          <w:iCs/>
          <w:szCs w:val="24"/>
        </w:rPr>
        <w:t>Despite the complexities of the topic, the characteristic offered in the WVS is, overall, not a characteristic of democracy. If the chara</w:t>
      </w:r>
      <w:r>
        <w:rPr>
          <w:iCs/>
          <w:szCs w:val="24"/>
        </w:rPr>
        <w:t>cteristic noted that the existing</w:t>
      </w:r>
      <w:r w:rsidRPr="000367C8">
        <w:rPr>
          <w:iCs/>
          <w:szCs w:val="24"/>
        </w:rPr>
        <w:t xml:space="preserve"> government was </w:t>
      </w:r>
      <w:r w:rsidR="00355E07">
        <w:rPr>
          <w:iCs/>
          <w:szCs w:val="24"/>
        </w:rPr>
        <w:t xml:space="preserve">clearly </w:t>
      </w:r>
      <w:r w:rsidRPr="000367C8">
        <w:rPr>
          <w:iCs/>
          <w:szCs w:val="24"/>
        </w:rPr>
        <w:t>sliding into authoritarianism</w:t>
      </w:r>
      <w:r w:rsidR="00355E07">
        <w:rPr>
          <w:iCs/>
          <w:szCs w:val="24"/>
        </w:rPr>
        <w:t xml:space="preserve"> in some manner</w:t>
      </w:r>
      <w:r w:rsidRPr="000367C8">
        <w:rPr>
          <w:iCs/>
          <w:szCs w:val="24"/>
        </w:rPr>
        <w:t>,</w:t>
      </w:r>
      <w:r w:rsidR="00355E07">
        <w:rPr>
          <w:iCs/>
          <w:szCs w:val="24"/>
        </w:rPr>
        <w:t xml:space="preserve"> it c</w:t>
      </w:r>
      <w:r w:rsidRPr="000367C8">
        <w:rPr>
          <w:iCs/>
          <w:szCs w:val="24"/>
        </w:rPr>
        <w:t>ould present more of a grey area</w:t>
      </w:r>
      <w:r w:rsidR="00355E07">
        <w:rPr>
          <w:iCs/>
          <w:szCs w:val="24"/>
        </w:rPr>
        <w:t xml:space="preserve"> as some citizens may believe the government would ultimately restore democracy. B</w:t>
      </w:r>
      <w:r w:rsidRPr="000367C8">
        <w:rPr>
          <w:iCs/>
          <w:szCs w:val="24"/>
        </w:rPr>
        <w:t xml:space="preserve">ut an </w:t>
      </w:r>
      <w:r w:rsidRPr="000367C8">
        <w:rPr>
          <w:i/>
          <w:szCs w:val="24"/>
        </w:rPr>
        <w:t>incompetent</w:t>
      </w:r>
      <w:r w:rsidRPr="000367C8">
        <w:rPr>
          <w:iCs/>
          <w:szCs w:val="24"/>
        </w:rPr>
        <w:t xml:space="preserve"> democratic government should never be taken over by the army. In terms of democratic theory then, this choice is rejected out of hand as not at all essential to democracy.</w:t>
      </w:r>
      <w:bookmarkStart w:id="154" w:name="_Toc381100511"/>
    </w:p>
    <w:p w14:paraId="514E4749" w14:textId="77777777" w:rsidR="00B77E5A" w:rsidRPr="002555E2" w:rsidRDefault="00B77E5A" w:rsidP="00E223A2">
      <w:pPr>
        <w:pStyle w:val="Heading4"/>
      </w:pPr>
      <w:bookmarkStart w:id="155" w:name="_Toc441069200"/>
      <w:r w:rsidRPr="002555E2">
        <w:t>Religious Leaders Interpret the Law</w:t>
      </w:r>
      <w:bookmarkEnd w:id="154"/>
      <w:bookmarkEnd w:id="155"/>
    </w:p>
    <w:p w14:paraId="4311A70B" w14:textId="5178E752" w:rsidR="00B77E5A" w:rsidRPr="000367C8" w:rsidRDefault="00B77E5A" w:rsidP="00B77E5A">
      <w:pPr>
        <w:tabs>
          <w:tab w:val="left" w:pos="3736"/>
        </w:tabs>
        <w:rPr>
          <w:szCs w:val="24"/>
        </w:rPr>
      </w:pPr>
      <w:r w:rsidRPr="000367C8">
        <w:rPr>
          <w:szCs w:val="24"/>
        </w:rPr>
        <w:t xml:space="preserve">The relationship between religion and democracy has been relatively neglected in democratic theory </w:t>
      </w:r>
      <w:r w:rsidR="00A669B0">
        <w:rPr>
          <w:szCs w:val="24"/>
        </w:rPr>
        <w:fldChar w:fldCharType="begin" w:fldLock="1"/>
      </w:r>
      <w:r w:rsidR="00E63CC6">
        <w:rPr>
          <w:szCs w:val="24"/>
        </w:rPr>
        <w:instrText>ADDIN CSL_CITATION { "citationItems" : [ { "id" : "ITEM-1", "itemData" : { "DOI" : "10.1080/13691830701432731", "ISBN" : "1369183070", "ISSN" : "1369-183X", "author" : [ { "dropping-particle" : "", "family" : "Minkenberg", "given" : "Michael", "non-dropping-particle" : "", "parse-names" : false, "suffix" : "" } ], "container-title" : "Journal of Ethnic and Migration Studies", "id" : "ITEM-1", "issue" : "6", "issued" : { "date-parts" : [ [ "2007", "8" ] ] }, "page" : "887-909", "title" : "Democracy and Religion: Theoretical and Empirical Observations on the Relationship between Christianity, Islam and Liberal Democracy", "type" : "article-journal", "volume" : "33" }, "uris" : [ "http://www.mendeley.com/documents/?uuid=f58f2153-b453-42e1-b7e0-21009e97e300" ] } ], "mendeley" : { "formattedCitation" : "(Minkenberg, 2007)", "plainTextFormattedCitation" : "(Minkenberg, 2007)", "previouslyFormattedCitation" : "(Minkenberg, 2007)" }, "properties" : { "noteIndex" : 0 }, "schema" : "https://github.com/citation-style-language/schema/raw/master/csl-citation.json" }</w:instrText>
      </w:r>
      <w:r w:rsidR="00A669B0">
        <w:rPr>
          <w:szCs w:val="24"/>
        </w:rPr>
        <w:fldChar w:fldCharType="separate"/>
      </w:r>
      <w:r w:rsidR="00E63CC6" w:rsidRPr="00E63CC6">
        <w:rPr>
          <w:noProof/>
          <w:szCs w:val="24"/>
        </w:rPr>
        <w:t>(Minkenberg, 2007)</w:t>
      </w:r>
      <w:r w:rsidR="00A669B0">
        <w:rPr>
          <w:szCs w:val="24"/>
        </w:rPr>
        <w:fldChar w:fldCharType="end"/>
      </w:r>
      <w:r w:rsidRPr="000367C8">
        <w:rPr>
          <w:szCs w:val="24"/>
        </w:rPr>
        <w:t xml:space="preserve"> and comparative politics overall </w:t>
      </w:r>
      <w:r w:rsidR="00A669B0">
        <w:rPr>
          <w:szCs w:val="24"/>
        </w:rPr>
        <w:fldChar w:fldCharType="begin" w:fldLock="1"/>
      </w:r>
      <w:r w:rsidR="00E63CC6">
        <w:rPr>
          <w:szCs w:val="24"/>
        </w:rPr>
        <w:instrText>ADDIN CSL_CITATION { "citationItems" : [ { "id" : "ITEM-1", "itemData" : { "DOI" : "10.1146/annurev-polisci-033110-130442", "ISSN" : "1094-2939", "author" : [ { "dropping-particle" : "", "family" : "Grzymala-Busse", "given" : "Anna", "non-dropping-particle" : "", "parse-names" : false, "suffix" : "" } ], "container-title" : "Annual Review of Political Science", "id" : "ITEM-1", "issue" : "1", "issued" : { "date-parts" : [ [ "2012", "6", "15" ] ] }, "page" : "421-442", "title" : "Why Comparative Politics Should Take Religion (More) Seriously", "type" : "article-journal", "volume" : "15" }, "uris" : [ "http://www.mendeley.com/documents/?uuid=20072527-1008-4e45-a262-06209c6ed5b8" ] } ], "mendeley" : { "formattedCitation" : "(Grzymala-Busse, 2012)", "plainTextFormattedCitation" : "(Grzymala-Busse, 2012)", "previouslyFormattedCitation" : "(Grzymala-Busse, 2012)" }, "properties" : { "noteIndex" : 0 }, "schema" : "https://github.com/citation-style-language/schema/raw/master/csl-citation.json" }</w:instrText>
      </w:r>
      <w:r w:rsidR="00A669B0">
        <w:rPr>
          <w:szCs w:val="24"/>
        </w:rPr>
        <w:fldChar w:fldCharType="separate"/>
      </w:r>
      <w:r w:rsidR="00E63CC6" w:rsidRPr="00E63CC6">
        <w:rPr>
          <w:noProof/>
          <w:szCs w:val="24"/>
        </w:rPr>
        <w:t>(Grzymala-Busse, 2012)</w:t>
      </w:r>
      <w:r w:rsidR="00A669B0">
        <w:rPr>
          <w:szCs w:val="24"/>
        </w:rPr>
        <w:fldChar w:fldCharType="end"/>
      </w:r>
      <w:r w:rsidRPr="000367C8">
        <w:rPr>
          <w:szCs w:val="24"/>
        </w:rPr>
        <w:t>. The role of religion in a democracy generally</w:t>
      </w:r>
      <w:r w:rsidR="00803E76">
        <w:rPr>
          <w:szCs w:val="24"/>
        </w:rPr>
        <w:t xml:space="preserve"> taken for granted. As Collins and</w:t>
      </w:r>
      <w:r w:rsidRPr="000367C8">
        <w:rPr>
          <w:szCs w:val="24"/>
        </w:rPr>
        <w:t xml:space="preserve"> Owen </w:t>
      </w:r>
      <w:r w:rsidR="00A669B0">
        <w:rPr>
          <w:szCs w:val="24"/>
        </w:rPr>
        <w:t xml:space="preserve">have </w:t>
      </w:r>
      <w:r w:rsidRPr="000367C8">
        <w:rPr>
          <w:szCs w:val="24"/>
        </w:rPr>
        <w:t>note</w:t>
      </w:r>
      <w:r w:rsidR="00A669B0">
        <w:rPr>
          <w:szCs w:val="24"/>
        </w:rPr>
        <w:t xml:space="preserve">d </w:t>
      </w:r>
      <w:r w:rsidR="00803E76">
        <w:rPr>
          <w:szCs w:val="24"/>
        </w:rPr>
        <w:fldChar w:fldCharType="begin" w:fldLock="1"/>
      </w:r>
      <w:r w:rsidR="00E63CC6">
        <w:rPr>
          <w:szCs w:val="24"/>
        </w:rPr>
        <w:instrText>ADDIN CSL_CITATION { "citationItems" : [ { "id" : "ITEM-1", "itemData" : { "DOI" : "10.1177/1065912912450554", "ISSN" : "1065-9129", "author" : [ { "dropping-particle" : "", "family" : "Collins", "given" : "K.", "non-dropping-particle" : "", "parse-names" : false, "suffix" : "" }, { "dropping-particle" : "", "family" : "Owen", "given" : "E.", "non-dropping-particle" : "", "parse-names" : false, "suffix" : "" } ], "container-title" : "Political Research Quarterly", "id" : "ITEM-1", "issue" : "3", "issued" : { "date-parts" : [ [ "2012", "7", "25" ] ] }, "page" : "499-515", "title" : "Islamic Religiosity and Regime Preferences: Explaining Support for Democracy and Political Islam in Central Asia and the Caucasus", "type" : "article-journal", "volume" : "65" }, "uris" : [ "http://www.mendeley.com/documents/?uuid=c6edd604-f992-4d51-8adf-0649b2b56a3b" ] } ], "mendeley" : { "formattedCitation" : "(Collins and Owen, 2012)", "manualFormatting" : "(2012, p.500-501)", "plainTextFormattedCitation" : "(Collins and Owen, 2012)", "previouslyFormattedCitation" : "(Collins and Owen, 2012)" }, "properties" : { "noteIndex" : 0 }, "schema" : "https://github.com/citation-style-language/schema/raw/master/csl-citation.json" }</w:instrText>
      </w:r>
      <w:r w:rsidR="00803E76">
        <w:rPr>
          <w:szCs w:val="24"/>
        </w:rPr>
        <w:fldChar w:fldCharType="separate"/>
      </w:r>
      <w:r w:rsidR="00803E76" w:rsidRPr="00803E76">
        <w:rPr>
          <w:noProof/>
          <w:szCs w:val="24"/>
        </w:rPr>
        <w:t>(2012</w:t>
      </w:r>
      <w:r w:rsidR="00803E76">
        <w:rPr>
          <w:noProof/>
          <w:szCs w:val="24"/>
        </w:rPr>
        <w:t>, p.500-501</w:t>
      </w:r>
      <w:r w:rsidR="00803E76" w:rsidRPr="00803E76">
        <w:rPr>
          <w:noProof/>
          <w:szCs w:val="24"/>
        </w:rPr>
        <w:t>)</w:t>
      </w:r>
      <w:r w:rsidR="00803E76">
        <w:rPr>
          <w:szCs w:val="24"/>
        </w:rPr>
        <w:fldChar w:fldCharType="end"/>
      </w:r>
      <w:r w:rsidRPr="000367C8">
        <w:rPr>
          <w:szCs w:val="24"/>
        </w:rPr>
        <w:t>,</w:t>
      </w:r>
      <w:r w:rsidRPr="000367C8">
        <w:rPr>
          <w:iCs/>
          <w:szCs w:val="24"/>
        </w:rPr>
        <w:t xml:space="preserve"> “Since the Enlightenment, liberal d</w:t>
      </w:r>
      <w:r w:rsidR="00A669B0">
        <w:rPr>
          <w:iCs/>
          <w:szCs w:val="24"/>
        </w:rPr>
        <w:t>emocratic theorists have advocat</w:t>
      </w:r>
      <w:r w:rsidRPr="000367C8">
        <w:rPr>
          <w:iCs/>
          <w:szCs w:val="24"/>
        </w:rPr>
        <w:t>ed secularism as essential to democracy, so that no one religion has institutionalized.”</w:t>
      </w:r>
    </w:p>
    <w:p w14:paraId="17421D93" w14:textId="340EEBCD" w:rsidR="00B77E5A" w:rsidRPr="000367C8" w:rsidRDefault="00B77E5A" w:rsidP="00B77E5A">
      <w:pPr>
        <w:tabs>
          <w:tab w:val="left" w:pos="3736"/>
        </w:tabs>
        <w:rPr>
          <w:szCs w:val="24"/>
        </w:rPr>
      </w:pPr>
      <w:r w:rsidRPr="000367C8">
        <w:rPr>
          <w:szCs w:val="24"/>
        </w:rPr>
        <w:t>P</w:t>
      </w:r>
      <w:r w:rsidR="00452631">
        <w:rPr>
          <w:szCs w:val="24"/>
        </w:rPr>
        <w:t>olitical scientists often</w:t>
      </w:r>
      <w:r w:rsidR="00803E76">
        <w:rPr>
          <w:szCs w:val="24"/>
        </w:rPr>
        <w:t xml:space="preserve"> cling</w:t>
      </w:r>
      <w:r w:rsidRPr="000367C8">
        <w:rPr>
          <w:szCs w:val="24"/>
        </w:rPr>
        <w:t xml:space="preserve"> to the notion that church and state should be kept separate</w:t>
      </w:r>
      <w:r w:rsidR="00452631">
        <w:rPr>
          <w:szCs w:val="24"/>
        </w:rPr>
        <w:t>,</w:t>
      </w:r>
      <w:r w:rsidRPr="000367C8">
        <w:rPr>
          <w:szCs w:val="24"/>
        </w:rPr>
        <w:t xml:space="preserve"> and </w:t>
      </w:r>
      <w:r w:rsidRPr="000367C8">
        <w:rPr>
          <w:iCs/>
          <w:szCs w:val="24"/>
        </w:rPr>
        <w:t>it is an established concern that democracy and religion do not mix</w:t>
      </w:r>
      <w:r w:rsidRPr="000367C8">
        <w:rPr>
          <w:szCs w:val="24"/>
        </w:rPr>
        <w:t xml:space="preserve">. Elshtain </w:t>
      </w:r>
      <w:r w:rsidR="00803E76">
        <w:rPr>
          <w:szCs w:val="24"/>
        </w:rPr>
        <w:fldChar w:fldCharType="begin" w:fldLock="1"/>
      </w:r>
      <w:r w:rsidR="00E63CC6">
        <w:rPr>
          <w:szCs w:val="24"/>
        </w:rPr>
        <w:instrText>ADDIN CSL_CITATION { "citationItems" : [ { "id" : "ITEM-1", "itemData" : { "author" : [ { "dropping-particle" : "", "family" : "Elshtain", "given" : "Jean B", "non-dropping-particle" : "", "parse-names" : false, "suffix" : "" } ], "container-title" : "Journal of Democracy", "id" : "ITEM-1", "issue" : "2", "issued" : { "date-parts" : [ [ "2009" ] ] }, "page" : "5-17", "publisher" : "The Johns Hopkins University Press", "title" : "Religion and Democracy", "type" : "article-journal", "volume" : "20" }, "uris" : [ "http://www.mendeley.com/documents/?uuid=f0a75da8-bcf7-4c60-8a97-6dde968c9789" ] } ], "mendeley" : { "formattedCitation" : "(Elshtain, 2009)", "manualFormatting" : "(2009, p.7)", "plainTextFormattedCitation" : "(Elshtain, 2009)", "previouslyFormattedCitation" : "(Elshtain, 2009)" }, "properties" : { "noteIndex" : 0 }, "schema" : "https://github.com/citation-style-language/schema/raw/master/csl-citation.json" }</w:instrText>
      </w:r>
      <w:r w:rsidR="00803E76">
        <w:rPr>
          <w:szCs w:val="24"/>
        </w:rPr>
        <w:fldChar w:fldCharType="separate"/>
      </w:r>
      <w:r w:rsidR="00803E76" w:rsidRPr="00803E76">
        <w:rPr>
          <w:noProof/>
          <w:szCs w:val="24"/>
        </w:rPr>
        <w:t>(2009</w:t>
      </w:r>
      <w:r w:rsidR="00803E76">
        <w:rPr>
          <w:noProof/>
          <w:szCs w:val="24"/>
        </w:rPr>
        <w:t>, p.7</w:t>
      </w:r>
      <w:r w:rsidR="00803E76" w:rsidRPr="00803E76">
        <w:rPr>
          <w:noProof/>
          <w:szCs w:val="24"/>
        </w:rPr>
        <w:t>)</w:t>
      </w:r>
      <w:r w:rsidR="00803E76">
        <w:rPr>
          <w:szCs w:val="24"/>
        </w:rPr>
        <w:fldChar w:fldCharType="end"/>
      </w:r>
      <w:r w:rsidR="0024468B">
        <w:rPr>
          <w:szCs w:val="24"/>
        </w:rPr>
        <w:t xml:space="preserve"> provided</w:t>
      </w:r>
      <w:r w:rsidRPr="000367C8">
        <w:rPr>
          <w:szCs w:val="24"/>
        </w:rPr>
        <w:t xml:space="preserve"> a reason as to why this might be:</w:t>
      </w:r>
    </w:p>
    <w:p w14:paraId="5762F640" w14:textId="14272EB0" w:rsidR="00B77E5A" w:rsidRPr="006B0439" w:rsidRDefault="00B77E5A" w:rsidP="006B0439">
      <w:pPr>
        <w:pStyle w:val="Quote"/>
      </w:pPr>
      <w:r w:rsidRPr="000367C8">
        <w:t>“The vast majority of political scientists, having reduced religion to a set of private attitudes that had to give way before the onslaught of the powerful forces of modernization—which also meant secularization—lacked interest in the study of religion.”</w:t>
      </w:r>
    </w:p>
    <w:p w14:paraId="0A8DCDE5" w14:textId="2CB95A6B" w:rsidR="00B77E5A" w:rsidRPr="000367C8" w:rsidRDefault="00B77E5A" w:rsidP="00B77E5A">
      <w:pPr>
        <w:tabs>
          <w:tab w:val="left" w:pos="3736"/>
        </w:tabs>
        <w:rPr>
          <w:szCs w:val="24"/>
        </w:rPr>
      </w:pPr>
      <w:r w:rsidRPr="000367C8">
        <w:rPr>
          <w:iCs/>
          <w:szCs w:val="24"/>
        </w:rPr>
        <w:t xml:space="preserve">In a liberal democracy then, religion is </w:t>
      </w:r>
      <w:r w:rsidR="00803E76">
        <w:rPr>
          <w:iCs/>
          <w:szCs w:val="24"/>
        </w:rPr>
        <w:t xml:space="preserve">conceptualised as </w:t>
      </w:r>
      <w:r w:rsidRPr="000367C8">
        <w:rPr>
          <w:iCs/>
          <w:szCs w:val="24"/>
        </w:rPr>
        <w:t xml:space="preserve">a private matter. Protected by civil rights, individuals are free to pursue their religious interests as long as they do not infringe upon the rights of others. </w:t>
      </w:r>
      <w:r w:rsidRPr="000367C8">
        <w:rPr>
          <w:szCs w:val="24"/>
        </w:rPr>
        <w:t>It is this relegation of religion to the ‘private’ sphere that explains its neglect in theories of liberal democracy. Religion is not the state’s business, and the state is not religion’s business.</w:t>
      </w:r>
    </w:p>
    <w:p w14:paraId="7D207918" w14:textId="3EE0C04C" w:rsidR="00B77E5A" w:rsidRPr="000367C8" w:rsidRDefault="00B77E5A" w:rsidP="00B77E5A">
      <w:pPr>
        <w:rPr>
          <w:szCs w:val="24"/>
        </w:rPr>
      </w:pPr>
      <w:r>
        <w:rPr>
          <w:szCs w:val="24"/>
        </w:rPr>
        <w:t>Religion as a private issue should be non-political in liberal democracy (see Pateman’s critique of this howe</w:t>
      </w:r>
      <w:r w:rsidR="0024468B">
        <w:rPr>
          <w:szCs w:val="24"/>
        </w:rPr>
        <w:t>ver, discussed in Chapter Two, S</w:t>
      </w:r>
      <w:r>
        <w:rPr>
          <w:szCs w:val="24"/>
        </w:rPr>
        <w:t>ection 2.2 in particular the section on Feminist Critiques). This is f</w:t>
      </w:r>
      <w:r w:rsidRPr="000367C8">
        <w:rPr>
          <w:szCs w:val="24"/>
        </w:rPr>
        <w:t>urther</w:t>
      </w:r>
      <w:r>
        <w:rPr>
          <w:szCs w:val="24"/>
        </w:rPr>
        <w:t xml:space="preserve"> supported by the notion that</w:t>
      </w:r>
      <w:r w:rsidRPr="000367C8">
        <w:rPr>
          <w:szCs w:val="24"/>
        </w:rPr>
        <w:t xml:space="preserve"> not only is religion private but, as </w:t>
      </w:r>
      <w:r w:rsidR="00B040CF">
        <w:rPr>
          <w:szCs w:val="24"/>
        </w:rPr>
        <w:t>the quote above suggests</w:t>
      </w:r>
      <w:r w:rsidRPr="000367C8">
        <w:rPr>
          <w:szCs w:val="24"/>
        </w:rPr>
        <w:t>, in</w:t>
      </w:r>
      <w:r>
        <w:rPr>
          <w:szCs w:val="24"/>
        </w:rPr>
        <w:t xml:space="preserve"> a modernized world it should be an issue that weakens over time</w:t>
      </w:r>
      <w:r w:rsidRPr="000367C8">
        <w:rPr>
          <w:szCs w:val="24"/>
        </w:rPr>
        <w:t>.</w:t>
      </w:r>
      <w:r w:rsidRPr="000367C8">
        <w:rPr>
          <w:iCs/>
          <w:szCs w:val="24"/>
        </w:rPr>
        <w:t xml:space="preserve"> When societies modernize – </w:t>
      </w:r>
      <w:r w:rsidRPr="000367C8">
        <w:rPr>
          <w:szCs w:val="24"/>
        </w:rPr>
        <w:t>in particular when standards of living and educational opportunities improve – citizens are expected to abandon spirituality and superstition for rationality and scientific</w:t>
      </w:r>
      <w:r w:rsidR="00321306">
        <w:rPr>
          <w:szCs w:val="24"/>
        </w:rPr>
        <w:t xml:space="preserve"> </w:t>
      </w:r>
      <w:r w:rsidRPr="000367C8">
        <w:rPr>
          <w:szCs w:val="24"/>
        </w:rPr>
        <w:t xml:space="preserve">reasoning (see </w:t>
      </w:r>
      <w:r w:rsidR="00803E76">
        <w:rPr>
          <w:szCs w:val="24"/>
        </w:rPr>
        <w:fldChar w:fldCharType="begin" w:fldLock="1"/>
      </w:r>
      <w:r w:rsidR="00E63CC6">
        <w:rPr>
          <w:szCs w:val="24"/>
        </w:rPr>
        <w:instrText>ADDIN CSL_CITATION { "citationItems" : [ { "id" : "ITEM-1", "itemData" : { "author" : [ { "dropping-particle" : "", "family" : "Gill", "given" : "Anthony", "non-dropping-particle" : "", "parse-names" : false, "suffix" : "" } ], "container-title" : "Annual Review of Political Science", "id" : "ITEM-1", "issued" : { "date-parts" : [ [ "2001" ] ] }, "page" : "117-138", "title" : "Religion and Comparative Politics", "type" : "article-journal", "volume" : "4" }, "uris" : [ "http://www.mendeley.com/documents/?uuid=542e58e8-9184-4e77-9137-08f6ad334899" ] } ], "mendeley" : { "formattedCitation" : "(Gill, 2001)", "manualFormatting" : "Gill 2001", "plainTextFormattedCitation" : "(Gill, 2001)", "previouslyFormattedCitation" : "(Gill, 2001)" }, "properties" : { "noteIndex" : 0 }, "schema" : "https://github.com/citation-style-language/schema/raw/master/csl-citation.json" }</w:instrText>
      </w:r>
      <w:r w:rsidR="00803E76">
        <w:rPr>
          <w:szCs w:val="24"/>
        </w:rPr>
        <w:fldChar w:fldCharType="separate"/>
      </w:r>
      <w:r w:rsidR="00803E76" w:rsidRPr="00803E76">
        <w:rPr>
          <w:noProof/>
          <w:szCs w:val="24"/>
        </w:rPr>
        <w:t>Gill 2001</w:t>
      </w:r>
      <w:r w:rsidR="00803E76">
        <w:rPr>
          <w:szCs w:val="24"/>
        </w:rPr>
        <w:fldChar w:fldCharType="end"/>
      </w:r>
      <w:r w:rsidRPr="000367C8">
        <w:rPr>
          <w:szCs w:val="24"/>
        </w:rPr>
        <w:t xml:space="preserve"> for a discussion). The expected knock-on effect is that over time fewer people consider themselves religious. </w:t>
      </w:r>
    </w:p>
    <w:p w14:paraId="61D282AE" w14:textId="1662397D" w:rsidR="00B77E5A" w:rsidRPr="000367C8" w:rsidRDefault="00B77E5A" w:rsidP="00B77E5A">
      <w:pPr>
        <w:tabs>
          <w:tab w:val="left" w:pos="3736"/>
        </w:tabs>
        <w:rPr>
          <w:szCs w:val="24"/>
        </w:rPr>
      </w:pPr>
      <w:r w:rsidRPr="000367C8">
        <w:rPr>
          <w:iCs/>
          <w:szCs w:val="24"/>
        </w:rPr>
        <w:t xml:space="preserve">However, </w:t>
      </w:r>
      <w:r w:rsidR="00321306">
        <w:rPr>
          <w:iCs/>
          <w:szCs w:val="24"/>
        </w:rPr>
        <w:t>things</w:t>
      </w:r>
      <w:r w:rsidRPr="000367C8">
        <w:rPr>
          <w:iCs/>
          <w:szCs w:val="24"/>
        </w:rPr>
        <w:t xml:space="preserve"> have not played out as cleanly as this; first, the sharp distinction between ‘public’ state affairs and ‘private’ individual concerns is rarely so clear-cut. Indeed, </w:t>
      </w:r>
      <w:r w:rsidRPr="000367C8">
        <w:rPr>
          <w:szCs w:val="24"/>
        </w:rPr>
        <w:t>r</w:t>
      </w:r>
      <w:r w:rsidRPr="000367C8">
        <w:rPr>
          <w:iCs/>
          <w:szCs w:val="24"/>
        </w:rPr>
        <w:t xml:space="preserve">eligious actors have been key players in the democratization process in – to cherry-pick some of the more well-known examples – the UK, USA, Spain, Poland, South Korea, Taiwan, Chile and Brazil. Second, the relationship between modernization and religion has not been as straight-forward as predicted. Religion has not faded away, and has indeed </w:t>
      </w:r>
      <w:r>
        <w:rPr>
          <w:iCs/>
          <w:szCs w:val="24"/>
        </w:rPr>
        <w:t>seen a rise of</w:t>
      </w:r>
      <w:r w:rsidRPr="000367C8">
        <w:rPr>
          <w:iCs/>
          <w:szCs w:val="24"/>
        </w:rPr>
        <w:t xml:space="preserve"> </w:t>
      </w:r>
      <w:r>
        <w:rPr>
          <w:iCs/>
          <w:szCs w:val="24"/>
        </w:rPr>
        <w:t>fundamentalist</w:t>
      </w:r>
      <w:r w:rsidRPr="000367C8">
        <w:rPr>
          <w:iCs/>
          <w:szCs w:val="24"/>
        </w:rPr>
        <w:t xml:space="preserve"> forms</w:t>
      </w:r>
      <w:r>
        <w:rPr>
          <w:iCs/>
          <w:szCs w:val="24"/>
        </w:rPr>
        <w:t>, some</w:t>
      </w:r>
      <w:r w:rsidRPr="000367C8">
        <w:rPr>
          <w:iCs/>
          <w:szCs w:val="24"/>
        </w:rPr>
        <w:t xml:space="preserve"> linked to terrorism.</w:t>
      </w:r>
    </w:p>
    <w:p w14:paraId="63EC3BE1" w14:textId="6EC3E396" w:rsidR="00B77E5A" w:rsidRPr="000367C8" w:rsidRDefault="00B77E5A" w:rsidP="00B77E5A">
      <w:pPr>
        <w:rPr>
          <w:szCs w:val="24"/>
        </w:rPr>
      </w:pPr>
      <w:r w:rsidRPr="000367C8">
        <w:rPr>
          <w:szCs w:val="24"/>
        </w:rPr>
        <w:t>Overall, this legacy of neglecting the role of religion in democracy has led to a lack of systematic theoretical approaches to tackling the issue. Recently, analysts have started to try and fill this ga</w:t>
      </w:r>
      <w:r w:rsidR="00803E76">
        <w:rPr>
          <w:szCs w:val="24"/>
        </w:rPr>
        <w:t xml:space="preserve">p. Fox </w:t>
      </w:r>
      <w:r w:rsidR="00803E76">
        <w:rPr>
          <w:szCs w:val="24"/>
        </w:rPr>
        <w:fldChar w:fldCharType="begin" w:fldLock="1"/>
      </w:r>
      <w:r w:rsidR="00E63CC6">
        <w:rPr>
          <w:szCs w:val="24"/>
        </w:rPr>
        <w:instrText>ADDIN CSL_CITATION { "citationItems" : [ { "id" : "ITEM-1", "itemData" : { "DOI" : "10.1177/0010414005276310", "abstract" : "This study examines the extent of separation of religion and state (SRAS) between 1990 and 2002 in 152 states using the Religion and State database. The results show that when using a strict interpretation of SRAS\u2014nostate support for religion and no state restrictions on religion\u2013no state has full SRAS except the United States. Even when discounting moderate amounts of government involvement in religion (GIR), greater than three quarters of states do not have SRAS. The findings also show that GIR has increased slightly between 1990 and 2002, economic development is associated with higher levels of GIR, states with Muslim majorities have higher levels of government support for religion, and democracies have higher levels of SRAS than do autocratic states but rarely have full SRAS. This contradicts the idea that SRAS is an essential element of democracy and predictions that religion will cease to be an important political and social factor in modern times.", "author" : [ { "dropping-particle" : "", "family" : "Fox", "given" : "Jonathan", "non-dropping-particle" : "", "parse-names" : false, "suffix" : "" } ], "container-title" : "Comparative Political Studies", "id" : "ITEM-1", "issue" : "5", "issued" : { "date-parts" : [ [ "2006", "6" ] ] }, "page" : "537-569", "title" : "World Separation of Religion and State Into the 21st Century", "type" : "article-journal", "volume" : "39" }, "uris" : [ "http://www.mendeley.com/documents/?uuid=c7279bd5-9164-450b-9d32-abb15d48e8e1" ] } ], "mendeley" : { "formattedCitation" : "(Fox, 2006)", "manualFormatting" : "(2006", "plainTextFormattedCitation" : "(Fox, 2006)", "previouslyFormattedCitation" : "(Fox, 2006)" }, "properties" : { "noteIndex" : 0 }, "schema" : "https://github.com/citation-style-language/schema/raw/master/csl-citation.json" }</w:instrText>
      </w:r>
      <w:r w:rsidR="00803E76">
        <w:rPr>
          <w:szCs w:val="24"/>
        </w:rPr>
        <w:fldChar w:fldCharType="separate"/>
      </w:r>
      <w:r w:rsidR="00803E76">
        <w:rPr>
          <w:noProof/>
          <w:szCs w:val="24"/>
        </w:rPr>
        <w:t>(</w:t>
      </w:r>
      <w:r w:rsidR="00803E76" w:rsidRPr="00803E76">
        <w:rPr>
          <w:noProof/>
          <w:szCs w:val="24"/>
        </w:rPr>
        <w:t>2006</w:t>
      </w:r>
      <w:r w:rsidR="00803E76">
        <w:rPr>
          <w:szCs w:val="24"/>
        </w:rPr>
        <w:fldChar w:fldCharType="end"/>
      </w:r>
      <w:r w:rsidR="00803E76">
        <w:rPr>
          <w:szCs w:val="24"/>
        </w:rPr>
        <w:t>)</w:t>
      </w:r>
      <w:r w:rsidRPr="000367C8">
        <w:rPr>
          <w:szCs w:val="24"/>
        </w:rPr>
        <w:t xml:space="preserve"> has argued </w:t>
      </w:r>
      <w:r w:rsidR="00803E76">
        <w:rPr>
          <w:szCs w:val="24"/>
        </w:rPr>
        <w:t>the need to</w:t>
      </w:r>
      <w:r w:rsidRPr="000367C8">
        <w:rPr>
          <w:szCs w:val="24"/>
        </w:rPr>
        <w:t xml:space="preserve"> accept that the actual separation of ‘church’ and state is far less distinct than many commentators would have us believe. </w:t>
      </w:r>
      <w:r w:rsidR="000D2F92">
        <w:rPr>
          <w:szCs w:val="24"/>
        </w:rPr>
        <w:t>This has led to</w:t>
      </w:r>
      <w:r w:rsidRPr="000367C8">
        <w:rPr>
          <w:szCs w:val="24"/>
        </w:rPr>
        <w:t xml:space="preserve"> a renewed focus on how democratic theory can integrate the role of religion more effectively </w:t>
      </w:r>
      <w:r w:rsidR="00803E76">
        <w:rPr>
          <w:szCs w:val="24"/>
        </w:rPr>
        <w:fldChar w:fldCharType="begin" w:fldLock="1"/>
      </w:r>
      <w:r w:rsidR="00E63CC6">
        <w:rPr>
          <w:szCs w:val="24"/>
        </w:rPr>
        <w:instrText>ADDIN CSL_CITATION { "citationItems" : [ { "id" : "ITEM-1", "itemData" : { "DOI" : "10.1177/0090591702251012", "abstract" : "Strict separation of church from a presumed 'religion-blind'and strictly 'neutral'state still is the preferred model in liberal, democratic, feminist, and socialist political theory. Focusing on the full, reciprocal relationships between society-culture-politics-nation-state and (organized) religions, this article makes a case in favor of 'nonconstitutional pluralism' in general, associative democracy in particular. Associative democracy recognizes religious diversity both individually and organizationally; it stimulates legitimate religious diversity; it prevents a hidden majority bias; and it provides a legitimate role for organized religions in the provision of a wide range of services, including education, on one hand, and in the political process, on the other hand. That organized religions should be informed, heard, and consulted in contested issues should be a crucial component of democratic participation. This also might help prevent the development of religious fundamentalism.", "author" : [ { "dropping-particle" : "", "family" : "Bader", "given" : "Veit", "non-dropping-particle" : "", "parse-names" : false, "suffix" : "" } ], "container-title" : "Political Theory", "id" : "ITEM-1", "issue" : "2", "issued" : { "date-parts" : [ [ "2003", "4" ] ] }, "page" : "265-294", "title" : "Religious Diversity And Democratic Institutional Pluralism", "type" : "article-journal", "volume" : "31" }, "uris" : [ "http://www.mendeley.com/documents/?uuid=be36e844-ac27-4c73-adec-b2c1b8921820" ] }, { "id" : "ITEM-2", "itemData" : { "DOI" : "10.1353/jod.2000.0088", "ISSN" : "1086-3214", "author" : [ { "dropping-particle" : "", "family" : "Stepan", "given" : "Alfred C.", "non-dropping-particle" : "", "parse-names" : false, "suffix" : "" } ], "container-title" : "Journal of Democracy", "id" : "ITEM-2", "issue" : "4", "issued" : { "date-parts" : [ [ "2000" ] ] }, "page" : "37-57", "title" : "Religion, Democracy, and the \"Twin Tolerations\"", "type" : "article-journal", "volume" : "11" }, "uris" : [ "http://www.mendeley.com/documents/?uuid=e91bfad9-821e-45dc-bf78-316108ca9bff" ] } ], "mendeley" : { "formattedCitation" : "(Stepan, 2000; Bader, 2003)", "plainTextFormattedCitation" : "(Stepan, 2000; Bader, 2003)", "previouslyFormattedCitation" : "(Stepan, 2000; Bader, 2003)" }, "properties" : { "noteIndex" : 0 }, "schema" : "https://github.com/citation-style-language/schema/raw/master/csl-citation.json" }</w:instrText>
      </w:r>
      <w:r w:rsidR="00803E76">
        <w:rPr>
          <w:szCs w:val="24"/>
        </w:rPr>
        <w:fldChar w:fldCharType="separate"/>
      </w:r>
      <w:r w:rsidR="00E63CC6" w:rsidRPr="00E63CC6">
        <w:rPr>
          <w:noProof/>
          <w:szCs w:val="24"/>
        </w:rPr>
        <w:t>(Stepan, 2000; Bader, 2003)</w:t>
      </w:r>
      <w:r w:rsidR="00803E76">
        <w:rPr>
          <w:szCs w:val="24"/>
        </w:rPr>
        <w:fldChar w:fldCharType="end"/>
      </w:r>
      <w:r w:rsidR="00803E76">
        <w:rPr>
          <w:szCs w:val="24"/>
        </w:rPr>
        <w:t>.</w:t>
      </w:r>
    </w:p>
    <w:p w14:paraId="78C20B70" w14:textId="2D7D6155" w:rsidR="00B77E5A" w:rsidRPr="000367C8" w:rsidRDefault="00B77E5A" w:rsidP="00B77E5A">
      <w:pPr>
        <w:rPr>
          <w:szCs w:val="24"/>
        </w:rPr>
      </w:pPr>
      <w:r w:rsidRPr="000367C8">
        <w:rPr>
          <w:iCs/>
          <w:szCs w:val="24"/>
        </w:rPr>
        <w:t>Stepan (2000) has outlined a systematic approach to addressing this issue, with his notion of the ‘twin tolerations’. The basic premise is that minimal boundaries of freedom and action must be understood for political institutions vis-à-vis religious authorities, and for religious authorities vis-à-vis poli</w:t>
      </w:r>
      <w:r w:rsidR="00803E76">
        <w:rPr>
          <w:iCs/>
          <w:szCs w:val="24"/>
        </w:rPr>
        <w:t>tical institutions (</w:t>
      </w:r>
      <w:r w:rsidR="0024468B">
        <w:rPr>
          <w:iCs/>
          <w:szCs w:val="24"/>
        </w:rPr>
        <w:t>ibid</w:t>
      </w:r>
      <w:r w:rsidR="00803E76">
        <w:rPr>
          <w:iCs/>
          <w:szCs w:val="24"/>
        </w:rPr>
        <w:t xml:space="preserve"> 2000, p.</w:t>
      </w:r>
      <w:r w:rsidRPr="000367C8">
        <w:rPr>
          <w:iCs/>
          <w:szCs w:val="24"/>
        </w:rPr>
        <w:t xml:space="preserve">37). For instance, the democratic right </w:t>
      </w:r>
      <w:r w:rsidR="00321306">
        <w:rPr>
          <w:iCs/>
          <w:szCs w:val="24"/>
        </w:rPr>
        <w:t>to</w:t>
      </w:r>
      <w:r w:rsidR="00321306" w:rsidRPr="000367C8">
        <w:rPr>
          <w:iCs/>
          <w:szCs w:val="24"/>
        </w:rPr>
        <w:t xml:space="preserve"> </w:t>
      </w:r>
      <w:r w:rsidRPr="000367C8">
        <w:rPr>
          <w:iCs/>
          <w:szCs w:val="24"/>
        </w:rPr>
        <w:t>freedom of organisation would allow religious-orientated political parties to form. At the same time, should these parties violate democratic principles the courts can then sanction or constrain them, as they can any party that promotes anti-democratic policy.</w:t>
      </w:r>
    </w:p>
    <w:p w14:paraId="473DCCAF" w14:textId="3B3BB3A8" w:rsidR="00B77E5A" w:rsidRPr="000367C8" w:rsidRDefault="00B77E5A" w:rsidP="00B77E5A">
      <w:pPr>
        <w:rPr>
          <w:szCs w:val="24"/>
        </w:rPr>
      </w:pPr>
      <w:r w:rsidRPr="000367C8">
        <w:rPr>
          <w:iCs/>
          <w:szCs w:val="24"/>
        </w:rPr>
        <w:t>The question in the WVS2005-2008 outlines a characteristic where ‘religious authorities interpret the laws’. The wording here is a little ambiguous</w:t>
      </w:r>
      <w:r w:rsidR="00321306">
        <w:rPr>
          <w:iCs/>
          <w:szCs w:val="24"/>
        </w:rPr>
        <w:t>.</w:t>
      </w:r>
      <w:r w:rsidRPr="00AD1B56">
        <w:rPr>
          <w:rStyle w:val="FootnoteReference"/>
        </w:rPr>
        <w:footnoteReference w:id="11"/>
      </w:r>
      <w:r w:rsidRPr="000367C8">
        <w:rPr>
          <w:iCs/>
          <w:szCs w:val="24"/>
        </w:rPr>
        <w:t xml:space="preserve"> </w:t>
      </w:r>
      <w:r w:rsidR="00321306">
        <w:rPr>
          <w:iCs/>
          <w:szCs w:val="24"/>
        </w:rPr>
        <w:t>H</w:t>
      </w:r>
      <w:r w:rsidRPr="000367C8">
        <w:rPr>
          <w:iCs/>
          <w:szCs w:val="24"/>
        </w:rPr>
        <w:t>owever</w:t>
      </w:r>
      <w:r w:rsidR="00FE71BF">
        <w:rPr>
          <w:iCs/>
          <w:szCs w:val="24"/>
        </w:rPr>
        <w:t>,</w:t>
      </w:r>
      <w:r w:rsidRPr="000367C8">
        <w:rPr>
          <w:iCs/>
          <w:szCs w:val="24"/>
        </w:rPr>
        <w:t xml:space="preserve"> here is no real notion of ‘</w:t>
      </w:r>
      <w:r w:rsidRPr="000367C8">
        <w:rPr>
          <w:i/>
          <w:szCs w:val="24"/>
        </w:rPr>
        <w:t>can</w:t>
      </w:r>
      <w:r w:rsidRPr="000367C8">
        <w:rPr>
          <w:iCs/>
          <w:szCs w:val="24"/>
        </w:rPr>
        <w:t>’ or ‘</w:t>
      </w:r>
      <w:r w:rsidRPr="000367C8">
        <w:rPr>
          <w:i/>
          <w:iCs/>
          <w:szCs w:val="24"/>
        </w:rPr>
        <w:t>could’</w:t>
      </w:r>
      <w:r w:rsidRPr="000367C8">
        <w:rPr>
          <w:iCs/>
          <w:szCs w:val="24"/>
        </w:rPr>
        <w:t xml:space="preserve"> – this is a statement in which this role </w:t>
      </w:r>
      <w:r w:rsidRPr="000367C8">
        <w:rPr>
          <w:i/>
          <w:szCs w:val="24"/>
        </w:rPr>
        <w:t>is</w:t>
      </w:r>
      <w:r w:rsidRPr="000367C8">
        <w:rPr>
          <w:iCs/>
          <w:szCs w:val="24"/>
        </w:rPr>
        <w:t xml:space="preserve"> carried out by religious authorities. In this sense, interpreting the law suggests the possibility of putting forth an understanding of a law that is not necessarily what was meant by the political establishment that created it. This violates the idea of twin toleration, as the ‘fusion of religious and political power under religious control’ is theocrat</w:t>
      </w:r>
      <w:r w:rsidR="00803E76">
        <w:rPr>
          <w:iCs/>
          <w:szCs w:val="24"/>
        </w:rPr>
        <w:t>ic, not democratic (</w:t>
      </w:r>
      <w:r w:rsidR="000B6366">
        <w:rPr>
          <w:iCs/>
          <w:szCs w:val="24"/>
        </w:rPr>
        <w:t>ibid</w:t>
      </w:r>
      <w:r w:rsidR="00803E76">
        <w:rPr>
          <w:iCs/>
          <w:szCs w:val="24"/>
        </w:rPr>
        <w:t xml:space="preserve"> 2000, p.</w:t>
      </w:r>
      <w:r w:rsidRPr="000367C8">
        <w:rPr>
          <w:iCs/>
          <w:szCs w:val="24"/>
        </w:rPr>
        <w:t>43).</w:t>
      </w:r>
    </w:p>
    <w:p w14:paraId="28E23F4D" w14:textId="4E720C92" w:rsidR="00B77E5A" w:rsidRDefault="00B77E5A" w:rsidP="00B77E5A">
      <w:pPr>
        <w:rPr>
          <w:iCs/>
          <w:szCs w:val="24"/>
        </w:rPr>
      </w:pPr>
      <w:r w:rsidRPr="000367C8">
        <w:rPr>
          <w:iCs/>
          <w:szCs w:val="24"/>
        </w:rPr>
        <w:t>Accordingly, along with army takeover, this characteristic is anti-democratic, and, theoretically, not at all essential to democracy.</w:t>
      </w:r>
    </w:p>
    <w:p w14:paraId="08591396" w14:textId="77777777" w:rsidR="00974957" w:rsidRDefault="00974957" w:rsidP="00B77E5A">
      <w:pPr>
        <w:rPr>
          <w:iCs/>
          <w:szCs w:val="24"/>
        </w:rPr>
      </w:pPr>
    </w:p>
    <w:p w14:paraId="0AA32BC4" w14:textId="4582A441" w:rsidR="00B77E5A" w:rsidRPr="003A2545" w:rsidRDefault="007D7E69" w:rsidP="00F167FC">
      <w:pPr>
        <w:pStyle w:val="Heading3"/>
        <w:rPr>
          <w:highlight w:val="yellow"/>
        </w:rPr>
      </w:pPr>
      <w:r w:rsidRPr="003A2545">
        <w:rPr>
          <w:highlight w:val="yellow"/>
        </w:rPr>
        <w:t xml:space="preserve">Summary and </w:t>
      </w:r>
      <w:r w:rsidR="003A2545" w:rsidRPr="003A2545">
        <w:rPr>
          <w:highlight w:val="yellow"/>
        </w:rPr>
        <w:t>Discussion</w:t>
      </w:r>
    </w:p>
    <w:p w14:paraId="2C435A19" w14:textId="6A23A10C" w:rsidR="007D7E69" w:rsidRDefault="00B77E5A" w:rsidP="00B77E5A">
      <w:pPr>
        <w:rPr>
          <w:szCs w:val="24"/>
        </w:rPr>
      </w:pPr>
      <w:r w:rsidRPr="003A2545">
        <w:rPr>
          <w:szCs w:val="24"/>
          <w:highlight w:val="yellow"/>
        </w:rPr>
        <w:t>Figure 3.3 provides an overview of the arguments made above, outlining what type of characteristic each of the ten questions pertain</w:t>
      </w:r>
      <w:r w:rsidR="00321306" w:rsidRPr="003A2545">
        <w:rPr>
          <w:szCs w:val="24"/>
          <w:highlight w:val="yellow"/>
        </w:rPr>
        <w:t>s</w:t>
      </w:r>
      <w:r w:rsidRPr="003A2545">
        <w:rPr>
          <w:szCs w:val="24"/>
          <w:highlight w:val="yellow"/>
        </w:rPr>
        <w:t xml:space="preserve"> to, and whether they are </w:t>
      </w:r>
      <w:r w:rsidRPr="003A2545">
        <w:rPr>
          <w:i/>
          <w:szCs w:val="24"/>
          <w:highlight w:val="yellow"/>
        </w:rPr>
        <w:t>theoretically</w:t>
      </w:r>
      <w:r w:rsidRPr="003A2545">
        <w:rPr>
          <w:szCs w:val="24"/>
          <w:highlight w:val="yellow"/>
        </w:rPr>
        <w:t xml:space="preserve"> considered essential to democracy or not</w:t>
      </w:r>
      <w:r w:rsidR="0014027E" w:rsidRPr="0014027E">
        <w:rPr>
          <w:szCs w:val="24"/>
          <w:highlight w:val="yellow"/>
        </w:rPr>
        <w:t xml:space="preserve"> </w:t>
      </w:r>
      <w:r w:rsidR="0014027E">
        <w:rPr>
          <w:szCs w:val="24"/>
          <w:highlight w:val="yellow"/>
        </w:rPr>
        <w:t>(i</w:t>
      </w:r>
      <w:r w:rsidR="0014027E" w:rsidRPr="003A2545">
        <w:rPr>
          <w:szCs w:val="24"/>
          <w:highlight w:val="yellow"/>
        </w:rPr>
        <w:t>t also provides a short-hand for each characteristic, to ease the discussion of results below</w:t>
      </w:r>
      <w:r w:rsidR="0014027E">
        <w:rPr>
          <w:szCs w:val="24"/>
          <w:highlight w:val="yellow"/>
        </w:rPr>
        <w:t>)</w:t>
      </w:r>
      <w:r w:rsidRPr="003A2545">
        <w:rPr>
          <w:szCs w:val="24"/>
          <w:highlight w:val="yellow"/>
        </w:rPr>
        <w:t>.</w:t>
      </w:r>
      <w:r w:rsidR="0014027E">
        <w:rPr>
          <w:szCs w:val="24"/>
          <w:highlight w:val="yellow"/>
        </w:rPr>
        <w:t xml:space="preserve"> In the discussion I noted when the theory was less clear, in particular for the instrumental and populist measures, and so these are noted as theoretically debatable. For the instrumental characteristics in particular I raised some points when citizens may veer towards higher levels of essentialness than certain parts of the literature would suggest, but, as discussed, the exploratory analysis in the following Chapter </w:t>
      </w:r>
      <w:r w:rsidR="0014027E" w:rsidRPr="0014027E">
        <w:rPr>
          <w:szCs w:val="24"/>
          <w:highlight w:val="yellow"/>
        </w:rPr>
        <w:t>will highlight where these characteristics sit and how they are combined by survey respondents.</w:t>
      </w:r>
    </w:p>
    <w:p w14:paraId="784B8591" w14:textId="2A312F1B" w:rsidR="00612E45" w:rsidRPr="003A5664" w:rsidRDefault="005B4976" w:rsidP="003A5664">
      <w:pPr>
        <w:pStyle w:val="Caption"/>
        <w:rPr>
          <w:rFonts w:ascii="Segoe UI" w:hAnsi="Segoe UI" w:cs="Segoe UI"/>
          <w:i w:val="0"/>
        </w:rPr>
      </w:pPr>
      <w:bookmarkStart w:id="156" w:name="_Toc494687140"/>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612E45"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612E45" w:rsidRPr="003A5664">
        <w:rPr>
          <w:rFonts w:ascii="Segoe UI" w:hAnsi="Segoe UI" w:cs="Segoe UI"/>
          <w:i w:val="0"/>
          <w:noProof/>
        </w:rPr>
        <w:t>3</w:t>
      </w:r>
      <w:r w:rsidR="00994662" w:rsidRPr="003A5664">
        <w:rPr>
          <w:rFonts w:ascii="Segoe UI" w:hAnsi="Segoe UI" w:cs="Segoe UI"/>
          <w:i w:val="0"/>
          <w:noProof/>
        </w:rPr>
        <w:fldChar w:fldCharType="end"/>
      </w:r>
      <w:r w:rsidRPr="003A5664">
        <w:rPr>
          <w:rFonts w:ascii="Segoe UI" w:hAnsi="Segoe UI" w:cs="Segoe UI"/>
          <w:i w:val="0"/>
        </w:rPr>
        <w:t xml:space="preserve"> A summary of theoretical expectations</w:t>
      </w:r>
      <w:r w:rsidR="00612E45" w:rsidRPr="003A5664">
        <w:rPr>
          <w:rFonts w:ascii="Segoe UI" w:hAnsi="Segoe UI" w:cs="Segoe UI"/>
          <w:i w:val="0"/>
        </w:rPr>
        <w:t xml:space="preserve"> for each characteristic of democracy</w:t>
      </w:r>
      <w:bookmarkEnd w:id="156"/>
    </w:p>
    <w:tbl>
      <w:tblPr>
        <w:tblW w:w="9777" w:type="dxa"/>
        <w:tblCellMar>
          <w:left w:w="10" w:type="dxa"/>
          <w:right w:w="10" w:type="dxa"/>
        </w:tblCellMar>
        <w:tblLook w:val="0000" w:firstRow="0" w:lastRow="0" w:firstColumn="0" w:lastColumn="0" w:noHBand="0" w:noVBand="0"/>
      </w:tblPr>
      <w:tblGrid>
        <w:gridCol w:w="2764"/>
        <w:gridCol w:w="2376"/>
        <w:gridCol w:w="2657"/>
        <w:gridCol w:w="1980"/>
      </w:tblGrid>
      <w:tr w:rsidR="00B77E5A" w:rsidRPr="00C77B03" w14:paraId="7B14533A" w14:textId="77777777" w:rsidTr="000B6366">
        <w:trPr>
          <w:trHeight w:val="475"/>
        </w:trPr>
        <w:tc>
          <w:tcPr>
            <w:tcW w:w="2764" w:type="dxa"/>
            <w:tcBorders>
              <w:bottom w:val="single" w:sz="4" w:space="0" w:color="auto"/>
            </w:tcBorders>
            <w:shd w:val="clear" w:color="auto" w:fill="auto"/>
            <w:tcMar>
              <w:top w:w="0" w:type="dxa"/>
              <w:left w:w="108" w:type="dxa"/>
              <w:bottom w:w="0" w:type="dxa"/>
              <w:right w:w="108" w:type="dxa"/>
            </w:tcMar>
          </w:tcPr>
          <w:p w14:paraId="11830478" w14:textId="77777777" w:rsidR="00B77E5A" w:rsidRPr="00C77B03" w:rsidRDefault="00B77E5A" w:rsidP="00E84B6E">
            <w:pPr>
              <w:spacing w:before="0" w:line="240" w:lineRule="auto"/>
              <w:rPr>
                <w:sz w:val="20"/>
                <w:szCs w:val="20"/>
              </w:rPr>
            </w:pPr>
            <w:r w:rsidRPr="00C77B03">
              <w:rPr>
                <w:b/>
                <w:bCs/>
                <w:sz w:val="20"/>
                <w:szCs w:val="20"/>
                <w:lang w:eastAsia="zh-CN"/>
              </w:rPr>
              <w:t>Characteristic</w:t>
            </w:r>
          </w:p>
        </w:tc>
        <w:tc>
          <w:tcPr>
            <w:tcW w:w="2376" w:type="dxa"/>
            <w:tcBorders>
              <w:bottom w:val="single" w:sz="4" w:space="0" w:color="auto"/>
            </w:tcBorders>
            <w:shd w:val="clear" w:color="auto" w:fill="auto"/>
            <w:tcMar>
              <w:top w:w="0" w:type="dxa"/>
              <w:left w:w="108" w:type="dxa"/>
              <w:bottom w:w="0" w:type="dxa"/>
              <w:right w:w="108" w:type="dxa"/>
            </w:tcMar>
          </w:tcPr>
          <w:p w14:paraId="6A4F1A4D" w14:textId="77777777" w:rsidR="00B77E5A" w:rsidRPr="00C77B03" w:rsidRDefault="00B77E5A" w:rsidP="00E84B6E">
            <w:pPr>
              <w:spacing w:before="0" w:line="240" w:lineRule="auto"/>
              <w:rPr>
                <w:sz w:val="20"/>
                <w:szCs w:val="20"/>
              </w:rPr>
            </w:pPr>
            <w:r w:rsidRPr="00C77B03">
              <w:rPr>
                <w:b/>
                <w:bCs/>
                <w:sz w:val="20"/>
                <w:szCs w:val="20"/>
                <w:lang w:eastAsia="zh-CN"/>
              </w:rPr>
              <w:t xml:space="preserve">Short-hand </w:t>
            </w:r>
          </w:p>
        </w:tc>
        <w:tc>
          <w:tcPr>
            <w:tcW w:w="2657" w:type="dxa"/>
            <w:tcBorders>
              <w:bottom w:val="single" w:sz="4" w:space="0" w:color="auto"/>
            </w:tcBorders>
            <w:shd w:val="clear" w:color="auto" w:fill="auto"/>
            <w:tcMar>
              <w:top w:w="0" w:type="dxa"/>
              <w:left w:w="108" w:type="dxa"/>
              <w:bottom w:w="0" w:type="dxa"/>
              <w:right w:w="108" w:type="dxa"/>
            </w:tcMar>
          </w:tcPr>
          <w:p w14:paraId="77B0EA57" w14:textId="77777777" w:rsidR="00B77E5A" w:rsidRPr="00C77B03" w:rsidRDefault="00B77E5A" w:rsidP="00E84B6E">
            <w:pPr>
              <w:spacing w:before="0" w:line="240" w:lineRule="auto"/>
              <w:rPr>
                <w:sz w:val="20"/>
                <w:szCs w:val="20"/>
              </w:rPr>
            </w:pPr>
            <w:r w:rsidRPr="00C77B03">
              <w:rPr>
                <w:b/>
                <w:bCs/>
                <w:sz w:val="20"/>
                <w:szCs w:val="20"/>
                <w:lang w:eastAsia="zh-CN"/>
              </w:rPr>
              <w:t xml:space="preserve">Type </w:t>
            </w:r>
          </w:p>
        </w:tc>
        <w:tc>
          <w:tcPr>
            <w:tcW w:w="1980" w:type="dxa"/>
            <w:tcBorders>
              <w:bottom w:val="single" w:sz="4" w:space="0" w:color="auto"/>
            </w:tcBorders>
            <w:shd w:val="clear" w:color="auto" w:fill="auto"/>
            <w:tcMar>
              <w:top w:w="0" w:type="dxa"/>
              <w:left w:w="108" w:type="dxa"/>
              <w:bottom w:w="0" w:type="dxa"/>
              <w:right w:w="108" w:type="dxa"/>
            </w:tcMar>
          </w:tcPr>
          <w:p w14:paraId="591AFACC" w14:textId="77777777" w:rsidR="00B77E5A" w:rsidRPr="00C77B03" w:rsidRDefault="00B77E5A" w:rsidP="00E84B6E">
            <w:pPr>
              <w:spacing w:before="0" w:line="240" w:lineRule="auto"/>
              <w:rPr>
                <w:sz w:val="20"/>
                <w:szCs w:val="20"/>
              </w:rPr>
            </w:pPr>
            <w:r w:rsidRPr="00C77B03">
              <w:rPr>
                <w:b/>
                <w:bCs/>
                <w:sz w:val="20"/>
                <w:szCs w:val="20"/>
                <w:lang w:eastAsia="zh-CN"/>
              </w:rPr>
              <w:t>How essential?</w:t>
            </w:r>
          </w:p>
        </w:tc>
      </w:tr>
      <w:tr w:rsidR="00B77E5A" w:rsidRPr="00C77B03" w14:paraId="52CC9CCE" w14:textId="77777777" w:rsidTr="000B6366">
        <w:trPr>
          <w:trHeight w:val="218"/>
        </w:trPr>
        <w:tc>
          <w:tcPr>
            <w:tcW w:w="2764" w:type="dxa"/>
            <w:tcBorders>
              <w:top w:val="single" w:sz="4" w:space="0" w:color="auto"/>
            </w:tcBorders>
            <w:shd w:val="clear" w:color="auto" w:fill="F2F2F2" w:themeFill="background1" w:themeFillShade="F2"/>
            <w:tcMar>
              <w:top w:w="0" w:type="dxa"/>
              <w:left w:w="108" w:type="dxa"/>
              <w:bottom w:w="0" w:type="dxa"/>
              <w:right w:w="108" w:type="dxa"/>
            </w:tcMar>
          </w:tcPr>
          <w:p w14:paraId="55C9C038" w14:textId="77777777" w:rsidR="00B77E5A" w:rsidRPr="00C77B03" w:rsidRDefault="00B77E5A" w:rsidP="00E84B6E">
            <w:pPr>
              <w:spacing w:before="0" w:line="240" w:lineRule="auto"/>
              <w:rPr>
                <w:sz w:val="20"/>
                <w:szCs w:val="20"/>
              </w:rPr>
            </w:pPr>
            <w:r w:rsidRPr="00C77B03">
              <w:rPr>
                <w:sz w:val="20"/>
                <w:szCs w:val="20"/>
                <w:lang w:eastAsia="zh-CN"/>
              </w:rPr>
              <w:t>People choose their leaders in free elections</w:t>
            </w:r>
          </w:p>
        </w:tc>
        <w:tc>
          <w:tcPr>
            <w:tcW w:w="2376" w:type="dxa"/>
            <w:tcBorders>
              <w:top w:val="single" w:sz="4" w:space="0" w:color="auto"/>
            </w:tcBorders>
            <w:shd w:val="clear" w:color="auto" w:fill="F2F2F2" w:themeFill="background1" w:themeFillShade="F2"/>
            <w:tcMar>
              <w:top w:w="0" w:type="dxa"/>
              <w:left w:w="108" w:type="dxa"/>
              <w:bottom w:w="0" w:type="dxa"/>
              <w:right w:w="108" w:type="dxa"/>
            </w:tcMar>
          </w:tcPr>
          <w:p w14:paraId="37E010C4" w14:textId="77777777" w:rsidR="00B77E5A" w:rsidRPr="00C77B03" w:rsidRDefault="00B77E5A" w:rsidP="00E84B6E">
            <w:pPr>
              <w:spacing w:before="0" w:line="240" w:lineRule="auto"/>
              <w:rPr>
                <w:sz w:val="20"/>
                <w:szCs w:val="20"/>
              </w:rPr>
            </w:pPr>
            <w:r w:rsidRPr="00C77B03">
              <w:rPr>
                <w:sz w:val="20"/>
                <w:szCs w:val="20"/>
                <w:lang w:eastAsia="zh-CN"/>
              </w:rPr>
              <w:t>Elections</w:t>
            </w:r>
          </w:p>
        </w:tc>
        <w:tc>
          <w:tcPr>
            <w:tcW w:w="2657" w:type="dxa"/>
            <w:tcBorders>
              <w:top w:val="single" w:sz="4" w:space="0" w:color="auto"/>
            </w:tcBorders>
            <w:shd w:val="clear" w:color="auto" w:fill="F2F2F2" w:themeFill="background1" w:themeFillShade="F2"/>
            <w:tcMar>
              <w:top w:w="0" w:type="dxa"/>
              <w:left w:w="108" w:type="dxa"/>
              <w:bottom w:w="0" w:type="dxa"/>
              <w:right w:w="108" w:type="dxa"/>
            </w:tcMar>
          </w:tcPr>
          <w:p w14:paraId="29F002AD" w14:textId="77777777" w:rsidR="00B77E5A" w:rsidRPr="00C77B03" w:rsidRDefault="00B77E5A" w:rsidP="00E84B6E">
            <w:pPr>
              <w:spacing w:before="0" w:line="240" w:lineRule="auto"/>
              <w:rPr>
                <w:sz w:val="20"/>
                <w:szCs w:val="20"/>
              </w:rPr>
            </w:pPr>
            <w:r w:rsidRPr="00C77B03">
              <w:rPr>
                <w:sz w:val="20"/>
                <w:szCs w:val="20"/>
                <w:lang w:eastAsia="zh-CN"/>
              </w:rPr>
              <w:t>Procedural</w:t>
            </w:r>
          </w:p>
        </w:tc>
        <w:tc>
          <w:tcPr>
            <w:tcW w:w="1980" w:type="dxa"/>
            <w:tcBorders>
              <w:top w:val="single" w:sz="4" w:space="0" w:color="auto"/>
            </w:tcBorders>
            <w:shd w:val="clear" w:color="auto" w:fill="F2F2F2" w:themeFill="background1" w:themeFillShade="F2"/>
            <w:tcMar>
              <w:top w:w="0" w:type="dxa"/>
              <w:left w:w="108" w:type="dxa"/>
              <w:bottom w:w="0" w:type="dxa"/>
              <w:right w:w="108" w:type="dxa"/>
            </w:tcMar>
          </w:tcPr>
          <w:p w14:paraId="77A367A8" w14:textId="77777777" w:rsidR="00B77E5A" w:rsidRPr="00C77B03" w:rsidRDefault="00B77E5A" w:rsidP="00E84B6E">
            <w:pPr>
              <w:spacing w:before="0" w:line="240" w:lineRule="auto"/>
              <w:rPr>
                <w:sz w:val="20"/>
                <w:szCs w:val="20"/>
              </w:rPr>
            </w:pPr>
            <w:r w:rsidRPr="00C77B03">
              <w:rPr>
                <w:sz w:val="20"/>
                <w:szCs w:val="20"/>
                <w:lang w:eastAsia="zh-CN"/>
              </w:rPr>
              <w:t>Essential</w:t>
            </w:r>
          </w:p>
        </w:tc>
      </w:tr>
      <w:tr w:rsidR="00B77E5A" w:rsidRPr="00C77B03" w14:paraId="39B9C5B7" w14:textId="77777777" w:rsidTr="000B6366">
        <w:trPr>
          <w:trHeight w:val="218"/>
        </w:trPr>
        <w:tc>
          <w:tcPr>
            <w:tcW w:w="2764" w:type="dxa"/>
            <w:shd w:val="clear" w:color="auto" w:fill="F2F2F2" w:themeFill="background1" w:themeFillShade="F2"/>
            <w:tcMar>
              <w:top w:w="0" w:type="dxa"/>
              <w:left w:w="108" w:type="dxa"/>
              <w:bottom w:w="0" w:type="dxa"/>
              <w:right w:w="108" w:type="dxa"/>
            </w:tcMar>
          </w:tcPr>
          <w:p w14:paraId="0EA85F95" w14:textId="77777777" w:rsidR="00B77E5A" w:rsidRPr="00C77B03" w:rsidRDefault="00B77E5A" w:rsidP="00E84B6E">
            <w:pPr>
              <w:spacing w:before="0" w:line="240" w:lineRule="auto"/>
              <w:rPr>
                <w:sz w:val="20"/>
                <w:szCs w:val="20"/>
              </w:rPr>
            </w:pPr>
            <w:r w:rsidRPr="00C77B03">
              <w:rPr>
                <w:sz w:val="20"/>
                <w:szCs w:val="20"/>
                <w:lang w:eastAsia="zh-CN"/>
              </w:rPr>
              <w:t>People can change the laws in referendums</w:t>
            </w:r>
          </w:p>
        </w:tc>
        <w:tc>
          <w:tcPr>
            <w:tcW w:w="2376" w:type="dxa"/>
            <w:shd w:val="clear" w:color="auto" w:fill="F2F2F2" w:themeFill="background1" w:themeFillShade="F2"/>
            <w:tcMar>
              <w:top w:w="0" w:type="dxa"/>
              <w:left w:w="108" w:type="dxa"/>
              <w:bottom w:w="0" w:type="dxa"/>
              <w:right w:w="108" w:type="dxa"/>
            </w:tcMar>
          </w:tcPr>
          <w:p w14:paraId="6C679B50" w14:textId="77777777" w:rsidR="00B77E5A" w:rsidRPr="00C77B03" w:rsidRDefault="00B77E5A" w:rsidP="00E84B6E">
            <w:pPr>
              <w:spacing w:before="0" w:line="240" w:lineRule="auto"/>
              <w:rPr>
                <w:sz w:val="20"/>
                <w:szCs w:val="20"/>
              </w:rPr>
            </w:pPr>
            <w:r w:rsidRPr="00C77B03">
              <w:rPr>
                <w:sz w:val="20"/>
                <w:szCs w:val="20"/>
                <w:lang w:eastAsia="zh-CN"/>
              </w:rPr>
              <w:t>Referendum</w:t>
            </w:r>
          </w:p>
        </w:tc>
        <w:tc>
          <w:tcPr>
            <w:tcW w:w="2657" w:type="dxa"/>
            <w:shd w:val="clear" w:color="auto" w:fill="F2F2F2" w:themeFill="background1" w:themeFillShade="F2"/>
            <w:tcMar>
              <w:top w:w="0" w:type="dxa"/>
              <w:left w:w="108" w:type="dxa"/>
              <w:bottom w:w="0" w:type="dxa"/>
              <w:right w:w="108" w:type="dxa"/>
            </w:tcMar>
          </w:tcPr>
          <w:p w14:paraId="5DBE3124" w14:textId="77777777" w:rsidR="00B77E5A" w:rsidRPr="00C77B03" w:rsidRDefault="00B77E5A" w:rsidP="00E84B6E">
            <w:pPr>
              <w:spacing w:before="0" w:line="240" w:lineRule="auto"/>
              <w:rPr>
                <w:sz w:val="20"/>
                <w:szCs w:val="20"/>
              </w:rPr>
            </w:pPr>
            <w:r w:rsidRPr="00C77B03">
              <w:rPr>
                <w:sz w:val="20"/>
                <w:szCs w:val="20"/>
                <w:lang w:eastAsia="zh-CN"/>
              </w:rPr>
              <w:t>Procedural</w:t>
            </w:r>
          </w:p>
        </w:tc>
        <w:tc>
          <w:tcPr>
            <w:tcW w:w="1980" w:type="dxa"/>
            <w:shd w:val="clear" w:color="auto" w:fill="F2F2F2" w:themeFill="background1" w:themeFillShade="F2"/>
            <w:tcMar>
              <w:top w:w="0" w:type="dxa"/>
              <w:left w:w="108" w:type="dxa"/>
              <w:bottom w:w="0" w:type="dxa"/>
              <w:right w:w="108" w:type="dxa"/>
            </w:tcMar>
          </w:tcPr>
          <w:p w14:paraId="64700D44" w14:textId="77777777" w:rsidR="00B77E5A" w:rsidRPr="00C77B03" w:rsidRDefault="00B77E5A" w:rsidP="00E84B6E">
            <w:pPr>
              <w:spacing w:before="0" w:line="240" w:lineRule="auto"/>
              <w:rPr>
                <w:sz w:val="20"/>
                <w:szCs w:val="20"/>
              </w:rPr>
            </w:pPr>
            <w:r w:rsidRPr="00C77B03">
              <w:rPr>
                <w:sz w:val="20"/>
                <w:szCs w:val="20"/>
                <w:lang w:eastAsia="zh-CN"/>
              </w:rPr>
              <w:t>Essential</w:t>
            </w:r>
          </w:p>
        </w:tc>
      </w:tr>
      <w:tr w:rsidR="00B77E5A" w:rsidRPr="00C77B03" w14:paraId="20FFA4FA" w14:textId="77777777" w:rsidTr="000B6366">
        <w:trPr>
          <w:trHeight w:val="218"/>
        </w:trPr>
        <w:tc>
          <w:tcPr>
            <w:tcW w:w="2764" w:type="dxa"/>
            <w:shd w:val="clear" w:color="auto" w:fill="F2F2F2" w:themeFill="background1" w:themeFillShade="F2"/>
            <w:tcMar>
              <w:top w:w="0" w:type="dxa"/>
              <w:left w:w="108" w:type="dxa"/>
              <w:bottom w:w="0" w:type="dxa"/>
              <w:right w:w="108" w:type="dxa"/>
            </w:tcMar>
          </w:tcPr>
          <w:p w14:paraId="26E2D96B" w14:textId="77777777" w:rsidR="00B77E5A" w:rsidRPr="00C77B03" w:rsidRDefault="00B77E5A" w:rsidP="00E84B6E">
            <w:pPr>
              <w:spacing w:before="0" w:line="240" w:lineRule="auto"/>
              <w:rPr>
                <w:sz w:val="20"/>
                <w:szCs w:val="20"/>
              </w:rPr>
            </w:pPr>
            <w:r w:rsidRPr="00C77B03">
              <w:rPr>
                <w:sz w:val="20"/>
                <w:szCs w:val="20"/>
                <w:lang w:eastAsia="zh-CN"/>
              </w:rPr>
              <w:t>Civil rights protect people’s liberty against oppression</w:t>
            </w:r>
          </w:p>
        </w:tc>
        <w:tc>
          <w:tcPr>
            <w:tcW w:w="2376" w:type="dxa"/>
            <w:shd w:val="clear" w:color="auto" w:fill="F2F2F2" w:themeFill="background1" w:themeFillShade="F2"/>
            <w:tcMar>
              <w:top w:w="0" w:type="dxa"/>
              <w:left w:w="108" w:type="dxa"/>
              <w:bottom w:w="0" w:type="dxa"/>
              <w:right w:w="108" w:type="dxa"/>
            </w:tcMar>
          </w:tcPr>
          <w:p w14:paraId="67BBB2D6" w14:textId="77777777" w:rsidR="00B77E5A" w:rsidRPr="00C77B03" w:rsidRDefault="00B77E5A" w:rsidP="00E84B6E">
            <w:pPr>
              <w:spacing w:before="0" w:line="240" w:lineRule="auto"/>
              <w:rPr>
                <w:sz w:val="20"/>
                <w:szCs w:val="20"/>
              </w:rPr>
            </w:pPr>
            <w:r w:rsidRPr="00C77B03">
              <w:rPr>
                <w:sz w:val="20"/>
                <w:szCs w:val="20"/>
                <w:lang w:eastAsia="zh-CN"/>
              </w:rPr>
              <w:t>Civil rights</w:t>
            </w:r>
          </w:p>
        </w:tc>
        <w:tc>
          <w:tcPr>
            <w:tcW w:w="2657" w:type="dxa"/>
            <w:shd w:val="clear" w:color="auto" w:fill="F2F2F2" w:themeFill="background1" w:themeFillShade="F2"/>
            <w:tcMar>
              <w:top w:w="0" w:type="dxa"/>
              <w:left w:w="108" w:type="dxa"/>
              <w:bottom w:w="0" w:type="dxa"/>
              <w:right w:w="108" w:type="dxa"/>
            </w:tcMar>
          </w:tcPr>
          <w:p w14:paraId="26C8BB32" w14:textId="77777777" w:rsidR="00B77E5A" w:rsidRPr="00C77B03" w:rsidRDefault="00B77E5A" w:rsidP="00E84B6E">
            <w:pPr>
              <w:spacing w:before="0" w:line="240" w:lineRule="auto"/>
              <w:rPr>
                <w:sz w:val="20"/>
                <w:szCs w:val="20"/>
              </w:rPr>
            </w:pPr>
            <w:r w:rsidRPr="00C77B03">
              <w:rPr>
                <w:sz w:val="20"/>
                <w:szCs w:val="20"/>
                <w:lang w:eastAsia="zh-CN"/>
              </w:rPr>
              <w:t>Procedural</w:t>
            </w:r>
          </w:p>
        </w:tc>
        <w:tc>
          <w:tcPr>
            <w:tcW w:w="1980" w:type="dxa"/>
            <w:shd w:val="clear" w:color="auto" w:fill="F2F2F2" w:themeFill="background1" w:themeFillShade="F2"/>
            <w:tcMar>
              <w:top w:w="0" w:type="dxa"/>
              <w:left w:w="108" w:type="dxa"/>
              <w:bottom w:w="0" w:type="dxa"/>
              <w:right w:w="108" w:type="dxa"/>
            </w:tcMar>
          </w:tcPr>
          <w:p w14:paraId="7DC245E0" w14:textId="77777777" w:rsidR="00B77E5A" w:rsidRPr="00C77B03" w:rsidRDefault="00B77E5A" w:rsidP="00E84B6E">
            <w:pPr>
              <w:spacing w:before="0" w:line="240" w:lineRule="auto"/>
              <w:rPr>
                <w:sz w:val="20"/>
                <w:szCs w:val="20"/>
              </w:rPr>
            </w:pPr>
            <w:r w:rsidRPr="00C77B03">
              <w:rPr>
                <w:sz w:val="20"/>
                <w:szCs w:val="20"/>
                <w:lang w:eastAsia="zh-CN"/>
              </w:rPr>
              <w:t>Essential</w:t>
            </w:r>
          </w:p>
        </w:tc>
      </w:tr>
      <w:tr w:rsidR="00B77E5A" w:rsidRPr="00C77B03" w14:paraId="4D6E3C57" w14:textId="77777777" w:rsidTr="000B6366">
        <w:trPr>
          <w:trHeight w:val="218"/>
        </w:trPr>
        <w:tc>
          <w:tcPr>
            <w:tcW w:w="2764" w:type="dxa"/>
            <w:shd w:val="clear" w:color="auto" w:fill="F2F2F2" w:themeFill="background1" w:themeFillShade="F2"/>
            <w:tcMar>
              <w:top w:w="0" w:type="dxa"/>
              <w:left w:w="108" w:type="dxa"/>
              <w:bottom w:w="0" w:type="dxa"/>
              <w:right w:w="108" w:type="dxa"/>
            </w:tcMar>
          </w:tcPr>
          <w:p w14:paraId="0A68D561" w14:textId="77777777" w:rsidR="00B77E5A" w:rsidRPr="00C77B03" w:rsidRDefault="00B77E5A" w:rsidP="00E84B6E">
            <w:pPr>
              <w:spacing w:before="0" w:line="240" w:lineRule="auto"/>
              <w:rPr>
                <w:sz w:val="20"/>
                <w:szCs w:val="20"/>
              </w:rPr>
            </w:pPr>
            <w:r w:rsidRPr="00C77B03">
              <w:rPr>
                <w:sz w:val="20"/>
                <w:szCs w:val="20"/>
                <w:lang w:eastAsia="zh-CN"/>
              </w:rPr>
              <w:t>Women have the same rights as men</w:t>
            </w:r>
          </w:p>
        </w:tc>
        <w:tc>
          <w:tcPr>
            <w:tcW w:w="2376" w:type="dxa"/>
            <w:shd w:val="clear" w:color="auto" w:fill="F2F2F2" w:themeFill="background1" w:themeFillShade="F2"/>
            <w:tcMar>
              <w:top w:w="0" w:type="dxa"/>
              <w:left w:w="108" w:type="dxa"/>
              <w:bottom w:w="0" w:type="dxa"/>
              <w:right w:w="108" w:type="dxa"/>
            </w:tcMar>
          </w:tcPr>
          <w:p w14:paraId="72CE9372" w14:textId="77777777" w:rsidR="00B77E5A" w:rsidRPr="00C77B03" w:rsidRDefault="00B77E5A" w:rsidP="00E84B6E">
            <w:pPr>
              <w:spacing w:before="0" w:line="240" w:lineRule="auto"/>
              <w:rPr>
                <w:sz w:val="20"/>
                <w:szCs w:val="20"/>
              </w:rPr>
            </w:pPr>
            <w:r w:rsidRPr="00C77B03">
              <w:rPr>
                <w:sz w:val="20"/>
                <w:szCs w:val="20"/>
                <w:lang w:eastAsia="zh-CN"/>
              </w:rPr>
              <w:t>Equal gender rights</w:t>
            </w:r>
          </w:p>
        </w:tc>
        <w:tc>
          <w:tcPr>
            <w:tcW w:w="2657" w:type="dxa"/>
            <w:shd w:val="clear" w:color="auto" w:fill="F2F2F2" w:themeFill="background1" w:themeFillShade="F2"/>
            <w:tcMar>
              <w:top w:w="0" w:type="dxa"/>
              <w:left w:w="108" w:type="dxa"/>
              <w:bottom w:w="0" w:type="dxa"/>
              <w:right w:w="108" w:type="dxa"/>
            </w:tcMar>
          </w:tcPr>
          <w:p w14:paraId="79FB78DE" w14:textId="77777777" w:rsidR="00B77E5A" w:rsidRPr="00C77B03" w:rsidRDefault="00B77E5A" w:rsidP="00E84B6E">
            <w:pPr>
              <w:spacing w:before="0" w:line="240" w:lineRule="auto"/>
              <w:rPr>
                <w:sz w:val="20"/>
                <w:szCs w:val="20"/>
              </w:rPr>
            </w:pPr>
            <w:r w:rsidRPr="00C77B03">
              <w:rPr>
                <w:sz w:val="20"/>
                <w:szCs w:val="20"/>
                <w:lang w:eastAsia="zh-CN"/>
              </w:rPr>
              <w:t>Procedural</w:t>
            </w:r>
          </w:p>
        </w:tc>
        <w:tc>
          <w:tcPr>
            <w:tcW w:w="1980" w:type="dxa"/>
            <w:shd w:val="clear" w:color="auto" w:fill="F2F2F2" w:themeFill="background1" w:themeFillShade="F2"/>
            <w:tcMar>
              <w:top w:w="0" w:type="dxa"/>
              <w:left w:w="108" w:type="dxa"/>
              <w:bottom w:w="0" w:type="dxa"/>
              <w:right w:w="108" w:type="dxa"/>
            </w:tcMar>
          </w:tcPr>
          <w:p w14:paraId="3F58D19D" w14:textId="77777777" w:rsidR="00B77E5A" w:rsidRPr="00C77B03" w:rsidRDefault="00B77E5A" w:rsidP="00E84B6E">
            <w:pPr>
              <w:spacing w:before="0" w:line="240" w:lineRule="auto"/>
              <w:rPr>
                <w:sz w:val="20"/>
                <w:szCs w:val="20"/>
              </w:rPr>
            </w:pPr>
            <w:r w:rsidRPr="00C77B03">
              <w:rPr>
                <w:sz w:val="20"/>
                <w:szCs w:val="20"/>
                <w:lang w:eastAsia="zh-CN"/>
              </w:rPr>
              <w:t>Essential</w:t>
            </w:r>
          </w:p>
        </w:tc>
      </w:tr>
      <w:tr w:rsidR="00B77E5A" w:rsidRPr="00C77B03" w14:paraId="2E716546" w14:textId="77777777" w:rsidTr="000B6366">
        <w:trPr>
          <w:trHeight w:val="218"/>
        </w:trPr>
        <w:tc>
          <w:tcPr>
            <w:tcW w:w="2764" w:type="dxa"/>
            <w:shd w:val="clear" w:color="auto" w:fill="auto"/>
            <w:tcMar>
              <w:top w:w="0" w:type="dxa"/>
              <w:left w:w="108" w:type="dxa"/>
              <w:bottom w:w="0" w:type="dxa"/>
              <w:right w:w="108" w:type="dxa"/>
            </w:tcMar>
          </w:tcPr>
          <w:p w14:paraId="190DBA50" w14:textId="77777777" w:rsidR="00B77E5A" w:rsidRPr="00C77B03" w:rsidRDefault="00B77E5A" w:rsidP="00E84B6E">
            <w:pPr>
              <w:spacing w:before="0" w:line="240" w:lineRule="auto"/>
              <w:rPr>
                <w:sz w:val="20"/>
                <w:szCs w:val="20"/>
              </w:rPr>
            </w:pPr>
            <w:r w:rsidRPr="00C77B03">
              <w:rPr>
                <w:sz w:val="20"/>
                <w:szCs w:val="20"/>
                <w:lang w:eastAsia="zh-CN"/>
              </w:rPr>
              <w:t>Governments tax the rich and subsidize the poor</w:t>
            </w:r>
          </w:p>
        </w:tc>
        <w:tc>
          <w:tcPr>
            <w:tcW w:w="2376" w:type="dxa"/>
            <w:shd w:val="clear" w:color="auto" w:fill="auto"/>
            <w:tcMar>
              <w:top w:w="0" w:type="dxa"/>
              <w:left w:w="108" w:type="dxa"/>
              <w:bottom w:w="0" w:type="dxa"/>
              <w:right w:w="108" w:type="dxa"/>
            </w:tcMar>
          </w:tcPr>
          <w:p w14:paraId="3EB14756" w14:textId="77777777" w:rsidR="00B77E5A" w:rsidRPr="00C77B03" w:rsidRDefault="00B77E5A" w:rsidP="00E84B6E">
            <w:pPr>
              <w:spacing w:before="0" w:line="240" w:lineRule="auto"/>
              <w:rPr>
                <w:sz w:val="20"/>
                <w:szCs w:val="20"/>
              </w:rPr>
            </w:pPr>
            <w:r w:rsidRPr="00C77B03">
              <w:rPr>
                <w:sz w:val="20"/>
                <w:szCs w:val="20"/>
                <w:lang w:eastAsia="zh-CN"/>
              </w:rPr>
              <w:t>Tax</w:t>
            </w:r>
          </w:p>
        </w:tc>
        <w:tc>
          <w:tcPr>
            <w:tcW w:w="2657" w:type="dxa"/>
            <w:shd w:val="clear" w:color="auto" w:fill="auto"/>
            <w:tcMar>
              <w:top w:w="0" w:type="dxa"/>
              <w:left w:w="108" w:type="dxa"/>
              <w:bottom w:w="0" w:type="dxa"/>
              <w:right w:w="108" w:type="dxa"/>
            </w:tcMar>
          </w:tcPr>
          <w:p w14:paraId="320A7187" w14:textId="77777777" w:rsidR="00B77E5A" w:rsidRPr="00C77B03" w:rsidRDefault="00B77E5A" w:rsidP="00E84B6E">
            <w:pPr>
              <w:spacing w:before="0" w:line="240" w:lineRule="auto"/>
              <w:rPr>
                <w:sz w:val="20"/>
                <w:szCs w:val="20"/>
              </w:rPr>
            </w:pPr>
            <w:r w:rsidRPr="00C77B03">
              <w:rPr>
                <w:sz w:val="20"/>
                <w:szCs w:val="20"/>
                <w:lang w:eastAsia="zh-CN"/>
              </w:rPr>
              <w:t>Instrumental/Social</w:t>
            </w:r>
          </w:p>
        </w:tc>
        <w:tc>
          <w:tcPr>
            <w:tcW w:w="1980" w:type="dxa"/>
            <w:shd w:val="clear" w:color="auto" w:fill="auto"/>
            <w:tcMar>
              <w:top w:w="0" w:type="dxa"/>
              <w:left w:w="108" w:type="dxa"/>
              <w:bottom w:w="0" w:type="dxa"/>
              <w:right w:w="108" w:type="dxa"/>
            </w:tcMar>
          </w:tcPr>
          <w:p w14:paraId="55B2263A" w14:textId="77777777" w:rsidR="00B77E5A" w:rsidRPr="00C77B03" w:rsidRDefault="00B77E5A" w:rsidP="00E84B6E">
            <w:pPr>
              <w:spacing w:before="0" w:line="240" w:lineRule="auto"/>
              <w:rPr>
                <w:sz w:val="20"/>
                <w:szCs w:val="20"/>
              </w:rPr>
            </w:pPr>
            <w:r w:rsidRPr="00C77B03">
              <w:rPr>
                <w:sz w:val="20"/>
                <w:szCs w:val="20"/>
                <w:lang w:eastAsia="zh-CN"/>
              </w:rPr>
              <w:t>Debatable</w:t>
            </w:r>
          </w:p>
        </w:tc>
      </w:tr>
      <w:tr w:rsidR="00B77E5A" w:rsidRPr="00C77B03" w14:paraId="5AE06025" w14:textId="77777777" w:rsidTr="000B6366">
        <w:trPr>
          <w:trHeight w:val="218"/>
        </w:trPr>
        <w:tc>
          <w:tcPr>
            <w:tcW w:w="2764" w:type="dxa"/>
            <w:shd w:val="clear" w:color="auto" w:fill="auto"/>
            <w:tcMar>
              <w:top w:w="0" w:type="dxa"/>
              <w:left w:w="108" w:type="dxa"/>
              <w:bottom w:w="0" w:type="dxa"/>
              <w:right w:w="108" w:type="dxa"/>
            </w:tcMar>
          </w:tcPr>
          <w:p w14:paraId="4F46FEFA" w14:textId="77777777" w:rsidR="00B77E5A" w:rsidRPr="00C77B03" w:rsidRDefault="00B77E5A" w:rsidP="00E84B6E">
            <w:pPr>
              <w:spacing w:before="0" w:line="240" w:lineRule="auto"/>
              <w:rPr>
                <w:sz w:val="20"/>
                <w:szCs w:val="20"/>
              </w:rPr>
            </w:pPr>
            <w:r w:rsidRPr="00C77B03">
              <w:rPr>
                <w:sz w:val="20"/>
                <w:szCs w:val="20"/>
                <w:lang w:eastAsia="zh-CN"/>
              </w:rPr>
              <w:t>People received state aid for unemployment</w:t>
            </w:r>
          </w:p>
        </w:tc>
        <w:tc>
          <w:tcPr>
            <w:tcW w:w="2376" w:type="dxa"/>
            <w:shd w:val="clear" w:color="auto" w:fill="auto"/>
            <w:tcMar>
              <w:top w:w="0" w:type="dxa"/>
              <w:left w:w="108" w:type="dxa"/>
              <w:bottom w:w="0" w:type="dxa"/>
              <w:right w:w="108" w:type="dxa"/>
            </w:tcMar>
          </w:tcPr>
          <w:p w14:paraId="71B0A0C6" w14:textId="77777777" w:rsidR="00B77E5A" w:rsidRPr="00C77B03" w:rsidRDefault="00B77E5A" w:rsidP="00E84B6E">
            <w:pPr>
              <w:spacing w:before="0" w:line="240" w:lineRule="auto"/>
              <w:rPr>
                <w:sz w:val="20"/>
                <w:szCs w:val="20"/>
              </w:rPr>
            </w:pPr>
            <w:r w:rsidRPr="00C77B03">
              <w:rPr>
                <w:sz w:val="20"/>
                <w:szCs w:val="20"/>
                <w:lang w:eastAsia="zh-CN"/>
              </w:rPr>
              <w:t>Unemployment aid</w:t>
            </w:r>
          </w:p>
        </w:tc>
        <w:tc>
          <w:tcPr>
            <w:tcW w:w="2657" w:type="dxa"/>
            <w:shd w:val="clear" w:color="auto" w:fill="auto"/>
            <w:tcMar>
              <w:top w:w="0" w:type="dxa"/>
              <w:left w:w="108" w:type="dxa"/>
              <w:bottom w:w="0" w:type="dxa"/>
              <w:right w:w="108" w:type="dxa"/>
            </w:tcMar>
          </w:tcPr>
          <w:p w14:paraId="2014B19C" w14:textId="77777777" w:rsidR="00B77E5A" w:rsidRPr="00C77B03" w:rsidRDefault="00B77E5A" w:rsidP="00E84B6E">
            <w:pPr>
              <w:spacing w:before="0" w:line="240" w:lineRule="auto"/>
              <w:rPr>
                <w:sz w:val="20"/>
                <w:szCs w:val="20"/>
              </w:rPr>
            </w:pPr>
            <w:r w:rsidRPr="00C77B03">
              <w:rPr>
                <w:sz w:val="20"/>
                <w:szCs w:val="20"/>
                <w:lang w:eastAsia="zh-CN"/>
              </w:rPr>
              <w:t>Instrumental/Social</w:t>
            </w:r>
          </w:p>
        </w:tc>
        <w:tc>
          <w:tcPr>
            <w:tcW w:w="1980" w:type="dxa"/>
            <w:shd w:val="clear" w:color="auto" w:fill="auto"/>
            <w:tcMar>
              <w:top w:w="0" w:type="dxa"/>
              <w:left w:w="108" w:type="dxa"/>
              <w:bottom w:w="0" w:type="dxa"/>
              <w:right w:w="108" w:type="dxa"/>
            </w:tcMar>
          </w:tcPr>
          <w:p w14:paraId="54EE73E1" w14:textId="77777777" w:rsidR="00B77E5A" w:rsidRPr="00C77B03" w:rsidRDefault="00B77E5A" w:rsidP="00E84B6E">
            <w:pPr>
              <w:spacing w:before="0" w:line="240" w:lineRule="auto"/>
              <w:rPr>
                <w:sz w:val="20"/>
                <w:szCs w:val="20"/>
              </w:rPr>
            </w:pPr>
            <w:r w:rsidRPr="00C77B03">
              <w:rPr>
                <w:sz w:val="20"/>
                <w:szCs w:val="20"/>
                <w:lang w:eastAsia="zh-CN"/>
              </w:rPr>
              <w:t>Debatable</w:t>
            </w:r>
          </w:p>
        </w:tc>
      </w:tr>
      <w:tr w:rsidR="007D7E69" w:rsidRPr="00C77B03" w14:paraId="7597DF59" w14:textId="77777777" w:rsidTr="000B6366">
        <w:trPr>
          <w:trHeight w:val="218"/>
        </w:trPr>
        <w:tc>
          <w:tcPr>
            <w:tcW w:w="2764" w:type="dxa"/>
            <w:shd w:val="clear" w:color="auto" w:fill="F2F2F2" w:themeFill="background1" w:themeFillShade="F2"/>
            <w:tcMar>
              <w:top w:w="0" w:type="dxa"/>
              <w:left w:w="108" w:type="dxa"/>
              <w:bottom w:w="0" w:type="dxa"/>
              <w:right w:w="108" w:type="dxa"/>
            </w:tcMar>
          </w:tcPr>
          <w:p w14:paraId="6CD54A60" w14:textId="77777777" w:rsidR="007D7E69" w:rsidRPr="00C77B03" w:rsidRDefault="007D7E69" w:rsidP="007D7E69">
            <w:pPr>
              <w:spacing w:before="0" w:line="240" w:lineRule="auto"/>
              <w:rPr>
                <w:sz w:val="20"/>
                <w:szCs w:val="20"/>
              </w:rPr>
            </w:pPr>
            <w:r w:rsidRPr="00C77B03">
              <w:rPr>
                <w:sz w:val="20"/>
                <w:szCs w:val="20"/>
                <w:lang w:eastAsia="zh-CN"/>
              </w:rPr>
              <w:t>The economy is prospering</w:t>
            </w:r>
          </w:p>
        </w:tc>
        <w:tc>
          <w:tcPr>
            <w:tcW w:w="2376" w:type="dxa"/>
            <w:shd w:val="clear" w:color="auto" w:fill="F2F2F2" w:themeFill="background1" w:themeFillShade="F2"/>
            <w:tcMar>
              <w:top w:w="0" w:type="dxa"/>
              <w:left w:w="108" w:type="dxa"/>
              <w:bottom w:w="0" w:type="dxa"/>
              <w:right w:w="108" w:type="dxa"/>
            </w:tcMar>
          </w:tcPr>
          <w:p w14:paraId="4D932409" w14:textId="77777777" w:rsidR="007D7E69" w:rsidRPr="00C77B03" w:rsidRDefault="007D7E69" w:rsidP="007D7E69">
            <w:pPr>
              <w:spacing w:before="0" w:line="240" w:lineRule="auto"/>
              <w:rPr>
                <w:sz w:val="20"/>
                <w:szCs w:val="20"/>
              </w:rPr>
            </w:pPr>
            <w:r w:rsidRPr="00C77B03">
              <w:rPr>
                <w:sz w:val="20"/>
                <w:szCs w:val="20"/>
                <w:lang w:eastAsia="zh-CN"/>
              </w:rPr>
              <w:t>Economy</w:t>
            </w:r>
          </w:p>
        </w:tc>
        <w:tc>
          <w:tcPr>
            <w:tcW w:w="2657" w:type="dxa"/>
            <w:shd w:val="clear" w:color="auto" w:fill="F2F2F2" w:themeFill="background1" w:themeFillShade="F2"/>
            <w:tcMar>
              <w:top w:w="0" w:type="dxa"/>
              <w:left w:w="108" w:type="dxa"/>
              <w:bottom w:w="0" w:type="dxa"/>
              <w:right w:w="108" w:type="dxa"/>
            </w:tcMar>
          </w:tcPr>
          <w:p w14:paraId="20DA3B1F" w14:textId="77777777" w:rsidR="007D7E69" w:rsidRPr="00C77B03" w:rsidRDefault="007D7E69" w:rsidP="007D7E69">
            <w:pPr>
              <w:spacing w:before="0" w:line="240" w:lineRule="auto"/>
              <w:rPr>
                <w:sz w:val="20"/>
                <w:szCs w:val="20"/>
              </w:rPr>
            </w:pPr>
            <w:r w:rsidRPr="00C77B03">
              <w:rPr>
                <w:sz w:val="20"/>
                <w:szCs w:val="20"/>
                <w:lang w:eastAsia="zh-CN"/>
              </w:rPr>
              <w:t>Instrumental/Populist</w:t>
            </w:r>
          </w:p>
        </w:tc>
        <w:tc>
          <w:tcPr>
            <w:tcW w:w="1980" w:type="dxa"/>
            <w:shd w:val="clear" w:color="auto" w:fill="F2F2F2" w:themeFill="background1" w:themeFillShade="F2"/>
            <w:tcMar>
              <w:top w:w="0" w:type="dxa"/>
              <w:left w:w="108" w:type="dxa"/>
              <w:bottom w:w="0" w:type="dxa"/>
              <w:right w:w="108" w:type="dxa"/>
            </w:tcMar>
          </w:tcPr>
          <w:p w14:paraId="6F1AE389" w14:textId="2BB94B19" w:rsidR="007D7E69" w:rsidRPr="00C77B03" w:rsidRDefault="007D7E69" w:rsidP="007D7E69">
            <w:pPr>
              <w:spacing w:before="0" w:line="240" w:lineRule="auto"/>
              <w:rPr>
                <w:sz w:val="20"/>
                <w:szCs w:val="20"/>
              </w:rPr>
            </w:pPr>
            <w:r w:rsidRPr="00C77B03">
              <w:rPr>
                <w:sz w:val="20"/>
                <w:szCs w:val="20"/>
                <w:lang w:eastAsia="zh-CN"/>
              </w:rPr>
              <w:t>Debatable</w:t>
            </w:r>
          </w:p>
        </w:tc>
      </w:tr>
      <w:tr w:rsidR="007D7E69" w:rsidRPr="00C77B03" w14:paraId="11EABA95" w14:textId="77777777" w:rsidTr="000B6366">
        <w:trPr>
          <w:trHeight w:val="218"/>
        </w:trPr>
        <w:tc>
          <w:tcPr>
            <w:tcW w:w="2764" w:type="dxa"/>
            <w:shd w:val="clear" w:color="auto" w:fill="F2F2F2" w:themeFill="background1" w:themeFillShade="F2"/>
            <w:tcMar>
              <w:top w:w="0" w:type="dxa"/>
              <w:left w:w="108" w:type="dxa"/>
              <w:bottom w:w="0" w:type="dxa"/>
              <w:right w:w="108" w:type="dxa"/>
            </w:tcMar>
          </w:tcPr>
          <w:p w14:paraId="5E605EC7" w14:textId="77777777" w:rsidR="007D7E69" w:rsidRPr="00C77B03" w:rsidRDefault="007D7E69" w:rsidP="007D7E69">
            <w:pPr>
              <w:spacing w:before="0" w:line="240" w:lineRule="auto"/>
              <w:rPr>
                <w:sz w:val="20"/>
                <w:szCs w:val="20"/>
              </w:rPr>
            </w:pPr>
            <w:r w:rsidRPr="00C77B03">
              <w:rPr>
                <w:sz w:val="20"/>
                <w:szCs w:val="20"/>
                <w:lang w:eastAsia="zh-CN"/>
              </w:rPr>
              <w:t>Criminals are severely punished</w:t>
            </w:r>
          </w:p>
        </w:tc>
        <w:tc>
          <w:tcPr>
            <w:tcW w:w="2376" w:type="dxa"/>
            <w:shd w:val="clear" w:color="auto" w:fill="F2F2F2" w:themeFill="background1" w:themeFillShade="F2"/>
            <w:tcMar>
              <w:top w:w="0" w:type="dxa"/>
              <w:left w:w="108" w:type="dxa"/>
              <w:bottom w:w="0" w:type="dxa"/>
              <w:right w:w="108" w:type="dxa"/>
            </w:tcMar>
          </w:tcPr>
          <w:p w14:paraId="3220E577" w14:textId="77777777" w:rsidR="007D7E69" w:rsidRPr="00C77B03" w:rsidRDefault="007D7E69" w:rsidP="007D7E69">
            <w:pPr>
              <w:spacing w:before="0" w:line="240" w:lineRule="auto"/>
              <w:rPr>
                <w:sz w:val="20"/>
                <w:szCs w:val="20"/>
              </w:rPr>
            </w:pPr>
            <w:r w:rsidRPr="00C77B03">
              <w:rPr>
                <w:sz w:val="20"/>
                <w:szCs w:val="20"/>
                <w:lang w:eastAsia="zh-CN"/>
              </w:rPr>
              <w:t>Punishment</w:t>
            </w:r>
          </w:p>
        </w:tc>
        <w:tc>
          <w:tcPr>
            <w:tcW w:w="2657" w:type="dxa"/>
            <w:shd w:val="clear" w:color="auto" w:fill="F2F2F2" w:themeFill="background1" w:themeFillShade="F2"/>
            <w:tcMar>
              <w:top w:w="0" w:type="dxa"/>
              <w:left w:w="108" w:type="dxa"/>
              <w:bottom w:w="0" w:type="dxa"/>
              <w:right w:w="108" w:type="dxa"/>
            </w:tcMar>
          </w:tcPr>
          <w:p w14:paraId="330FD2A9" w14:textId="77777777" w:rsidR="007D7E69" w:rsidRPr="00C77B03" w:rsidRDefault="007D7E69" w:rsidP="007D7E69">
            <w:pPr>
              <w:spacing w:before="0" w:line="240" w:lineRule="auto"/>
              <w:rPr>
                <w:sz w:val="20"/>
                <w:szCs w:val="20"/>
              </w:rPr>
            </w:pPr>
            <w:r w:rsidRPr="00C77B03">
              <w:rPr>
                <w:sz w:val="20"/>
                <w:szCs w:val="20"/>
                <w:lang w:eastAsia="zh-CN"/>
              </w:rPr>
              <w:t>Instrumental/Populist</w:t>
            </w:r>
          </w:p>
        </w:tc>
        <w:tc>
          <w:tcPr>
            <w:tcW w:w="1980" w:type="dxa"/>
            <w:shd w:val="clear" w:color="auto" w:fill="F2F2F2" w:themeFill="background1" w:themeFillShade="F2"/>
            <w:tcMar>
              <w:top w:w="0" w:type="dxa"/>
              <w:left w:w="108" w:type="dxa"/>
              <w:bottom w:w="0" w:type="dxa"/>
              <w:right w:w="108" w:type="dxa"/>
            </w:tcMar>
          </w:tcPr>
          <w:p w14:paraId="01115B5D" w14:textId="04F311F2" w:rsidR="007D7E69" w:rsidRPr="00C77B03" w:rsidRDefault="007D7E69" w:rsidP="007D7E69">
            <w:pPr>
              <w:spacing w:before="0" w:line="240" w:lineRule="auto"/>
              <w:rPr>
                <w:sz w:val="20"/>
                <w:szCs w:val="20"/>
              </w:rPr>
            </w:pPr>
            <w:r w:rsidRPr="00C77B03">
              <w:rPr>
                <w:sz w:val="20"/>
                <w:szCs w:val="20"/>
                <w:lang w:eastAsia="zh-CN"/>
              </w:rPr>
              <w:t>Debatable</w:t>
            </w:r>
          </w:p>
        </w:tc>
      </w:tr>
      <w:tr w:rsidR="007D7E69" w:rsidRPr="00C77B03" w14:paraId="50D27FB7" w14:textId="77777777" w:rsidTr="000B6366">
        <w:trPr>
          <w:trHeight w:val="218"/>
        </w:trPr>
        <w:tc>
          <w:tcPr>
            <w:tcW w:w="2764" w:type="dxa"/>
            <w:shd w:val="clear" w:color="auto" w:fill="auto"/>
            <w:tcMar>
              <w:top w:w="0" w:type="dxa"/>
              <w:left w:w="108" w:type="dxa"/>
              <w:bottom w:w="0" w:type="dxa"/>
              <w:right w:w="108" w:type="dxa"/>
            </w:tcMar>
          </w:tcPr>
          <w:p w14:paraId="750497A8" w14:textId="77777777" w:rsidR="007D7E69" w:rsidRPr="00C77B03" w:rsidRDefault="007D7E69" w:rsidP="007D7E69">
            <w:pPr>
              <w:spacing w:before="0" w:line="240" w:lineRule="auto"/>
              <w:rPr>
                <w:sz w:val="20"/>
                <w:szCs w:val="20"/>
              </w:rPr>
            </w:pPr>
            <w:r w:rsidRPr="00C77B03">
              <w:rPr>
                <w:sz w:val="20"/>
                <w:szCs w:val="20"/>
                <w:lang w:eastAsia="zh-CN"/>
              </w:rPr>
              <w:t>Religious authorities interpret the law</w:t>
            </w:r>
          </w:p>
        </w:tc>
        <w:tc>
          <w:tcPr>
            <w:tcW w:w="2376" w:type="dxa"/>
            <w:shd w:val="clear" w:color="auto" w:fill="auto"/>
            <w:tcMar>
              <w:top w:w="0" w:type="dxa"/>
              <w:left w:w="108" w:type="dxa"/>
              <w:bottom w:w="0" w:type="dxa"/>
              <w:right w:w="108" w:type="dxa"/>
            </w:tcMar>
          </w:tcPr>
          <w:p w14:paraId="4C3AEFD8" w14:textId="0778FC2E" w:rsidR="007D7E69" w:rsidRPr="00C77B03" w:rsidRDefault="003D4065" w:rsidP="007D7E69">
            <w:pPr>
              <w:spacing w:before="0" w:line="240" w:lineRule="auto"/>
              <w:rPr>
                <w:sz w:val="20"/>
                <w:szCs w:val="20"/>
              </w:rPr>
            </w:pPr>
            <w:r>
              <w:rPr>
                <w:sz w:val="20"/>
                <w:szCs w:val="20"/>
                <w:lang w:eastAsia="zh-CN"/>
              </w:rPr>
              <w:t>Religious authorities</w:t>
            </w:r>
          </w:p>
        </w:tc>
        <w:tc>
          <w:tcPr>
            <w:tcW w:w="2657" w:type="dxa"/>
            <w:shd w:val="clear" w:color="auto" w:fill="auto"/>
            <w:tcMar>
              <w:top w:w="0" w:type="dxa"/>
              <w:left w:w="108" w:type="dxa"/>
              <w:bottom w:w="0" w:type="dxa"/>
              <w:right w:w="108" w:type="dxa"/>
            </w:tcMar>
          </w:tcPr>
          <w:p w14:paraId="0C10119B" w14:textId="77777777" w:rsidR="007D7E69" w:rsidRPr="00C77B03" w:rsidRDefault="007D7E69" w:rsidP="007D7E69">
            <w:pPr>
              <w:spacing w:before="0" w:line="240" w:lineRule="auto"/>
              <w:rPr>
                <w:sz w:val="20"/>
                <w:szCs w:val="20"/>
              </w:rPr>
            </w:pPr>
            <w:r w:rsidRPr="00C77B03">
              <w:rPr>
                <w:sz w:val="20"/>
                <w:szCs w:val="20"/>
                <w:lang w:eastAsia="zh-CN"/>
              </w:rPr>
              <w:t>Authoritarian</w:t>
            </w:r>
          </w:p>
        </w:tc>
        <w:tc>
          <w:tcPr>
            <w:tcW w:w="1980" w:type="dxa"/>
            <w:shd w:val="clear" w:color="auto" w:fill="auto"/>
            <w:tcMar>
              <w:top w:w="0" w:type="dxa"/>
              <w:left w:w="108" w:type="dxa"/>
              <w:bottom w:w="0" w:type="dxa"/>
              <w:right w:w="108" w:type="dxa"/>
            </w:tcMar>
          </w:tcPr>
          <w:p w14:paraId="5F801C82" w14:textId="77777777" w:rsidR="007D7E69" w:rsidRPr="00C77B03" w:rsidRDefault="007D7E69" w:rsidP="007D7E69">
            <w:pPr>
              <w:spacing w:before="0" w:line="240" w:lineRule="auto"/>
              <w:rPr>
                <w:sz w:val="20"/>
                <w:szCs w:val="20"/>
              </w:rPr>
            </w:pPr>
            <w:r w:rsidRPr="00C77B03">
              <w:rPr>
                <w:sz w:val="20"/>
                <w:szCs w:val="20"/>
                <w:lang w:eastAsia="zh-CN"/>
              </w:rPr>
              <w:t>Non-Essential (Anti-Democratic)</w:t>
            </w:r>
          </w:p>
        </w:tc>
      </w:tr>
      <w:tr w:rsidR="007D7E69" w:rsidRPr="00C77B03" w14:paraId="3A63396D" w14:textId="77777777" w:rsidTr="000B6366">
        <w:trPr>
          <w:trHeight w:val="218"/>
        </w:trPr>
        <w:tc>
          <w:tcPr>
            <w:tcW w:w="2764" w:type="dxa"/>
            <w:tcBorders>
              <w:bottom w:val="single" w:sz="4" w:space="0" w:color="auto"/>
            </w:tcBorders>
            <w:shd w:val="clear" w:color="auto" w:fill="auto"/>
            <w:tcMar>
              <w:top w:w="0" w:type="dxa"/>
              <w:left w:w="108" w:type="dxa"/>
              <w:bottom w:w="0" w:type="dxa"/>
              <w:right w:w="108" w:type="dxa"/>
            </w:tcMar>
          </w:tcPr>
          <w:p w14:paraId="367A7D2D" w14:textId="77777777" w:rsidR="007D7E69" w:rsidRPr="00C77B03" w:rsidRDefault="007D7E69" w:rsidP="007D7E69">
            <w:pPr>
              <w:spacing w:before="0" w:line="240" w:lineRule="auto"/>
              <w:rPr>
                <w:sz w:val="20"/>
                <w:szCs w:val="20"/>
              </w:rPr>
            </w:pPr>
            <w:r w:rsidRPr="00C77B03">
              <w:rPr>
                <w:sz w:val="20"/>
                <w:szCs w:val="20"/>
                <w:lang w:eastAsia="zh-CN"/>
              </w:rPr>
              <w:t>The army takes over when the government is incompetent</w:t>
            </w:r>
          </w:p>
        </w:tc>
        <w:tc>
          <w:tcPr>
            <w:tcW w:w="2376" w:type="dxa"/>
            <w:tcBorders>
              <w:bottom w:val="single" w:sz="4" w:space="0" w:color="auto"/>
            </w:tcBorders>
            <w:shd w:val="clear" w:color="auto" w:fill="auto"/>
            <w:tcMar>
              <w:top w:w="0" w:type="dxa"/>
              <w:left w:w="108" w:type="dxa"/>
              <w:bottom w:w="0" w:type="dxa"/>
              <w:right w:w="108" w:type="dxa"/>
            </w:tcMar>
          </w:tcPr>
          <w:p w14:paraId="1420FE31" w14:textId="77777777" w:rsidR="007D7E69" w:rsidRPr="00C77B03" w:rsidRDefault="007D7E69" w:rsidP="007D7E69">
            <w:pPr>
              <w:spacing w:before="0" w:line="240" w:lineRule="auto"/>
              <w:rPr>
                <w:sz w:val="20"/>
                <w:szCs w:val="20"/>
              </w:rPr>
            </w:pPr>
            <w:r w:rsidRPr="00C77B03">
              <w:rPr>
                <w:sz w:val="20"/>
                <w:szCs w:val="20"/>
                <w:lang w:eastAsia="zh-CN"/>
              </w:rPr>
              <w:t>Army takeover</w:t>
            </w:r>
          </w:p>
        </w:tc>
        <w:tc>
          <w:tcPr>
            <w:tcW w:w="2657" w:type="dxa"/>
            <w:tcBorders>
              <w:bottom w:val="single" w:sz="4" w:space="0" w:color="auto"/>
            </w:tcBorders>
            <w:shd w:val="clear" w:color="auto" w:fill="auto"/>
            <w:tcMar>
              <w:top w:w="0" w:type="dxa"/>
              <w:left w:w="108" w:type="dxa"/>
              <w:bottom w:w="0" w:type="dxa"/>
              <w:right w:w="108" w:type="dxa"/>
            </w:tcMar>
          </w:tcPr>
          <w:p w14:paraId="50C46548" w14:textId="77777777" w:rsidR="007D7E69" w:rsidRPr="00C77B03" w:rsidRDefault="007D7E69" w:rsidP="007D7E69">
            <w:pPr>
              <w:spacing w:before="0" w:line="240" w:lineRule="auto"/>
              <w:rPr>
                <w:sz w:val="20"/>
                <w:szCs w:val="20"/>
              </w:rPr>
            </w:pPr>
            <w:r w:rsidRPr="00C77B03">
              <w:rPr>
                <w:sz w:val="20"/>
                <w:szCs w:val="20"/>
                <w:lang w:eastAsia="zh-CN"/>
              </w:rPr>
              <w:t>Authoritarian</w:t>
            </w:r>
          </w:p>
        </w:tc>
        <w:tc>
          <w:tcPr>
            <w:tcW w:w="1980" w:type="dxa"/>
            <w:tcBorders>
              <w:bottom w:val="single" w:sz="4" w:space="0" w:color="auto"/>
            </w:tcBorders>
            <w:shd w:val="clear" w:color="auto" w:fill="auto"/>
            <w:tcMar>
              <w:top w:w="0" w:type="dxa"/>
              <w:left w:w="108" w:type="dxa"/>
              <w:bottom w:w="0" w:type="dxa"/>
              <w:right w:w="108" w:type="dxa"/>
            </w:tcMar>
          </w:tcPr>
          <w:p w14:paraId="196E5FF0" w14:textId="77777777" w:rsidR="007D7E69" w:rsidRPr="00C77B03" w:rsidRDefault="007D7E69" w:rsidP="007D7E69">
            <w:pPr>
              <w:spacing w:before="0" w:line="240" w:lineRule="auto"/>
              <w:rPr>
                <w:sz w:val="20"/>
                <w:szCs w:val="20"/>
              </w:rPr>
            </w:pPr>
            <w:r w:rsidRPr="00C77B03">
              <w:rPr>
                <w:sz w:val="20"/>
                <w:szCs w:val="20"/>
                <w:lang w:eastAsia="zh-CN"/>
              </w:rPr>
              <w:t>Non-Essential (Anti-Democratic)</w:t>
            </w:r>
          </w:p>
        </w:tc>
      </w:tr>
    </w:tbl>
    <w:p w14:paraId="5070F856" w14:textId="77777777" w:rsidR="007D7E69" w:rsidRDefault="007D7E69" w:rsidP="00B040CF">
      <w:pPr>
        <w:rPr>
          <w:szCs w:val="24"/>
        </w:rPr>
      </w:pPr>
      <w:bookmarkStart w:id="157" w:name="_Toc380995536"/>
      <w:bookmarkStart w:id="158" w:name="_Toc381100513"/>
      <w:bookmarkStart w:id="159" w:name="_Toc381717097"/>
      <w:bookmarkStart w:id="160" w:name="_Toc441069024"/>
      <w:bookmarkStart w:id="161" w:name="_Toc441069202"/>
    </w:p>
    <w:p w14:paraId="2C59B579" w14:textId="1BFCC6AE" w:rsidR="0019507C" w:rsidRDefault="007D7E69" w:rsidP="00B040CF">
      <w:pPr>
        <w:rPr>
          <w:szCs w:val="24"/>
        </w:rPr>
      </w:pPr>
      <w:r w:rsidRPr="0019507C">
        <w:rPr>
          <w:szCs w:val="24"/>
          <w:highlight w:val="yellow"/>
        </w:rPr>
        <w:t xml:space="preserve">The final discussion point </w:t>
      </w:r>
      <w:r w:rsidR="0019507C" w:rsidRPr="0019507C">
        <w:rPr>
          <w:szCs w:val="24"/>
          <w:highlight w:val="yellow"/>
        </w:rPr>
        <w:t xml:space="preserve">is </w:t>
      </w:r>
      <w:r w:rsidRPr="0019507C">
        <w:rPr>
          <w:szCs w:val="24"/>
          <w:highlight w:val="yellow"/>
        </w:rPr>
        <w:t xml:space="preserve">to consider </w:t>
      </w:r>
      <w:r w:rsidR="003A2545">
        <w:rPr>
          <w:szCs w:val="24"/>
          <w:highlight w:val="yellow"/>
        </w:rPr>
        <w:t>how the</w:t>
      </w:r>
      <w:r w:rsidR="0019507C" w:rsidRPr="0019507C">
        <w:rPr>
          <w:szCs w:val="24"/>
          <w:highlight w:val="yellow"/>
        </w:rPr>
        <w:t xml:space="preserve"> manage</w:t>
      </w:r>
      <w:r w:rsidR="003A2545">
        <w:rPr>
          <w:szCs w:val="24"/>
          <w:highlight w:val="yellow"/>
        </w:rPr>
        <w:t>ment of</w:t>
      </w:r>
      <w:r w:rsidR="0019507C" w:rsidRPr="0019507C">
        <w:rPr>
          <w:szCs w:val="24"/>
          <w:highlight w:val="yellow"/>
        </w:rPr>
        <w:t xml:space="preserve"> those which I</w:t>
      </w:r>
      <w:r w:rsidR="003D4065" w:rsidRPr="0019507C">
        <w:rPr>
          <w:szCs w:val="24"/>
          <w:highlight w:val="yellow"/>
        </w:rPr>
        <w:t xml:space="preserve"> have labelled as</w:t>
      </w:r>
      <w:r w:rsidRPr="0019507C">
        <w:rPr>
          <w:szCs w:val="24"/>
          <w:highlight w:val="yellow"/>
        </w:rPr>
        <w:t xml:space="preserve"> </w:t>
      </w:r>
      <w:r w:rsidR="003D4065" w:rsidRPr="0019507C">
        <w:rPr>
          <w:szCs w:val="24"/>
          <w:highlight w:val="yellow"/>
        </w:rPr>
        <w:t>‘</w:t>
      </w:r>
      <w:r w:rsidRPr="0019507C">
        <w:rPr>
          <w:szCs w:val="24"/>
          <w:highlight w:val="yellow"/>
        </w:rPr>
        <w:t>debatable</w:t>
      </w:r>
      <w:r w:rsidR="003D4065" w:rsidRPr="0019507C">
        <w:rPr>
          <w:szCs w:val="24"/>
          <w:highlight w:val="yellow"/>
        </w:rPr>
        <w:t>’</w:t>
      </w:r>
      <w:r w:rsidR="003A2545">
        <w:rPr>
          <w:szCs w:val="24"/>
          <w:highlight w:val="yellow"/>
        </w:rPr>
        <w:t>, but also the broader approach of the thesis towards these questions and their analysis</w:t>
      </w:r>
      <w:r w:rsidRPr="0019507C">
        <w:rPr>
          <w:szCs w:val="24"/>
          <w:highlight w:val="yellow"/>
        </w:rPr>
        <w:t>. Bratton</w:t>
      </w:r>
      <w:r w:rsidR="003D4065" w:rsidRPr="0019507C">
        <w:rPr>
          <w:szCs w:val="24"/>
          <w:highlight w:val="yellow"/>
        </w:rPr>
        <w:t xml:space="preserve"> (2010: 107)</w:t>
      </w:r>
      <w:r w:rsidRPr="0019507C">
        <w:rPr>
          <w:szCs w:val="24"/>
          <w:highlight w:val="yellow"/>
        </w:rPr>
        <w:t xml:space="preserve"> </w:t>
      </w:r>
      <w:r w:rsidR="003D4065" w:rsidRPr="0019507C">
        <w:rPr>
          <w:szCs w:val="24"/>
          <w:highlight w:val="yellow"/>
        </w:rPr>
        <w:t>suggests</w:t>
      </w:r>
      <w:r w:rsidRPr="0019507C">
        <w:rPr>
          <w:szCs w:val="24"/>
          <w:highlight w:val="yellow"/>
        </w:rPr>
        <w:t xml:space="preserve"> that “a closed-ended list of attributes…tends to prompt respondents to conflate democratization with the satisfaction of material needs</w:t>
      </w:r>
      <w:r w:rsidR="003D4065" w:rsidRPr="0019507C">
        <w:rPr>
          <w:szCs w:val="24"/>
          <w:highlight w:val="yellow"/>
        </w:rPr>
        <w:t xml:space="preserve">”. In some ways, this is a fear of these </w:t>
      </w:r>
      <w:r w:rsidR="0019507C" w:rsidRPr="0019507C">
        <w:rPr>
          <w:szCs w:val="24"/>
          <w:highlight w:val="yellow"/>
        </w:rPr>
        <w:t>particular</w:t>
      </w:r>
      <w:r w:rsidR="003D4065" w:rsidRPr="0019507C">
        <w:rPr>
          <w:szCs w:val="24"/>
          <w:highlight w:val="yellow"/>
        </w:rPr>
        <w:t xml:space="preserve"> questions. Yet in others, this potential conflation is a finding</w:t>
      </w:r>
      <w:r w:rsidR="0019507C" w:rsidRPr="0019507C">
        <w:rPr>
          <w:szCs w:val="24"/>
          <w:highlight w:val="yellow"/>
        </w:rPr>
        <w:t xml:space="preserve"> in itself</w:t>
      </w:r>
      <w:r w:rsidR="003D4065" w:rsidRPr="0019507C">
        <w:rPr>
          <w:szCs w:val="24"/>
          <w:highlight w:val="yellow"/>
        </w:rPr>
        <w:t xml:space="preserve">. The question is clear about linking the characteristics to democracy. If respondents link material outputs with the idea of democracy itself, then we should explore the finding that </w:t>
      </w:r>
      <w:r w:rsidR="0019507C" w:rsidRPr="0019507C">
        <w:rPr>
          <w:szCs w:val="24"/>
          <w:highlight w:val="yellow"/>
        </w:rPr>
        <w:t xml:space="preserve">this </w:t>
      </w:r>
      <w:r w:rsidR="003D4065" w:rsidRPr="0019507C">
        <w:rPr>
          <w:szCs w:val="24"/>
          <w:highlight w:val="yellow"/>
        </w:rPr>
        <w:t xml:space="preserve">is what they think. </w:t>
      </w:r>
      <w:r w:rsidR="0019507C" w:rsidRPr="0019507C">
        <w:rPr>
          <w:szCs w:val="24"/>
          <w:highlight w:val="yellow"/>
        </w:rPr>
        <w:t xml:space="preserve">Indeed, </w:t>
      </w:r>
      <w:r w:rsidR="003D4065" w:rsidRPr="0019507C">
        <w:rPr>
          <w:szCs w:val="24"/>
          <w:highlight w:val="yellow"/>
        </w:rPr>
        <w:t xml:space="preserve">Bratton (2010: 111) goes onto note that the “next step in our research agenda is to explore the causes and consequences of differential interpretations of the ‘D-word’  [democracy] among individuals”. If individuals interpret the ‘D-word’ to be one that contains particular </w:t>
      </w:r>
      <w:r w:rsidR="00612E45">
        <w:rPr>
          <w:szCs w:val="24"/>
          <w:highlight w:val="yellow"/>
        </w:rPr>
        <w:t xml:space="preserve">policy </w:t>
      </w:r>
      <w:r w:rsidR="003D4065" w:rsidRPr="0019507C">
        <w:rPr>
          <w:szCs w:val="24"/>
          <w:highlight w:val="yellow"/>
        </w:rPr>
        <w:t>outputs,</w:t>
      </w:r>
      <w:r w:rsidR="0019507C" w:rsidRPr="0019507C">
        <w:rPr>
          <w:szCs w:val="24"/>
          <w:highlight w:val="yellow"/>
        </w:rPr>
        <w:t xml:space="preserve"> then</w:t>
      </w:r>
      <w:r w:rsidR="003D4065" w:rsidRPr="0019507C">
        <w:rPr>
          <w:szCs w:val="24"/>
          <w:highlight w:val="yellow"/>
        </w:rPr>
        <w:t xml:space="preserve"> whether </w:t>
      </w:r>
      <w:r w:rsidR="0019507C">
        <w:rPr>
          <w:szCs w:val="24"/>
          <w:highlight w:val="yellow"/>
        </w:rPr>
        <w:t>this</w:t>
      </w:r>
      <w:r w:rsidR="003D4065" w:rsidRPr="0019507C">
        <w:rPr>
          <w:szCs w:val="24"/>
          <w:highlight w:val="yellow"/>
        </w:rPr>
        <w:t xml:space="preserve"> </w:t>
      </w:r>
      <w:r w:rsidR="0019507C" w:rsidRPr="0019507C">
        <w:rPr>
          <w:szCs w:val="24"/>
          <w:highlight w:val="yellow"/>
        </w:rPr>
        <w:t>align</w:t>
      </w:r>
      <w:r w:rsidR="0019507C">
        <w:rPr>
          <w:szCs w:val="24"/>
          <w:highlight w:val="yellow"/>
        </w:rPr>
        <w:t>s</w:t>
      </w:r>
      <w:r w:rsidR="0019507C" w:rsidRPr="0019507C">
        <w:rPr>
          <w:szCs w:val="24"/>
          <w:highlight w:val="yellow"/>
        </w:rPr>
        <w:t xml:space="preserve"> with theoretical distinction</w:t>
      </w:r>
      <w:r w:rsidR="0019507C">
        <w:rPr>
          <w:szCs w:val="24"/>
          <w:highlight w:val="yellow"/>
        </w:rPr>
        <w:t>s</w:t>
      </w:r>
      <w:r w:rsidR="0019507C" w:rsidRPr="0019507C">
        <w:rPr>
          <w:szCs w:val="24"/>
          <w:highlight w:val="yellow"/>
        </w:rPr>
        <w:t xml:space="preserve"> between inherent characteristics or policy output should be commented upon, but should not stop this result being considered a </w:t>
      </w:r>
      <w:r w:rsidR="0019507C">
        <w:rPr>
          <w:szCs w:val="24"/>
          <w:highlight w:val="yellow"/>
        </w:rPr>
        <w:t>conceptual mapping of democracy.</w:t>
      </w:r>
      <w:r w:rsidR="0019507C" w:rsidRPr="0019507C">
        <w:rPr>
          <w:szCs w:val="24"/>
          <w:highlight w:val="yellow"/>
        </w:rPr>
        <w:t xml:space="preserve"> </w:t>
      </w:r>
      <w:r w:rsidR="00612E45">
        <w:rPr>
          <w:szCs w:val="24"/>
          <w:highlight w:val="yellow"/>
        </w:rPr>
        <w:t xml:space="preserve">The citizen was asked if it was an essential characteristic of democracy, and that is their answer. </w:t>
      </w:r>
      <w:r w:rsidR="0019507C" w:rsidRPr="0019507C">
        <w:rPr>
          <w:szCs w:val="24"/>
          <w:highlight w:val="yellow"/>
        </w:rPr>
        <w:t>That is why this thesis does not use the civics-test approach of Welzel (2013) and Norris (2011)</w:t>
      </w:r>
      <w:r w:rsidR="00F167FC">
        <w:rPr>
          <w:szCs w:val="24"/>
          <w:highlight w:val="yellow"/>
        </w:rPr>
        <w:t xml:space="preserve"> as outlined in Section 2.4,</w:t>
      </w:r>
      <w:r w:rsidR="0019507C" w:rsidRPr="0019507C">
        <w:rPr>
          <w:szCs w:val="24"/>
          <w:highlight w:val="yellow"/>
        </w:rPr>
        <w:t xml:space="preserve"> but allows these characteristics to be folded into the conceptualisations of democracy that citizens have, if that is what they chose.</w:t>
      </w:r>
    </w:p>
    <w:p w14:paraId="5E052F4C" w14:textId="35DD1212" w:rsidR="00F25B7F" w:rsidRDefault="00400C47" w:rsidP="00F25B7F">
      <w:pPr>
        <w:rPr>
          <w:szCs w:val="24"/>
        </w:rPr>
      </w:pPr>
      <w:r w:rsidRPr="003A2545">
        <w:rPr>
          <w:szCs w:val="24"/>
          <w:highlight w:val="yellow"/>
        </w:rPr>
        <w:t xml:space="preserve">In some ways this </w:t>
      </w:r>
      <w:r w:rsidR="00B56DAD" w:rsidRPr="003A2545">
        <w:rPr>
          <w:szCs w:val="24"/>
          <w:highlight w:val="yellow"/>
        </w:rPr>
        <w:t>is</w:t>
      </w:r>
      <w:r w:rsidRPr="003A2545">
        <w:rPr>
          <w:szCs w:val="24"/>
          <w:highlight w:val="yellow"/>
        </w:rPr>
        <w:t xml:space="preserve"> a fine line to tread; by outlining </w:t>
      </w:r>
      <w:r w:rsidR="00F25B7F" w:rsidRPr="003A2545">
        <w:rPr>
          <w:szCs w:val="24"/>
          <w:highlight w:val="yellow"/>
        </w:rPr>
        <w:t xml:space="preserve">these </w:t>
      </w:r>
      <w:r w:rsidRPr="003A2545">
        <w:rPr>
          <w:szCs w:val="24"/>
          <w:highlight w:val="yellow"/>
        </w:rPr>
        <w:t xml:space="preserve">theoretical expectations there is arguably some degree of </w:t>
      </w:r>
      <w:r w:rsidR="00B56DAD" w:rsidRPr="003A2545">
        <w:rPr>
          <w:szCs w:val="24"/>
          <w:highlight w:val="yellow"/>
        </w:rPr>
        <w:t xml:space="preserve">a </w:t>
      </w:r>
      <w:r w:rsidRPr="003A2545">
        <w:rPr>
          <w:szCs w:val="24"/>
          <w:highlight w:val="yellow"/>
        </w:rPr>
        <w:t xml:space="preserve">confirmatory </w:t>
      </w:r>
      <w:r w:rsidR="00B56DAD" w:rsidRPr="003A2545">
        <w:rPr>
          <w:szCs w:val="24"/>
          <w:highlight w:val="yellow"/>
        </w:rPr>
        <w:t>approach</w:t>
      </w:r>
      <w:r w:rsidRPr="003A2545">
        <w:rPr>
          <w:szCs w:val="24"/>
          <w:highlight w:val="yellow"/>
        </w:rPr>
        <w:t xml:space="preserve"> being undertaken. Yet, the underlying point here is that whilst this discussion tying the questions into the literature should help in the interpretation of the results in the following chapters, the </w:t>
      </w:r>
      <w:r w:rsidR="00B56DAD" w:rsidRPr="003A2545">
        <w:rPr>
          <w:szCs w:val="24"/>
          <w:highlight w:val="yellow"/>
        </w:rPr>
        <w:t>approach of C</w:t>
      </w:r>
      <w:r w:rsidRPr="003A2545">
        <w:rPr>
          <w:szCs w:val="24"/>
          <w:highlight w:val="yellow"/>
        </w:rPr>
        <w:t xml:space="preserve">hapter 4 does not use these theoretical expectations to structure the </w:t>
      </w:r>
      <w:r w:rsidR="00B56DAD" w:rsidRPr="003A2545">
        <w:rPr>
          <w:szCs w:val="24"/>
          <w:highlight w:val="yellow"/>
        </w:rPr>
        <w:t>analysis. The obvious structuring is that of the set of ten questions themselves; this framework is provided by the survey.</w:t>
      </w:r>
      <w:r w:rsidR="00FC2A74" w:rsidRPr="003A2545">
        <w:rPr>
          <w:szCs w:val="24"/>
          <w:highlight w:val="yellow"/>
        </w:rPr>
        <w:t xml:space="preserve"> </w:t>
      </w:r>
      <w:r w:rsidR="00F25B7F" w:rsidRPr="003A2545">
        <w:rPr>
          <w:szCs w:val="24"/>
          <w:highlight w:val="yellow"/>
        </w:rPr>
        <w:t xml:space="preserve">However, beyond that, the way that citizens map out the essentialness of these ten characteristics to build </w:t>
      </w:r>
      <w:r w:rsidR="003A2545">
        <w:rPr>
          <w:szCs w:val="24"/>
          <w:highlight w:val="yellow"/>
        </w:rPr>
        <w:t>their own</w:t>
      </w:r>
      <w:r w:rsidR="00F25B7F" w:rsidRPr="003A2545">
        <w:rPr>
          <w:szCs w:val="24"/>
          <w:highlight w:val="yellow"/>
        </w:rPr>
        <w:t xml:space="preserve"> understanding of democracy is driven by the </w:t>
      </w:r>
      <w:r w:rsidR="00612E45">
        <w:rPr>
          <w:szCs w:val="24"/>
          <w:highlight w:val="yellow"/>
        </w:rPr>
        <w:t>responses</w:t>
      </w:r>
      <w:r w:rsidR="00F25B7F" w:rsidRPr="003A2545">
        <w:rPr>
          <w:szCs w:val="24"/>
          <w:highlight w:val="yellow"/>
        </w:rPr>
        <w:t>, not by the theory</w:t>
      </w:r>
      <w:r w:rsidR="00974957">
        <w:rPr>
          <w:szCs w:val="24"/>
          <w:highlight w:val="yellow"/>
        </w:rPr>
        <w:t xml:space="preserve"> or a framework that I impose onto them in order to judge how ‘theoretically correct’ they might be</w:t>
      </w:r>
      <w:r w:rsidR="00F25B7F" w:rsidRPr="003A2545">
        <w:rPr>
          <w:szCs w:val="24"/>
          <w:highlight w:val="yellow"/>
        </w:rPr>
        <w:t>. It i</w:t>
      </w:r>
      <w:r w:rsidR="00612E45">
        <w:rPr>
          <w:szCs w:val="24"/>
          <w:highlight w:val="yellow"/>
        </w:rPr>
        <w:t xml:space="preserve">s in that sense that there is an </w:t>
      </w:r>
      <w:r w:rsidR="00F25B7F" w:rsidRPr="003A2545">
        <w:rPr>
          <w:szCs w:val="24"/>
          <w:highlight w:val="yellow"/>
        </w:rPr>
        <w:t>exploratory analysis taking place, very different to that of the studies which have utilised this data so far (see Cho 2015, Welzel 2013, Welzel 2011, Norris 2011 and Se</w:t>
      </w:r>
      <w:r w:rsidR="00612E45">
        <w:rPr>
          <w:szCs w:val="24"/>
          <w:highlight w:val="yellow"/>
        </w:rPr>
        <w:t>ction 2.4 and Section 4.1). It is</w:t>
      </w:r>
      <w:r w:rsidR="00F25B7F" w:rsidRPr="003A2545">
        <w:rPr>
          <w:szCs w:val="24"/>
          <w:highlight w:val="yellow"/>
        </w:rPr>
        <w:t xml:space="preserve"> exploring the combinational approaches taken by citizens that provide the key interest here, and the way these characteristics are placed together is something buried by the existing studies and their ‘civics test’ approach: there is no detailed way to know ‘how’ the citizen fa</w:t>
      </w:r>
      <w:r w:rsidR="003A2545" w:rsidRPr="003A2545">
        <w:rPr>
          <w:szCs w:val="24"/>
          <w:highlight w:val="yellow"/>
        </w:rPr>
        <w:t>iled the test in the</w:t>
      </w:r>
      <w:r w:rsidR="00F25B7F" w:rsidRPr="003A2545">
        <w:rPr>
          <w:szCs w:val="24"/>
          <w:highlight w:val="yellow"/>
        </w:rPr>
        <w:t>s</w:t>
      </w:r>
      <w:r w:rsidR="003A2545" w:rsidRPr="003A2545">
        <w:rPr>
          <w:szCs w:val="24"/>
          <w:highlight w:val="yellow"/>
        </w:rPr>
        <w:t>e</w:t>
      </w:r>
      <w:r w:rsidR="00F25B7F" w:rsidRPr="003A2545">
        <w:rPr>
          <w:szCs w:val="24"/>
          <w:highlight w:val="yellow"/>
        </w:rPr>
        <w:t xml:space="preserve"> studies, and what alternative conceptualisation they might have in mind. </w:t>
      </w:r>
      <w:r w:rsidR="003A2545" w:rsidRPr="003A2545">
        <w:rPr>
          <w:szCs w:val="24"/>
          <w:highlight w:val="yellow"/>
        </w:rPr>
        <w:t>The details are lost. Therefore it is the</w:t>
      </w:r>
      <w:r w:rsidR="00F25B7F" w:rsidRPr="003A2545">
        <w:rPr>
          <w:szCs w:val="24"/>
          <w:highlight w:val="yellow"/>
        </w:rPr>
        <w:t xml:space="preserve"> alternative</w:t>
      </w:r>
      <w:r w:rsidR="003A2545" w:rsidRPr="003A2545">
        <w:rPr>
          <w:szCs w:val="24"/>
          <w:highlight w:val="yellow"/>
        </w:rPr>
        <w:t>, primarily exploratory</w:t>
      </w:r>
      <w:r w:rsidR="00F25B7F" w:rsidRPr="003A2545">
        <w:rPr>
          <w:szCs w:val="24"/>
          <w:highlight w:val="yellow"/>
        </w:rPr>
        <w:t xml:space="preserve"> approach</w:t>
      </w:r>
      <w:r w:rsidR="003A2545" w:rsidRPr="003A2545">
        <w:rPr>
          <w:szCs w:val="24"/>
          <w:highlight w:val="yellow"/>
        </w:rPr>
        <w:t xml:space="preserve"> to citizen understanding,</w:t>
      </w:r>
      <w:r w:rsidR="00F25B7F" w:rsidRPr="003A2545">
        <w:rPr>
          <w:szCs w:val="24"/>
          <w:highlight w:val="yellow"/>
        </w:rPr>
        <w:t xml:space="preserve"> that I prioritise in this thesis, and which is the primary focus of Chapter 4.</w:t>
      </w:r>
    </w:p>
    <w:p w14:paraId="4D6CDA02" w14:textId="0EBA5F9B" w:rsidR="00B040CF" w:rsidRPr="00B040CF" w:rsidRDefault="00F25B7F" w:rsidP="00B040CF">
      <w:pPr>
        <w:rPr>
          <w:szCs w:val="24"/>
        </w:rPr>
      </w:pPr>
      <w:r>
        <w:rPr>
          <w:szCs w:val="24"/>
        </w:rPr>
        <w:t xml:space="preserve">Before the exploratory dimensional approach is taken </w:t>
      </w:r>
      <w:r w:rsidR="003A2545">
        <w:rPr>
          <w:szCs w:val="24"/>
        </w:rPr>
        <w:t>t</w:t>
      </w:r>
      <w:r w:rsidR="00B040CF" w:rsidRPr="000367C8">
        <w:rPr>
          <w:szCs w:val="24"/>
        </w:rPr>
        <w:t xml:space="preserve">he </w:t>
      </w:r>
      <w:r w:rsidR="003A2545">
        <w:rPr>
          <w:szCs w:val="24"/>
        </w:rPr>
        <w:t>final section of the current chapter</w:t>
      </w:r>
      <w:r w:rsidR="00B040CF" w:rsidRPr="000367C8">
        <w:rPr>
          <w:szCs w:val="24"/>
        </w:rPr>
        <w:t xml:space="preserve"> examines the descriptive statistics for these </w:t>
      </w:r>
      <w:r w:rsidR="00B040CF">
        <w:rPr>
          <w:szCs w:val="24"/>
        </w:rPr>
        <w:t>characteristics</w:t>
      </w:r>
      <w:r w:rsidR="00B040CF" w:rsidRPr="000367C8">
        <w:rPr>
          <w:szCs w:val="24"/>
        </w:rPr>
        <w:t xml:space="preserve"> to </w:t>
      </w:r>
      <w:r w:rsidR="00B040CF">
        <w:rPr>
          <w:szCs w:val="24"/>
        </w:rPr>
        <w:t>get a sense of whether</w:t>
      </w:r>
      <w:r w:rsidR="00B040CF" w:rsidRPr="000367C8">
        <w:rPr>
          <w:szCs w:val="24"/>
        </w:rPr>
        <w:t xml:space="preserve"> these theoretical expectations are played out in the answers of citizens. It starts with the individual level and moves on</w:t>
      </w:r>
      <w:r w:rsidR="00B040CF">
        <w:rPr>
          <w:szCs w:val="24"/>
        </w:rPr>
        <w:t xml:space="preserve"> </w:t>
      </w:r>
      <w:r w:rsidR="00B040CF" w:rsidRPr="000367C8">
        <w:rPr>
          <w:szCs w:val="24"/>
        </w:rPr>
        <w:t xml:space="preserve">to the national level. It also focuses on </w:t>
      </w:r>
      <w:r w:rsidR="00B040CF">
        <w:rPr>
          <w:szCs w:val="24"/>
        </w:rPr>
        <w:t xml:space="preserve">the most important </w:t>
      </w:r>
      <w:r w:rsidR="00B040CF" w:rsidRPr="000367C8">
        <w:rPr>
          <w:szCs w:val="24"/>
        </w:rPr>
        <w:t xml:space="preserve">conclusions of Dalton </w:t>
      </w:r>
      <w:r w:rsidR="00803848" w:rsidRPr="00612E45">
        <w:rPr>
          <w:i/>
          <w:szCs w:val="24"/>
        </w:rPr>
        <w:t>et al</w:t>
      </w:r>
      <w:r w:rsidR="00B040CF" w:rsidRPr="000B6366">
        <w:rPr>
          <w:szCs w:val="24"/>
        </w:rPr>
        <w:t>’s</w:t>
      </w:r>
      <w:r w:rsidR="00B040CF">
        <w:rPr>
          <w:szCs w:val="24"/>
        </w:rPr>
        <w:t xml:space="preserve"> </w:t>
      </w:r>
      <w:r w:rsidR="00B040CF">
        <w:rPr>
          <w:szCs w:val="24"/>
        </w:rPr>
        <w:fldChar w:fldCharType="begin" w:fldLock="1"/>
      </w:r>
      <w:r w:rsidR="00E63CC6">
        <w:rPr>
          <w:szCs w:val="24"/>
        </w:rPr>
        <w:instrText>ADDIN CSL_CITATION { "citationItems" : [ { "id" : "ITEM-1", "itemData" : { "author" : [ { "dropping-particle" : "", "family" : "Dalton", "given" : "R", "non-dropping-particle" : "", "parse-names" : false, "suffix" : "" }, { "dropping-particle" : "", "family" : "Shin", "given" : "D C", "non-dropping-particle" : "", "parse-names" : false, "suffix" : "" }, { "dropping-particle" : "", "family" : "Jou", "given" : "W", "non-dropping-particle" : "", "parse-names" : false, "suffix" : "" } ], "container-title" : "How People View Democracy", "editor" : [ { "dropping-particle" : "", "family" : "Diamond", "given" : "L", "non-dropping-particle" : "", "parse-names" : false, "suffix" : "" }, { "dropping-particle" : "", "family" : "Plattner", "given" : "MF", "non-dropping-particle" : "", "parse-names" : false, "suffix" : "" } ], "id" : "ITEM-1", "issued" : { "date-parts" : [ [ "2008" ] ] }, "page" : "1-15", "publisher" : "The Johns Hopkins University Press", "publisher-place" : "Baltimore", "title" : "How People Understand Democracy", "type" : "chapter" }, "uris" : [ "http://www.mendeley.com/documents/?uuid=9f17365d-198f-4e11-8f1a-52431e9abff9" ] } ], "mendeley" : { "formattedCitation" : "(Dalton, Shin and Jou, 2008)", "manualFormatting" : "(2008)", "plainTextFormattedCitation" : "(Dalton, Shin and Jou, 2008)", "previouslyFormattedCitation" : "(Dalton, Shin and Jou, 2008)" }, "properties" : { "noteIndex" : 0 }, "schema" : "https://github.com/citation-style-language/schema/raw/master/csl-citation.json" }</w:instrText>
      </w:r>
      <w:r w:rsidR="00B040CF">
        <w:rPr>
          <w:szCs w:val="24"/>
        </w:rPr>
        <w:fldChar w:fldCharType="separate"/>
      </w:r>
      <w:r w:rsidR="00B040CF" w:rsidRPr="00D27C0E">
        <w:rPr>
          <w:noProof/>
          <w:szCs w:val="24"/>
        </w:rPr>
        <w:t>(2008)</w:t>
      </w:r>
      <w:r w:rsidR="00B040CF">
        <w:rPr>
          <w:szCs w:val="24"/>
        </w:rPr>
        <w:fldChar w:fldCharType="end"/>
      </w:r>
      <w:r w:rsidR="00B040CF">
        <w:rPr>
          <w:szCs w:val="24"/>
        </w:rPr>
        <w:t xml:space="preserve"> study discussed at the start of this section (and also in Chapter 2, Section 2.4):</w:t>
      </w:r>
      <w:r w:rsidR="00B040CF" w:rsidRPr="000367C8">
        <w:rPr>
          <w:szCs w:val="24"/>
        </w:rPr>
        <w:t xml:space="preserve"> that those in established democracies are no more likely to offer a definition </w:t>
      </w:r>
      <w:r w:rsidR="00B040CF">
        <w:rPr>
          <w:szCs w:val="24"/>
        </w:rPr>
        <w:t xml:space="preserve">of democracy </w:t>
      </w:r>
      <w:r w:rsidR="00B040CF" w:rsidRPr="000367C8">
        <w:rPr>
          <w:szCs w:val="24"/>
        </w:rPr>
        <w:t>than those</w:t>
      </w:r>
      <w:r w:rsidR="00B040CF">
        <w:rPr>
          <w:szCs w:val="24"/>
        </w:rPr>
        <w:t xml:space="preserve"> non-democracies; that citizen</w:t>
      </w:r>
      <w:r w:rsidR="00B040CF" w:rsidRPr="000367C8">
        <w:rPr>
          <w:szCs w:val="24"/>
        </w:rPr>
        <w:t xml:space="preserve"> ideas of democracy align with liberal democratic theory with instrumental characteristics not chosen as democratic necessities; and that it doesn’t matter where citizens are from when it comes to offe</w:t>
      </w:r>
      <w:r w:rsidR="00B040CF">
        <w:rPr>
          <w:szCs w:val="24"/>
        </w:rPr>
        <w:t>ring a definition of democracy.</w:t>
      </w:r>
    </w:p>
    <w:p w14:paraId="6B6EDA2F" w14:textId="77777777" w:rsidR="00B77E5A" w:rsidRPr="00E85D60" w:rsidRDefault="00B77E5A" w:rsidP="00577217">
      <w:pPr>
        <w:pStyle w:val="Heading2"/>
        <w:rPr>
          <w:highlight w:val="yellow"/>
        </w:rPr>
      </w:pPr>
      <w:bookmarkStart w:id="162" w:name="_Toc494034217"/>
      <w:r w:rsidRPr="00E85D60">
        <w:rPr>
          <w:highlight w:val="yellow"/>
        </w:rPr>
        <w:t>3.3: Descriptive</w:t>
      </w:r>
      <w:bookmarkEnd w:id="157"/>
      <w:bookmarkEnd w:id="158"/>
      <w:bookmarkEnd w:id="159"/>
      <w:r w:rsidRPr="00E85D60">
        <w:rPr>
          <w:highlight w:val="yellow"/>
        </w:rPr>
        <w:t xml:space="preserve"> Statistics</w:t>
      </w:r>
      <w:bookmarkEnd w:id="160"/>
      <w:bookmarkEnd w:id="161"/>
      <w:bookmarkEnd w:id="162"/>
    </w:p>
    <w:p w14:paraId="16B51FC2" w14:textId="533B0AC5" w:rsidR="00B77E5A" w:rsidRPr="00E85D60" w:rsidRDefault="00B77E5A" w:rsidP="00B77E5A">
      <w:pPr>
        <w:rPr>
          <w:szCs w:val="24"/>
          <w:highlight w:val="yellow"/>
        </w:rPr>
      </w:pPr>
      <w:r w:rsidRPr="00E85D60">
        <w:rPr>
          <w:szCs w:val="24"/>
          <w:highlight w:val="yellow"/>
        </w:rPr>
        <w:t>Figure 3.4 presents descriptive statistics for each characteristic, outlining the mean and standard deviation</w:t>
      </w:r>
      <w:r w:rsidR="00EC1741" w:rsidRPr="00E85D60">
        <w:rPr>
          <w:szCs w:val="24"/>
          <w:highlight w:val="yellow"/>
        </w:rPr>
        <w:t xml:space="preserve"> at the individual level. It also reports the country-level variance presented as a percentage. This is the </w:t>
      </w:r>
      <w:r w:rsidR="00B80121" w:rsidRPr="00E85D60">
        <w:rPr>
          <w:szCs w:val="24"/>
          <w:highlight w:val="yellow"/>
        </w:rPr>
        <w:t>in</w:t>
      </w:r>
      <w:r w:rsidR="00EC1741" w:rsidRPr="00E85D60">
        <w:rPr>
          <w:szCs w:val="24"/>
          <w:highlight w:val="yellow"/>
        </w:rPr>
        <w:t>traclass correlation (which is produced on</w:t>
      </w:r>
      <w:r w:rsidR="00215522" w:rsidRPr="00E85D60">
        <w:rPr>
          <w:szCs w:val="24"/>
          <w:highlight w:val="yellow"/>
        </w:rPr>
        <w:t xml:space="preserve"> a 0-1 scale) multiplied by 100</w:t>
      </w:r>
      <w:r w:rsidRPr="00E85D60">
        <w:rPr>
          <w:szCs w:val="24"/>
          <w:highlight w:val="yellow"/>
        </w:rPr>
        <w:t xml:space="preserve">. This allows us to determine how universal this mean is: the higher the variance, the larger the difference in means </w:t>
      </w:r>
      <w:r w:rsidR="00B040CF" w:rsidRPr="00E85D60">
        <w:rPr>
          <w:szCs w:val="24"/>
          <w:highlight w:val="yellow"/>
        </w:rPr>
        <w:t>between countries</w:t>
      </w:r>
      <w:r w:rsidRPr="00E85D60">
        <w:rPr>
          <w:szCs w:val="24"/>
          <w:highlight w:val="yellow"/>
        </w:rPr>
        <w:t xml:space="preserve">. </w:t>
      </w:r>
      <w:r w:rsidR="00886D8C" w:rsidRPr="00E85D60">
        <w:rPr>
          <w:szCs w:val="24"/>
          <w:highlight w:val="yellow"/>
        </w:rPr>
        <w:t>The closer the result is to 0, the less the second level grouping entity (country) is having an effect, and the closer to 1, the more effect it has (i.e. there is more variance in that level to be explained). The formula for this calculation is outlined in the Appendix</w:t>
      </w:r>
      <w:r w:rsidR="00612E45">
        <w:rPr>
          <w:szCs w:val="24"/>
          <w:highlight w:val="yellow"/>
        </w:rPr>
        <w:t>, Section A</w:t>
      </w:r>
      <w:r w:rsidR="00886D8C" w:rsidRPr="00E85D60">
        <w:rPr>
          <w:szCs w:val="24"/>
          <w:highlight w:val="yellow"/>
        </w:rPr>
        <w:t xml:space="preserve">. </w:t>
      </w:r>
      <w:r w:rsidRPr="00E85D60">
        <w:rPr>
          <w:szCs w:val="24"/>
          <w:highlight w:val="yellow"/>
        </w:rPr>
        <w:t xml:space="preserve">To put this another way, the higher the </w:t>
      </w:r>
      <w:r w:rsidR="00886D8C" w:rsidRPr="00E85D60">
        <w:rPr>
          <w:szCs w:val="24"/>
          <w:highlight w:val="yellow"/>
        </w:rPr>
        <w:t>ICC</w:t>
      </w:r>
      <w:r w:rsidRPr="00E85D60">
        <w:rPr>
          <w:szCs w:val="24"/>
          <w:highlight w:val="yellow"/>
        </w:rPr>
        <w:t xml:space="preserve">, the more impact </w:t>
      </w:r>
      <w:r w:rsidRPr="00E85D60">
        <w:rPr>
          <w:i/>
          <w:szCs w:val="24"/>
          <w:highlight w:val="yellow"/>
        </w:rPr>
        <w:t>place</w:t>
      </w:r>
      <w:r w:rsidRPr="00E85D60">
        <w:rPr>
          <w:szCs w:val="24"/>
          <w:highlight w:val="yellow"/>
        </w:rPr>
        <w:t xml:space="preserve"> is having on an individual’s answer to the q</w:t>
      </w:r>
      <w:r w:rsidR="00215522" w:rsidRPr="00E85D60">
        <w:rPr>
          <w:szCs w:val="24"/>
          <w:highlight w:val="yellow"/>
        </w:rPr>
        <w:t>uestion (more detail on the ICC is available in Chapter 5, Section 5.4).</w:t>
      </w:r>
    </w:p>
    <w:p w14:paraId="3D90117F" w14:textId="67DA0CEC" w:rsidR="00B77E5A" w:rsidRPr="00E85D60" w:rsidRDefault="00B77E5A" w:rsidP="00B77E5A">
      <w:pPr>
        <w:rPr>
          <w:szCs w:val="24"/>
          <w:highlight w:val="yellow"/>
        </w:rPr>
      </w:pPr>
      <w:r w:rsidRPr="00E85D60">
        <w:rPr>
          <w:szCs w:val="24"/>
          <w:highlight w:val="yellow"/>
        </w:rPr>
        <w:t xml:space="preserve">The country-level variance is calculated using a null (or empty) multi-level regression model: this is a model calculated without any independent variables. This technique calculates the variance of the average for all individuals (level 1), and it also separately calculates this for all the countries (level 2). The level 2 variance can then be worked out as a percentage of the overall variance. Multi-level regression is discussed in more detail in Chapter Five, Section 5.3. </w:t>
      </w:r>
      <w:r w:rsidR="00CA4334" w:rsidRPr="00E85D60">
        <w:rPr>
          <w:szCs w:val="24"/>
          <w:highlight w:val="yellow"/>
        </w:rPr>
        <w:t>The full results can be seen in the Appendix, Figu</w:t>
      </w:r>
      <w:r w:rsidR="00612E45">
        <w:rPr>
          <w:szCs w:val="24"/>
          <w:highlight w:val="yellow"/>
        </w:rPr>
        <w:t>res A1-A10</w:t>
      </w:r>
      <w:r w:rsidR="00CA4334" w:rsidRPr="00E85D60">
        <w:rPr>
          <w:szCs w:val="24"/>
          <w:highlight w:val="yellow"/>
        </w:rPr>
        <w:t>.</w:t>
      </w:r>
    </w:p>
    <w:p w14:paraId="5AFBFB91" w14:textId="2E3D5DD3" w:rsidR="00B77E5A" w:rsidRPr="00E85D60" w:rsidRDefault="00B77E5A" w:rsidP="00B77E5A">
      <w:pPr>
        <w:rPr>
          <w:szCs w:val="24"/>
          <w:highlight w:val="yellow"/>
        </w:rPr>
      </w:pPr>
      <w:r w:rsidRPr="00E85D60">
        <w:rPr>
          <w:szCs w:val="24"/>
          <w:highlight w:val="yellow"/>
        </w:rPr>
        <w:t>It is also necessary to test whether the impact of this country level variance is significant in explaining the results. This is done with likelihood ratio tests which compare a single-level null model with a multi-level null model.</w:t>
      </w:r>
      <w:r w:rsidR="00CA4334" w:rsidRPr="00E85D60">
        <w:rPr>
          <w:szCs w:val="24"/>
          <w:highlight w:val="yellow"/>
        </w:rPr>
        <w:t xml:space="preserve"> </w:t>
      </w:r>
      <w:r w:rsidR="00EC1741" w:rsidRPr="00E85D60">
        <w:rPr>
          <w:szCs w:val="24"/>
          <w:highlight w:val="yellow"/>
        </w:rPr>
        <w:t>This is significant for all ten variables (details in Appendix</w:t>
      </w:r>
      <w:r w:rsidR="00726C45">
        <w:rPr>
          <w:szCs w:val="24"/>
          <w:highlight w:val="yellow"/>
        </w:rPr>
        <w:t>, Figures A1-A10</w:t>
      </w:r>
      <w:r w:rsidR="00EC1741" w:rsidRPr="00E85D60">
        <w:rPr>
          <w:szCs w:val="24"/>
          <w:highlight w:val="yellow"/>
        </w:rPr>
        <w:t>), demonstrating the importance of both individual and country level analysis, which justifies the multi-level approach taken in later chapters</w:t>
      </w:r>
      <w:r w:rsidR="00C807D0" w:rsidRPr="00E85D60">
        <w:rPr>
          <w:szCs w:val="24"/>
          <w:highlight w:val="yellow"/>
        </w:rPr>
        <w:t>.</w:t>
      </w:r>
    </w:p>
    <w:p w14:paraId="79C4A707" w14:textId="77777777" w:rsidR="00C807D0" w:rsidRPr="000367C8" w:rsidRDefault="00C807D0" w:rsidP="00C807D0">
      <w:pPr>
        <w:rPr>
          <w:szCs w:val="24"/>
        </w:rPr>
      </w:pPr>
      <w:r w:rsidRPr="000367C8">
        <w:rPr>
          <w:szCs w:val="24"/>
        </w:rPr>
        <w:t>The results of this table are discussed in conjunction wi</w:t>
      </w:r>
      <w:r>
        <w:rPr>
          <w:szCs w:val="24"/>
        </w:rPr>
        <w:t>th the results shown in Figure 3.5</w:t>
      </w:r>
      <w:r w:rsidRPr="000367C8">
        <w:rPr>
          <w:szCs w:val="24"/>
        </w:rPr>
        <w:t xml:space="preserve"> which shows the distribution of individual responses for the ten characteristics using bar charts.</w:t>
      </w:r>
      <w:r>
        <w:rPr>
          <w:szCs w:val="24"/>
        </w:rPr>
        <w:t xml:space="preserve"> Before discussing the results in detail, it is worth pointing out the results show that respondents are happy using all available options in the scale, and are clearly not put off choosing the more extreme values. This further justifies the use of absolute values in later analysis, discussed in Chapter 4, Section 4.2</w:t>
      </w:r>
    </w:p>
    <w:p w14:paraId="0FEEDFFE" w14:textId="7CC11528" w:rsidR="00B77E5A" w:rsidRPr="003A5664" w:rsidRDefault="00612E45" w:rsidP="005B4976">
      <w:pPr>
        <w:pStyle w:val="Caption"/>
        <w:rPr>
          <w:rFonts w:ascii="Segoe UI" w:hAnsi="Segoe UI" w:cs="Segoe UI"/>
          <w:i w:val="0"/>
          <w:szCs w:val="24"/>
          <w:highlight w:val="yellow"/>
        </w:rPr>
      </w:pPr>
      <w:bookmarkStart w:id="163" w:name="_Toc494687141"/>
      <w:r w:rsidRPr="004F3732">
        <w:rPr>
          <w:rFonts w:ascii="Segoe UI" w:hAnsi="Segoe UI" w:cs="Segoe UI"/>
          <w:i w:val="0"/>
          <w:highlight w:val="yellow"/>
        </w:rPr>
        <w:t xml:space="preserve">Figure </w:t>
      </w:r>
      <w:r w:rsidR="00994662" w:rsidRPr="004F3732">
        <w:rPr>
          <w:rFonts w:ascii="Segoe UI" w:hAnsi="Segoe UI" w:cs="Segoe UI"/>
          <w:i w:val="0"/>
          <w:highlight w:val="yellow"/>
        </w:rPr>
        <w:fldChar w:fldCharType="begin"/>
      </w:r>
      <w:r w:rsidR="00994662" w:rsidRPr="004F3732">
        <w:rPr>
          <w:rFonts w:ascii="Segoe UI" w:hAnsi="Segoe UI" w:cs="Segoe UI"/>
          <w:i w:val="0"/>
          <w:highlight w:val="yellow"/>
        </w:rPr>
        <w:instrText xml:space="preserve"> STYLEREF 1 \s </w:instrText>
      </w:r>
      <w:r w:rsidR="00994662" w:rsidRPr="004F3732">
        <w:rPr>
          <w:rFonts w:ascii="Segoe UI" w:hAnsi="Segoe UI" w:cs="Segoe UI"/>
          <w:i w:val="0"/>
          <w:highlight w:val="yellow"/>
        </w:rPr>
        <w:fldChar w:fldCharType="separate"/>
      </w:r>
      <w:r w:rsidRPr="004F3732">
        <w:rPr>
          <w:rFonts w:ascii="Segoe UI" w:hAnsi="Segoe UI" w:cs="Segoe UI"/>
          <w:i w:val="0"/>
          <w:noProof/>
          <w:highlight w:val="yellow"/>
        </w:rPr>
        <w:t>3</w:t>
      </w:r>
      <w:r w:rsidR="00994662" w:rsidRPr="004F3732">
        <w:rPr>
          <w:rFonts w:ascii="Segoe UI" w:hAnsi="Segoe UI" w:cs="Segoe UI"/>
          <w:i w:val="0"/>
          <w:noProof/>
          <w:highlight w:val="yellow"/>
        </w:rPr>
        <w:fldChar w:fldCharType="end"/>
      </w:r>
      <w:r w:rsidRPr="004F3732">
        <w:rPr>
          <w:rFonts w:ascii="Segoe UI" w:hAnsi="Segoe UI" w:cs="Segoe UI"/>
          <w:i w:val="0"/>
          <w:highlight w:val="yellow"/>
        </w:rPr>
        <w:t>:</w:t>
      </w:r>
      <w:r w:rsidR="00994662" w:rsidRPr="004F3732">
        <w:rPr>
          <w:rFonts w:ascii="Segoe UI" w:hAnsi="Segoe UI" w:cs="Segoe UI"/>
          <w:i w:val="0"/>
          <w:highlight w:val="yellow"/>
        </w:rPr>
        <w:fldChar w:fldCharType="begin"/>
      </w:r>
      <w:r w:rsidR="00994662" w:rsidRPr="004F3732">
        <w:rPr>
          <w:rFonts w:ascii="Segoe UI" w:hAnsi="Segoe UI" w:cs="Segoe UI"/>
          <w:i w:val="0"/>
          <w:highlight w:val="yellow"/>
        </w:rPr>
        <w:instrText xml:space="preserve"> SEQ Figure \* ARABIC \s 1 </w:instrText>
      </w:r>
      <w:r w:rsidR="00994662" w:rsidRPr="004F3732">
        <w:rPr>
          <w:rFonts w:ascii="Segoe UI" w:hAnsi="Segoe UI" w:cs="Segoe UI"/>
          <w:i w:val="0"/>
          <w:highlight w:val="yellow"/>
        </w:rPr>
        <w:fldChar w:fldCharType="separate"/>
      </w:r>
      <w:r w:rsidRPr="004F3732">
        <w:rPr>
          <w:rFonts w:ascii="Segoe UI" w:hAnsi="Segoe UI" w:cs="Segoe UI"/>
          <w:i w:val="0"/>
          <w:noProof/>
          <w:highlight w:val="yellow"/>
        </w:rPr>
        <w:t>4</w:t>
      </w:r>
      <w:r w:rsidR="00994662" w:rsidRPr="004F3732">
        <w:rPr>
          <w:rFonts w:ascii="Segoe UI" w:hAnsi="Segoe UI" w:cs="Segoe UI"/>
          <w:i w:val="0"/>
          <w:noProof/>
          <w:highlight w:val="yellow"/>
        </w:rPr>
        <w:fldChar w:fldCharType="end"/>
      </w:r>
      <w:r w:rsidRPr="004F3732">
        <w:rPr>
          <w:rFonts w:ascii="Segoe UI" w:hAnsi="Segoe UI" w:cs="Segoe UI"/>
          <w:i w:val="0"/>
          <w:highlight w:val="yellow"/>
        </w:rPr>
        <w:t xml:space="preserve"> </w:t>
      </w:r>
      <w:r w:rsidR="005B4976" w:rsidRPr="004F3732">
        <w:rPr>
          <w:rFonts w:ascii="Segoe UI" w:hAnsi="Segoe UI" w:cs="Segoe UI"/>
          <w:i w:val="0"/>
          <w:highlight w:val="yellow"/>
        </w:rPr>
        <w:t xml:space="preserve"> </w:t>
      </w:r>
      <w:r w:rsidR="00EC1741" w:rsidRPr="003A5664">
        <w:rPr>
          <w:rFonts w:ascii="Segoe UI" w:hAnsi="Segoe UI" w:cs="Segoe UI"/>
          <w:i w:val="0"/>
          <w:highlight w:val="yellow"/>
        </w:rPr>
        <w:t xml:space="preserve">Mean and Standard Deviation of </w:t>
      </w:r>
      <w:r w:rsidR="005B4976" w:rsidRPr="003A5664">
        <w:rPr>
          <w:rFonts w:ascii="Segoe UI" w:hAnsi="Segoe UI" w:cs="Segoe UI"/>
          <w:i w:val="0"/>
          <w:highlight w:val="yellow"/>
        </w:rPr>
        <w:t>Democratic Characteristics</w:t>
      </w:r>
      <w:r w:rsidR="00DB0BB9" w:rsidRPr="003A5664">
        <w:rPr>
          <w:rFonts w:ascii="Segoe UI" w:hAnsi="Segoe UI" w:cs="Segoe UI"/>
          <w:i w:val="0"/>
          <w:highlight w:val="yellow"/>
        </w:rPr>
        <w:t xml:space="preserve"> (0 Not essential – 10 essential) </w:t>
      </w:r>
      <w:r w:rsidR="00EC1741" w:rsidRPr="003A5664">
        <w:rPr>
          <w:rFonts w:ascii="Segoe UI" w:hAnsi="Segoe UI" w:cs="Segoe UI"/>
          <w:i w:val="0"/>
          <w:highlight w:val="yellow"/>
        </w:rPr>
        <w:t>and Country Level ICC</w:t>
      </w:r>
      <w:bookmarkEnd w:id="163"/>
      <w:r w:rsidR="003A5664">
        <w:rPr>
          <w:rFonts w:ascii="Segoe UI" w:hAnsi="Segoe UI" w:cs="Segoe UI"/>
          <w:i w:val="0"/>
          <w:highlight w:val="yellow"/>
        </w:rPr>
        <w:t xml:space="preserve"> as a %</w:t>
      </w:r>
    </w:p>
    <w:tbl>
      <w:tblPr>
        <w:tblW w:w="6856" w:type="dxa"/>
        <w:jc w:val="center"/>
        <w:tblCellMar>
          <w:left w:w="10" w:type="dxa"/>
          <w:right w:w="10" w:type="dxa"/>
        </w:tblCellMar>
        <w:tblLook w:val="0000" w:firstRow="0" w:lastRow="0" w:firstColumn="0" w:lastColumn="0" w:noHBand="0" w:noVBand="0"/>
      </w:tblPr>
      <w:tblGrid>
        <w:gridCol w:w="2822"/>
        <w:gridCol w:w="604"/>
        <w:gridCol w:w="1899"/>
        <w:gridCol w:w="1531"/>
      </w:tblGrid>
      <w:tr w:rsidR="00145CDC" w:rsidRPr="00E85D60" w14:paraId="7405E71D" w14:textId="77777777" w:rsidTr="00145CDC">
        <w:trPr>
          <w:trHeight w:val="850"/>
          <w:jc w:val="center"/>
        </w:trPr>
        <w:tc>
          <w:tcPr>
            <w:tcW w:w="2822" w:type="dxa"/>
            <w:tcBorders>
              <w:bottom w:val="single" w:sz="4" w:space="0" w:color="auto"/>
            </w:tcBorders>
            <w:shd w:val="clear" w:color="auto" w:fill="auto"/>
            <w:tcMar>
              <w:top w:w="0" w:type="dxa"/>
              <w:left w:w="108" w:type="dxa"/>
              <w:bottom w:w="0" w:type="dxa"/>
              <w:right w:w="108" w:type="dxa"/>
            </w:tcMar>
            <w:vAlign w:val="center"/>
          </w:tcPr>
          <w:p w14:paraId="09E4437B" w14:textId="77777777" w:rsidR="00145CDC" w:rsidRPr="00E85D60" w:rsidRDefault="00145CDC" w:rsidP="00145CDC">
            <w:pPr>
              <w:spacing w:before="0" w:line="240" w:lineRule="auto"/>
              <w:rPr>
                <w:rFonts w:eastAsia="SimSun"/>
                <w:b/>
                <w:bCs/>
                <w:sz w:val="20"/>
                <w:szCs w:val="20"/>
                <w:highlight w:val="yellow"/>
                <w:lang w:eastAsia="zh-CN"/>
              </w:rPr>
            </w:pPr>
            <w:bookmarkStart w:id="164" w:name="_Hlk485896979"/>
          </w:p>
        </w:tc>
        <w:tc>
          <w:tcPr>
            <w:tcW w:w="2503" w:type="dxa"/>
            <w:gridSpan w:val="2"/>
            <w:tcBorders>
              <w:bottom w:val="single" w:sz="4" w:space="0" w:color="auto"/>
              <w:right w:val="single" w:sz="4" w:space="0" w:color="auto"/>
            </w:tcBorders>
            <w:shd w:val="clear" w:color="auto" w:fill="auto"/>
            <w:tcMar>
              <w:top w:w="0" w:type="dxa"/>
              <w:left w:w="10" w:type="dxa"/>
              <w:bottom w:w="0" w:type="dxa"/>
              <w:right w:w="10" w:type="dxa"/>
            </w:tcMar>
            <w:vAlign w:val="center"/>
          </w:tcPr>
          <w:p w14:paraId="5D349383" w14:textId="19E28F76" w:rsidR="00145CDC" w:rsidRPr="00E85D60" w:rsidRDefault="00145CDC" w:rsidP="00EC1741">
            <w:pPr>
              <w:spacing w:before="0" w:line="240" w:lineRule="auto"/>
              <w:jc w:val="center"/>
              <w:rPr>
                <w:b/>
                <w:bCs/>
                <w:i/>
                <w:sz w:val="20"/>
                <w:szCs w:val="20"/>
                <w:highlight w:val="yellow"/>
              </w:rPr>
            </w:pPr>
            <w:r w:rsidRPr="00E85D60">
              <w:rPr>
                <w:rFonts w:eastAsia="SimSun"/>
                <w:b/>
                <w:bCs/>
                <w:i/>
                <w:sz w:val="20"/>
                <w:szCs w:val="20"/>
                <w:highlight w:val="yellow"/>
                <w:lang w:eastAsia="zh-CN"/>
              </w:rPr>
              <w:t>Individual (45,454)</w:t>
            </w:r>
          </w:p>
        </w:tc>
        <w:tc>
          <w:tcPr>
            <w:tcW w:w="1531" w:type="dxa"/>
            <w:tcBorders>
              <w:left w:val="single" w:sz="4" w:space="0" w:color="auto"/>
              <w:bottom w:val="single" w:sz="4" w:space="0" w:color="auto"/>
            </w:tcBorders>
            <w:shd w:val="clear" w:color="auto" w:fill="auto"/>
            <w:tcMar>
              <w:top w:w="0" w:type="dxa"/>
              <w:left w:w="108" w:type="dxa"/>
              <w:bottom w:w="0" w:type="dxa"/>
              <w:right w:w="108" w:type="dxa"/>
            </w:tcMar>
            <w:vAlign w:val="center"/>
          </w:tcPr>
          <w:p w14:paraId="450BE2BB" w14:textId="0E5B04A1" w:rsidR="00145CDC" w:rsidRPr="00E85D60" w:rsidRDefault="00145CDC" w:rsidP="00EC1741">
            <w:pPr>
              <w:spacing w:before="0" w:line="240" w:lineRule="auto"/>
              <w:jc w:val="center"/>
              <w:rPr>
                <w:rFonts w:eastAsia="SimSun"/>
                <w:b/>
                <w:bCs/>
                <w:i/>
                <w:sz w:val="20"/>
                <w:szCs w:val="20"/>
                <w:highlight w:val="yellow"/>
                <w:lang w:eastAsia="zh-CN"/>
              </w:rPr>
            </w:pPr>
            <w:r w:rsidRPr="00E85D60">
              <w:rPr>
                <w:rFonts w:eastAsia="SimSun"/>
                <w:b/>
                <w:bCs/>
                <w:i/>
                <w:sz w:val="20"/>
                <w:szCs w:val="20"/>
                <w:highlight w:val="yellow"/>
                <w:lang w:eastAsia="zh-CN"/>
              </w:rPr>
              <w:t>Country (46)</w:t>
            </w:r>
          </w:p>
        </w:tc>
      </w:tr>
      <w:tr w:rsidR="00B77E5A" w:rsidRPr="00E85D60" w14:paraId="547F36A8" w14:textId="77777777" w:rsidTr="00145CDC">
        <w:trPr>
          <w:trHeight w:val="850"/>
          <w:jc w:val="center"/>
        </w:trPr>
        <w:tc>
          <w:tcPr>
            <w:tcW w:w="2822" w:type="dxa"/>
            <w:tcBorders>
              <w:bottom w:val="single" w:sz="4" w:space="0" w:color="auto"/>
            </w:tcBorders>
            <w:shd w:val="clear" w:color="auto" w:fill="auto"/>
            <w:tcMar>
              <w:top w:w="0" w:type="dxa"/>
              <w:left w:w="108" w:type="dxa"/>
              <w:bottom w:w="0" w:type="dxa"/>
              <w:right w:w="108" w:type="dxa"/>
            </w:tcMar>
            <w:vAlign w:val="center"/>
          </w:tcPr>
          <w:p w14:paraId="5A13BF7B" w14:textId="77777777" w:rsidR="00B77E5A" w:rsidRPr="00E85D60" w:rsidRDefault="00B77E5A" w:rsidP="00145CDC">
            <w:pPr>
              <w:spacing w:before="0" w:line="240" w:lineRule="auto"/>
              <w:rPr>
                <w:rFonts w:eastAsia="SimSun"/>
                <w:b/>
                <w:bCs/>
                <w:sz w:val="20"/>
                <w:szCs w:val="20"/>
                <w:highlight w:val="yellow"/>
                <w:lang w:eastAsia="zh-CN"/>
              </w:rPr>
            </w:pPr>
            <w:bookmarkStart w:id="165" w:name="_Hlk485891535"/>
            <w:r w:rsidRPr="00E85D60">
              <w:rPr>
                <w:rFonts w:eastAsia="SimSun"/>
                <w:b/>
                <w:bCs/>
                <w:sz w:val="20"/>
                <w:szCs w:val="20"/>
                <w:highlight w:val="yellow"/>
                <w:lang w:eastAsia="zh-CN"/>
              </w:rPr>
              <w:t>Characteristic</w:t>
            </w:r>
          </w:p>
        </w:tc>
        <w:tc>
          <w:tcPr>
            <w:tcW w:w="604" w:type="dxa"/>
            <w:tcBorders>
              <w:bottom w:val="single" w:sz="4" w:space="0" w:color="auto"/>
            </w:tcBorders>
            <w:shd w:val="clear" w:color="auto" w:fill="auto"/>
            <w:tcMar>
              <w:top w:w="0" w:type="dxa"/>
              <w:left w:w="10" w:type="dxa"/>
              <w:bottom w:w="0" w:type="dxa"/>
              <w:right w:w="10" w:type="dxa"/>
            </w:tcMar>
            <w:vAlign w:val="center"/>
          </w:tcPr>
          <w:p w14:paraId="42A5B1F7" w14:textId="214367E6" w:rsidR="00B77E5A" w:rsidRPr="00E85D60" w:rsidRDefault="00145CDC" w:rsidP="00EC1741">
            <w:pPr>
              <w:spacing w:before="0" w:line="240" w:lineRule="auto"/>
              <w:jc w:val="center"/>
              <w:rPr>
                <w:sz w:val="20"/>
                <w:szCs w:val="20"/>
                <w:highlight w:val="yellow"/>
              </w:rPr>
            </w:pPr>
            <w:r w:rsidRPr="00E85D60">
              <w:rPr>
                <w:rFonts w:eastAsia="SimSun"/>
                <w:b/>
                <w:bCs/>
                <w:sz w:val="20"/>
                <w:szCs w:val="20"/>
                <w:highlight w:val="yellow"/>
                <w:lang w:eastAsia="zh-CN"/>
              </w:rPr>
              <w:t>Mean</w:t>
            </w:r>
          </w:p>
        </w:tc>
        <w:tc>
          <w:tcPr>
            <w:tcW w:w="1899" w:type="dxa"/>
            <w:tcBorders>
              <w:bottom w:val="single" w:sz="4" w:space="0" w:color="auto"/>
              <w:right w:val="single" w:sz="4" w:space="0" w:color="auto"/>
            </w:tcBorders>
            <w:shd w:val="clear" w:color="auto" w:fill="auto"/>
            <w:tcMar>
              <w:top w:w="0" w:type="dxa"/>
              <w:left w:w="108" w:type="dxa"/>
              <w:bottom w:w="0" w:type="dxa"/>
              <w:right w:w="108" w:type="dxa"/>
            </w:tcMar>
            <w:vAlign w:val="center"/>
          </w:tcPr>
          <w:p w14:paraId="69A93A3A" w14:textId="77777777" w:rsidR="00B77E5A" w:rsidRPr="00E85D60" w:rsidRDefault="00B77E5A" w:rsidP="00EC1741">
            <w:pPr>
              <w:spacing w:before="0" w:line="240" w:lineRule="auto"/>
              <w:jc w:val="center"/>
              <w:rPr>
                <w:sz w:val="20"/>
                <w:szCs w:val="20"/>
                <w:highlight w:val="yellow"/>
              </w:rPr>
            </w:pPr>
            <w:r w:rsidRPr="00E85D60">
              <w:rPr>
                <w:b/>
                <w:bCs/>
                <w:sz w:val="20"/>
                <w:szCs w:val="20"/>
                <w:highlight w:val="yellow"/>
              </w:rPr>
              <w:t>Std. Dvt.</w:t>
            </w:r>
          </w:p>
        </w:tc>
        <w:tc>
          <w:tcPr>
            <w:tcW w:w="1531" w:type="dxa"/>
            <w:tcBorders>
              <w:left w:val="single" w:sz="4" w:space="0" w:color="auto"/>
              <w:bottom w:val="single" w:sz="4" w:space="0" w:color="auto"/>
            </w:tcBorders>
            <w:shd w:val="clear" w:color="auto" w:fill="auto"/>
            <w:tcMar>
              <w:top w:w="0" w:type="dxa"/>
              <w:left w:w="108" w:type="dxa"/>
              <w:bottom w:w="0" w:type="dxa"/>
              <w:right w:w="108" w:type="dxa"/>
            </w:tcMar>
            <w:vAlign w:val="center"/>
          </w:tcPr>
          <w:p w14:paraId="1C2BB9AF" w14:textId="5EFF0967" w:rsidR="00B77E5A" w:rsidRPr="00E85D60" w:rsidRDefault="00F63277" w:rsidP="00EC1741">
            <w:pPr>
              <w:spacing w:before="0" w:line="240" w:lineRule="auto"/>
              <w:jc w:val="center"/>
              <w:rPr>
                <w:sz w:val="20"/>
                <w:szCs w:val="20"/>
                <w:highlight w:val="yellow"/>
              </w:rPr>
            </w:pPr>
            <w:r w:rsidRPr="00E85D60">
              <w:rPr>
                <w:rFonts w:eastAsia="SimSun"/>
                <w:b/>
                <w:bCs/>
                <w:sz w:val="20"/>
                <w:szCs w:val="20"/>
                <w:highlight w:val="yellow"/>
                <w:lang w:eastAsia="zh-CN"/>
              </w:rPr>
              <w:t>ICC</w:t>
            </w:r>
          </w:p>
        </w:tc>
      </w:tr>
      <w:tr w:rsidR="00B77E5A" w:rsidRPr="00E85D60" w14:paraId="2BBFE650" w14:textId="77777777" w:rsidTr="00145CDC">
        <w:trPr>
          <w:trHeight w:val="403"/>
          <w:jc w:val="center"/>
        </w:trPr>
        <w:tc>
          <w:tcPr>
            <w:tcW w:w="2822" w:type="dxa"/>
            <w:tcBorders>
              <w:top w:val="single" w:sz="4" w:space="0" w:color="auto"/>
            </w:tcBorders>
            <w:shd w:val="clear" w:color="auto" w:fill="FFFFFF"/>
            <w:tcMar>
              <w:top w:w="0" w:type="dxa"/>
              <w:left w:w="108" w:type="dxa"/>
              <w:bottom w:w="0" w:type="dxa"/>
              <w:right w:w="108" w:type="dxa"/>
            </w:tcMar>
            <w:vAlign w:val="center"/>
          </w:tcPr>
          <w:p w14:paraId="2F609AD5" w14:textId="77777777" w:rsidR="00B77E5A" w:rsidRPr="00E85D60" w:rsidRDefault="00B77E5A" w:rsidP="000D5E5F">
            <w:pPr>
              <w:spacing w:before="100" w:beforeAutospacing="1"/>
              <w:rPr>
                <w:sz w:val="20"/>
                <w:szCs w:val="20"/>
                <w:highlight w:val="yellow"/>
              </w:rPr>
            </w:pPr>
            <w:r w:rsidRPr="00E85D60">
              <w:rPr>
                <w:rFonts w:eastAsia="SimSun"/>
                <w:i/>
                <w:iCs/>
                <w:sz w:val="20"/>
                <w:szCs w:val="20"/>
                <w:highlight w:val="yellow"/>
                <w:lang w:eastAsia="zh-CN"/>
              </w:rPr>
              <w:t>Procedural Characteristics</w:t>
            </w:r>
          </w:p>
        </w:tc>
        <w:tc>
          <w:tcPr>
            <w:tcW w:w="604" w:type="dxa"/>
            <w:tcBorders>
              <w:top w:val="single" w:sz="4" w:space="0" w:color="auto"/>
            </w:tcBorders>
            <w:shd w:val="clear" w:color="auto" w:fill="FFFFFF"/>
            <w:tcMar>
              <w:top w:w="0" w:type="dxa"/>
              <w:left w:w="10" w:type="dxa"/>
              <w:bottom w:w="0" w:type="dxa"/>
              <w:right w:w="10" w:type="dxa"/>
            </w:tcMar>
            <w:vAlign w:val="center"/>
          </w:tcPr>
          <w:p w14:paraId="2820A204" w14:textId="77777777" w:rsidR="00B77E5A" w:rsidRPr="00E85D60" w:rsidRDefault="00B77E5A" w:rsidP="000D5E5F">
            <w:pPr>
              <w:spacing w:before="100" w:beforeAutospacing="1"/>
              <w:rPr>
                <w:rFonts w:eastAsia="SimSun"/>
                <w:b/>
                <w:bCs/>
                <w:sz w:val="20"/>
                <w:szCs w:val="20"/>
                <w:highlight w:val="yellow"/>
                <w:lang w:eastAsia="zh-CN"/>
              </w:rPr>
            </w:pPr>
          </w:p>
        </w:tc>
        <w:tc>
          <w:tcPr>
            <w:tcW w:w="1899" w:type="dxa"/>
            <w:tcBorders>
              <w:top w:val="single" w:sz="4" w:space="0" w:color="auto"/>
              <w:right w:val="single" w:sz="4" w:space="0" w:color="auto"/>
            </w:tcBorders>
            <w:shd w:val="clear" w:color="auto" w:fill="FFFFFF"/>
            <w:tcMar>
              <w:top w:w="0" w:type="dxa"/>
              <w:left w:w="108" w:type="dxa"/>
              <w:bottom w:w="0" w:type="dxa"/>
              <w:right w:w="108" w:type="dxa"/>
            </w:tcMar>
            <w:vAlign w:val="center"/>
          </w:tcPr>
          <w:p w14:paraId="06F4359E" w14:textId="77777777" w:rsidR="00B77E5A" w:rsidRPr="00E85D60" w:rsidRDefault="00B77E5A" w:rsidP="000D5E5F">
            <w:pPr>
              <w:spacing w:before="100" w:beforeAutospacing="1"/>
              <w:rPr>
                <w:rFonts w:eastAsia="SimSun"/>
                <w:b/>
                <w:bCs/>
                <w:sz w:val="20"/>
                <w:szCs w:val="20"/>
                <w:highlight w:val="yellow"/>
                <w:lang w:eastAsia="zh-CN"/>
              </w:rPr>
            </w:pPr>
          </w:p>
        </w:tc>
        <w:tc>
          <w:tcPr>
            <w:tcW w:w="1531" w:type="dxa"/>
            <w:tcBorders>
              <w:top w:val="single" w:sz="4" w:space="0" w:color="auto"/>
              <w:left w:val="single" w:sz="4" w:space="0" w:color="auto"/>
            </w:tcBorders>
            <w:shd w:val="clear" w:color="auto" w:fill="FFFFFF"/>
            <w:tcMar>
              <w:top w:w="0" w:type="dxa"/>
              <w:left w:w="108" w:type="dxa"/>
              <w:bottom w:w="0" w:type="dxa"/>
              <w:right w:w="108" w:type="dxa"/>
            </w:tcMar>
            <w:vAlign w:val="center"/>
          </w:tcPr>
          <w:p w14:paraId="61B9B0C8" w14:textId="77777777" w:rsidR="00B77E5A" w:rsidRPr="00E85D60" w:rsidRDefault="00B77E5A" w:rsidP="000D5E5F">
            <w:pPr>
              <w:spacing w:before="100" w:beforeAutospacing="1"/>
              <w:rPr>
                <w:rFonts w:eastAsia="SimSun"/>
                <w:b/>
                <w:bCs/>
                <w:sz w:val="20"/>
                <w:szCs w:val="20"/>
                <w:highlight w:val="yellow"/>
                <w:lang w:eastAsia="zh-CN"/>
              </w:rPr>
            </w:pPr>
          </w:p>
        </w:tc>
      </w:tr>
      <w:tr w:rsidR="00B77E5A" w:rsidRPr="00E85D60" w14:paraId="3F419FE6" w14:textId="77777777" w:rsidTr="00145CDC">
        <w:trPr>
          <w:trHeight w:val="403"/>
          <w:jc w:val="center"/>
        </w:trPr>
        <w:tc>
          <w:tcPr>
            <w:tcW w:w="2822" w:type="dxa"/>
            <w:shd w:val="clear" w:color="auto" w:fill="FFFFFF"/>
            <w:tcMar>
              <w:top w:w="0" w:type="dxa"/>
              <w:left w:w="108" w:type="dxa"/>
              <w:bottom w:w="0" w:type="dxa"/>
              <w:right w:w="108" w:type="dxa"/>
            </w:tcMar>
            <w:vAlign w:val="center"/>
          </w:tcPr>
          <w:p w14:paraId="7BF355FD" w14:textId="5A248D1A"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Free Elections</w:t>
            </w:r>
          </w:p>
        </w:tc>
        <w:tc>
          <w:tcPr>
            <w:tcW w:w="604" w:type="dxa"/>
            <w:shd w:val="clear" w:color="auto" w:fill="FFFFFF"/>
            <w:tcMar>
              <w:top w:w="0" w:type="dxa"/>
              <w:left w:w="10" w:type="dxa"/>
              <w:bottom w:w="0" w:type="dxa"/>
              <w:right w:w="10" w:type="dxa"/>
            </w:tcMar>
            <w:vAlign w:val="center"/>
          </w:tcPr>
          <w:p w14:paraId="4136BD53"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8.58</w:t>
            </w:r>
          </w:p>
        </w:tc>
        <w:tc>
          <w:tcPr>
            <w:tcW w:w="1899" w:type="dxa"/>
            <w:tcBorders>
              <w:right w:val="single" w:sz="4" w:space="0" w:color="auto"/>
            </w:tcBorders>
            <w:shd w:val="clear" w:color="auto" w:fill="FFFFFF"/>
            <w:tcMar>
              <w:top w:w="0" w:type="dxa"/>
              <w:left w:w="108" w:type="dxa"/>
              <w:bottom w:w="0" w:type="dxa"/>
              <w:right w:w="108" w:type="dxa"/>
            </w:tcMar>
            <w:vAlign w:val="center"/>
          </w:tcPr>
          <w:p w14:paraId="6C0A0113"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2.17</w:t>
            </w:r>
          </w:p>
        </w:tc>
        <w:tc>
          <w:tcPr>
            <w:tcW w:w="1531" w:type="dxa"/>
            <w:tcBorders>
              <w:left w:val="single" w:sz="4" w:space="0" w:color="auto"/>
            </w:tcBorders>
            <w:shd w:val="clear" w:color="auto" w:fill="FFFFFF"/>
            <w:tcMar>
              <w:top w:w="0" w:type="dxa"/>
              <w:left w:w="108" w:type="dxa"/>
              <w:bottom w:w="0" w:type="dxa"/>
              <w:right w:w="108" w:type="dxa"/>
            </w:tcMar>
            <w:vAlign w:val="center"/>
          </w:tcPr>
          <w:p w14:paraId="56D833A2" w14:textId="4B2DFD53"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5.9</w:t>
            </w:r>
            <w:r w:rsidR="00B77E5A" w:rsidRPr="00E85D60">
              <w:rPr>
                <w:rFonts w:eastAsia="SimSun"/>
                <w:sz w:val="20"/>
                <w:szCs w:val="20"/>
                <w:highlight w:val="yellow"/>
                <w:lang w:eastAsia="zh-CN"/>
              </w:rPr>
              <w:t>%</w:t>
            </w:r>
          </w:p>
        </w:tc>
      </w:tr>
      <w:tr w:rsidR="00B77E5A" w:rsidRPr="00E85D60" w14:paraId="260D019A" w14:textId="77777777" w:rsidTr="00145CDC">
        <w:trPr>
          <w:trHeight w:val="448"/>
          <w:jc w:val="center"/>
        </w:trPr>
        <w:tc>
          <w:tcPr>
            <w:tcW w:w="2822" w:type="dxa"/>
            <w:shd w:val="clear" w:color="auto" w:fill="FFFFFF"/>
            <w:tcMar>
              <w:top w:w="0" w:type="dxa"/>
              <w:left w:w="108" w:type="dxa"/>
              <w:bottom w:w="0" w:type="dxa"/>
              <w:right w:w="108" w:type="dxa"/>
            </w:tcMar>
            <w:vAlign w:val="center"/>
          </w:tcPr>
          <w:p w14:paraId="53A0106C" w14:textId="1CE96356"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Equal Gender Rights</w:t>
            </w:r>
          </w:p>
        </w:tc>
        <w:tc>
          <w:tcPr>
            <w:tcW w:w="604" w:type="dxa"/>
            <w:shd w:val="clear" w:color="auto" w:fill="FFFFFF"/>
            <w:tcMar>
              <w:top w:w="0" w:type="dxa"/>
              <w:left w:w="10" w:type="dxa"/>
              <w:bottom w:w="0" w:type="dxa"/>
              <w:right w:w="10" w:type="dxa"/>
            </w:tcMar>
            <w:vAlign w:val="center"/>
          </w:tcPr>
          <w:p w14:paraId="3EA2DF38"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8.51</w:t>
            </w:r>
          </w:p>
        </w:tc>
        <w:tc>
          <w:tcPr>
            <w:tcW w:w="1899" w:type="dxa"/>
            <w:tcBorders>
              <w:right w:val="single" w:sz="4" w:space="0" w:color="auto"/>
            </w:tcBorders>
            <w:shd w:val="clear" w:color="auto" w:fill="FFFFFF"/>
            <w:tcMar>
              <w:top w:w="0" w:type="dxa"/>
              <w:left w:w="108" w:type="dxa"/>
              <w:bottom w:w="0" w:type="dxa"/>
              <w:right w:w="108" w:type="dxa"/>
            </w:tcMar>
            <w:vAlign w:val="center"/>
          </w:tcPr>
          <w:p w14:paraId="095A34F9"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2.32</w:t>
            </w:r>
          </w:p>
        </w:tc>
        <w:tc>
          <w:tcPr>
            <w:tcW w:w="1531" w:type="dxa"/>
            <w:tcBorders>
              <w:left w:val="single" w:sz="4" w:space="0" w:color="auto"/>
            </w:tcBorders>
            <w:shd w:val="clear" w:color="auto" w:fill="FFFFFF"/>
            <w:tcMar>
              <w:top w:w="0" w:type="dxa"/>
              <w:left w:w="108" w:type="dxa"/>
              <w:bottom w:w="0" w:type="dxa"/>
              <w:right w:w="108" w:type="dxa"/>
            </w:tcMar>
            <w:vAlign w:val="center"/>
          </w:tcPr>
          <w:p w14:paraId="64AEEED3" w14:textId="0779AE6D"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7.4</w:t>
            </w:r>
            <w:r w:rsidR="00B77E5A" w:rsidRPr="00E85D60">
              <w:rPr>
                <w:rFonts w:eastAsia="SimSun"/>
                <w:sz w:val="20"/>
                <w:szCs w:val="20"/>
                <w:highlight w:val="yellow"/>
                <w:lang w:eastAsia="zh-CN"/>
              </w:rPr>
              <w:t>%</w:t>
            </w:r>
          </w:p>
        </w:tc>
      </w:tr>
      <w:tr w:rsidR="00B77E5A" w:rsidRPr="00E85D60" w14:paraId="4BF9FB2E" w14:textId="77777777" w:rsidTr="00145CDC">
        <w:trPr>
          <w:trHeight w:val="403"/>
          <w:jc w:val="center"/>
        </w:trPr>
        <w:tc>
          <w:tcPr>
            <w:tcW w:w="2822" w:type="dxa"/>
            <w:shd w:val="clear" w:color="auto" w:fill="FFFFFF"/>
            <w:tcMar>
              <w:top w:w="0" w:type="dxa"/>
              <w:left w:w="108" w:type="dxa"/>
              <w:bottom w:w="0" w:type="dxa"/>
              <w:right w:w="108" w:type="dxa"/>
            </w:tcMar>
            <w:vAlign w:val="center"/>
          </w:tcPr>
          <w:p w14:paraId="5C032877" w14:textId="2E326D2A"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Civil Rights</w:t>
            </w:r>
          </w:p>
        </w:tc>
        <w:tc>
          <w:tcPr>
            <w:tcW w:w="604" w:type="dxa"/>
            <w:shd w:val="clear" w:color="auto" w:fill="FFFFFF"/>
            <w:tcMar>
              <w:top w:w="0" w:type="dxa"/>
              <w:left w:w="10" w:type="dxa"/>
              <w:bottom w:w="0" w:type="dxa"/>
              <w:right w:w="10" w:type="dxa"/>
            </w:tcMar>
            <w:vAlign w:val="center"/>
          </w:tcPr>
          <w:p w14:paraId="00344DED"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8.02</w:t>
            </w:r>
          </w:p>
        </w:tc>
        <w:tc>
          <w:tcPr>
            <w:tcW w:w="1899" w:type="dxa"/>
            <w:tcBorders>
              <w:right w:val="single" w:sz="4" w:space="0" w:color="auto"/>
            </w:tcBorders>
            <w:shd w:val="clear" w:color="auto" w:fill="FFFFFF"/>
            <w:tcMar>
              <w:top w:w="0" w:type="dxa"/>
              <w:left w:w="108" w:type="dxa"/>
              <w:bottom w:w="0" w:type="dxa"/>
              <w:right w:w="108" w:type="dxa"/>
            </w:tcMar>
            <w:vAlign w:val="center"/>
          </w:tcPr>
          <w:p w14:paraId="719E37C4"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2.44</w:t>
            </w:r>
          </w:p>
        </w:tc>
        <w:tc>
          <w:tcPr>
            <w:tcW w:w="1531" w:type="dxa"/>
            <w:tcBorders>
              <w:left w:val="single" w:sz="4" w:space="0" w:color="auto"/>
            </w:tcBorders>
            <w:shd w:val="clear" w:color="auto" w:fill="FFFFFF"/>
            <w:tcMar>
              <w:top w:w="0" w:type="dxa"/>
              <w:left w:w="108" w:type="dxa"/>
              <w:bottom w:w="0" w:type="dxa"/>
              <w:right w:w="108" w:type="dxa"/>
            </w:tcMar>
            <w:vAlign w:val="center"/>
          </w:tcPr>
          <w:p w14:paraId="5DCE3CA9" w14:textId="3A0D6553"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11.8</w:t>
            </w:r>
            <w:r w:rsidR="00B77E5A" w:rsidRPr="00E85D60">
              <w:rPr>
                <w:rFonts w:eastAsia="SimSun"/>
                <w:sz w:val="20"/>
                <w:szCs w:val="20"/>
                <w:highlight w:val="yellow"/>
                <w:lang w:eastAsia="zh-CN"/>
              </w:rPr>
              <w:t>%</w:t>
            </w:r>
          </w:p>
        </w:tc>
      </w:tr>
      <w:tr w:rsidR="00B77E5A" w:rsidRPr="00E85D60" w14:paraId="43FA8D1E" w14:textId="77777777" w:rsidTr="00145CDC">
        <w:trPr>
          <w:trHeight w:val="403"/>
          <w:jc w:val="center"/>
        </w:trPr>
        <w:tc>
          <w:tcPr>
            <w:tcW w:w="2822" w:type="dxa"/>
            <w:shd w:val="clear" w:color="auto" w:fill="FFFFFF"/>
            <w:tcMar>
              <w:top w:w="0" w:type="dxa"/>
              <w:left w:w="108" w:type="dxa"/>
              <w:bottom w:w="0" w:type="dxa"/>
              <w:right w:w="108" w:type="dxa"/>
            </w:tcMar>
            <w:vAlign w:val="center"/>
          </w:tcPr>
          <w:p w14:paraId="5026011B" w14:textId="5813051A"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Referendum</w:t>
            </w:r>
          </w:p>
        </w:tc>
        <w:tc>
          <w:tcPr>
            <w:tcW w:w="604" w:type="dxa"/>
            <w:shd w:val="clear" w:color="auto" w:fill="FFFFFF"/>
            <w:tcMar>
              <w:top w:w="0" w:type="dxa"/>
              <w:left w:w="10" w:type="dxa"/>
              <w:bottom w:w="0" w:type="dxa"/>
              <w:right w:w="10" w:type="dxa"/>
            </w:tcMar>
            <w:vAlign w:val="center"/>
          </w:tcPr>
          <w:p w14:paraId="5D054A24"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7.93</w:t>
            </w:r>
          </w:p>
        </w:tc>
        <w:tc>
          <w:tcPr>
            <w:tcW w:w="1899" w:type="dxa"/>
            <w:tcBorders>
              <w:right w:val="single" w:sz="4" w:space="0" w:color="auto"/>
            </w:tcBorders>
            <w:shd w:val="clear" w:color="auto" w:fill="FFFFFF"/>
            <w:tcMar>
              <w:top w:w="0" w:type="dxa"/>
              <w:left w:w="108" w:type="dxa"/>
              <w:bottom w:w="0" w:type="dxa"/>
              <w:right w:w="108" w:type="dxa"/>
            </w:tcMar>
            <w:vAlign w:val="center"/>
          </w:tcPr>
          <w:p w14:paraId="2EFA1F0C"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2.51</w:t>
            </w:r>
          </w:p>
        </w:tc>
        <w:tc>
          <w:tcPr>
            <w:tcW w:w="1531" w:type="dxa"/>
            <w:tcBorders>
              <w:left w:val="single" w:sz="4" w:space="0" w:color="auto"/>
            </w:tcBorders>
            <w:shd w:val="clear" w:color="auto" w:fill="FFFFFF"/>
            <w:tcMar>
              <w:top w:w="0" w:type="dxa"/>
              <w:left w:w="108" w:type="dxa"/>
              <w:bottom w:w="0" w:type="dxa"/>
              <w:right w:w="108" w:type="dxa"/>
            </w:tcMar>
            <w:vAlign w:val="center"/>
          </w:tcPr>
          <w:p w14:paraId="4C85CC47" w14:textId="23F1B323"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10.0</w:t>
            </w:r>
            <w:r w:rsidR="00B77E5A" w:rsidRPr="00E85D60">
              <w:rPr>
                <w:rFonts w:eastAsia="SimSun"/>
                <w:sz w:val="20"/>
                <w:szCs w:val="20"/>
                <w:highlight w:val="yellow"/>
                <w:lang w:eastAsia="zh-CN"/>
              </w:rPr>
              <w:t>%</w:t>
            </w:r>
          </w:p>
        </w:tc>
      </w:tr>
      <w:tr w:rsidR="00B77E5A" w:rsidRPr="00E85D60" w14:paraId="05225664" w14:textId="77777777" w:rsidTr="00145CDC">
        <w:trPr>
          <w:trHeight w:val="448"/>
          <w:jc w:val="center"/>
        </w:trPr>
        <w:tc>
          <w:tcPr>
            <w:tcW w:w="2822" w:type="dxa"/>
            <w:shd w:val="clear" w:color="auto" w:fill="auto"/>
            <w:tcMar>
              <w:top w:w="0" w:type="dxa"/>
              <w:left w:w="108" w:type="dxa"/>
              <w:bottom w:w="0" w:type="dxa"/>
              <w:right w:w="108" w:type="dxa"/>
            </w:tcMar>
            <w:vAlign w:val="center"/>
          </w:tcPr>
          <w:p w14:paraId="7E04A31E" w14:textId="77777777" w:rsidR="00B77E5A" w:rsidRPr="00E85D60" w:rsidRDefault="00B77E5A" w:rsidP="000D5E5F">
            <w:pPr>
              <w:spacing w:before="100" w:beforeAutospacing="1"/>
              <w:rPr>
                <w:sz w:val="20"/>
                <w:szCs w:val="20"/>
                <w:highlight w:val="yellow"/>
              </w:rPr>
            </w:pPr>
            <w:r w:rsidRPr="00E85D60">
              <w:rPr>
                <w:rFonts w:eastAsia="SimSun"/>
                <w:i/>
                <w:iCs/>
                <w:sz w:val="20"/>
                <w:szCs w:val="20"/>
                <w:highlight w:val="yellow"/>
                <w:lang w:eastAsia="zh-CN"/>
              </w:rPr>
              <w:t>Instrumental Characteristics</w:t>
            </w:r>
          </w:p>
        </w:tc>
        <w:tc>
          <w:tcPr>
            <w:tcW w:w="604" w:type="dxa"/>
            <w:shd w:val="clear" w:color="auto" w:fill="auto"/>
            <w:tcMar>
              <w:top w:w="0" w:type="dxa"/>
              <w:left w:w="10" w:type="dxa"/>
              <w:bottom w:w="0" w:type="dxa"/>
              <w:right w:w="10" w:type="dxa"/>
            </w:tcMar>
            <w:vAlign w:val="center"/>
          </w:tcPr>
          <w:p w14:paraId="12F2B355" w14:textId="77777777" w:rsidR="00B77E5A" w:rsidRPr="00E85D60" w:rsidRDefault="00B77E5A" w:rsidP="000D5E5F">
            <w:pPr>
              <w:spacing w:before="100" w:beforeAutospacing="1"/>
              <w:jc w:val="center"/>
              <w:rPr>
                <w:rFonts w:eastAsia="SimSun"/>
                <w:sz w:val="20"/>
                <w:szCs w:val="20"/>
                <w:highlight w:val="yellow"/>
                <w:lang w:eastAsia="zh-CN"/>
              </w:rPr>
            </w:pPr>
          </w:p>
        </w:tc>
        <w:tc>
          <w:tcPr>
            <w:tcW w:w="1899" w:type="dxa"/>
            <w:tcBorders>
              <w:right w:val="single" w:sz="4" w:space="0" w:color="auto"/>
            </w:tcBorders>
            <w:shd w:val="clear" w:color="auto" w:fill="auto"/>
            <w:tcMar>
              <w:top w:w="0" w:type="dxa"/>
              <w:left w:w="108" w:type="dxa"/>
              <w:bottom w:w="0" w:type="dxa"/>
              <w:right w:w="108" w:type="dxa"/>
            </w:tcMar>
            <w:vAlign w:val="center"/>
          </w:tcPr>
          <w:p w14:paraId="03D67A0E" w14:textId="77777777" w:rsidR="00B77E5A" w:rsidRPr="00E85D60" w:rsidRDefault="00B77E5A" w:rsidP="000D5E5F">
            <w:pPr>
              <w:spacing w:before="100" w:beforeAutospacing="1"/>
              <w:jc w:val="center"/>
              <w:rPr>
                <w:rFonts w:eastAsia="SimSun"/>
                <w:sz w:val="20"/>
                <w:szCs w:val="20"/>
                <w:highlight w:val="yellow"/>
                <w:lang w:eastAsia="zh-CN"/>
              </w:rPr>
            </w:pPr>
          </w:p>
        </w:tc>
        <w:tc>
          <w:tcPr>
            <w:tcW w:w="1531" w:type="dxa"/>
            <w:tcBorders>
              <w:left w:val="single" w:sz="4" w:space="0" w:color="auto"/>
            </w:tcBorders>
            <w:shd w:val="clear" w:color="auto" w:fill="auto"/>
            <w:tcMar>
              <w:top w:w="0" w:type="dxa"/>
              <w:left w:w="108" w:type="dxa"/>
              <w:bottom w:w="0" w:type="dxa"/>
              <w:right w:w="108" w:type="dxa"/>
            </w:tcMar>
            <w:vAlign w:val="center"/>
          </w:tcPr>
          <w:p w14:paraId="56152B13" w14:textId="77777777" w:rsidR="00B77E5A" w:rsidRPr="00E85D60" w:rsidRDefault="00B77E5A" w:rsidP="000D5E5F">
            <w:pPr>
              <w:spacing w:before="100" w:beforeAutospacing="1"/>
              <w:jc w:val="center"/>
              <w:rPr>
                <w:rFonts w:eastAsia="SimSun"/>
                <w:sz w:val="20"/>
                <w:szCs w:val="20"/>
                <w:highlight w:val="yellow"/>
                <w:lang w:eastAsia="zh-CN"/>
              </w:rPr>
            </w:pPr>
          </w:p>
        </w:tc>
      </w:tr>
      <w:tr w:rsidR="00B77E5A" w:rsidRPr="00E85D60" w14:paraId="28115E1B" w14:textId="77777777" w:rsidTr="00145CDC">
        <w:trPr>
          <w:trHeight w:val="448"/>
          <w:jc w:val="center"/>
        </w:trPr>
        <w:tc>
          <w:tcPr>
            <w:tcW w:w="2822" w:type="dxa"/>
            <w:shd w:val="clear" w:color="auto" w:fill="auto"/>
            <w:tcMar>
              <w:top w:w="0" w:type="dxa"/>
              <w:left w:w="108" w:type="dxa"/>
              <w:bottom w:w="0" w:type="dxa"/>
              <w:right w:w="108" w:type="dxa"/>
            </w:tcMar>
            <w:vAlign w:val="center"/>
          </w:tcPr>
          <w:p w14:paraId="1158EFAE" w14:textId="246F7E85"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Prospering Economy</w:t>
            </w:r>
          </w:p>
        </w:tc>
        <w:tc>
          <w:tcPr>
            <w:tcW w:w="604" w:type="dxa"/>
            <w:shd w:val="clear" w:color="auto" w:fill="auto"/>
            <w:tcMar>
              <w:top w:w="0" w:type="dxa"/>
              <w:left w:w="10" w:type="dxa"/>
              <w:bottom w:w="0" w:type="dxa"/>
              <w:right w:w="10" w:type="dxa"/>
            </w:tcMar>
            <w:vAlign w:val="center"/>
          </w:tcPr>
          <w:p w14:paraId="1BEFA647"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7.89</w:t>
            </w:r>
          </w:p>
        </w:tc>
        <w:tc>
          <w:tcPr>
            <w:tcW w:w="1899" w:type="dxa"/>
            <w:tcBorders>
              <w:right w:val="single" w:sz="4" w:space="0" w:color="auto"/>
            </w:tcBorders>
            <w:shd w:val="clear" w:color="auto" w:fill="auto"/>
            <w:tcMar>
              <w:top w:w="0" w:type="dxa"/>
              <w:left w:w="108" w:type="dxa"/>
              <w:bottom w:w="0" w:type="dxa"/>
              <w:right w:w="108" w:type="dxa"/>
            </w:tcMar>
            <w:vAlign w:val="center"/>
          </w:tcPr>
          <w:p w14:paraId="53CAB0E2"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2.46</w:t>
            </w:r>
          </w:p>
        </w:tc>
        <w:tc>
          <w:tcPr>
            <w:tcW w:w="1531" w:type="dxa"/>
            <w:tcBorders>
              <w:left w:val="single" w:sz="4" w:space="0" w:color="auto"/>
            </w:tcBorders>
            <w:shd w:val="clear" w:color="auto" w:fill="auto"/>
            <w:tcMar>
              <w:top w:w="0" w:type="dxa"/>
              <w:left w:w="108" w:type="dxa"/>
              <w:bottom w:w="0" w:type="dxa"/>
              <w:right w:w="108" w:type="dxa"/>
            </w:tcMar>
            <w:vAlign w:val="center"/>
          </w:tcPr>
          <w:p w14:paraId="21F0A5B2" w14:textId="04769D36"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12.7</w:t>
            </w:r>
            <w:r w:rsidR="00B77E5A" w:rsidRPr="00E85D60">
              <w:rPr>
                <w:rFonts w:eastAsia="SimSun"/>
                <w:sz w:val="20"/>
                <w:szCs w:val="20"/>
                <w:highlight w:val="yellow"/>
                <w:lang w:eastAsia="zh-CN"/>
              </w:rPr>
              <w:t>%</w:t>
            </w:r>
          </w:p>
        </w:tc>
      </w:tr>
      <w:tr w:rsidR="00B77E5A" w:rsidRPr="00E85D60" w14:paraId="648DBA25" w14:textId="77777777" w:rsidTr="00145CDC">
        <w:trPr>
          <w:trHeight w:val="448"/>
          <w:jc w:val="center"/>
        </w:trPr>
        <w:tc>
          <w:tcPr>
            <w:tcW w:w="2822" w:type="dxa"/>
            <w:shd w:val="clear" w:color="auto" w:fill="auto"/>
            <w:tcMar>
              <w:top w:w="0" w:type="dxa"/>
              <w:left w:w="108" w:type="dxa"/>
              <w:bottom w:w="0" w:type="dxa"/>
              <w:right w:w="108" w:type="dxa"/>
            </w:tcMar>
            <w:vAlign w:val="center"/>
          </w:tcPr>
          <w:p w14:paraId="3D53ED61" w14:textId="211085E1"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Criminal Punishment</w:t>
            </w:r>
          </w:p>
        </w:tc>
        <w:tc>
          <w:tcPr>
            <w:tcW w:w="604" w:type="dxa"/>
            <w:shd w:val="clear" w:color="auto" w:fill="auto"/>
            <w:tcMar>
              <w:top w:w="0" w:type="dxa"/>
              <w:left w:w="10" w:type="dxa"/>
              <w:bottom w:w="0" w:type="dxa"/>
              <w:right w:w="10" w:type="dxa"/>
            </w:tcMar>
            <w:vAlign w:val="center"/>
          </w:tcPr>
          <w:p w14:paraId="57C66539"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7.70</w:t>
            </w:r>
          </w:p>
        </w:tc>
        <w:tc>
          <w:tcPr>
            <w:tcW w:w="1899" w:type="dxa"/>
            <w:tcBorders>
              <w:right w:val="single" w:sz="4" w:space="0" w:color="auto"/>
            </w:tcBorders>
            <w:shd w:val="clear" w:color="auto" w:fill="auto"/>
            <w:tcMar>
              <w:top w:w="0" w:type="dxa"/>
              <w:left w:w="108" w:type="dxa"/>
              <w:bottom w:w="0" w:type="dxa"/>
              <w:right w:w="108" w:type="dxa"/>
            </w:tcMar>
            <w:vAlign w:val="center"/>
          </w:tcPr>
          <w:p w14:paraId="71262461"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2.76</w:t>
            </w:r>
          </w:p>
        </w:tc>
        <w:tc>
          <w:tcPr>
            <w:tcW w:w="1531" w:type="dxa"/>
            <w:tcBorders>
              <w:left w:val="single" w:sz="4" w:space="0" w:color="auto"/>
            </w:tcBorders>
            <w:shd w:val="clear" w:color="auto" w:fill="auto"/>
            <w:tcMar>
              <w:top w:w="0" w:type="dxa"/>
              <w:left w:w="108" w:type="dxa"/>
              <w:bottom w:w="0" w:type="dxa"/>
              <w:right w:w="108" w:type="dxa"/>
            </w:tcMar>
            <w:vAlign w:val="center"/>
          </w:tcPr>
          <w:p w14:paraId="5F4E93EC" w14:textId="6C2BA18B"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11.8</w:t>
            </w:r>
            <w:r w:rsidR="00B77E5A" w:rsidRPr="00E85D60">
              <w:rPr>
                <w:rFonts w:eastAsia="SimSun"/>
                <w:sz w:val="20"/>
                <w:szCs w:val="20"/>
                <w:highlight w:val="yellow"/>
                <w:lang w:eastAsia="zh-CN"/>
              </w:rPr>
              <w:t>%</w:t>
            </w:r>
          </w:p>
        </w:tc>
      </w:tr>
      <w:tr w:rsidR="00B77E5A" w:rsidRPr="00E85D60" w14:paraId="22D5E4AB" w14:textId="77777777" w:rsidTr="00145CDC">
        <w:trPr>
          <w:trHeight w:val="420"/>
          <w:jc w:val="center"/>
        </w:trPr>
        <w:tc>
          <w:tcPr>
            <w:tcW w:w="2822" w:type="dxa"/>
            <w:shd w:val="clear" w:color="auto" w:fill="auto"/>
            <w:tcMar>
              <w:top w:w="0" w:type="dxa"/>
              <w:left w:w="108" w:type="dxa"/>
              <w:bottom w:w="0" w:type="dxa"/>
              <w:right w:w="108" w:type="dxa"/>
            </w:tcMar>
            <w:vAlign w:val="center"/>
          </w:tcPr>
          <w:p w14:paraId="2C2B0F7C" w14:textId="2D020606"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Unemployment Aid</w:t>
            </w:r>
          </w:p>
        </w:tc>
        <w:tc>
          <w:tcPr>
            <w:tcW w:w="604" w:type="dxa"/>
            <w:shd w:val="clear" w:color="auto" w:fill="auto"/>
            <w:tcMar>
              <w:top w:w="0" w:type="dxa"/>
              <w:left w:w="10" w:type="dxa"/>
              <w:bottom w:w="0" w:type="dxa"/>
              <w:right w:w="10" w:type="dxa"/>
            </w:tcMar>
            <w:vAlign w:val="center"/>
          </w:tcPr>
          <w:p w14:paraId="0AFDCD0F"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7.38</w:t>
            </w:r>
          </w:p>
        </w:tc>
        <w:tc>
          <w:tcPr>
            <w:tcW w:w="1899" w:type="dxa"/>
            <w:tcBorders>
              <w:right w:val="single" w:sz="4" w:space="0" w:color="auto"/>
            </w:tcBorders>
            <w:shd w:val="clear" w:color="auto" w:fill="auto"/>
            <w:tcMar>
              <w:top w:w="0" w:type="dxa"/>
              <w:left w:w="108" w:type="dxa"/>
              <w:bottom w:w="0" w:type="dxa"/>
              <w:right w:w="108" w:type="dxa"/>
            </w:tcMar>
            <w:vAlign w:val="center"/>
          </w:tcPr>
          <w:p w14:paraId="45B07717"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2.71</w:t>
            </w:r>
          </w:p>
        </w:tc>
        <w:tc>
          <w:tcPr>
            <w:tcW w:w="1531" w:type="dxa"/>
            <w:tcBorders>
              <w:left w:val="single" w:sz="4" w:space="0" w:color="auto"/>
            </w:tcBorders>
            <w:shd w:val="clear" w:color="auto" w:fill="auto"/>
            <w:tcMar>
              <w:top w:w="0" w:type="dxa"/>
              <w:left w:w="108" w:type="dxa"/>
              <w:bottom w:w="0" w:type="dxa"/>
              <w:right w:w="108" w:type="dxa"/>
            </w:tcMar>
            <w:vAlign w:val="center"/>
          </w:tcPr>
          <w:p w14:paraId="1DD58181" w14:textId="20B0185D"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10.9</w:t>
            </w:r>
            <w:r w:rsidR="00B77E5A" w:rsidRPr="00E85D60">
              <w:rPr>
                <w:rFonts w:eastAsia="SimSun"/>
                <w:sz w:val="20"/>
                <w:szCs w:val="20"/>
                <w:highlight w:val="yellow"/>
                <w:lang w:eastAsia="zh-CN"/>
              </w:rPr>
              <w:t>%</w:t>
            </w:r>
          </w:p>
        </w:tc>
      </w:tr>
      <w:tr w:rsidR="00B77E5A" w:rsidRPr="00E85D60" w14:paraId="21C8ECB7" w14:textId="77777777" w:rsidTr="00145CDC">
        <w:trPr>
          <w:trHeight w:val="448"/>
          <w:jc w:val="center"/>
        </w:trPr>
        <w:tc>
          <w:tcPr>
            <w:tcW w:w="2822" w:type="dxa"/>
            <w:shd w:val="clear" w:color="auto" w:fill="auto"/>
            <w:tcMar>
              <w:top w:w="0" w:type="dxa"/>
              <w:left w:w="108" w:type="dxa"/>
              <w:bottom w:w="0" w:type="dxa"/>
              <w:right w:w="108" w:type="dxa"/>
            </w:tcMar>
            <w:vAlign w:val="center"/>
          </w:tcPr>
          <w:p w14:paraId="02B22D72" w14:textId="454A4D92"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Tax Subsidies</w:t>
            </w:r>
          </w:p>
        </w:tc>
        <w:tc>
          <w:tcPr>
            <w:tcW w:w="604" w:type="dxa"/>
            <w:shd w:val="clear" w:color="auto" w:fill="auto"/>
            <w:tcMar>
              <w:top w:w="0" w:type="dxa"/>
              <w:left w:w="10" w:type="dxa"/>
              <w:bottom w:w="0" w:type="dxa"/>
              <w:right w:w="10" w:type="dxa"/>
            </w:tcMar>
            <w:vAlign w:val="center"/>
          </w:tcPr>
          <w:p w14:paraId="0886202C"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6.67</w:t>
            </w:r>
          </w:p>
        </w:tc>
        <w:tc>
          <w:tcPr>
            <w:tcW w:w="1899" w:type="dxa"/>
            <w:tcBorders>
              <w:right w:val="single" w:sz="4" w:space="0" w:color="auto"/>
            </w:tcBorders>
            <w:shd w:val="clear" w:color="auto" w:fill="auto"/>
            <w:tcMar>
              <w:top w:w="0" w:type="dxa"/>
              <w:left w:w="108" w:type="dxa"/>
              <w:bottom w:w="0" w:type="dxa"/>
              <w:right w:w="108" w:type="dxa"/>
            </w:tcMar>
            <w:vAlign w:val="center"/>
          </w:tcPr>
          <w:p w14:paraId="1C8CDC7B"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2.95</w:t>
            </w:r>
          </w:p>
        </w:tc>
        <w:tc>
          <w:tcPr>
            <w:tcW w:w="1531" w:type="dxa"/>
            <w:tcBorders>
              <w:left w:val="single" w:sz="4" w:space="0" w:color="auto"/>
            </w:tcBorders>
            <w:shd w:val="clear" w:color="auto" w:fill="auto"/>
            <w:tcMar>
              <w:top w:w="0" w:type="dxa"/>
              <w:left w:w="108" w:type="dxa"/>
              <w:bottom w:w="0" w:type="dxa"/>
              <w:right w:w="108" w:type="dxa"/>
            </w:tcMar>
            <w:vAlign w:val="center"/>
          </w:tcPr>
          <w:p w14:paraId="62F31065" w14:textId="5EFF98CD"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9.90</w:t>
            </w:r>
            <w:r w:rsidR="00B77E5A" w:rsidRPr="00E85D60">
              <w:rPr>
                <w:rFonts w:eastAsia="SimSun"/>
                <w:sz w:val="20"/>
                <w:szCs w:val="20"/>
                <w:highlight w:val="yellow"/>
                <w:lang w:eastAsia="zh-CN"/>
              </w:rPr>
              <w:t>%</w:t>
            </w:r>
          </w:p>
        </w:tc>
      </w:tr>
      <w:tr w:rsidR="00B77E5A" w:rsidRPr="00E85D60" w14:paraId="21C6DAEA" w14:textId="77777777" w:rsidTr="00145CDC">
        <w:trPr>
          <w:trHeight w:val="448"/>
          <w:jc w:val="center"/>
        </w:trPr>
        <w:tc>
          <w:tcPr>
            <w:tcW w:w="2822" w:type="dxa"/>
            <w:shd w:val="clear" w:color="auto" w:fill="FFFFFF"/>
            <w:tcMar>
              <w:top w:w="0" w:type="dxa"/>
              <w:left w:w="108" w:type="dxa"/>
              <w:bottom w:w="0" w:type="dxa"/>
              <w:right w:w="108" w:type="dxa"/>
            </w:tcMar>
            <w:vAlign w:val="center"/>
          </w:tcPr>
          <w:p w14:paraId="342DE792" w14:textId="77777777" w:rsidR="00B77E5A" w:rsidRPr="00E85D60" w:rsidRDefault="00B77E5A" w:rsidP="000D5E5F">
            <w:pPr>
              <w:spacing w:before="100" w:beforeAutospacing="1"/>
              <w:rPr>
                <w:sz w:val="20"/>
                <w:szCs w:val="20"/>
                <w:highlight w:val="yellow"/>
              </w:rPr>
            </w:pPr>
            <w:r w:rsidRPr="00E85D60">
              <w:rPr>
                <w:rFonts w:eastAsia="SimSun"/>
                <w:i/>
                <w:iCs/>
                <w:sz w:val="20"/>
                <w:szCs w:val="20"/>
                <w:highlight w:val="yellow"/>
                <w:lang w:eastAsia="zh-CN"/>
              </w:rPr>
              <w:t>Authoritarian Characteristics</w:t>
            </w:r>
          </w:p>
        </w:tc>
        <w:tc>
          <w:tcPr>
            <w:tcW w:w="604" w:type="dxa"/>
            <w:shd w:val="clear" w:color="auto" w:fill="FFFFFF"/>
            <w:tcMar>
              <w:top w:w="0" w:type="dxa"/>
              <w:left w:w="10" w:type="dxa"/>
              <w:bottom w:w="0" w:type="dxa"/>
              <w:right w:w="10" w:type="dxa"/>
            </w:tcMar>
            <w:vAlign w:val="center"/>
          </w:tcPr>
          <w:p w14:paraId="6019A3A1" w14:textId="77777777" w:rsidR="00B77E5A" w:rsidRPr="00E85D60" w:rsidRDefault="00B77E5A" w:rsidP="000D5E5F">
            <w:pPr>
              <w:spacing w:before="100" w:beforeAutospacing="1"/>
              <w:jc w:val="center"/>
              <w:rPr>
                <w:rFonts w:eastAsia="SimSun"/>
                <w:sz w:val="20"/>
                <w:szCs w:val="20"/>
                <w:highlight w:val="yellow"/>
                <w:lang w:eastAsia="zh-CN"/>
              </w:rPr>
            </w:pPr>
          </w:p>
        </w:tc>
        <w:tc>
          <w:tcPr>
            <w:tcW w:w="1899" w:type="dxa"/>
            <w:tcBorders>
              <w:right w:val="single" w:sz="4" w:space="0" w:color="auto"/>
            </w:tcBorders>
            <w:shd w:val="clear" w:color="auto" w:fill="FFFFFF"/>
            <w:tcMar>
              <w:top w:w="0" w:type="dxa"/>
              <w:left w:w="108" w:type="dxa"/>
              <w:bottom w:w="0" w:type="dxa"/>
              <w:right w:w="108" w:type="dxa"/>
            </w:tcMar>
            <w:vAlign w:val="center"/>
          </w:tcPr>
          <w:p w14:paraId="52A73E4A" w14:textId="77777777" w:rsidR="00B77E5A" w:rsidRPr="00E85D60" w:rsidRDefault="00B77E5A" w:rsidP="000D5E5F">
            <w:pPr>
              <w:spacing w:before="100" w:beforeAutospacing="1"/>
              <w:jc w:val="center"/>
              <w:rPr>
                <w:rFonts w:eastAsia="SimSun"/>
                <w:sz w:val="20"/>
                <w:szCs w:val="20"/>
                <w:highlight w:val="yellow"/>
                <w:lang w:eastAsia="zh-CN"/>
              </w:rPr>
            </w:pPr>
          </w:p>
        </w:tc>
        <w:tc>
          <w:tcPr>
            <w:tcW w:w="1531" w:type="dxa"/>
            <w:tcBorders>
              <w:left w:val="single" w:sz="4" w:space="0" w:color="auto"/>
            </w:tcBorders>
            <w:shd w:val="clear" w:color="auto" w:fill="FFFFFF"/>
            <w:tcMar>
              <w:top w:w="0" w:type="dxa"/>
              <w:left w:w="108" w:type="dxa"/>
              <w:bottom w:w="0" w:type="dxa"/>
              <w:right w:w="108" w:type="dxa"/>
            </w:tcMar>
            <w:vAlign w:val="center"/>
          </w:tcPr>
          <w:p w14:paraId="750D7ED0" w14:textId="77777777" w:rsidR="00B77E5A" w:rsidRPr="00E85D60" w:rsidRDefault="00B77E5A" w:rsidP="000D5E5F">
            <w:pPr>
              <w:spacing w:before="100" w:beforeAutospacing="1"/>
              <w:jc w:val="center"/>
              <w:rPr>
                <w:rFonts w:eastAsia="SimSun"/>
                <w:sz w:val="20"/>
                <w:szCs w:val="20"/>
                <w:highlight w:val="yellow"/>
                <w:lang w:eastAsia="zh-CN"/>
              </w:rPr>
            </w:pPr>
          </w:p>
        </w:tc>
      </w:tr>
      <w:tr w:rsidR="00B77E5A" w:rsidRPr="00E85D60" w14:paraId="1EB9AFBC" w14:textId="77777777" w:rsidTr="00145CDC">
        <w:trPr>
          <w:trHeight w:val="448"/>
          <w:jc w:val="center"/>
        </w:trPr>
        <w:tc>
          <w:tcPr>
            <w:tcW w:w="2822" w:type="dxa"/>
            <w:shd w:val="clear" w:color="auto" w:fill="FFFFFF"/>
            <w:tcMar>
              <w:top w:w="0" w:type="dxa"/>
              <w:left w:w="108" w:type="dxa"/>
              <w:bottom w:w="0" w:type="dxa"/>
              <w:right w:w="108" w:type="dxa"/>
            </w:tcMar>
            <w:vAlign w:val="center"/>
          </w:tcPr>
          <w:p w14:paraId="64C90578" w14:textId="708ADAF1"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Army Intervention</w:t>
            </w:r>
          </w:p>
        </w:tc>
        <w:tc>
          <w:tcPr>
            <w:tcW w:w="604" w:type="dxa"/>
            <w:shd w:val="clear" w:color="auto" w:fill="FFFFFF"/>
            <w:tcMar>
              <w:top w:w="0" w:type="dxa"/>
              <w:left w:w="10" w:type="dxa"/>
              <w:bottom w:w="0" w:type="dxa"/>
              <w:right w:w="10" w:type="dxa"/>
            </w:tcMar>
            <w:vAlign w:val="center"/>
          </w:tcPr>
          <w:p w14:paraId="0EE3AADB"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4.47</w:t>
            </w:r>
          </w:p>
        </w:tc>
        <w:tc>
          <w:tcPr>
            <w:tcW w:w="1899" w:type="dxa"/>
            <w:tcBorders>
              <w:right w:val="single" w:sz="4" w:space="0" w:color="auto"/>
            </w:tcBorders>
            <w:shd w:val="clear" w:color="auto" w:fill="FFFFFF"/>
            <w:tcMar>
              <w:top w:w="0" w:type="dxa"/>
              <w:left w:w="108" w:type="dxa"/>
              <w:bottom w:w="0" w:type="dxa"/>
              <w:right w:w="108" w:type="dxa"/>
            </w:tcMar>
            <w:vAlign w:val="center"/>
          </w:tcPr>
          <w:p w14:paraId="4F1E5A5E"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3.26</w:t>
            </w:r>
          </w:p>
        </w:tc>
        <w:tc>
          <w:tcPr>
            <w:tcW w:w="1531" w:type="dxa"/>
            <w:tcBorders>
              <w:left w:val="single" w:sz="4" w:space="0" w:color="auto"/>
            </w:tcBorders>
            <w:shd w:val="clear" w:color="auto" w:fill="FFFFFF"/>
            <w:tcMar>
              <w:top w:w="0" w:type="dxa"/>
              <w:left w:w="108" w:type="dxa"/>
              <w:bottom w:w="0" w:type="dxa"/>
              <w:right w:w="108" w:type="dxa"/>
            </w:tcMar>
            <w:vAlign w:val="center"/>
          </w:tcPr>
          <w:p w14:paraId="5A7D9493" w14:textId="068EF685" w:rsidR="00B77E5A" w:rsidRPr="00E85D60" w:rsidRDefault="00EC1741"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15.2</w:t>
            </w:r>
            <w:r w:rsidR="00B77E5A" w:rsidRPr="00E85D60">
              <w:rPr>
                <w:rFonts w:eastAsia="SimSun"/>
                <w:sz w:val="20"/>
                <w:szCs w:val="20"/>
                <w:highlight w:val="yellow"/>
                <w:lang w:eastAsia="zh-CN"/>
              </w:rPr>
              <w:t>%</w:t>
            </w:r>
          </w:p>
        </w:tc>
      </w:tr>
      <w:tr w:rsidR="00B77E5A" w:rsidRPr="00C77B03" w14:paraId="4AA40E4E" w14:textId="77777777" w:rsidTr="00145CDC">
        <w:trPr>
          <w:trHeight w:val="448"/>
          <w:jc w:val="center"/>
        </w:trPr>
        <w:tc>
          <w:tcPr>
            <w:tcW w:w="2822" w:type="dxa"/>
            <w:tcBorders>
              <w:bottom w:val="single" w:sz="4" w:space="0" w:color="auto"/>
            </w:tcBorders>
            <w:shd w:val="clear" w:color="auto" w:fill="FFFFFF"/>
            <w:tcMar>
              <w:top w:w="0" w:type="dxa"/>
              <w:left w:w="108" w:type="dxa"/>
              <w:bottom w:w="0" w:type="dxa"/>
              <w:right w:w="108" w:type="dxa"/>
            </w:tcMar>
            <w:vAlign w:val="center"/>
          </w:tcPr>
          <w:p w14:paraId="54977B17" w14:textId="312EF8CB" w:rsidR="00B77E5A" w:rsidRPr="00E85D60" w:rsidRDefault="00145CDC" w:rsidP="000D5E5F">
            <w:pPr>
              <w:spacing w:before="100" w:beforeAutospacing="1"/>
              <w:rPr>
                <w:rFonts w:eastAsia="SimSun"/>
                <w:sz w:val="20"/>
                <w:szCs w:val="20"/>
                <w:highlight w:val="yellow"/>
                <w:lang w:eastAsia="zh-CN"/>
              </w:rPr>
            </w:pPr>
            <w:r w:rsidRPr="00E85D60">
              <w:rPr>
                <w:rFonts w:eastAsia="SimSun"/>
                <w:sz w:val="20"/>
                <w:szCs w:val="20"/>
                <w:highlight w:val="yellow"/>
                <w:lang w:eastAsia="zh-CN"/>
              </w:rPr>
              <w:t xml:space="preserve">  </w:t>
            </w:r>
            <w:r w:rsidR="00B77E5A" w:rsidRPr="00E85D60">
              <w:rPr>
                <w:rFonts w:eastAsia="SimSun"/>
                <w:sz w:val="20"/>
                <w:szCs w:val="20"/>
                <w:highlight w:val="yellow"/>
                <w:lang w:eastAsia="zh-CN"/>
              </w:rPr>
              <w:t>Religious Authorities</w:t>
            </w:r>
          </w:p>
        </w:tc>
        <w:tc>
          <w:tcPr>
            <w:tcW w:w="604" w:type="dxa"/>
            <w:tcBorders>
              <w:bottom w:val="single" w:sz="4" w:space="0" w:color="auto"/>
            </w:tcBorders>
            <w:shd w:val="clear" w:color="auto" w:fill="FFFFFF"/>
            <w:tcMar>
              <w:top w:w="0" w:type="dxa"/>
              <w:left w:w="10" w:type="dxa"/>
              <w:bottom w:w="0" w:type="dxa"/>
              <w:right w:w="10" w:type="dxa"/>
            </w:tcMar>
            <w:vAlign w:val="center"/>
          </w:tcPr>
          <w:p w14:paraId="5259F93F"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4.36</w:t>
            </w:r>
          </w:p>
        </w:tc>
        <w:tc>
          <w:tcPr>
            <w:tcW w:w="1899" w:type="dxa"/>
            <w:tcBorders>
              <w:bottom w:val="single" w:sz="4" w:space="0" w:color="auto"/>
              <w:right w:val="single" w:sz="4" w:space="0" w:color="auto"/>
            </w:tcBorders>
            <w:shd w:val="clear" w:color="auto" w:fill="FFFFFF"/>
            <w:tcMar>
              <w:top w:w="0" w:type="dxa"/>
              <w:left w:w="108" w:type="dxa"/>
              <w:bottom w:w="0" w:type="dxa"/>
              <w:right w:w="108" w:type="dxa"/>
            </w:tcMar>
            <w:vAlign w:val="center"/>
          </w:tcPr>
          <w:p w14:paraId="60BBC232" w14:textId="77777777" w:rsidR="00B77E5A" w:rsidRPr="00E85D60" w:rsidRDefault="00B77E5A" w:rsidP="000D5E5F">
            <w:pPr>
              <w:spacing w:before="100" w:beforeAutospacing="1"/>
              <w:jc w:val="center"/>
              <w:rPr>
                <w:rFonts w:eastAsia="SimSun"/>
                <w:sz w:val="20"/>
                <w:szCs w:val="20"/>
                <w:highlight w:val="yellow"/>
                <w:lang w:eastAsia="zh-CN"/>
              </w:rPr>
            </w:pPr>
            <w:r w:rsidRPr="00E85D60">
              <w:rPr>
                <w:rFonts w:eastAsia="SimSun"/>
                <w:sz w:val="20"/>
                <w:szCs w:val="20"/>
                <w:highlight w:val="yellow"/>
                <w:lang w:eastAsia="zh-CN"/>
              </w:rPr>
              <w:t>3.10</w:t>
            </w:r>
          </w:p>
        </w:tc>
        <w:tc>
          <w:tcPr>
            <w:tcW w:w="1531" w:type="dxa"/>
            <w:tcBorders>
              <w:left w:val="single" w:sz="4" w:space="0" w:color="auto"/>
              <w:bottom w:val="single" w:sz="4" w:space="0" w:color="auto"/>
            </w:tcBorders>
            <w:shd w:val="clear" w:color="auto" w:fill="FFFFFF"/>
            <w:tcMar>
              <w:top w:w="0" w:type="dxa"/>
              <w:left w:w="108" w:type="dxa"/>
              <w:bottom w:w="0" w:type="dxa"/>
              <w:right w:w="108" w:type="dxa"/>
            </w:tcMar>
            <w:vAlign w:val="center"/>
          </w:tcPr>
          <w:p w14:paraId="1E15EFFA" w14:textId="5BEF24DD" w:rsidR="00B77E5A" w:rsidRPr="00C77B03" w:rsidRDefault="00EC1741" w:rsidP="000D5E5F">
            <w:pPr>
              <w:spacing w:before="100" w:beforeAutospacing="1"/>
              <w:jc w:val="center"/>
              <w:rPr>
                <w:rFonts w:eastAsia="SimSun"/>
                <w:sz w:val="20"/>
                <w:szCs w:val="20"/>
                <w:lang w:eastAsia="zh-CN"/>
              </w:rPr>
            </w:pPr>
            <w:r w:rsidRPr="00E85D60">
              <w:rPr>
                <w:rFonts w:eastAsia="SimSun"/>
                <w:sz w:val="20"/>
                <w:szCs w:val="20"/>
                <w:highlight w:val="yellow"/>
                <w:lang w:eastAsia="zh-CN"/>
              </w:rPr>
              <w:t>23.2</w:t>
            </w:r>
            <w:r w:rsidR="00B77E5A" w:rsidRPr="00E85D60">
              <w:rPr>
                <w:rFonts w:eastAsia="SimSun"/>
                <w:sz w:val="20"/>
                <w:szCs w:val="20"/>
                <w:highlight w:val="yellow"/>
                <w:lang w:eastAsia="zh-CN"/>
              </w:rPr>
              <w:t>%</w:t>
            </w:r>
          </w:p>
        </w:tc>
      </w:tr>
      <w:bookmarkEnd w:id="164"/>
      <w:bookmarkEnd w:id="165"/>
    </w:tbl>
    <w:p w14:paraId="66652ABB" w14:textId="501592C1" w:rsidR="00EC1741" w:rsidRDefault="00EC1741" w:rsidP="005B4976">
      <w:pPr>
        <w:pStyle w:val="Caption"/>
      </w:pPr>
    </w:p>
    <w:p w14:paraId="1B69FB46" w14:textId="38445D3E" w:rsidR="00C807D0" w:rsidRPr="000367C8" w:rsidRDefault="00C807D0" w:rsidP="00C807D0">
      <w:pPr>
        <w:rPr>
          <w:szCs w:val="24"/>
        </w:rPr>
      </w:pPr>
      <w:r w:rsidRPr="000367C8">
        <w:rPr>
          <w:szCs w:val="24"/>
        </w:rPr>
        <w:t>The procedural characteristics clearly score very highly</w:t>
      </w:r>
      <w:r>
        <w:rPr>
          <w:szCs w:val="24"/>
        </w:rPr>
        <w:t xml:space="preserve"> (remembering that higher scores on these variables means a stronger sense that the characteristic is</w:t>
      </w:r>
      <w:r w:rsidR="00A50FDE">
        <w:rPr>
          <w:szCs w:val="24"/>
        </w:rPr>
        <w:t xml:space="preserve"> absolutely</w:t>
      </w:r>
      <w:r>
        <w:rPr>
          <w:szCs w:val="24"/>
        </w:rPr>
        <w:t xml:space="preserve"> essential for democracy)</w:t>
      </w:r>
      <w:r w:rsidRPr="000367C8">
        <w:rPr>
          <w:szCs w:val="24"/>
        </w:rPr>
        <w:t>. The highest average result is for elections with a score of 8.58, and the lowest standard deviation of 2.17. The bar chart for elections demonstrates that the distribution of responses across the ten-point scale is clearly skewed to the high scores: 54% choose the highest available option of 10</w:t>
      </w:r>
      <w:r>
        <w:rPr>
          <w:szCs w:val="24"/>
        </w:rPr>
        <w:t>, indicating that they see elections as absolutely essential for democracy</w:t>
      </w:r>
      <w:r w:rsidRPr="000367C8">
        <w:rPr>
          <w:szCs w:val="24"/>
        </w:rPr>
        <w:t xml:space="preserve">. Only 11% of respondents score it </w:t>
      </w:r>
      <w:r>
        <w:rPr>
          <w:szCs w:val="24"/>
        </w:rPr>
        <w:t>5 or less. Furthermore, only 5.9</w:t>
      </w:r>
      <w:r w:rsidRPr="000367C8">
        <w:rPr>
          <w:szCs w:val="24"/>
        </w:rPr>
        <w:t>% of variance in these results is at the national level; in other words, it doesn’t matter very much where you are from when it comes to answering this question. Elections are considered highly essential</w:t>
      </w:r>
      <w:r>
        <w:rPr>
          <w:szCs w:val="24"/>
        </w:rPr>
        <w:t xml:space="preserve"> to democracy</w:t>
      </w:r>
      <w:r w:rsidRPr="000367C8">
        <w:rPr>
          <w:szCs w:val="24"/>
        </w:rPr>
        <w:t xml:space="preserve"> by</w:t>
      </w:r>
      <w:r>
        <w:rPr>
          <w:szCs w:val="24"/>
        </w:rPr>
        <w:t xml:space="preserve"> most</w:t>
      </w:r>
      <w:r w:rsidRPr="000367C8">
        <w:rPr>
          <w:szCs w:val="24"/>
        </w:rPr>
        <w:t xml:space="preserve"> respondents, which aligns with </w:t>
      </w:r>
      <w:r>
        <w:rPr>
          <w:szCs w:val="24"/>
        </w:rPr>
        <w:t>the</w:t>
      </w:r>
      <w:r w:rsidRPr="000367C8">
        <w:rPr>
          <w:szCs w:val="24"/>
        </w:rPr>
        <w:t xml:space="preserve"> </w:t>
      </w:r>
      <w:r>
        <w:rPr>
          <w:szCs w:val="24"/>
        </w:rPr>
        <w:t>theoretical expectations</w:t>
      </w:r>
      <w:r w:rsidRPr="000367C8">
        <w:rPr>
          <w:szCs w:val="24"/>
        </w:rPr>
        <w:t>.</w:t>
      </w:r>
    </w:p>
    <w:p w14:paraId="5B3EA681" w14:textId="222C33CC" w:rsidR="005B4976" w:rsidRPr="003A5664" w:rsidRDefault="00CF6C43" w:rsidP="005B4976">
      <w:pPr>
        <w:pStyle w:val="Caption"/>
        <w:rPr>
          <w:rFonts w:ascii="Segoe UI" w:hAnsi="Segoe UI" w:cs="Segoe UI"/>
          <w:i w:val="0"/>
        </w:rPr>
      </w:pPr>
      <w:bookmarkStart w:id="166" w:name="_Toc494687142"/>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Pr="003A5664">
        <w:rPr>
          <w:rFonts w:ascii="Segoe UI" w:hAnsi="Segoe UI" w:cs="Segoe UI"/>
          <w:i w:val="0"/>
          <w:noProof/>
        </w:rPr>
        <w:t>3</w:t>
      </w:r>
      <w:r w:rsidR="00994662" w:rsidRPr="003A5664">
        <w:rPr>
          <w:rFonts w:ascii="Segoe UI" w:hAnsi="Segoe UI" w:cs="Segoe UI"/>
          <w:i w:val="0"/>
          <w:noProof/>
        </w:rPr>
        <w:fldChar w:fldCharType="end"/>
      </w:r>
      <w:r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Pr="003A5664">
        <w:rPr>
          <w:rFonts w:ascii="Segoe UI" w:hAnsi="Segoe UI" w:cs="Segoe UI"/>
          <w:i w:val="0"/>
          <w:noProof/>
        </w:rPr>
        <w:t>5</w:t>
      </w:r>
      <w:r w:rsidR="00994662" w:rsidRPr="003A5664">
        <w:rPr>
          <w:rFonts w:ascii="Segoe UI" w:hAnsi="Segoe UI" w:cs="Segoe UI"/>
          <w:i w:val="0"/>
          <w:noProof/>
        </w:rPr>
        <w:fldChar w:fldCharType="end"/>
      </w:r>
      <w:r w:rsidR="005B4976" w:rsidRPr="003A5664">
        <w:rPr>
          <w:rFonts w:ascii="Segoe UI" w:hAnsi="Segoe UI" w:cs="Segoe UI"/>
          <w:i w:val="0"/>
        </w:rPr>
        <w:t xml:space="preserve"> </w:t>
      </w:r>
      <w:r w:rsidRPr="003A5664">
        <w:rPr>
          <w:rFonts w:ascii="Segoe UI" w:hAnsi="Segoe UI" w:cs="Segoe UI"/>
          <w:i w:val="0"/>
        </w:rPr>
        <w:t xml:space="preserve">Percentage </w:t>
      </w:r>
      <w:r w:rsidR="005B4976" w:rsidRPr="003A5664">
        <w:rPr>
          <w:rFonts w:ascii="Segoe UI" w:hAnsi="Segoe UI" w:cs="Segoe UI"/>
          <w:i w:val="0"/>
        </w:rPr>
        <w:t xml:space="preserve">Distribution Graphs for </w:t>
      </w:r>
      <w:r w:rsidRPr="003A5664">
        <w:rPr>
          <w:rFonts w:ascii="Segoe UI" w:hAnsi="Segoe UI" w:cs="Segoe UI"/>
          <w:i w:val="0"/>
        </w:rPr>
        <w:t xml:space="preserve">the Ten </w:t>
      </w:r>
      <w:r w:rsidR="003A5664">
        <w:rPr>
          <w:rFonts w:ascii="Segoe UI" w:hAnsi="Segoe UI" w:cs="Segoe UI"/>
          <w:i w:val="0"/>
        </w:rPr>
        <w:t xml:space="preserve">Democratic </w:t>
      </w:r>
      <w:r w:rsidR="005B4976" w:rsidRPr="003A5664">
        <w:rPr>
          <w:rFonts w:ascii="Segoe UI" w:hAnsi="Segoe UI" w:cs="Segoe UI"/>
          <w:i w:val="0"/>
        </w:rPr>
        <w:t>Characteristics</w:t>
      </w:r>
      <w:bookmarkEnd w:id="166"/>
    </w:p>
    <w:p w14:paraId="0D869821" w14:textId="77777777" w:rsidR="00B77E5A" w:rsidRPr="000367C8" w:rsidRDefault="00B77E5A" w:rsidP="00B77E5A">
      <w:pPr>
        <w:spacing w:before="100" w:beforeAutospacing="1"/>
        <w:rPr>
          <w:szCs w:val="24"/>
        </w:rPr>
      </w:pPr>
      <w:r w:rsidRPr="000367C8">
        <w:rPr>
          <w:noProof/>
          <w:szCs w:val="24"/>
          <w:lang w:eastAsia="zh-CN"/>
        </w:rPr>
        <w:drawing>
          <wp:inline distT="0" distB="0" distL="0" distR="0" wp14:anchorId="3D511CB4" wp14:editId="6BC70D17">
            <wp:extent cx="5731514" cy="4168136"/>
            <wp:effectExtent l="0" t="0" r="2536" b="3814"/>
            <wp:docPr id="9"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4" cy="4168136"/>
                    </a:xfrm>
                    <a:prstGeom prst="rect">
                      <a:avLst/>
                    </a:prstGeom>
                    <a:noFill/>
                    <a:ln>
                      <a:noFill/>
                      <a:prstDash/>
                    </a:ln>
                  </pic:spPr>
                </pic:pic>
              </a:graphicData>
            </a:graphic>
          </wp:inline>
        </w:drawing>
      </w:r>
    </w:p>
    <w:p w14:paraId="7574BE2F" w14:textId="77777777" w:rsidR="00B77E5A" w:rsidRPr="000367C8" w:rsidRDefault="00B77E5A" w:rsidP="00B77E5A">
      <w:pPr>
        <w:rPr>
          <w:szCs w:val="24"/>
        </w:rPr>
      </w:pPr>
      <w:r w:rsidRPr="000367C8">
        <w:rPr>
          <w:szCs w:val="24"/>
        </w:rPr>
        <w:t>The other procedural characteristics show the same pattern of results, although none quite so strongly. For the referendum characteristic, some of the complexity of the role of referendums in liberal democratic theory is borne out in the fact that whilst the average out of ten is 7.93, still a very still high score, it is the lowest scoring of the procedural characteristics. Referendums also produce the highest standard deviation of the procedural characteristics, at 2.51. This can be seen in the distribution graph, with a more varied spread of responses across the 5-10 choices, compared to the distributions of responses for elections.</w:t>
      </w:r>
    </w:p>
    <w:p w14:paraId="1AB0F568" w14:textId="673CAC0F" w:rsidR="00B77E5A" w:rsidRPr="000367C8" w:rsidRDefault="00B77E5A" w:rsidP="00B77E5A">
      <w:pPr>
        <w:rPr>
          <w:szCs w:val="24"/>
        </w:rPr>
      </w:pPr>
      <w:bookmarkStart w:id="167" w:name="_Toc380513898"/>
      <w:r w:rsidRPr="000367C8">
        <w:rPr>
          <w:szCs w:val="24"/>
        </w:rPr>
        <w:t>A majority give the civil rights characteristic a score of 9 or 10, demonstrating that the importance of civil rights in conceptions of liberal democracy is shared by citizens. However, the country-level variance for civil rights is the highe</w:t>
      </w:r>
      <w:r w:rsidR="00A50FDE">
        <w:rPr>
          <w:szCs w:val="24"/>
        </w:rPr>
        <w:t>st of the procedural categories</w:t>
      </w:r>
      <w:r w:rsidRPr="000367C8">
        <w:rPr>
          <w:szCs w:val="24"/>
        </w:rPr>
        <w:t xml:space="preserve"> at 10.6%, almost double the amount present for the elections variable.</w:t>
      </w:r>
    </w:p>
    <w:p w14:paraId="11C352A7" w14:textId="79F627DD" w:rsidR="00B77E5A" w:rsidRPr="000367C8" w:rsidRDefault="00B77E5A" w:rsidP="00B77E5A">
      <w:pPr>
        <w:rPr>
          <w:szCs w:val="24"/>
        </w:rPr>
      </w:pPr>
      <w:r w:rsidRPr="000367C8">
        <w:rPr>
          <w:szCs w:val="24"/>
        </w:rPr>
        <w:t>Equal gender rights score very highly here</w:t>
      </w:r>
      <w:r w:rsidR="001F35DE">
        <w:rPr>
          <w:szCs w:val="24"/>
        </w:rPr>
        <w:t>, and are perceived as essential requirements of democracy</w:t>
      </w:r>
      <w:r w:rsidRPr="000367C8">
        <w:rPr>
          <w:szCs w:val="24"/>
        </w:rPr>
        <w:t>, only just less</w:t>
      </w:r>
      <w:r w:rsidR="001F35DE">
        <w:rPr>
          <w:szCs w:val="24"/>
        </w:rPr>
        <w:t xml:space="preserve"> so</w:t>
      </w:r>
      <w:r w:rsidRPr="000367C8">
        <w:rPr>
          <w:szCs w:val="24"/>
        </w:rPr>
        <w:t xml:space="preserve"> than the results for elections.</w:t>
      </w:r>
      <w:r w:rsidR="00EC1741">
        <w:rPr>
          <w:szCs w:val="24"/>
        </w:rPr>
        <w:t xml:space="preserve"> They also have relatively low country level variance of 7.4%.</w:t>
      </w:r>
      <w:r w:rsidRPr="000367C8">
        <w:rPr>
          <w:szCs w:val="24"/>
        </w:rPr>
        <w:t xml:space="preserve"> This is perhaps surprising considering there was a need for Millennium Development Goals to specifically dedicate a goal to “promote gender equality and empower woman” and this has been continued with The Girl Declaration (see un.org/millenniumgoals and </w:t>
      </w:r>
      <w:r w:rsidR="00EC1741">
        <w:rPr>
          <w:szCs w:val="24"/>
        </w:rPr>
        <w:t>girleffect.org).</w:t>
      </w:r>
    </w:p>
    <w:p w14:paraId="0D46892B" w14:textId="1BAE0BBF" w:rsidR="00B77E5A" w:rsidRPr="000367C8" w:rsidRDefault="00B77E5A" w:rsidP="00B77E5A">
      <w:pPr>
        <w:rPr>
          <w:szCs w:val="24"/>
        </w:rPr>
      </w:pPr>
      <w:r w:rsidRPr="000367C8">
        <w:rPr>
          <w:szCs w:val="24"/>
        </w:rPr>
        <w:t>The instrumental characteristics show two different sets of results. For the populist questions on the economy and criminal punishment, the pattern is very close to that of the procedural characteristics</w:t>
      </w:r>
      <w:r w:rsidR="001F35DE">
        <w:rPr>
          <w:szCs w:val="24"/>
        </w:rPr>
        <w:t xml:space="preserve">, with a tendency for more respondents to see these </w:t>
      </w:r>
      <w:r w:rsidR="004F2BA8">
        <w:rPr>
          <w:szCs w:val="24"/>
        </w:rPr>
        <w:t>characteristics</w:t>
      </w:r>
      <w:r w:rsidR="001F35DE">
        <w:rPr>
          <w:szCs w:val="24"/>
        </w:rPr>
        <w:t xml:space="preserve"> as near-essentials for democracy</w:t>
      </w:r>
      <w:r w:rsidRPr="000367C8">
        <w:rPr>
          <w:szCs w:val="24"/>
        </w:rPr>
        <w:t>. There is a strong negative skew in the distribution of responses, producing a high average of 7.89 and 7.7 for the economy and punishment, respectively. In terms of the average, distribution and variance of these two characteristics, they are very similar to the results for referendums and civil rights.</w:t>
      </w:r>
    </w:p>
    <w:p w14:paraId="6608E872" w14:textId="2BFD97B5" w:rsidR="00B77E5A" w:rsidRPr="000367C8" w:rsidRDefault="00B77E5A" w:rsidP="00B77E5A">
      <w:pPr>
        <w:rPr>
          <w:szCs w:val="24"/>
        </w:rPr>
      </w:pPr>
      <w:r w:rsidRPr="000367C8">
        <w:rPr>
          <w:szCs w:val="24"/>
        </w:rPr>
        <w:t xml:space="preserve">This result </w:t>
      </w:r>
      <w:r w:rsidR="000559D0">
        <w:rPr>
          <w:szCs w:val="24"/>
        </w:rPr>
        <w:t>already suggests</w:t>
      </w:r>
      <w:r w:rsidRPr="000367C8">
        <w:rPr>
          <w:szCs w:val="24"/>
        </w:rPr>
        <w:t xml:space="preserve"> a difference between </w:t>
      </w:r>
      <w:r>
        <w:rPr>
          <w:szCs w:val="24"/>
        </w:rPr>
        <w:t>the</w:t>
      </w:r>
      <w:r w:rsidR="000559D0">
        <w:rPr>
          <w:szCs w:val="24"/>
        </w:rPr>
        <w:t xml:space="preserve"> theoretical expectations</w:t>
      </w:r>
      <w:r w:rsidRPr="000367C8">
        <w:rPr>
          <w:szCs w:val="24"/>
        </w:rPr>
        <w:t xml:space="preserve"> and the ideas that citizens have of democracy. These are populist options, linked to voter preference for the policy output of regimes; they are not essential or inherent characteristics of democratic theory</w:t>
      </w:r>
      <w:r w:rsidR="001F35DE">
        <w:rPr>
          <w:szCs w:val="24"/>
        </w:rPr>
        <w:t>.</w:t>
      </w:r>
      <w:r w:rsidR="001F35DE" w:rsidRPr="000367C8">
        <w:rPr>
          <w:szCs w:val="24"/>
        </w:rPr>
        <w:t xml:space="preserve"> </w:t>
      </w:r>
      <w:r w:rsidR="001F35DE">
        <w:rPr>
          <w:szCs w:val="24"/>
        </w:rPr>
        <w:t>H</w:t>
      </w:r>
      <w:r w:rsidRPr="000367C8">
        <w:rPr>
          <w:szCs w:val="24"/>
        </w:rPr>
        <w:t>owever it appea</w:t>
      </w:r>
      <w:r>
        <w:rPr>
          <w:szCs w:val="24"/>
        </w:rPr>
        <w:t>rs that they are of considerable</w:t>
      </w:r>
      <w:r w:rsidRPr="000367C8">
        <w:rPr>
          <w:szCs w:val="24"/>
        </w:rPr>
        <w:t xml:space="preserve"> importance when it comes to citizens’ definitions of democracy. </w:t>
      </w:r>
      <w:r w:rsidR="000559D0">
        <w:rPr>
          <w:szCs w:val="24"/>
        </w:rPr>
        <w:t>At this stage t</w:t>
      </w:r>
      <w:r w:rsidRPr="000367C8">
        <w:rPr>
          <w:szCs w:val="24"/>
        </w:rPr>
        <w:t xml:space="preserve">here does not appear to be a clean-cut distinction between liberal ideas and populist ideals when it comes to citizen conceptions </w:t>
      </w:r>
      <w:r w:rsidR="001F35DE">
        <w:rPr>
          <w:szCs w:val="24"/>
        </w:rPr>
        <w:t xml:space="preserve">of </w:t>
      </w:r>
      <w:r w:rsidRPr="000367C8">
        <w:rPr>
          <w:szCs w:val="24"/>
        </w:rPr>
        <w:t xml:space="preserve">democracy. </w:t>
      </w:r>
    </w:p>
    <w:p w14:paraId="7ECA5598" w14:textId="63AB8575" w:rsidR="00B77E5A" w:rsidRPr="000367C8" w:rsidRDefault="00B77E5A" w:rsidP="00B77E5A">
      <w:pPr>
        <w:rPr>
          <w:szCs w:val="24"/>
        </w:rPr>
      </w:pPr>
      <w:r w:rsidRPr="000367C8">
        <w:rPr>
          <w:szCs w:val="24"/>
        </w:rPr>
        <w:t>The other two instrumental characteristics show a different pattern. Tax redistribution and unemployment benefit score averages of 6.67 and 7.38 respectively, with, in comparison, much flatter spread</w:t>
      </w:r>
      <w:r w:rsidR="001F35DE">
        <w:rPr>
          <w:szCs w:val="24"/>
        </w:rPr>
        <w:t>s</w:t>
      </w:r>
      <w:r w:rsidRPr="000367C8">
        <w:rPr>
          <w:szCs w:val="24"/>
        </w:rPr>
        <w:t xml:space="preserve"> of results</w:t>
      </w:r>
      <w:r w:rsidR="001F35DE">
        <w:rPr>
          <w:szCs w:val="24"/>
        </w:rPr>
        <w:t>, indicating greater variation in how essential individuals see these attributes as being for democracy</w:t>
      </w:r>
      <w:r w:rsidRPr="000367C8">
        <w:rPr>
          <w:szCs w:val="24"/>
        </w:rPr>
        <w:t xml:space="preserve">. Tax redistribution in particular has a standard deviation of almost 3. </w:t>
      </w:r>
    </w:p>
    <w:p w14:paraId="3342B5E9" w14:textId="4B5DD6CB" w:rsidR="00B77E5A" w:rsidRPr="000367C8" w:rsidRDefault="00B77E5A" w:rsidP="00B77E5A">
      <w:pPr>
        <w:rPr>
          <w:szCs w:val="24"/>
        </w:rPr>
      </w:pPr>
      <w:r w:rsidRPr="000367C8">
        <w:rPr>
          <w:szCs w:val="24"/>
        </w:rPr>
        <w:t>This would seem to reflec</w:t>
      </w:r>
      <w:r w:rsidR="00A50FDE">
        <w:rPr>
          <w:szCs w:val="24"/>
        </w:rPr>
        <w:t>t the tricky theoretical issues</w:t>
      </w:r>
      <w:r w:rsidRPr="000367C8">
        <w:rPr>
          <w:szCs w:val="24"/>
        </w:rPr>
        <w:t xml:space="preserve"> highlighted by the contrasting approaches of Welzel</w:t>
      </w:r>
      <w:r w:rsidR="000559D0">
        <w:rPr>
          <w:szCs w:val="24"/>
        </w:rPr>
        <w:t xml:space="preserve"> (2013; 2011)</w:t>
      </w:r>
      <w:r w:rsidRPr="000367C8">
        <w:rPr>
          <w:szCs w:val="24"/>
        </w:rPr>
        <w:t xml:space="preserve"> and Norris to these characteristics</w:t>
      </w:r>
      <w:r w:rsidR="000559D0">
        <w:rPr>
          <w:szCs w:val="24"/>
        </w:rPr>
        <w:t xml:space="preserve"> (2011)</w:t>
      </w:r>
      <w:r w:rsidRPr="000367C8">
        <w:rPr>
          <w:szCs w:val="24"/>
        </w:rPr>
        <w:t xml:space="preserve">. Are these issues extensions of notions of social justice, and </w:t>
      </w:r>
      <w:r w:rsidR="00857090">
        <w:rPr>
          <w:szCs w:val="24"/>
        </w:rPr>
        <w:t>so</w:t>
      </w:r>
      <w:r w:rsidRPr="000367C8">
        <w:rPr>
          <w:szCs w:val="24"/>
        </w:rPr>
        <w:t xml:space="preserve"> can they be considered under wider conceptions of democracy? Or do they really pertain to material benefits that citizens want as policy outputs a</w:t>
      </w:r>
      <w:r w:rsidR="004F2BA8">
        <w:rPr>
          <w:szCs w:val="24"/>
        </w:rPr>
        <w:t xml:space="preserve">s a regime – as could they not </w:t>
      </w:r>
      <w:r w:rsidRPr="000367C8">
        <w:rPr>
          <w:szCs w:val="24"/>
        </w:rPr>
        <w:t xml:space="preserve">be provided by an authoritarian government seeking to gain support from the masses whilst still withholding any kind of democratic political rights? The range of scores for these characteristics </w:t>
      </w:r>
      <w:r w:rsidR="000559D0">
        <w:rPr>
          <w:szCs w:val="24"/>
        </w:rPr>
        <w:t xml:space="preserve">could </w:t>
      </w:r>
      <w:r w:rsidRPr="000367C8">
        <w:rPr>
          <w:szCs w:val="24"/>
        </w:rPr>
        <w:t>suggest that citizens’ perspectives cover this spectrum of possibilities.</w:t>
      </w:r>
    </w:p>
    <w:p w14:paraId="214971B4" w14:textId="23EFC52B" w:rsidR="00B77E5A" w:rsidRPr="000367C8" w:rsidRDefault="00B77E5A" w:rsidP="00B77E5A">
      <w:pPr>
        <w:rPr>
          <w:szCs w:val="24"/>
        </w:rPr>
      </w:pPr>
      <w:r w:rsidRPr="000367C8">
        <w:rPr>
          <w:szCs w:val="24"/>
        </w:rPr>
        <w:t>The two authoritarian characteristics present a very different set of results. The good news, in terms of the theoretical expectations, is that these results score on average the lowest of all the characteristics</w:t>
      </w:r>
      <w:r w:rsidR="001F35DE">
        <w:rPr>
          <w:szCs w:val="24"/>
        </w:rPr>
        <w:t>, suggesting that they are least likely to be seen as democratic essentials</w:t>
      </w:r>
      <w:r w:rsidRPr="000367C8">
        <w:rPr>
          <w:szCs w:val="24"/>
        </w:rPr>
        <w:t xml:space="preserve">. On average, citizens score army takeover in times of government incompetence </w:t>
      </w:r>
      <w:r w:rsidR="001F35DE">
        <w:rPr>
          <w:szCs w:val="24"/>
        </w:rPr>
        <w:t xml:space="preserve">at </w:t>
      </w:r>
      <w:r w:rsidRPr="000367C8">
        <w:rPr>
          <w:szCs w:val="24"/>
        </w:rPr>
        <w:t xml:space="preserve">an average of 4.47, and religious authorities interpreting the law scores </w:t>
      </w:r>
      <w:r w:rsidR="001F35DE">
        <w:rPr>
          <w:szCs w:val="24"/>
        </w:rPr>
        <w:t xml:space="preserve">at </w:t>
      </w:r>
      <w:r w:rsidRPr="000367C8">
        <w:rPr>
          <w:szCs w:val="24"/>
        </w:rPr>
        <w:t xml:space="preserve">4.36. The bad news is that, considering these are </w:t>
      </w:r>
      <w:r w:rsidRPr="000367C8">
        <w:rPr>
          <w:i/>
          <w:szCs w:val="24"/>
        </w:rPr>
        <w:t>anti</w:t>
      </w:r>
      <w:r w:rsidRPr="000367C8">
        <w:rPr>
          <w:szCs w:val="24"/>
        </w:rPr>
        <w:t>-democratic, from a theoretical standpoint these results would be hoped to be lower. For instance, the number of respondents rejecting these characteristics as not at all essential does not mirror the strong majorities that choose ele</w:t>
      </w:r>
      <w:r>
        <w:rPr>
          <w:szCs w:val="24"/>
        </w:rPr>
        <w:t>ctions as completely essential.</w:t>
      </w:r>
    </w:p>
    <w:p w14:paraId="199BD9DD" w14:textId="1FA9000B" w:rsidR="00B77E5A" w:rsidRPr="000367C8" w:rsidRDefault="00B77E5A" w:rsidP="00B77E5A">
      <w:pPr>
        <w:rPr>
          <w:szCs w:val="24"/>
        </w:rPr>
      </w:pPr>
      <w:r w:rsidRPr="000367C8">
        <w:rPr>
          <w:szCs w:val="24"/>
        </w:rPr>
        <w:t>Furthermore, these results have considerable standard deviations, 3.26 for army and 3.10 for religious authorities</w:t>
      </w:r>
      <w:r w:rsidR="001F35DE">
        <w:rPr>
          <w:szCs w:val="24"/>
        </w:rPr>
        <w:t>, suggesting wi</w:t>
      </w:r>
      <w:r w:rsidR="004F2BA8">
        <w:rPr>
          <w:szCs w:val="24"/>
        </w:rPr>
        <w:t>de diversity of opinion on whet</w:t>
      </w:r>
      <w:r w:rsidR="001F35DE">
        <w:rPr>
          <w:szCs w:val="24"/>
        </w:rPr>
        <w:t>h</w:t>
      </w:r>
      <w:r w:rsidR="004F2BA8">
        <w:rPr>
          <w:szCs w:val="24"/>
        </w:rPr>
        <w:t>e</w:t>
      </w:r>
      <w:r w:rsidR="001F35DE">
        <w:rPr>
          <w:szCs w:val="24"/>
        </w:rPr>
        <w:t>r or not these are essentials: there is no unanimity of perspective among WVS respondents</w:t>
      </w:r>
      <w:r w:rsidRPr="000367C8">
        <w:rPr>
          <w:szCs w:val="24"/>
        </w:rPr>
        <w:t>. The country level variance is al</w:t>
      </w:r>
      <w:r w:rsidR="00EC1741">
        <w:rPr>
          <w:szCs w:val="24"/>
        </w:rPr>
        <w:t>so high: for the army it is 15.2</w:t>
      </w:r>
      <w:r w:rsidRPr="000367C8">
        <w:rPr>
          <w:szCs w:val="24"/>
        </w:rPr>
        <w:t xml:space="preserve">%, almost three times that of the elections result. For </w:t>
      </w:r>
      <w:r w:rsidR="00EC1741">
        <w:rPr>
          <w:szCs w:val="24"/>
        </w:rPr>
        <w:t>religious authorities it is 23.2</w:t>
      </w:r>
      <w:r w:rsidRPr="000367C8">
        <w:rPr>
          <w:szCs w:val="24"/>
        </w:rPr>
        <w:t>%, over four times that of the elections result.</w:t>
      </w:r>
      <w:bookmarkStart w:id="168" w:name="_Toc379889565"/>
      <w:bookmarkEnd w:id="167"/>
      <w:r w:rsidRPr="000367C8">
        <w:rPr>
          <w:szCs w:val="24"/>
        </w:rPr>
        <w:t xml:space="preserve"> In other words, citizens’ opinions towards these authoritarian characteristics vary considerably from country to country. </w:t>
      </w:r>
    </w:p>
    <w:p w14:paraId="6A09ED0E" w14:textId="2FAF9E32" w:rsidR="00497263" w:rsidRPr="000367C8" w:rsidRDefault="00B77E5A" w:rsidP="00B77E5A">
      <w:pPr>
        <w:rPr>
          <w:szCs w:val="24"/>
        </w:rPr>
      </w:pPr>
      <w:r w:rsidRPr="000367C8">
        <w:rPr>
          <w:szCs w:val="24"/>
        </w:rPr>
        <w:t xml:space="preserve">Alongside the fact that the populist characteristics score very highly, it is clear that there are potential combinations of democratic understandings possible from these results that differ significantly </w:t>
      </w:r>
      <w:r w:rsidR="001F35DE">
        <w:rPr>
          <w:szCs w:val="24"/>
        </w:rPr>
        <w:t>from</w:t>
      </w:r>
      <w:r w:rsidR="001F35DE" w:rsidRPr="000367C8">
        <w:rPr>
          <w:szCs w:val="24"/>
        </w:rPr>
        <w:t xml:space="preserve"> </w:t>
      </w:r>
      <w:r w:rsidRPr="000367C8">
        <w:rPr>
          <w:szCs w:val="24"/>
        </w:rPr>
        <w:t>liberal democratic ideals. The following section now examines if these patterns vary across individual demographic characteristics.</w:t>
      </w:r>
    </w:p>
    <w:p w14:paraId="208C79F1" w14:textId="35A82FCE" w:rsidR="00CE41F9" w:rsidRPr="00E85D60" w:rsidRDefault="00CE41F9" w:rsidP="00CE41F9">
      <w:pPr>
        <w:pStyle w:val="Heading3"/>
        <w:rPr>
          <w:highlight w:val="yellow"/>
        </w:rPr>
      </w:pPr>
      <w:r w:rsidRPr="00E85D60">
        <w:rPr>
          <w:highlight w:val="yellow"/>
        </w:rPr>
        <w:t>Characteristics of Democracy at the Individual Level</w:t>
      </w:r>
    </w:p>
    <w:p w14:paraId="482EDC94" w14:textId="0A2518DF" w:rsidR="00CE41F9" w:rsidRPr="00E85D60" w:rsidRDefault="00CE41F9" w:rsidP="00CE41F9">
      <w:pPr>
        <w:rPr>
          <w:rFonts w:cstheme="majorBidi"/>
          <w:szCs w:val="24"/>
          <w:highlight w:val="yellow"/>
        </w:rPr>
      </w:pPr>
      <w:r w:rsidRPr="00E85D60">
        <w:rPr>
          <w:highlight w:val="yellow"/>
        </w:rPr>
        <w:t xml:space="preserve">This section discusses the patterns associated with each characteristic and a range of sociodemographic variables. These characteristics align with the theoretical discussion introduced in Chapter 5, Section 5.1, and full details for their expected relationship with democracy can be read there. At this stage, I use them as frequently explored sociodemographic variables of interest to explore initial patterns in the data. Age and gender are acknowledged to be important demographics to examine when considering political behaviour and understanding </w:t>
      </w:r>
      <w:r w:rsidRPr="00E85D60">
        <w:rPr>
          <w:rFonts w:cstheme="majorBidi"/>
          <w:szCs w:val="24"/>
          <w:highlight w:val="yellow"/>
        </w:rPr>
        <w:fldChar w:fldCharType="begin" w:fldLock="1"/>
      </w:r>
      <w:r w:rsidRPr="00E85D60">
        <w:rPr>
          <w:rFonts w:cstheme="majorBidi"/>
          <w:szCs w:val="24"/>
          <w:highlight w:val="yellow"/>
        </w:rPr>
        <w:instrText>ADDIN CSL_CITATION { "citationItems" : [ { "id" : "ITEM-1", "itemData" : { "DOI" : "10.1017/S0007123408000331", "ISSN" : "0007-1234", "author" : [ { "dropping-particle" : "", "family" : "Pattie", "given" : "C. J.", "non-dropping-particle" : "", "parse-names" : false, "suffix" : "" }, { "dropping-particle" : "", "family" : "Johnston", "given" : "R. J.", "non-dropping-particle" : "", "parse-names" : false, "suffix" : "" } ], "container-title" : "British Journal of Political Science", "id" : "ITEM-1", "issue" : "04", "issued" : { "date-parts" : [ [ "2008", "7", "14" ] ] }, "page" : "677-698", "title" : "It's Good To Talk: Talk, Disagreement and Tolerance", "type" : "article-journal", "volume" : "38" }, "uris" : [ "http://www.mendeley.com/documents/?uuid=60785433-e1e9-496c-9dc6-be89dca213f6" ] } ], "mendeley" : { "formattedCitation" : "(Pattie and Johnston, 2008)", "manualFormatting" : "(Pattie &amp; Johnston 2008, p.685)", "plainTextFormattedCitation" : "(Pattie and Johnston, 2008)", "previouslyFormattedCitation" : "(Pattie and Johnston, 2008)" }, "properties" : { "noteIndex" : 0 }, "schema" : "https://github.com/citation-style-language/schema/raw/master/csl-citation.json" }</w:instrText>
      </w:r>
      <w:r w:rsidRPr="00E85D60">
        <w:rPr>
          <w:rFonts w:cstheme="majorBidi"/>
          <w:szCs w:val="24"/>
          <w:highlight w:val="yellow"/>
        </w:rPr>
        <w:fldChar w:fldCharType="separate"/>
      </w:r>
      <w:r w:rsidRPr="00E85D60">
        <w:rPr>
          <w:rFonts w:cstheme="majorBidi"/>
          <w:noProof/>
          <w:szCs w:val="24"/>
          <w:highlight w:val="yellow"/>
        </w:rPr>
        <w:t>(Pattie &amp; Johnston 2008, p.685)</w:t>
      </w:r>
      <w:r w:rsidRPr="00E85D60">
        <w:rPr>
          <w:rFonts w:cstheme="majorBidi"/>
          <w:szCs w:val="24"/>
          <w:highlight w:val="yellow"/>
        </w:rPr>
        <w:fldChar w:fldCharType="end"/>
      </w:r>
      <w:r w:rsidRPr="00E85D60">
        <w:rPr>
          <w:rFonts w:cstheme="majorBidi"/>
          <w:szCs w:val="24"/>
          <w:highlight w:val="yellow"/>
        </w:rPr>
        <w:t xml:space="preserve">. Through the modernization thesis education has long been linked to political understanding (Bell 1973); the measures here – lower, middle and higher – roughly map onto primary, secondary and university education, but are simplified to account for the numerous different educational classifications recorded by the WVS. De Tocqueville’s study of American democracy in the 1830s clearly emphasised the importance of membership of associational organisations and so I examine how the characteristics are scored by whether the respondent is a member of one, multiple, or no associational organisations. Finally, I look at media use as a way of seeing how many sources of information a respondent might be exposed to in their information environment </w:t>
      </w:r>
      <w:r w:rsidRPr="00E85D60">
        <w:rPr>
          <w:szCs w:val="24"/>
          <w:highlight w:val="yellow"/>
        </w:rPr>
        <w:fldChar w:fldCharType="begin" w:fldLock="1"/>
      </w:r>
      <w:r w:rsidRPr="00E85D60">
        <w:rPr>
          <w:szCs w:val="24"/>
          <w:highlight w:val="yellow"/>
        </w:rPr>
        <w:instrText>ADDIN CSL_CITATION { "citationItems" : [ { "id" : "ITEM-1", "itemData" : { "author" : [ { "dropping-particle" : "", "family" : "Jerit", "given" : "Jennifer", "non-dropping-particle" : "", "parse-names" : false, "suffix" : "" }, { "dropping-particle" : "", "family" : "Barabas", "given" : "Jason", "non-dropping-particle" : "", "parse-names" : false, "suffix" : "" }, { "dropping-particle" : "", "family" : "Bolsen", "given" : "Toby", "non-dropping-particle" : "", "parse-names" : false, "suffix" : "" } ], "container-title" : "American Journal of Political Science", "id" : "ITEM-1", "issue" : "2", "issued" : { "date-parts" : [ [ "2006" ] ] }, "page" : "266-282", "title" : "Citizens, Knowledge, and the Information Environment", "type" : "article-journal", "volume" : "50" }, "uris" : [ "http://www.mendeley.com/documents/?uuid=e7ae7df9-86d1-4370-8568-003e0505aa9e" ] } ], "mendeley" : { "formattedCitation" : "(Jerit, Barabas and Bolsen, 2006)", "plainTextFormattedCitation" : "(Jerit, Barabas and Bolsen, 2006)", "previouslyFormattedCitation" : "(Jerit, Barabas and Bolsen, 2006)" }, "properties" : { "noteIndex" : 0 }, "schema" : "https://github.com/citation-style-language/schema/raw/master/csl-citation.json" }</w:instrText>
      </w:r>
      <w:r w:rsidRPr="00E85D60">
        <w:rPr>
          <w:szCs w:val="24"/>
          <w:highlight w:val="yellow"/>
        </w:rPr>
        <w:fldChar w:fldCharType="separate"/>
      </w:r>
      <w:r w:rsidRPr="00E85D60">
        <w:rPr>
          <w:noProof/>
          <w:szCs w:val="24"/>
          <w:highlight w:val="yellow"/>
        </w:rPr>
        <w:t>(Jerit, Barabas and Bolsen, 2006)</w:t>
      </w:r>
      <w:r w:rsidRPr="00E85D60">
        <w:rPr>
          <w:szCs w:val="24"/>
          <w:highlight w:val="yellow"/>
        </w:rPr>
        <w:fldChar w:fldCharType="end"/>
      </w:r>
      <w:r w:rsidR="00A50FDE">
        <w:rPr>
          <w:szCs w:val="24"/>
          <w:highlight w:val="yellow"/>
        </w:rPr>
        <w:t>. Figure 3.6</w:t>
      </w:r>
      <w:r w:rsidRPr="00E85D60">
        <w:rPr>
          <w:szCs w:val="24"/>
          <w:highlight w:val="yellow"/>
        </w:rPr>
        <w:t xml:space="preserve"> displays the results, showing the mean (out of ten) for each characteristic plus the standard deviation in brackets. The final column outlines the </w:t>
      </w:r>
      <w:r w:rsidRPr="00E85D60">
        <w:rPr>
          <w:i/>
          <w:szCs w:val="24"/>
          <w:highlight w:val="yellow"/>
        </w:rPr>
        <w:t>n</w:t>
      </w:r>
      <w:r w:rsidRPr="00E85D60">
        <w:rPr>
          <w:szCs w:val="24"/>
          <w:highlight w:val="yellow"/>
        </w:rPr>
        <w:t xml:space="preserve"> for each category, out of the total 45,545 respondents overall.</w:t>
      </w:r>
    </w:p>
    <w:p w14:paraId="4E612F10" w14:textId="1D438662" w:rsidR="00974957" w:rsidRDefault="00CE41F9" w:rsidP="00974957">
      <w:pPr>
        <w:rPr>
          <w:rFonts w:cstheme="majorBidi"/>
          <w:szCs w:val="24"/>
          <w:highlight w:val="yellow"/>
        </w:rPr>
      </w:pPr>
      <w:r w:rsidRPr="00E85D60">
        <w:rPr>
          <w:rFonts w:cstheme="majorBidi"/>
          <w:szCs w:val="24"/>
          <w:highlight w:val="yellow"/>
        </w:rPr>
        <w:t>The gender variable shows no difference across the democratic characteristics for men and women, with all means with</w:t>
      </w:r>
      <w:r w:rsidR="000F5A22">
        <w:rPr>
          <w:rFonts w:cstheme="majorBidi"/>
          <w:szCs w:val="24"/>
          <w:highlight w:val="yellow"/>
        </w:rPr>
        <w:t>in</w:t>
      </w:r>
      <w:r w:rsidRPr="00E85D60">
        <w:rPr>
          <w:rFonts w:cstheme="majorBidi"/>
          <w:szCs w:val="24"/>
          <w:highlight w:val="yellow"/>
        </w:rPr>
        <w:t xml:space="preserve"> 0.1 of each other, except the variable on gender equality which women on average scored 0.2 higher than men. There are however generational differences for a number of the characteristics. For the four procedural characteristics (elections, referendum, gender quality and civil rights), the oldest age group score around 0.5 higher on these the youngest age group, with a general sliding scale across the categories (and the essentialness never falling on average below 7.5, and so clearly remaining high). It is possible that being of a generation closest to major twentieth centuries events such as World War 2 and the Cold War, who saw democracy under duress around much of the world, leads to one being more convinced of the essentialness of these procedural and liberal characteristics in a democracy. Such a feeling may be less acute in younger generations who are more likely to either be born in a democracy or be in a world is which democracy is more safely in the ascendancy, a trend with potentially problematic implications for support of democratic regimes in the future </w:t>
      </w:r>
      <w:r w:rsidRPr="00E85D60">
        <w:rPr>
          <w:rFonts w:cstheme="majorBidi"/>
          <w:szCs w:val="24"/>
          <w:highlight w:val="yellow"/>
        </w:rPr>
        <w:fldChar w:fldCharType="begin" w:fldLock="1"/>
      </w:r>
      <w:r w:rsidRPr="00E85D60">
        <w:rPr>
          <w:rFonts w:cstheme="majorBidi"/>
          <w:szCs w:val="24"/>
          <w:highlight w:val="yellow"/>
        </w:rPr>
        <w:instrText>ADDIN CSL_CITATION { "citationItems" : [ { "id" : "ITEM-1", "itemData" : { "author" : [ { "dropping-particle" : "", "family" : "Foa", "given" : "R", "non-dropping-particle" : "", "parse-names" : false, "suffix" : "" }, { "dropping-particle" : "", "family" : "Mounk", "given" : "Y", "non-dropping-particle" : "", "parse-names" : false, "suffix" : "" } ], "container-title" : "Journal of Democracy", "id" : "ITEM-1", "issue" : "1", "issued" : { "date-parts" : [ [ "2017" ] ] }, "page" : "5-15", "title" : "The Signs of Deconsolidation", "type" : "article-journal", "volume" : "28" }, "uris" : [ "http://www.mendeley.com/documents/?uuid=6f37b2e9-69e0-4098-8a59-9b45381bc76b" ] } ], "mendeley" : { "formattedCitation" : "(Foa and Mounk, 2017)", "plainTextFormattedCitation" : "(Foa and Mounk, 2017)", "previouslyFormattedCitation" : "(Foa and Mounk, 2017)" }, "properties" : { "noteIndex" : 0 }, "schema" : "https://github.com/citation-style-language/schema/raw/master/csl-citation.json" }</w:instrText>
      </w:r>
      <w:r w:rsidRPr="00E85D60">
        <w:rPr>
          <w:rFonts w:cstheme="majorBidi"/>
          <w:szCs w:val="24"/>
          <w:highlight w:val="yellow"/>
        </w:rPr>
        <w:fldChar w:fldCharType="separate"/>
      </w:r>
      <w:r w:rsidRPr="00E85D60">
        <w:rPr>
          <w:rFonts w:cstheme="majorBidi"/>
          <w:noProof/>
          <w:szCs w:val="24"/>
          <w:highlight w:val="yellow"/>
        </w:rPr>
        <w:t>(Foa and Mounk, 2017)</w:t>
      </w:r>
      <w:r w:rsidRPr="00E85D60">
        <w:rPr>
          <w:rFonts w:cstheme="majorBidi"/>
          <w:szCs w:val="24"/>
          <w:highlight w:val="yellow"/>
        </w:rPr>
        <w:fldChar w:fldCharType="end"/>
      </w:r>
      <w:r w:rsidRPr="00E85D60">
        <w:rPr>
          <w:rFonts w:cstheme="majorBidi"/>
          <w:szCs w:val="24"/>
          <w:highlight w:val="yellow"/>
        </w:rPr>
        <w:t>. The pattern is the same for the characteristic that tax should be redistributive and also, more strongly, for the idea that state aid should provide a safety net for the unemployed. Again, this could demonstrate that those growing up in an era of welfare development and modernization are more likely to believe people need support from government. Research has suggested that people’s attitudes are hardening towards welfare, even those of the younger generation who may be more likely to be struggling in the job market or be the first generation to be less wealth</w:t>
      </w:r>
      <w:r w:rsidR="000F5A22">
        <w:rPr>
          <w:rFonts w:cstheme="majorBidi"/>
          <w:szCs w:val="24"/>
          <w:highlight w:val="yellow"/>
        </w:rPr>
        <w:t xml:space="preserve">y overall than their parents </w:t>
      </w:r>
      <w:r w:rsidRPr="00E85D60">
        <w:rPr>
          <w:rFonts w:cstheme="majorBidi"/>
          <w:szCs w:val="24"/>
          <w:highlight w:val="yellow"/>
        </w:rPr>
        <w:fldChar w:fldCharType="begin" w:fldLock="1"/>
      </w:r>
      <w:r w:rsidR="00396424">
        <w:rPr>
          <w:rFonts w:cstheme="majorBidi"/>
          <w:szCs w:val="24"/>
          <w:highlight w:val="yellow"/>
        </w:rPr>
        <w:instrText>ADDIN CSL_CITATION { "citationItems" : [ { "id" : "ITEM-1", "itemData" : { "DOI" : "10.1177/0958928709XXXXXX", "ISBN" : "0958928711", "ISSN" : "0958-9287", "abstract" : "Welfare states face pressures from various directions. This paper uses data from the 2008 European Social Survey to consider whether citizen attitudes will provide continuing support for the welfare state in more difficult times. Sustainability requires current support for the idea that govern- ment should be responsible for provision. It also depends upon trust that government can and will continue to deliver good quality services that will meet people\u2019s needs in an uncertain future. The analysis takes into account the extent to which welfare states are successful in providing citizens with security, equality of outcome and better opportunities, using multi-level models. Individual charac- teristics are most important in explaining both support and trust. At the national level, the data indicate that opportunity is understood more in terms of collective policies to mitigate disadvantage rather than individual policies to strengthen incentives. Support for and trust in the welfare state pull in opposite directions: greater security weakens support but reinforces trust. Pressures on state welfare may diminish the feeling of security so that support for state provision grows, but does so in a climate of more equivocal trust in government services", "author" : [ { "dropping-particle" : "", "family" : "Taylor-Gooby", "given" : "Peter", "non-dropping-particle" : "", "parse-names" : false, "suffix" : "" } ], "container-title" : "Journal of European Social Policy", "id" : "ITEM-1", "issue" : "2", "issued" : { "date-parts" : [ [ "2011" ] ] }, "page" : "150-163", "title" : "Security, equality and opportunity: attitudes and the sustainability of social protection", "type" : "article-journal", "volume" : "21" }, "uris" : [ "http://www.mendeley.com/documents/?uuid=31eb6ed3-0553-4751-ac83-dd1c27da9800" ] } ], "mendeley" : { "formattedCitation" : "(Taylor-Gooby, 2011)", "plainTextFormattedCitation" : "(Taylor-Gooby, 2011)", "previouslyFormattedCitation" : "(Taylor-Gooby, 2011)" }, "properties" : { "noteIndex" : 0 }, "schema" : "https://github.com/citation-style-language/schema/raw/master/csl-citation.json" }</w:instrText>
      </w:r>
      <w:r w:rsidRPr="00E85D60">
        <w:rPr>
          <w:rFonts w:cstheme="majorBidi"/>
          <w:szCs w:val="24"/>
          <w:highlight w:val="yellow"/>
        </w:rPr>
        <w:fldChar w:fldCharType="separate"/>
      </w:r>
      <w:r w:rsidRPr="00E85D60">
        <w:rPr>
          <w:rFonts w:cstheme="majorBidi"/>
          <w:noProof/>
          <w:szCs w:val="24"/>
          <w:highlight w:val="yellow"/>
        </w:rPr>
        <w:t>(Taylor-Gooby, 2011)</w:t>
      </w:r>
      <w:r w:rsidRPr="00E85D60">
        <w:rPr>
          <w:rFonts w:cstheme="majorBidi"/>
          <w:szCs w:val="24"/>
          <w:highlight w:val="yellow"/>
        </w:rPr>
        <w:fldChar w:fldCharType="end"/>
      </w:r>
      <w:r w:rsidRPr="00E85D60">
        <w:rPr>
          <w:rFonts w:cstheme="majorBidi"/>
          <w:szCs w:val="24"/>
          <w:highlight w:val="yellow"/>
        </w:rPr>
        <w:t>: this result provides tentative evidence to support this notion. Interestingly however, the generational differences disappear when it comes to both a prospering economy and criminal punishment – all age groups on average score the economy a high 7.7 on the scale of essentialness, whereas punishment only varies between 7.5-7.7. Clearly these populist issues of law and order and economic growth are seen in fact to be very important in a democracy, despite the expectations of the literature in Section 3.2, Chapter 3</w:t>
      </w:r>
      <w:r w:rsidR="000F5A22">
        <w:rPr>
          <w:rFonts w:cstheme="majorBidi"/>
          <w:szCs w:val="24"/>
          <w:highlight w:val="yellow"/>
        </w:rPr>
        <w:t>,</w:t>
      </w:r>
      <w:r w:rsidRPr="00E85D60">
        <w:rPr>
          <w:rFonts w:cstheme="majorBidi"/>
          <w:szCs w:val="24"/>
          <w:highlight w:val="yellow"/>
        </w:rPr>
        <w:t xml:space="preserve"> and previously in this chapter, which suggested that these will be contested issues when related to democratic theory. The standard deviation of these variables is slightly higher than for the procedural issues, yet not by a huge amount, suggesting that whilst contestation over the issues </w:t>
      </w:r>
      <w:r w:rsidRPr="00E85D60">
        <w:rPr>
          <w:rFonts w:cstheme="majorBidi"/>
          <w:i/>
          <w:szCs w:val="24"/>
          <w:highlight w:val="yellow"/>
        </w:rPr>
        <w:t>is</w:t>
      </w:r>
      <w:r w:rsidRPr="00E85D60">
        <w:rPr>
          <w:rFonts w:cstheme="majorBidi"/>
          <w:szCs w:val="24"/>
          <w:highlight w:val="yellow"/>
        </w:rPr>
        <w:t xml:space="preserve"> played out amongst respondents, they are not as conflicted as the literature on the issue might predict. Finally for the age variable we can see that for the authoritarian issues there a clear pattern again, that younger respondents score them </w:t>
      </w:r>
      <w:r w:rsidRPr="00E85D60">
        <w:rPr>
          <w:rFonts w:cstheme="majorBidi"/>
          <w:i/>
          <w:szCs w:val="24"/>
          <w:highlight w:val="yellow"/>
        </w:rPr>
        <w:t>higher</w:t>
      </w:r>
      <w:r w:rsidRPr="00E85D60">
        <w:rPr>
          <w:rFonts w:cstheme="majorBidi"/>
          <w:szCs w:val="24"/>
          <w:highlight w:val="yellow"/>
        </w:rPr>
        <w:t xml:space="preserve"> on average than the elderly respondents: 4.6 for 15-24 year olds compared to 3.7 for 75+ when it comes to religious authorities interpreting the law, and, using the same age groups, 4.7 compared to 3.8 for army intervention. This is perhaps a surprise as more authoritarian, or at least more conservative attitudes, are associated with older generations </w:t>
      </w:r>
      <w:r w:rsidRPr="00E85D60">
        <w:rPr>
          <w:rFonts w:cstheme="majorBidi"/>
          <w:szCs w:val="24"/>
          <w:highlight w:val="yellow"/>
        </w:rPr>
        <w:fldChar w:fldCharType="begin" w:fldLock="1"/>
      </w:r>
      <w:r w:rsidRPr="00E85D60">
        <w:rPr>
          <w:rFonts w:cstheme="majorBidi"/>
          <w:szCs w:val="24"/>
          <w:highlight w:val="yellow"/>
        </w:rPr>
        <w:instrText>ADDIN CSL_CITATION { "citationItems" : [ { "id" : "ITEM-1", "itemData" : { "author" : [ { "dropping-particle" : "", "family" : "Stenner", "given" : "K", "non-dropping-particle" : "", "parse-names" : false, "suffix" : "" } ], "id" : "ITEM-1", "issued" : { "date-parts" : [ [ "2005" ] ] }, "publisher" : "Cambridge University Press", "publisher-place" : "Cambridge", "title" : "The Authoritarian Dynamic", "type" : "book" }, "uris" : [ "http://www.mendeley.com/documents/?uuid=7dce7d1a-1693-4525-88ce-8fcf6eec4454" ] } ], "mendeley" : { "formattedCitation" : "(Stenner, 2005)", "manualFormatting" : "(Stenner, 2005, p.154)", "plainTextFormattedCitation" : "(Stenner, 2005)", "previouslyFormattedCitation" : "(Stenner, 2005)" }, "properties" : { "noteIndex" : 0 }, "schema" : "https://github.com/citation-style-language/schema/raw/master/csl-citation.json" }</w:instrText>
      </w:r>
      <w:r w:rsidRPr="00E85D60">
        <w:rPr>
          <w:rFonts w:cstheme="majorBidi"/>
          <w:szCs w:val="24"/>
          <w:highlight w:val="yellow"/>
        </w:rPr>
        <w:fldChar w:fldCharType="separate"/>
      </w:r>
      <w:r w:rsidRPr="00E85D60">
        <w:rPr>
          <w:rFonts w:cstheme="majorBidi"/>
          <w:noProof/>
          <w:szCs w:val="24"/>
          <w:highlight w:val="yellow"/>
        </w:rPr>
        <w:t>(Stenner, 2005, p.154)</w:t>
      </w:r>
      <w:r w:rsidRPr="00E85D60">
        <w:rPr>
          <w:rFonts w:cstheme="majorBidi"/>
          <w:szCs w:val="24"/>
          <w:highlight w:val="yellow"/>
        </w:rPr>
        <w:fldChar w:fldCharType="end"/>
      </w:r>
      <w:r w:rsidRPr="00E85D60">
        <w:rPr>
          <w:rFonts w:cstheme="majorBidi"/>
          <w:szCs w:val="24"/>
          <w:highlight w:val="yellow"/>
        </w:rPr>
        <w:t xml:space="preserve">, yet here there is a clear suggestion that the elderly are scoring these characteristics as less essential than average than the younger respondents. This raises the concern that there is potentially a </w:t>
      </w:r>
      <w:r w:rsidRPr="00E85D60">
        <w:rPr>
          <w:rFonts w:cstheme="majorBidi"/>
          <w:i/>
          <w:szCs w:val="24"/>
          <w:highlight w:val="yellow"/>
        </w:rPr>
        <w:t>de-</w:t>
      </w:r>
      <w:r w:rsidRPr="00E85D60">
        <w:rPr>
          <w:rFonts w:cstheme="majorBidi"/>
          <w:szCs w:val="24"/>
          <w:highlight w:val="yellow"/>
        </w:rPr>
        <w:t xml:space="preserve">consolidation of democracy as younger generations are less inclined to support democratic and </w:t>
      </w:r>
      <w:r w:rsidR="000F5A22">
        <w:rPr>
          <w:rFonts w:cstheme="majorBidi"/>
          <w:szCs w:val="24"/>
          <w:highlight w:val="yellow"/>
        </w:rPr>
        <w:t>l</w:t>
      </w:r>
      <w:r w:rsidR="000F5A22" w:rsidRPr="00E85D60">
        <w:rPr>
          <w:rFonts w:cstheme="majorBidi"/>
          <w:szCs w:val="24"/>
          <w:highlight w:val="yellow"/>
        </w:rPr>
        <w:t xml:space="preserve">iberal/procedural ideas </w:t>
      </w:r>
      <w:r w:rsidR="000F5A22" w:rsidRPr="00E85D60">
        <w:rPr>
          <w:rFonts w:cstheme="majorBidi"/>
          <w:szCs w:val="24"/>
          <w:highlight w:val="yellow"/>
        </w:rPr>
        <w:fldChar w:fldCharType="begin" w:fldLock="1"/>
      </w:r>
      <w:r w:rsidR="000F5A22" w:rsidRPr="00E85D60">
        <w:rPr>
          <w:rFonts w:cstheme="majorBidi"/>
          <w:szCs w:val="24"/>
          <w:highlight w:val="yellow"/>
        </w:rPr>
        <w:instrText>ADDIN CSL_CITATION { "citationItems" : [ { "id" : "ITEM-1", "itemData" : { "author" : [ { "dropping-particle" : "", "family" : "Foa", "given" : "R", "non-dropping-particle" : "", "parse-names" : false, "suffix" : "" }, { "dropping-particle" : "", "family" : "Mounk", "given" : "Y", "non-dropping-particle" : "", "parse-names" : false, "suffix" : "" } ], "container-title" : "Journal of Democracy", "id" : "ITEM-1", "issue" : "1", "issued" : { "date-parts" : [ [ "2017" ] ] }, "page" : "5-15", "title" : "The Signs of Deconsolidation", "type" : "article-journal", "volume" : "28" }, "uris" : [ "http://www.mendeley.com/documents/?uuid=6f37b2e9-69e0-4098-8a59-9b45381bc76b" ] } ], "mendeley" : { "formattedCitation" : "(Foa and Mounk, 2017)", "plainTextFormattedCitation" : "(Foa and Mounk, 2017)", "previouslyFormattedCitation" : "(Foa and Mounk, 2017)" }, "properties" : { "noteIndex" : 0 }, "schema" : "https://github.com/citation-style-language/schema/raw/master/csl-citation.json" }</w:instrText>
      </w:r>
      <w:r w:rsidR="000F5A22" w:rsidRPr="00E85D60">
        <w:rPr>
          <w:rFonts w:cstheme="majorBidi"/>
          <w:szCs w:val="24"/>
          <w:highlight w:val="yellow"/>
        </w:rPr>
        <w:fldChar w:fldCharType="separate"/>
      </w:r>
      <w:r w:rsidR="000F5A22" w:rsidRPr="00E85D60">
        <w:rPr>
          <w:rFonts w:cstheme="majorBidi"/>
          <w:noProof/>
          <w:szCs w:val="24"/>
          <w:highlight w:val="yellow"/>
        </w:rPr>
        <w:t>(Foa and Mounk, 2017)</w:t>
      </w:r>
      <w:r w:rsidR="000F5A22" w:rsidRPr="00E85D60">
        <w:rPr>
          <w:rFonts w:cstheme="majorBidi"/>
          <w:szCs w:val="24"/>
          <w:highlight w:val="yellow"/>
        </w:rPr>
        <w:fldChar w:fldCharType="end"/>
      </w:r>
      <w:r w:rsidR="000F5A22" w:rsidRPr="00E85D60">
        <w:rPr>
          <w:rFonts w:cstheme="majorBidi"/>
          <w:szCs w:val="24"/>
          <w:highlight w:val="yellow"/>
        </w:rPr>
        <w:t>.</w:t>
      </w:r>
    </w:p>
    <w:p w14:paraId="120AB411" w14:textId="77777777" w:rsidR="00974957" w:rsidRPr="00E85D60" w:rsidRDefault="00974957" w:rsidP="00974957">
      <w:pPr>
        <w:rPr>
          <w:rFonts w:cstheme="majorBidi"/>
          <w:szCs w:val="24"/>
          <w:highlight w:val="yellow"/>
        </w:rPr>
      </w:pPr>
      <w:r w:rsidRPr="00E85D60">
        <w:rPr>
          <w:rFonts w:cstheme="majorBidi"/>
          <w:szCs w:val="24"/>
          <w:highlight w:val="yellow"/>
        </w:rPr>
        <w:t>However, what we do not know at this stage, and which is crucial for further study, is whether this reflects the importance of socialization and that democratic ideals are learnt by respondents over a lifetime, or if we are indeed seeing younger generations scoring such democratic characteristics less than they used to.</w:t>
      </w:r>
    </w:p>
    <w:p w14:paraId="3FAAA454" w14:textId="77777777" w:rsidR="00974957" w:rsidRPr="00E85D60" w:rsidRDefault="00974957" w:rsidP="00974957">
      <w:pPr>
        <w:rPr>
          <w:rFonts w:cstheme="majorBidi"/>
          <w:szCs w:val="24"/>
          <w:highlight w:val="yellow"/>
        </w:rPr>
      </w:pPr>
      <w:r w:rsidRPr="00E85D60">
        <w:rPr>
          <w:rFonts w:cstheme="majorBidi"/>
          <w:szCs w:val="24"/>
          <w:highlight w:val="yellow"/>
        </w:rPr>
        <w:t>When it comes to education a similar pattern appears across elections, gender equality and civil rights: those with higher levels of education score these higher than those with lower levels. There is around a 0.5 difference, but no group scores less than 8.0, and so these are varying levels of essential</w:t>
      </w:r>
      <w:r>
        <w:rPr>
          <w:rFonts w:cstheme="majorBidi"/>
          <w:szCs w:val="24"/>
          <w:highlight w:val="yellow"/>
        </w:rPr>
        <w:t>ness</w:t>
      </w:r>
      <w:r w:rsidRPr="00E85D60">
        <w:rPr>
          <w:rFonts w:cstheme="majorBidi"/>
          <w:szCs w:val="24"/>
          <w:highlight w:val="yellow"/>
        </w:rPr>
        <w:t xml:space="preserve">, rather than fundamental differences in attitude. The referendum variable shows far less difference, between 7.8 for low and middle levels, and 8.0 for the highest level. When it comes to the instrumental characteristics the relationship is reversed but the gaps are smaller. In general these issues retain a high level of essentialness – especially a prospering economy – and again do not show the large conflict in opinions that the literature might expect; at least, these differences are not highlighted by age, gender, or education. The largest gap for educational attainment is demonstrated in the authoritarian characteristics. Here, those of a lower attainment score the essentialness of religious authorities at 4.8, compared to only 3.4 for the higher attainment. For the army intervention issue, this pattern is 4.8 compared to 3.6.  Therefore, in this preliminary analysis we might expect to see that education is important in dissuading people that religious and military authorities should have a say in democratic governance. </w:t>
      </w:r>
    </w:p>
    <w:p w14:paraId="363C06B6" w14:textId="0789DC2F" w:rsidR="00974957" w:rsidRDefault="00974957" w:rsidP="00974957">
      <w:pPr>
        <w:rPr>
          <w:rFonts w:cstheme="majorBidi"/>
          <w:szCs w:val="24"/>
          <w:highlight w:val="yellow"/>
        </w:rPr>
      </w:pPr>
    </w:p>
    <w:p w14:paraId="4ED0ACCC" w14:textId="4B4C5B8E" w:rsidR="00974957" w:rsidRDefault="00974957" w:rsidP="00974957">
      <w:pPr>
        <w:rPr>
          <w:rFonts w:cstheme="majorBidi"/>
          <w:szCs w:val="24"/>
          <w:highlight w:val="yellow"/>
        </w:rPr>
      </w:pPr>
    </w:p>
    <w:p w14:paraId="4B613D3D" w14:textId="77777777" w:rsidR="006F003B" w:rsidRPr="00974957" w:rsidRDefault="006F003B" w:rsidP="00974957">
      <w:pPr>
        <w:rPr>
          <w:rFonts w:cstheme="majorBidi"/>
          <w:szCs w:val="24"/>
          <w:highlight w:val="yellow"/>
        </w:rPr>
        <w:sectPr w:rsidR="006F003B" w:rsidRPr="00974957" w:rsidSect="0052597C">
          <w:footerReference w:type="default" r:id="rId16"/>
          <w:pgSz w:w="11906" w:h="16838"/>
          <w:pgMar w:top="1440" w:right="1440" w:bottom="1440" w:left="1440" w:header="720" w:footer="720" w:gutter="357"/>
          <w:cols w:space="720"/>
        </w:sectPr>
      </w:pPr>
    </w:p>
    <w:tbl>
      <w:tblPr>
        <w:tblpPr w:leftFromText="180" w:rightFromText="180" w:horzAnchor="margin" w:tblpY="387"/>
        <w:tblW w:w="14312" w:type="dxa"/>
        <w:tblLook w:val="04A0" w:firstRow="1" w:lastRow="0" w:firstColumn="1" w:lastColumn="0" w:noHBand="0" w:noVBand="1"/>
      </w:tblPr>
      <w:tblGrid>
        <w:gridCol w:w="1292"/>
        <w:gridCol w:w="1036"/>
        <w:gridCol w:w="1116"/>
        <w:gridCol w:w="1128"/>
        <w:gridCol w:w="982"/>
        <w:gridCol w:w="1116"/>
        <w:gridCol w:w="1257"/>
        <w:gridCol w:w="1272"/>
        <w:gridCol w:w="1449"/>
        <w:gridCol w:w="1272"/>
        <w:gridCol w:w="985"/>
        <w:gridCol w:w="1407"/>
      </w:tblGrid>
      <w:tr w:rsidR="006F003B" w:rsidRPr="00E85D60" w14:paraId="7D7CA872" w14:textId="77777777" w:rsidTr="006F003B">
        <w:trPr>
          <w:trHeight w:val="290"/>
        </w:trPr>
        <w:tc>
          <w:tcPr>
            <w:tcW w:w="1292" w:type="dxa"/>
          </w:tcPr>
          <w:p w14:paraId="369DECA0" w14:textId="77777777" w:rsidR="006F003B" w:rsidRPr="00E85D60" w:rsidRDefault="006F003B" w:rsidP="006F003B">
            <w:pPr>
              <w:spacing w:before="0" w:line="240" w:lineRule="auto"/>
              <w:rPr>
                <w:rFonts w:asciiTheme="minorHAnsi" w:hAnsiTheme="minorHAnsi" w:cstheme="minorHAnsi"/>
                <w:highlight w:val="yellow"/>
              </w:rPr>
            </w:pPr>
          </w:p>
        </w:tc>
        <w:tc>
          <w:tcPr>
            <w:tcW w:w="1036" w:type="dxa"/>
          </w:tcPr>
          <w:p w14:paraId="638B997A"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Election</w:t>
            </w:r>
          </w:p>
        </w:tc>
        <w:tc>
          <w:tcPr>
            <w:tcW w:w="1116" w:type="dxa"/>
          </w:tcPr>
          <w:p w14:paraId="7D8BD7F9"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Ref.</w:t>
            </w:r>
          </w:p>
        </w:tc>
        <w:tc>
          <w:tcPr>
            <w:tcW w:w="1128" w:type="dxa"/>
          </w:tcPr>
          <w:p w14:paraId="78E978EB"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Gender</w:t>
            </w:r>
          </w:p>
        </w:tc>
        <w:tc>
          <w:tcPr>
            <w:tcW w:w="982" w:type="dxa"/>
          </w:tcPr>
          <w:p w14:paraId="2FD0CD2D"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Civil R.</w:t>
            </w:r>
          </w:p>
        </w:tc>
        <w:tc>
          <w:tcPr>
            <w:tcW w:w="1116" w:type="dxa"/>
          </w:tcPr>
          <w:p w14:paraId="785C1049"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Tax</w:t>
            </w:r>
          </w:p>
        </w:tc>
        <w:tc>
          <w:tcPr>
            <w:tcW w:w="1257" w:type="dxa"/>
          </w:tcPr>
          <w:p w14:paraId="7EE9B1A8"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State Aid</w:t>
            </w:r>
          </w:p>
        </w:tc>
        <w:tc>
          <w:tcPr>
            <w:tcW w:w="1272" w:type="dxa"/>
          </w:tcPr>
          <w:p w14:paraId="66518505"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Economy</w:t>
            </w:r>
          </w:p>
        </w:tc>
        <w:tc>
          <w:tcPr>
            <w:tcW w:w="1449" w:type="dxa"/>
          </w:tcPr>
          <w:p w14:paraId="60690EEB"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Punishment</w:t>
            </w:r>
          </w:p>
        </w:tc>
        <w:tc>
          <w:tcPr>
            <w:tcW w:w="1272" w:type="dxa"/>
          </w:tcPr>
          <w:p w14:paraId="396E421C"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Religious</w:t>
            </w:r>
          </w:p>
        </w:tc>
        <w:tc>
          <w:tcPr>
            <w:tcW w:w="985" w:type="dxa"/>
          </w:tcPr>
          <w:p w14:paraId="55EB05DC"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Army</w:t>
            </w:r>
          </w:p>
        </w:tc>
        <w:tc>
          <w:tcPr>
            <w:tcW w:w="1407" w:type="dxa"/>
          </w:tcPr>
          <w:p w14:paraId="344CB305"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i/>
                <w:highlight w:val="yellow"/>
              </w:rPr>
              <w:t>N</w:t>
            </w:r>
            <w:r w:rsidRPr="00E85D60">
              <w:rPr>
                <w:rFonts w:asciiTheme="minorHAnsi" w:hAnsiTheme="minorHAnsi" w:cstheme="minorHAnsi"/>
                <w:b/>
                <w:highlight w:val="yellow"/>
              </w:rPr>
              <w:t xml:space="preserve"> (%)</w:t>
            </w:r>
          </w:p>
        </w:tc>
      </w:tr>
      <w:tr w:rsidR="006F003B" w:rsidRPr="00E85D60" w14:paraId="67BD5AED" w14:textId="77777777" w:rsidTr="006F003B">
        <w:trPr>
          <w:trHeight w:val="290"/>
        </w:trPr>
        <w:tc>
          <w:tcPr>
            <w:tcW w:w="1292" w:type="dxa"/>
          </w:tcPr>
          <w:p w14:paraId="32571141"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Gender</w:t>
            </w:r>
          </w:p>
        </w:tc>
        <w:tc>
          <w:tcPr>
            <w:tcW w:w="1036" w:type="dxa"/>
          </w:tcPr>
          <w:p w14:paraId="513DBD8F"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489DF3B6" w14:textId="77777777" w:rsidR="006F003B" w:rsidRPr="00E85D60" w:rsidRDefault="006F003B" w:rsidP="006F003B">
            <w:pPr>
              <w:spacing w:before="0" w:line="240" w:lineRule="auto"/>
              <w:rPr>
                <w:rFonts w:asciiTheme="minorHAnsi" w:hAnsiTheme="minorHAnsi" w:cstheme="minorHAnsi"/>
                <w:highlight w:val="yellow"/>
              </w:rPr>
            </w:pPr>
          </w:p>
        </w:tc>
        <w:tc>
          <w:tcPr>
            <w:tcW w:w="1128" w:type="dxa"/>
          </w:tcPr>
          <w:p w14:paraId="6E9B6202" w14:textId="77777777" w:rsidR="006F003B" w:rsidRPr="00E85D60" w:rsidRDefault="006F003B" w:rsidP="006F003B">
            <w:pPr>
              <w:spacing w:before="0" w:line="240" w:lineRule="auto"/>
              <w:rPr>
                <w:rFonts w:asciiTheme="minorHAnsi" w:hAnsiTheme="minorHAnsi" w:cstheme="minorHAnsi"/>
                <w:highlight w:val="yellow"/>
              </w:rPr>
            </w:pPr>
          </w:p>
        </w:tc>
        <w:tc>
          <w:tcPr>
            <w:tcW w:w="982" w:type="dxa"/>
          </w:tcPr>
          <w:p w14:paraId="5A0BDF36"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147EF775" w14:textId="77777777" w:rsidR="006F003B" w:rsidRPr="00E85D60" w:rsidRDefault="006F003B" w:rsidP="006F003B">
            <w:pPr>
              <w:spacing w:before="0" w:line="240" w:lineRule="auto"/>
              <w:rPr>
                <w:rFonts w:asciiTheme="minorHAnsi" w:hAnsiTheme="minorHAnsi" w:cstheme="minorHAnsi"/>
                <w:highlight w:val="yellow"/>
              </w:rPr>
            </w:pPr>
          </w:p>
        </w:tc>
        <w:tc>
          <w:tcPr>
            <w:tcW w:w="1257" w:type="dxa"/>
          </w:tcPr>
          <w:p w14:paraId="65E7F900"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0F48695E" w14:textId="77777777" w:rsidR="006F003B" w:rsidRPr="00E85D60" w:rsidRDefault="006F003B" w:rsidP="006F003B">
            <w:pPr>
              <w:spacing w:before="0" w:line="240" w:lineRule="auto"/>
              <w:rPr>
                <w:rFonts w:asciiTheme="minorHAnsi" w:hAnsiTheme="minorHAnsi" w:cstheme="minorHAnsi"/>
                <w:highlight w:val="yellow"/>
              </w:rPr>
            </w:pPr>
          </w:p>
        </w:tc>
        <w:tc>
          <w:tcPr>
            <w:tcW w:w="1449" w:type="dxa"/>
          </w:tcPr>
          <w:p w14:paraId="67FEF1FE"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3A969BFA" w14:textId="77777777" w:rsidR="006F003B" w:rsidRPr="00E85D60" w:rsidRDefault="006F003B" w:rsidP="006F003B">
            <w:pPr>
              <w:spacing w:before="0" w:line="240" w:lineRule="auto"/>
              <w:rPr>
                <w:rFonts w:asciiTheme="minorHAnsi" w:hAnsiTheme="minorHAnsi" w:cstheme="minorHAnsi"/>
                <w:highlight w:val="yellow"/>
              </w:rPr>
            </w:pPr>
          </w:p>
        </w:tc>
        <w:tc>
          <w:tcPr>
            <w:tcW w:w="985" w:type="dxa"/>
          </w:tcPr>
          <w:p w14:paraId="3EEAA594" w14:textId="77777777" w:rsidR="006F003B" w:rsidRPr="00E85D60" w:rsidRDefault="006F003B" w:rsidP="006F003B">
            <w:pPr>
              <w:spacing w:before="0" w:line="240" w:lineRule="auto"/>
              <w:rPr>
                <w:rFonts w:asciiTheme="minorHAnsi" w:hAnsiTheme="minorHAnsi" w:cstheme="minorHAnsi"/>
                <w:highlight w:val="yellow"/>
              </w:rPr>
            </w:pPr>
          </w:p>
        </w:tc>
        <w:tc>
          <w:tcPr>
            <w:tcW w:w="1407" w:type="dxa"/>
          </w:tcPr>
          <w:p w14:paraId="4ADEFDD9" w14:textId="77777777" w:rsidR="006F003B" w:rsidRPr="00E85D60" w:rsidRDefault="006F003B" w:rsidP="006F003B">
            <w:pPr>
              <w:spacing w:before="0" w:line="240" w:lineRule="auto"/>
              <w:rPr>
                <w:rFonts w:asciiTheme="minorHAnsi" w:hAnsiTheme="minorHAnsi" w:cstheme="minorHAnsi"/>
                <w:highlight w:val="yellow"/>
              </w:rPr>
            </w:pPr>
          </w:p>
        </w:tc>
      </w:tr>
      <w:tr w:rsidR="006F003B" w:rsidRPr="00E85D60" w14:paraId="77ED257C" w14:textId="77777777" w:rsidTr="006F003B">
        <w:trPr>
          <w:trHeight w:val="303"/>
        </w:trPr>
        <w:tc>
          <w:tcPr>
            <w:tcW w:w="1292" w:type="dxa"/>
          </w:tcPr>
          <w:p w14:paraId="665621EB"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Female</w:t>
            </w:r>
          </w:p>
        </w:tc>
        <w:tc>
          <w:tcPr>
            <w:tcW w:w="1036" w:type="dxa"/>
          </w:tcPr>
          <w:p w14:paraId="11601CD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8.5 (2.2)</w:t>
            </w:r>
          </w:p>
        </w:tc>
        <w:tc>
          <w:tcPr>
            <w:tcW w:w="1116" w:type="dxa"/>
          </w:tcPr>
          <w:p w14:paraId="2F3E861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(2.5)</w:t>
            </w:r>
          </w:p>
        </w:tc>
        <w:tc>
          <w:tcPr>
            <w:tcW w:w="1128" w:type="dxa"/>
          </w:tcPr>
          <w:p w14:paraId="0CAA3BF4"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8.7 (2.2)</w:t>
            </w:r>
          </w:p>
        </w:tc>
        <w:tc>
          <w:tcPr>
            <w:tcW w:w="982" w:type="dxa"/>
          </w:tcPr>
          <w:p w14:paraId="79CACA3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(2.5)</w:t>
            </w:r>
          </w:p>
        </w:tc>
        <w:tc>
          <w:tcPr>
            <w:tcW w:w="1116" w:type="dxa"/>
          </w:tcPr>
          <w:p w14:paraId="73BBAFB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6.5 (2.9)</w:t>
            </w:r>
          </w:p>
        </w:tc>
        <w:tc>
          <w:tcPr>
            <w:tcW w:w="1257" w:type="dxa"/>
          </w:tcPr>
          <w:p w14:paraId="0251BBE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7.3 (2.6)</w:t>
            </w:r>
          </w:p>
        </w:tc>
        <w:tc>
          <w:tcPr>
            <w:tcW w:w="1272" w:type="dxa"/>
          </w:tcPr>
          <w:p w14:paraId="14A2697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35B46D7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(2.8)</w:t>
            </w:r>
          </w:p>
        </w:tc>
        <w:tc>
          <w:tcPr>
            <w:tcW w:w="1272" w:type="dxa"/>
          </w:tcPr>
          <w:p w14:paraId="65D9704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4.3 (3.0)</w:t>
            </w:r>
          </w:p>
        </w:tc>
        <w:tc>
          <w:tcPr>
            <w:tcW w:w="985" w:type="dxa"/>
          </w:tcPr>
          <w:p w14:paraId="61B48CF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4.4 (3.1)</w:t>
            </w:r>
          </w:p>
        </w:tc>
        <w:tc>
          <w:tcPr>
            <w:tcW w:w="1407" w:type="dxa"/>
          </w:tcPr>
          <w:p w14:paraId="669186CC" w14:textId="08EAAFC4"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22,793 (50%)</w:t>
            </w:r>
          </w:p>
        </w:tc>
      </w:tr>
      <w:tr w:rsidR="006F003B" w:rsidRPr="00E85D60" w14:paraId="0C2D1BBE" w14:textId="77777777" w:rsidTr="006F003B">
        <w:trPr>
          <w:trHeight w:val="290"/>
        </w:trPr>
        <w:tc>
          <w:tcPr>
            <w:tcW w:w="1292" w:type="dxa"/>
          </w:tcPr>
          <w:p w14:paraId="5FC3FD08"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Male</w:t>
            </w:r>
          </w:p>
        </w:tc>
        <w:tc>
          <w:tcPr>
            <w:tcW w:w="1036" w:type="dxa"/>
          </w:tcPr>
          <w:p w14:paraId="7CCF06D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(2.2)</w:t>
            </w:r>
          </w:p>
        </w:tc>
        <w:tc>
          <w:tcPr>
            <w:tcW w:w="1116" w:type="dxa"/>
          </w:tcPr>
          <w:p w14:paraId="2D45D49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(2.5)</w:t>
            </w:r>
          </w:p>
        </w:tc>
        <w:tc>
          <w:tcPr>
            <w:tcW w:w="1128" w:type="dxa"/>
          </w:tcPr>
          <w:p w14:paraId="6AF8D20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8.5 (2.3)</w:t>
            </w:r>
          </w:p>
        </w:tc>
        <w:tc>
          <w:tcPr>
            <w:tcW w:w="982" w:type="dxa"/>
          </w:tcPr>
          <w:p w14:paraId="669F6E4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(2.5)</w:t>
            </w:r>
          </w:p>
        </w:tc>
        <w:tc>
          <w:tcPr>
            <w:tcW w:w="1116" w:type="dxa"/>
          </w:tcPr>
          <w:p w14:paraId="0D576CB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6.5 (2.9)</w:t>
            </w:r>
          </w:p>
        </w:tc>
        <w:tc>
          <w:tcPr>
            <w:tcW w:w="1257" w:type="dxa"/>
          </w:tcPr>
          <w:p w14:paraId="6DF1B1A4"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7.2 (2.7)</w:t>
            </w:r>
          </w:p>
        </w:tc>
        <w:tc>
          <w:tcPr>
            <w:tcW w:w="1272" w:type="dxa"/>
          </w:tcPr>
          <w:p w14:paraId="6C38DDA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(2.5)</w:t>
            </w:r>
          </w:p>
        </w:tc>
        <w:tc>
          <w:tcPr>
            <w:tcW w:w="1449" w:type="dxa"/>
          </w:tcPr>
          <w:p w14:paraId="5C9B6FD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(2.8)</w:t>
            </w:r>
          </w:p>
        </w:tc>
        <w:tc>
          <w:tcPr>
            <w:tcW w:w="1272" w:type="dxa"/>
          </w:tcPr>
          <w:p w14:paraId="521E327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4.2 (3.0)</w:t>
            </w:r>
          </w:p>
        </w:tc>
        <w:tc>
          <w:tcPr>
            <w:tcW w:w="985" w:type="dxa"/>
          </w:tcPr>
          <w:p w14:paraId="6B8200C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4.3 (3.2)</w:t>
            </w:r>
          </w:p>
        </w:tc>
        <w:tc>
          <w:tcPr>
            <w:tcW w:w="1407" w:type="dxa"/>
          </w:tcPr>
          <w:p w14:paraId="7563AE9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22,752 (50%)</w:t>
            </w:r>
          </w:p>
        </w:tc>
      </w:tr>
      <w:tr w:rsidR="006F003B" w:rsidRPr="00E85D60" w14:paraId="43F66984" w14:textId="77777777" w:rsidTr="006F003B">
        <w:trPr>
          <w:trHeight w:val="290"/>
        </w:trPr>
        <w:tc>
          <w:tcPr>
            <w:tcW w:w="1292" w:type="dxa"/>
          </w:tcPr>
          <w:p w14:paraId="398DEF83"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Age</w:t>
            </w:r>
          </w:p>
        </w:tc>
        <w:tc>
          <w:tcPr>
            <w:tcW w:w="1036" w:type="dxa"/>
          </w:tcPr>
          <w:p w14:paraId="152A43DE"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117A55DF" w14:textId="77777777" w:rsidR="006F003B" w:rsidRPr="00E85D60" w:rsidRDefault="006F003B" w:rsidP="006F003B">
            <w:pPr>
              <w:spacing w:before="0" w:line="240" w:lineRule="auto"/>
              <w:rPr>
                <w:rFonts w:asciiTheme="minorHAnsi" w:hAnsiTheme="minorHAnsi" w:cstheme="minorHAnsi"/>
                <w:highlight w:val="yellow"/>
              </w:rPr>
            </w:pPr>
          </w:p>
        </w:tc>
        <w:tc>
          <w:tcPr>
            <w:tcW w:w="1128" w:type="dxa"/>
          </w:tcPr>
          <w:p w14:paraId="1D3D04A9" w14:textId="77777777" w:rsidR="006F003B" w:rsidRPr="00E85D60" w:rsidRDefault="006F003B" w:rsidP="006F003B">
            <w:pPr>
              <w:spacing w:before="0" w:line="240" w:lineRule="auto"/>
              <w:rPr>
                <w:rFonts w:asciiTheme="minorHAnsi" w:hAnsiTheme="minorHAnsi" w:cstheme="minorHAnsi"/>
                <w:highlight w:val="yellow"/>
              </w:rPr>
            </w:pPr>
          </w:p>
        </w:tc>
        <w:tc>
          <w:tcPr>
            <w:tcW w:w="982" w:type="dxa"/>
          </w:tcPr>
          <w:p w14:paraId="48E88729"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1B95F97A" w14:textId="77777777" w:rsidR="006F003B" w:rsidRPr="00E85D60" w:rsidRDefault="006F003B" w:rsidP="006F003B">
            <w:pPr>
              <w:spacing w:before="0" w:line="240" w:lineRule="auto"/>
              <w:rPr>
                <w:rFonts w:asciiTheme="minorHAnsi" w:hAnsiTheme="minorHAnsi" w:cstheme="minorHAnsi"/>
                <w:highlight w:val="yellow"/>
              </w:rPr>
            </w:pPr>
          </w:p>
        </w:tc>
        <w:tc>
          <w:tcPr>
            <w:tcW w:w="1257" w:type="dxa"/>
          </w:tcPr>
          <w:p w14:paraId="63907F08"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39663B36" w14:textId="77777777" w:rsidR="006F003B" w:rsidRPr="00E85D60" w:rsidRDefault="006F003B" w:rsidP="006F003B">
            <w:pPr>
              <w:spacing w:before="0" w:line="240" w:lineRule="auto"/>
              <w:rPr>
                <w:rFonts w:asciiTheme="minorHAnsi" w:hAnsiTheme="minorHAnsi" w:cstheme="minorHAnsi"/>
                <w:highlight w:val="yellow"/>
              </w:rPr>
            </w:pPr>
          </w:p>
        </w:tc>
        <w:tc>
          <w:tcPr>
            <w:tcW w:w="1449" w:type="dxa"/>
          </w:tcPr>
          <w:p w14:paraId="21FA5046"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1AE6561D" w14:textId="77777777" w:rsidR="006F003B" w:rsidRPr="00E85D60" w:rsidRDefault="006F003B" w:rsidP="006F003B">
            <w:pPr>
              <w:spacing w:before="0" w:line="240" w:lineRule="auto"/>
              <w:rPr>
                <w:rFonts w:asciiTheme="minorHAnsi" w:hAnsiTheme="minorHAnsi" w:cstheme="minorHAnsi"/>
                <w:highlight w:val="yellow"/>
              </w:rPr>
            </w:pPr>
          </w:p>
        </w:tc>
        <w:tc>
          <w:tcPr>
            <w:tcW w:w="985" w:type="dxa"/>
          </w:tcPr>
          <w:p w14:paraId="1182515B" w14:textId="77777777" w:rsidR="006F003B" w:rsidRPr="00E85D60" w:rsidRDefault="006F003B" w:rsidP="006F003B">
            <w:pPr>
              <w:spacing w:before="0" w:line="240" w:lineRule="auto"/>
              <w:rPr>
                <w:rFonts w:asciiTheme="minorHAnsi" w:hAnsiTheme="minorHAnsi" w:cstheme="minorHAnsi"/>
                <w:highlight w:val="yellow"/>
              </w:rPr>
            </w:pPr>
          </w:p>
        </w:tc>
        <w:tc>
          <w:tcPr>
            <w:tcW w:w="1407" w:type="dxa"/>
          </w:tcPr>
          <w:p w14:paraId="4F77DA16" w14:textId="77777777" w:rsidR="006F003B" w:rsidRPr="00E85D60" w:rsidRDefault="006F003B" w:rsidP="006F003B">
            <w:pPr>
              <w:spacing w:before="0" w:line="240" w:lineRule="auto"/>
              <w:rPr>
                <w:rFonts w:asciiTheme="minorHAnsi" w:hAnsiTheme="minorHAnsi" w:cstheme="minorHAnsi"/>
                <w:highlight w:val="yellow"/>
              </w:rPr>
            </w:pPr>
          </w:p>
        </w:tc>
      </w:tr>
      <w:tr w:rsidR="006F003B" w:rsidRPr="00E85D60" w14:paraId="65CA3471" w14:textId="77777777" w:rsidTr="006F003B">
        <w:trPr>
          <w:trHeight w:val="290"/>
        </w:trPr>
        <w:tc>
          <w:tcPr>
            <w:tcW w:w="1292" w:type="dxa"/>
          </w:tcPr>
          <w:p w14:paraId="5F3AB987"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15-24</w:t>
            </w:r>
          </w:p>
        </w:tc>
        <w:tc>
          <w:tcPr>
            <w:tcW w:w="1036" w:type="dxa"/>
          </w:tcPr>
          <w:p w14:paraId="6AEC624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8.3 (2.3)</w:t>
            </w:r>
          </w:p>
        </w:tc>
        <w:tc>
          <w:tcPr>
            <w:tcW w:w="1116" w:type="dxa"/>
          </w:tcPr>
          <w:p w14:paraId="09844A9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(2.6)</w:t>
            </w:r>
          </w:p>
        </w:tc>
        <w:tc>
          <w:tcPr>
            <w:tcW w:w="1128" w:type="dxa"/>
          </w:tcPr>
          <w:p w14:paraId="332F41A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8.4 (2.4)</w:t>
            </w:r>
          </w:p>
        </w:tc>
        <w:tc>
          <w:tcPr>
            <w:tcW w:w="982" w:type="dxa"/>
          </w:tcPr>
          <w:p w14:paraId="36F75F1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(2.5)</w:t>
            </w:r>
          </w:p>
        </w:tc>
        <w:tc>
          <w:tcPr>
            <w:tcW w:w="1116" w:type="dxa"/>
          </w:tcPr>
          <w:p w14:paraId="4B08D07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6.4 (2.9)</w:t>
            </w:r>
          </w:p>
        </w:tc>
        <w:tc>
          <w:tcPr>
            <w:tcW w:w="1257" w:type="dxa"/>
          </w:tcPr>
          <w:p w14:paraId="2C3386B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7.1 (2.7)</w:t>
            </w:r>
          </w:p>
        </w:tc>
        <w:tc>
          <w:tcPr>
            <w:tcW w:w="1272" w:type="dxa"/>
          </w:tcPr>
          <w:p w14:paraId="4FC491A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43152FE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(2.7)</w:t>
            </w:r>
          </w:p>
        </w:tc>
        <w:tc>
          <w:tcPr>
            <w:tcW w:w="1272" w:type="dxa"/>
          </w:tcPr>
          <w:p w14:paraId="1EDA8DA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4.6 (3.0)</w:t>
            </w:r>
          </w:p>
        </w:tc>
        <w:tc>
          <w:tcPr>
            <w:tcW w:w="985" w:type="dxa"/>
          </w:tcPr>
          <w:p w14:paraId="4178FB0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4.7 (3.1)</w:t>
            </w:r>
          </w:p>
        </w:tc>
        <w:tc>
          <w:tcPr>
            <w:tcW w:w="1407" w:type="dxa"/>
          </w:tcPr>
          <w:p w14:paraId="5942768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 970 (17%)</w:t>
            </w:r>
          </w:p>
        </w:tc>
      </w:tr>
      <w:tr w:rsidR="006F003B" w:rsidRPr="00E85D60" w14:paraId="6DE557F9" w14:textId="77777777" w:rsidTr="006F003B">
        <w:trPr>
          <w:trHeight w:val="290"/>
        </w:trPr>
        <w:tc>
          <w:tcPr>
            <w:tcW w:w="1292" w:type="dxa"/>
          </w:tcPr>
          <w:p w14:paraId="194AC89E"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25-34</w:t>
            </w:r>
          </w:p>
        </w:tc>
        <w:tc>
          <w:tcPr>
            <w:tcW w:w="1036" w:type="dxa"/>
          </w:tcPr>
          <w:p w14:paraId="64FF08A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8.5 (2.2)</w:t>
            </w:r>
          </w:p>
        </w:tc>
        <w:tc>
          <w:tcPr>
            <w:tcW w:w="1116" w:type="dxa"/>
          </w:tcPr>
          <w:p w14:paraId="26FBAB7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(2.5)</w:t>
            </w:r>
          </w:p>
        </w:tc>
        <w:tc>
          <w:tcPr>
            <w:tcW w:w="1128" w:type="dxa"/>
          </w:tcPr>
          <w:p w14:paraId="1FECA714"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8.4 (2.3)</w:t>
            </w:r>
          </w:p>
        </w:tc>
        <w:tc>
          <w:tcPr>
            <w:tcW w:w="982" w:type="dxa"/>
          </w:tcPr>
          <w:p w14:paraId="54D2775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(2.5)</w:t>
            </w:r>
          </w:p>
        </w:tc>
        <w:tc>
          <w:tcPr>
            <w:tcW w:w="1116" w:type="dxa"/>
          </w:tcPr>
          <w:p w14:paraId="293A277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6.5 (3.0)</w:t>
            </w:r>
          </w:p>
        </w:tc>
        <w:tc>
          <w:tcPr>
            <w:tcW w:w="1257" w:type="dxa"/>
          </w:tcPr>
          <w:p w14:paraId="3708E3A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7.2 (2.7)</w:t>
            </w:r>
          </w:p>
        </w:tc>
        <w:tc>
          <w:tcPr>
            <w:tcW w:w="1272" w:type="dxa"/>
          </w:tcPr>
          <w:p w14:paraId="6B12A5A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456A010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(2.8)</w:t>
            </w:r>
          </w:p>
        </w:tc>
        <w:tc>
          <w:tcPr>
            <w:tcW w:w="1272" w:type="dxa"/>
          </w:tcPr>
          <w:p w14:paraId="0EB5A7F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4.5 (3.0)</w:t>
            </w:r>
          </w:p>
        </w:tc>
        <w:tc>
          <w:tcPr>
            <w:tcW w:w="985" w:type="dxa"/>
          </w:tcPr>
          <w:p w14:paraId="69FA247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4.5 (3.2)</w:t>
            </w:r>
          </w:p>
        </w:tc>
        <w:tc>
          <w:tcPr>
            <w:tcW w:w="1407" w:type="dxa"/>
          </w:tcPr>
          <w:p w14:paraId="3C56ED9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10,377 (23%)</w:t>
            </w:r>
          </w:p>
        </w:tc>
      </w:tr>
      <w:tr w:rsidR="006F003B" w:rsidRPr="00E85D60" w14:paraId="2C10661B" w14:textId="77777777" w:rsidTr="006F003B">
        <w:trPr>
          <w:trHeight w:val="303"/>
        </w:trPr>
        <w:tc>
          <w:tcPr>
            <w:tcW w:w="1292" w:type="dxa"/>
          </w:tcPr>
          <w:p w14:paraId="126CEC69"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35-44</w:t>
            </w:r>
          </w:p>
        </w:tc>
        <w:tc>
          <w:tcPr>
            <w:tcW w:w="1036" w:type="dxa"/>
          </w:tcPr>
          <w:p w14:paraId="77B642D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(2.1)</w:t>
            </w:r>
          </w:p>
        </w:tc>
        <w:tc>
          <w:tcPr>
            <w:tcW w:w="1116" w:type="dxa"/>
          </w:tcPr>
          <w:p w14:paraId="262F5C5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(2.5)</w:t>
            </w:r>
          </w:p>
        </w:tc>
        <w:tc>
          <w:tcPr>
            <w:tcW w:w="1128" w:type="dxa"/>
          </w:tcPr>
          <w:p w14:paraId="01F669D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(2.2)</w:t>
            </w:r>
          </w:p>
        </w:tc>
        <w:tc>
          <w:tcPr>
            <w:tcW w:w="982" w:type="dxa"/>
          </w:tcPr>
          <w:p w14:paraId="65466C9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(2.4)</w:t>
            </w:r>
          </w:p>
        </w:tc>
        <w:tc>
          <w:tcPr>
            <w:tcW w:w="1116" w:type="dxa"/>
          </w:tcPr>
          <w:p w14:paraId="59BFB0E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6.5 (2.9)</w:t>
            </w:r>
          </w:p>
        </w:tc>
        <w:tc>
          <w:tcPr>
            <w:tcW w:w="1257" w:type="dxa"/>
          </w:tcPr>
          <w:p w14:paraId="29F2373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7.3 (2.7)</w:t>
            </w:r>
          </w:p>
        </w:tc>
        <w:tc>
          <w:tcPr>
            <w:tcW w:w="1272" w:type="dxa"/>
          </w:tcPr>
          <w:p w14:paraId="4C3CA2F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4D44350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(2.8)</w:t>
            </w:r>
          </w:p>
        </w:tc>
        <w:tc>
          <w:tcPr>
            <w:tcW w:w="1272" w:type="dxa"/>
          </w:tcPr>
          <w:p w14:paraId="4CB3CEF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4.3 (3.0)</w:t>
            </w:r>
          </w:p>
        </w:tc>
        <w:tc>
          <w:tcPr>
            <w:tcW w:w="985" w:type="dxa"/>
          </w:tcPr>
          <w:p w14:paraId="2918EAF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4.4 (3.2)</w:t>
            </w:r>
          </w:p>
        </w:tc>
        <w:tc>
          <w:tcPr>
            <w:tcW w:w="1407" w:type="dxa"/>
          </w:tcPr>
          <w:p w14:paraId="3BFB203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9,245 (20%)</w:t>
            </w:r>
          </w:p>
        </w:tc>
      </w:tr>
      <w:tr w:rsidR="006F003B" w:rsidRPr="00E85D60" w14:paraId="38129D81" w14:textId="77777777" w:rsidTr="006F003B">
        <w:trPr>
          <w:trHeight w:val="303"/>
        </w:trPr>
        <w:tc>
          <w:tcPr>
            <w:tcW w:w="1292" w:type="dxa"/>
          </w:tcPr>
          <w:p w14:paraId="0C29D827"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45-54</w:t>
            </w:r>
          </w:p>
        </w:tc>
        <w:tc>
          <w:tcPr>
            <w:tcW w:w="1036" w:type="dxa"/>
          </w:tcPr>
          <w:p w14:paraId="3C56087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(2.1)</w:t>
            </w:r>
          </w:p>
        </w:tc>
        <w:tc>
          <w:tcPr>
            <w:tcW w:w="1116" w:type="dxa"/>
          </w:tcPr>
          <w:p w14:paraId="4B8E9A5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(2.5)</w:t>
            </w:r>
          </w:p>
        </w:tc>
        <w:tc>
          <w:tcPr>
            <w:tcW w:w="1128" w:type="dxa"/>
          </w:tcPr>
          <w:p w14:paraId="38C3B36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8.7 (2.2)</w:t>
            </w:r>
          </w:p>
        </w:tc>
        <w:tc>
          <w:tcPr>
            <w:tcW w:w="982" w:type="dxa"/>
          </w:tcPr>
          <w:p w14:paraId="46C742C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(2.4)</w:t>
            </w:r>
          </w:p>
        </w:tc>
        <w:tc>
          <w:tcPr>
            <w:tcW w:w="1116" w:type="dxa"/>
          </w:tcPr>
          <w:p w14:paraId="655A830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6.6 (2.9)</w:t>
            </w:r>
          </w:p>
        </w:tc>
        <w:tc>
          <w:tcPr>
            <w:tcW w:w="1257" w:type="dxa"/>
          </w:tcPr>
          <w:p w14:paraId="5C613AC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7.3 (2.7)</w:t>
            </w:r>
          </w:p>
        </w:tc>
        <w:tc>
          <w:tcPr>
            <w:tcW w:w="1272" w:type="dxa"/>
          </w:tcPr>
          <w:p w14:paraId="19187D3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5B89A00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(2.8)</w:t>
            </w:r>
          </w:p>
        </w:tc>
        <w:tc>
          <w:tcPr>
            <w:tcW w:w="1272" w:type="dxa"/>
          </w:tcPr>
          <w:p w14:paraId="49CCBA4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4.1 (3.0)</w:t>
            </w:r>
          </w:p>
        </w:tc>
        <w:tc>
          <w:tcPr>
            <w:tcW w:w="985" w:type="dxa"/>
          </w:tcPr>
          <w:p w14:paraId="4E1232A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4.2 (3.2)</w:t>
            </w:r>
          </w:p>
        </w:tc>
        <w:tc>
          <w:tcPr>
            <w:tcW w:w="1407" w:type="dxa"/>
          </w:tcPr>
          <w:p w14:paraId="2B2EA8E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7,679 (17%)</w:t>
            </w:r>
          </w:p>
        </w:tc>
      </w:tr>
      <w:tr w:rsidR="006F003B" w:rsidRPr="00E85D60" w14:paraId="21389334" w14:textId="77777777" w:rsidTr="006F003B">
        <w:trPr>
          <w:trHeight w:val="303"/>
        </w:trPr>
        <w:tc>
          <w:tcPr>
            <w:tcW w:w="1292" w:type="dxa"/>
          </w:tcPr>
          <w:p w14:paraId="3D3133CE"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55-64</w:t>
            </w:r>
          </w:p>
        </w:tc>
        <w:tc>
          <w:tcPr>
            <w:tcW w:w="1036" w:type="dxa"/>
          </w:tcPr>
          <w:p w14:paraId="239D4CCA"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8.7 (2.1)</w:t>
            </w:r>
          </w:p>
        </w:tc>
        <w:tc>
          <w:tcPr>
            <w:tcW w:w="1116" w:type="dxa"/>
          </w:tcPr>
          <w:p w14:paraId="6497AAE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(2.4)</w:t>
            </w:r>
          </w:p>
        </w:tc>
        <w:tc>
          <w:tcPr>
            <w:tcW w:w="1128" w:type="dxa"/>
          </w:tcPr>
          <w:p w14:paraId="2983A79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8.8 (2.1)</w:t>
            </w:r>
          </w:p>
        </w:tc>
        <w:tc>
          <w:tcPr>
            <w:tcW w:w="982" w:type="dxa"/>
          </w:tcPr>
          <w:p w14:paraId="3AC0757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(2.4)</w:t>
            </w:r>
          </w:p>
        </w:tc>
        <w:tc>
          <w:tcPr>
            <w:tcW w:w="1116" w:type="dxa"/>
          </w:tcPr>
          <w:p w14:paraId="04671F84"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6.6 (2.9)</w:t>
            </w:r>
          </w:p>
        </w:tc>
        <w:tc>
          <w:tcPr>
            <w:tcW w:w="1257" w:type="dxa"/>
          </w:tcPr>
          <w:p w14:paraId="0330B0C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7.4 (2.6)</w:t>
            </w:r>
          </w:p>
        </w:tc>
        <w:tc>
          <w:tcPr>
            <w:tcW w:w="1272" w:type="dxa"/>
          </w:tcPr>
          <w:p w14:paraId="7DFB2B2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27B3FF2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(2.8)</w:t>
            </w:r>
          </w:p>
        </w:tc>
        <w:tc>
          <w:tcPr>
            <w:tcW w:w="1272" w:type="dxa"/>
          </w:tcPr>
          <w:p w14:paraId="3F4FF5D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3.9 (3.0)</w:t>
            </w:r>
          </w:p>
        </w:tc>
        <w:tc>
          <w:tcPr>
            <w:tcW w:w="985" w:type="dxa"/>
          </w:tcPr>
          <w:p w14:paraId="799763A4"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4.0 (3.2)</w:t>
            </w:r>
          </w:p>
        </w:tc>
        <w:tc>
          <w:tcPr>
            <w:tcW w:w="1407" w:type="dxa"/>
          </w:tcPr>
          <w:p w14:paraId="3FD6744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5,382 (12%)</w:t>
            </w:r>
          </w:p>
        </w:tc>
      </w:tr>
      <w:tr w:rsidR="006F003B" w:rsidRPr="00E85D60" w14:paraId="2F65AC8D" w14:textId="77777777" w:rsidTr="006F003B">
        <w:trPr>
          <w:trHeight w:val="303"/>
        </w:trPr>
        <w:tc>
          <w:tcPr>
            <w:tcW w:w="1292" w:type="dxa"/>
          </w:tcPr>
          <w:p w14:paraId="1273F494"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65-74</w:t>
            </w:r>
          </w:p>
        </w:tc>
        <w:tc>
          <w:tcPr>
            <w:tcW w:w="1036" w:type="dxa"/>
          </w:tcPr>
          <w:p w14:paraId="057A9E9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8.7 (2.1)</w:t>
            </w:r>
          </w:p>
        </w:tc>
        <w:tc>
          <w:tcPr>
            <w:tcW w:w="1116" w:type="dxa"/>
          </w:tcPr>
          <w:p w14:paraId="4C22017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(2.4)</w:t>
            </w:r>
          </w:p>
        </w:tc>
        <w:tc>
          <w:tcPr>
            <w:tcW w:w="1128" w:type="dxa"/>
          </w:tcPr>
          <w:p w14:paraId="4F9FBF9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8.7 (2.1)</w:t>
            </w:r>
          </w:p>
        </w:tc>
        <w:tc>
          <w:tcPr>
            <w:tcW w:w="982" w:type="dxa"/>
          </w:tcPr>
          <w:p w14:paraId="3E862A5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8.1 (2.4)</w:t>
            </w:r>
          </w:p>
        </w:tc>
        <w:tc>
          <w:tcPr>
            <w:tcW w:w="1116" w:type="dxa"/>
          </w:tcPr>
          <w:p w14:paraId="3C13630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6.7 (2.9)</w:t>
            </w:r>
          </w:p>
        </w:tc>
        <w:tc>
          <w:tcPr>
            <w:tcW w:w="1257" w:type="dxa"/>
          </w:tcPr>
          <w:p w14:paraId="4ECB2DC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(2.5)</w:t>
            </w:r>
          </w:p>
        </w:tc>
        <w:tc>
          <w:tcPr>
            <w:tcW w:w="1272" w:type="dxa"/>
          </w:tcPr>
          <w:p w14:paraId="63A81F8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43CD8D8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(2.7)</w:t>
            </w:r>
          </w:p>
        </w:tc>
        <w:tc>
          <w:tcPr>
            <w:tcW w:w="1272" w:type="dxa"/>
          </w:tcPr>
          <w:p w14:paraId="3FBA481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3.8 (2.9)</w:t>
            </w:r>
          </w:p>
        </w:tc>
        <w:tc>
          <w:tcPr>
            <w:tcW w:w="985" w:type="dxa"/>
          </w:tcPr>
          <w:p w14:paraId="686C2CA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4.0 (3.2)</w:t>
            </w:r>
          </w:p>
        </w:tc>
        <w:tc>
          <w:tcPr>
            <w:tcW w:w="1407" w:type="dxa"/>
          </w:tcPr>
          <w:p w14:paraId="18F94F5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3,416 (8%)</w:t>
            </w:r>
          </w:p>
        </w:tc>
      </w:tr>
      <w:tr w:rsidR="006F003B" w:rsidRPr="00E85D60" w14:paraId="7D51D376" w14:textId="77777777" w:rsidTr="006F003B">
        <w:trPr>
          <w:trHeight w:val="303"/>
        </w:trPr>
        <w:tc>
          <w:tcPr>
            <w:tcW w:w="1292" w:type="dxa"/>
          </w:tcPr>
          <w:p w14:paraId="6A995EEF"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75+</w:t>
            </w:r>
          </w:p>
        </w:tc>
        <w:tc>
          <w:tcPr>
            <w:tcW w:w="1036" w:type="dxa"/>
          </w:tcPr>
          <w:p w14:paraId="18DBDC2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(2.0)</w:t>
            </w:r>
          </w:p>
        </w:tc>
        <w:tc>
          <w:tcPr>
            <w:tcW w:w="1116" w:type="dxa"/>
          </w:tcPr>
          <w:p w14:paraId="4598A7A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(2.3)</w:t>
            </w:r>
          </w:p>
        </w:tc>
        <w:tc>
          <w:tcPr>
            <w:tcW w:w="1128" w:type="dxa"/>
          </w:tcPr>
          <w:p w14:paraId="0C642DA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8.9 (1.9)</w:t>
            </w:r>
          </w:p>
        </w:tc>
        <w:tc>
          <w:tcPr>
            <w:tcW w:w="982" w:type="dxa"/>
          </w:tcPr>
          <w:p w14:paraId="7A370DF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(2.3)</w:t>
            </w:r>
          </w:p>
        </w:tc>
        <w:tc>
          <w:tcPr>
            <w:tcW w:w="1116" w:type="dxa"/>
          </w:tcPr>
          <w:p w14:paraId="2D1EC6F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6.7 (2.8)</w:t>
            </w:r>
          </w:p>
        </w:tc>
        <w:tc>
          <w:tcPr>
            <w:tcW w:w="1257" w:type="dxa"/>
          </w:tcPr>
          <w:p w14:paraId="10C2F71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(2.4)</w:t>
            </w:r>
          </w:p>
        </w:tc>
        <w:tc>
          <w:tcPr>
            <w:tcW w:w="1272" w:type="dxa"/>
          </w:tcPr>
          <w:p w14:paraId="228D607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(2.4)</w:t>
            </w:r>
          </w:p>
        </w:tc>
        <w:tc>
          <w:tcPr>
            <w:tcW w:w="1449" w:type="dxa"/>
          </w:tcPr>
          <w:p w14:paraId="24BB1A9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(2.7)</w:t>
            </w:r>
          </w:p>
        </w:tc>
        <w:tc>
          <w:tcPr>
            <w:tcW w:w="1272" w:type="dxa"/>
          </w:tcPr>
          <w:p w14:paraId="38F7C66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3.7 (2.8)</w:t>
            </w:r>
          </w:p>
        </w:tc>
        <w:tc>
          <w:tcPr>
            <w:tcW w:w="985" w:type="dxa"/>
          </w:tcPr>
          <w:p w14:paraId="14835C6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3.8 (3.1)</w:t>
            </w:r>
          </w:p>
        </w:tc>
        <w:tc>
          <w:tcPr>
            <w:tcW w:w="1407" w:type="dxa"/>
          </w:tcPr>
          <w:p w14:paraId="0E7D708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1,496 (3%)</w:t>
            </w:r>
          </w:p>
        </w:tc>
      </w:tr>
      <w:tr w:rsidR="006F003B" w:rsidRPr="00E85D60" w14:paraId="10D6C2D3" w14:textId="77777777" w:rsidTr="006F003B">
        <w:trPr>
          <w:trHeight w:val="303"/>
        </w:trPr>
        <w:tc>
          <w:tcPr>
            <w:tcW w:w="1292" w:type="dxa"/>
          </w:tcPr>
          <w:p w14:paraId="472A4476"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Education</w:t>
            </w:r>
          </w:p>
        </w:tc>
        <w:tc>
          <w:tcPr>
            <w:tcW w:w="1036" w:type="dxa"/>
          </w:tcPr>
          <w:p w14:paraId="3B91409A"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4E6836B3" w14:textId="77777777" w:rsidR="006F003B" w:rsidRPr="00E85D60" w:rsidRDefault="006F003B" w:rsidP="006F003B">
            <w:pPr>
              <w:spacing w:before="0" w:line="240" w:lineRule="auto"/>
              <w:rPr>
                <w:rFonts w:asciiTheme="minorHAnsi" w:hAnsiTheme="minorHAnsi" w:cstheme="minorHAnsi"/>
                <w:highlight w:val="yellow"/>
              </w:rPr>
            </w:pPr>
          </w:p>
        </w:tc>
        <w:tc>
          <w:tcPr>
            <w:tcW w:w="1128" w:type="dxa"/>
          </w:tcPr>
          <w:p w14:paraId="0F075A4E" w14:textId="77777777" w:rsidR="006F003B" w:rsidRPr="00E85D60" w:rsidRDefault="006F003B" w:rsidP="006F003B">
            <w:pPr>
              <w:spacing w:before="0" w:line="240" w:lineRule="auto"/>
              <w:rPr>
                <w:rFonts w:asciiTheme="minorHAnsi" w:hAnsiTheme="minorHAnsi" w:cstheme="minorHAnsi"/>
                <w:highlight w:val="yellow"/>
              </w:rPr>
            </w:pPr>
          </w:p>
        </w:tc>
        <w:tc>
          <w:tcPr>
            <w:tcW w:w="982" w:type="dxa"/>
          </w:tcPr>
          <w:p w14:paraId="28201DAE"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731F70A7" w14:textId="77777777" w:rsidR="006F003B" w:rsidRPr="00E85D60" w:rsidRDefault="006F003B" w:rsidP="006F003B">
            <w:pPr>
              <w:spacing w:before="0" w:line="240" w:lineRule="auto"/>
              <w:rPr>
                <w:rFonts w:asciiTheme="minorHAnsi" w:hAnsiTheme="minorHAnsi" w:cstheme="minorHAnsi"/>
                <w:highlight w:val="yellow"/>
              </w:rPr>
            </w:pPr>
          </w:p>
        </w:tc>
        <w:tc>
          <w:tcPr>
            <w:tcW w:w="1257" w:type="dxa"/>
          </w:tcPr>
          <w:p w14:paraId="1831ABB5"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44950E1A" w14:textId="77777777" w:rsidR="006F003B" w:rsidRPr="00E85D60" w:rsidRDefault="006F003B" w:rsidP="006F003B">
            <w:pPr>
              <w:spacing w:before="0" w:line="240" w:lineRule="auto"/>
              <w:rPr>
                <w:rFonts w:asciiTheme="minorHAnsi" w:hAnsiTheme="minorHAnsi" w:cstheme="minorHAnsi"/>
                <w:highlight w:val="yellow"/>
              </w:rPr>
            </w:pPr>
          </w:p>
        </w:tc>
        <w:tc>
          <w:tcPr>
            <w:tcW w:w="1449" w:type="dxa"/>
          </w:tcPr>
          <w:p w14:paraId="254AE300"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44F32B86" w14:textId="77777777" w:rsidR="006F003B" w:rsidRPr="00E85D60" w:rsidRDefault="006F003B" w:rsidP="006F003B">
            <w:pPr>
              <w:spacing w:before="0" w:line="240" w:lineRule="auto"/>
              <w:rPr>
                <w:rFonts w:asciiTheme="minorHAnsi" w:hAnsiTheme="minorHAnsi" w:cstheme="minorHAnsi"/>
                <w:highlight w:val="yellow"/>
              </w:rPr>
            </w:pPr>
          </w:p>
        </w:tc>
        <w:tc>
          <w:tcPr>
            <w:tcW w:w="985" w:type="dxa"/>
          </w:tcPr>
          <w:p w14:paraId="3FD99A2F" w14:textId="77777777" w:rsidR="006F003B" w:rsidRPr="00E85D60" w:rsidRDefault="006F003B" w:rsidP="006F003B">
            <w:pPr>
              <w:spacing w:before="0" w:line="240" w:lineRule="auto"/>
              <w:rPr>
                <w:rFonts w:asciiTheme="minorHAnsi" w:hAnsiTheme="minorHAnsi" w:cstheme="minorHAnsi"/>
                <w:highlight w:val="yellow"/>
              </w:rPr>
            </w:pPr>
          </w:p>
        </w:tc>
        <w:tc>
          <w:tcPr>
            <w:tcW w:w="1407" w:type="dxa"/>
          </w:tcPr>
          <w:p w14:paraId="19FCC323" w14:textId="77777777" w:rsidR="006F003B" w:rsidRPr="00E85D60" w:rsidRDefault="006F003B" w:rsidP="006F003B">
            <w:pPr>
              <w:spacing w:before="0" w:line="240" w:lineRule="auto"/>
              <w:rPr>
                <w:rFonts w:asciiTheme="minorHAnsi" w:hAnsiTheme="minorHAnsi" w:cstheme="minorHAnsi"/>
                <w:highlight w:val="yellow"/>
              </w:rPr>
            </w:pPr>
          </w:p>
        </w:tc>
      </w:tr>
      <w:tr w:rsidR="006F003B" w:rsidRPr="00E85D60" w14:paraId="15FE38D4" w14:textId="77777777" w:rsidTr="006F003B">
        <w:trPr>
          <w:trHeight w:val="303"/>
        </w:trPr>
        <w:tc>
          <w:tcPr>
            <w:tcW w:w="1292" w:type="dxa"/>
          </w:tcPr>
          <w:p w14:paraId="19FCD978"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Lower</w:t>
            </w:r>
          </w:p>
        </w:tc>
        <w:tc>
          <w:tcPr>
            <w:tcW w:w="1036" w:type="dxa"/>
          </w:tcPr>
          <w:p w14:paraId="142F88A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8.3 (2.3)</w:t>
            </w:r>
          </w:p>
        </w:tc>
        <w:tc>
          <w:tcPr>
            <w:tcW w:w="1116" w:type="dxa"/>
          </w:tcPr>
          <w:p w14:paraId="7E99D05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(2.6)</w:t>
            </w:r>
          </w:p>
        </w:tc>
        <w:tc>
          <w:tcPr>
            <w:tcW w:w="1128" w:type="dxa"/>
          </w:tcPr>
          <w:p w14:paraId="6DD9C45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8.3 (2.4)</w:t>
            </w:r>
          </w:p>
        </w:tc>
        <w:tc>
          <w:tcPr>
            <w:tcW w:w="982" w:type="dxa"/>
          </w:tcPr>
          <w:p w14:paraId="564DFC7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(2.6)</w:t>
            </w:r>
          </w:p>
        </w:tc>
        <w:tc>
          <w:tcPr>
            <w:tcW w:w="1116" w:type="dxa"/>
          </w:tcPr>
          <w:p w14:paraId="08DB70B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6.7 (3.0)</w:t>
            </w:r>
          </w:p>
        </w:tc>
        <w:tc>
          <w:tcPr>
            <w:tcW w:w="1257" w:type="dxa"/>
          </w:tcPr>
          <w:p w14:paraId="6580169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(2.7)</w:t>
            </w:r>
          </w:p>
        </w:tc>
        <w:tc>
          <w:tcPr>
            <w:tcW w:w="1272" w:type="dxa"/>
          </w:tcPr>
          <w:p w14:paraId="7DF061B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(2.5)</w:t>
            </w:r>
          </w:p>
        </w:tc>
        <w:tc>
          <w:tcPr>
            <w:tcW w:w="1449" w:type="dxa"/>
          </w:tcPr>
          <w:p w14:paraId="09E1C42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(2.8)</w:t>
            </w:r>
          </w:p>
        </w:tc>
        <w:tc>
          <w:tcPr>
            <w:tcW w:w="1272" w:type="dxa"/>
          </w:tcPr>
          <w:p w14:paraId="352E229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4.8 (3.1)</w:t>
            </w:r>
          </w:p>
        </w:tc>
        <w:tc>
          <w:tcPr>
            <w:tcW w:w="985" w:type="dxa"/>
          </w:tcPr>
          <w:p w14:paraId="45F1FDA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4.8 (3.2)</w:t>
            </w:r>
          </w:p>
        </w:tc>
        <w:tc>
          <w:tcPr>
            <w:tcW w:w="1407" w:type="dxa"/>
          </w:tcPr>
          <w:p w14:paraId="6F9DDB9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11,812 (26%)</w:t>
            </w:r>
          </w:p>
        </w:tc>
      </w:tr>
      <w:tr w:rsidR="006F003B" w:rsidRPr="00E85D60" w14:paraId="3AEF2A9F" w14:textId="77777777" w:rsidTr="006F003B">
        <w:trPr>
          <w:trHeight w:val="303"/>
        </w:trPr>
        <w:tc>
          <w:tcPr>
            <w:tcW w:w="1292" w:type="dxa"/>
          </w:tcPr>
          <w:p w14:paraId="54D6D1FD"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Middle</w:t>
            </w:r>
          </w:p>
        </w:tc>
        <w:tc>
          <w:tcPr>
            <w:tcW w:w="1036" w:type="dxa"/>
          </w:tcPr>
          <w:p w14:paraId="5042C0D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8.5 (2.2)</w:t>
            </w:r>
          </w:p>
        </w:tc>
        <w:tc>
          <w:tcPr>
            <w:tcW w:w="1116" w:type="dxa"/>
          </w:tcPr>
          <w:p w14:paraId="2BED8B9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(2.5)</w:t>
            </w:r>
          </w:p>
        </w:tc>
        <w:tc>
          <w:tcPr>
            <w:tcW w:w="1128" w:type="dxa"/>
          </w:tcPr>
          <w:p w14:paraId="5312021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(2.2)</w:t>
            </w:r>
          </w:p>
        </w:tc>
        <w:tc>
          <w:tcPr>
            <w:tcW w:w="982" w:type="dxa"/>
          </w:tcPr>
          <w:p w14:paraId="74E80AF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(2.4)</w:t>
            </w:r>
          </w:p>
        </w:tc>
        <w:tc>
          <w:tcPr>
            <w:tcW w:w="1116" w:type="dxa"/>
          </w:tcPr>
          <w:p w14:paraId="04F8BBC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6.5 (2.9)</w:t>
            </w:r>
          </w:p>
        </w:tc>
        <w:tc>
          <w:tcPr>
            <w:tcW w:w="1257" w:type="dxa"/>
          </w:tcPr>
          <w:p w14:paraId="5548C7CA"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7.3 (2.7)</w:t>
            </w:r>
          </w:p>
        </w:tc>
        <w:tc>
          <w:tcPr>
            <w:tcW w:w="1272" w:type="dxa"/>
          </w:tcPr>
          <w:p w14:paraId="64256BF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(2.4)</w:t>
            </w:r>
          </w:p>
        </w:tc>
        <w:tc>
          <w:tcPr>
            <w:tcW w:w="1449" w:type="dxa"/>
          </w:tcPr>
          <w:p w14:paraId="0AAAFB6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(2.7)</w:t>
            </w:r>
          </w:p>
        </w:tc>
        <w:tc>
          <w:tcPr>
            <w:tcW w:w="1272" w:type="dxa"/>
          </w:tcPr>
          <w:p w14:paraId="5C7B8C1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4.3 (3.0)</w:t>
            </w:r>
          </w:p>
        </w:tc>
        <w:tc>
          <w:tcPr>
            <w:tcW w:w="985" w:type="dxa"/>
          </w:tcPr>
          <w:p w14:paraId="0ABB0B6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4.5 (3.2)</w:t>
            </w:r>
          </w:p>
        </w:tc>
        <w:tc>
          <w:tcPr>
            <w:tcW w:w="1407" w:type="dxa"/>
          </w:tcPr>
          <w:p w14:paraId="44B04FB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23,190 (51%)</w:t>
            </w:r>
          </w:p>
        </w:tc>
      </w:tr>
      <w:tr w:rsidR="006F003B" w:rsidRPr="00E85D60" w14:paraId="176A4B19" w14:textId="77777777" w:rsidTr="006F003B">
        <w:trPr>
          <w:trHeight w:val="303"/>
        </w:trPr>
        <w:tc>
          <w:tcPr>
            <w:tcW w:w="1292" w:type="dxa"/>
          </w:tcPr>
          <w:p w14:paraId="0442FB5E"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Higher</w:t>
            </w:r>
          </w:p>
        </w:tc>
        <w:tc>
          <w:tcPr>
            <w:tcW w:w="1036" w:type="dxa"/>
          </w:tcPr>
          <w:p w14:paraId="18B2045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8.8 (1.9)</w:t>
            </w:r>
          </w:p>
        </w:tc>
        <w:tc>
          <w:tcPr>
            <w:tcW w:w="1116" w:type="dxa"/>
          </w:tcPr>
          <w:p w14:paraId="005C4FA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(2.4)</w:t>
            </w:r>
          </w:p>
        </w:tc>
        <w:tc>
          <w:tcPr>
            <w:tcW w:w="1128" w:type="dxa"/>
          </w:tcPr>
          <w:p w14:paraId="7067697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8.9 (2.0)</w:t>
            </w:r>
          </w:p>
        </w:tc>
        <w:tc>
          <w:tcPr>
            <w:tcW w:w="982" w:type="dxa"/>
          </w:tcPr>
          <w:p w14:paraId="4A44F65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8.3 (2.3)</w:t>
            </w:r>
          </w:p>
        </w:tc>
        <w:tc>
          <w:tcPr>
            <w:tcW w:w="1116" w:type="dxa"/>
          </w:tcPr>
          <w:p w14:paraId="52ABF54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6.4 (2.8)</w:t>
            </w:r>
          </w:p>
        </w:tc>
        <w:tc>
          <w:tcPr>
            <w:tcW w:w="1257" w:type="dxa"/>
          </w:tcPr>
          <w:p w14:paraId="29ED4DB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7.1 (2.7)</w:t>
            </w:r>
          </w:p>
        </w:tc>
        <w:tc>
          <w:tcPr>
            <w:tcW w:w="1272" w:type="dxa"/>
          </w:tcPr>
          <w:p w14:paraId="0FCAD2FA"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(2.6)</w:t>
            </w:r>
          </w:p>
        </w:tc>
        <w:tc>
          <w:tcPr>
            <w:tcW w:w="1449" w:type="dxa"/>
          </w:tcPr>
          <w:p w14:paraId="730C797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7.2 (2.8)</w:t>
            </w:r>
          </w:p>
        </w:tc>
        <w:tc>
          <w:tcPr>
            <w:tcW w:w="1272" w:type="dxa"/>
          </w:tcPr>
          <w:p w14:paraId="409CB05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3.4 (2.8)</w:t>
            </w:r>
          </w:p>
        </w:tc>
        <w:tc>
          <w:tcPr>
            <w:tcW w:w="985" w:type="dxa"/>
          </w:tcPr>
          <w:p w14:paraId="5626831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3.6 (3.0)</w:t>
            </w:r>
          </w:p>
        </w:tc>
        <w:tc>
          <w:tcPr>
            <w:tcW w:w="1407" w:type="dxa"/>
          </w:tcPr>
          <w:p w14:paraId="1E7F5EF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10,545 (23%)</w:t>
            </w:r>
          </w:p>
        </w:tc>
      </w:tr>
      <w:tr w:rsidR="006F003B" w:rsidRPr="00E85D60" w14:paraId="019266F8" w14:textId="77777777" w:rsidTr="006F003B">
        <w:trPr>
          <w:trHeight w:val="303"/>
        </w:trPr>
        <w:tc>
          <w:tcPr>
            <w:tcW w:w="1292" w:type="dxa"/>
          </w:tcPr>
          <w:p w14:paraId="63CFC81C"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Group member</w:t>
            </w:r>
          </w:p>
        </w:tc>
        <w:tc>
          <w:tcPr>
            <w:tcW w:w="1036" w:type="dxa"/>
          </w:tcPr>
          <w:p w14:paraId="353CC5B2"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77790A3D" w14:textId="77777777" w:rsidR="006F003B" w:rsidRPr="00E85D60" w:rsidRDefault="006F003B" w:rsidP="006F003B">
            <w:pPr>
              <w:spacing w:before="0" w:line="240" w:lineRule="auto"/>
              <w:rPr>
                <w:rFonts w:asciiTheme="minorHAnsi" w:hAnsiTheme="minorHAnsi" w:cstheme="minorHAnsi"/>
                <w:highlight w:val="yellow"/>
              </w:rPr>
            </w:pPr>
          </w:p>
        </w:tc>
        <w:tc>
          <w:tcPr>
            <w:tcW w:w="1128" w:type="dxa"/>
          </w:tcPr>
          <w:p w14:paraId="798AB86C" w14:textId="77777777" w:rsidR="006F003B" w:rsidRPr="00E85D60" w:rsidRDefault="006F003B" w:rsidP="006F003B">
            <w:pPr>
              <w:spacing w:before="0" w:line="240" w:lineRule="auto"/>
              <w:rPr>
                <w:rFonts w:asciiTheme="minorHAnsi" w:hAnsiTheme="minorHAnsi" w:cstheme="minorHAnsi"/>
                <w:highlight w:val="yellow"/>
              </w:rPr>
            </w:pPr>
          </w:p>
        </w:tc>
        <w:tc>
          <w:tcPr>
            <w:tcW w:w="982" w:type="dxa"/>
          </w:tcPr>
          <w:p w14:paraId="59D20796"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6979E52C" w14:textId="77777777" w:rsidR="006F003B" w:rsidRPr="00E85D60" w:rsidRDefault="006F003B" w:rsidP="006F003B">
            <w:pPr>
              <w:spacing w:before="0" w:line="240" w:lineRule="auto"/>
              <w:rPr>
                <w:rFonts w:asciiTheme="minorHAnsi" w:hAnsiTheme="minorHAnsi" w:cstheme="minorHAnsi"/>
                <w:highlight w:val="yellow"/>
              </w:rPr>
            </w:pPr>
          </w:p>
        </w:tc>
        <w:tc>
          <w:tcPr>
            <w:tcW w:w="1257" w:type="dxa"/>
          </w:tcPr>
          <w:p w14:paraId="0459C778"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0345EB16" w14:textId="77777777" w:rsidR="006F003B" w:rsidRPr="00E85D60" w:rsidRDefault="006F003B" w:rsidP="006F003B">
            <w:pPr>
              <w:spacing w:before="0" w:line="240" w:lineRule="auto"/>
              <w:rPr>
                <w:rFonts w:asciiTheme="minorHAnsi" w:hAnsiTheme="minorHAnsi" w:cstheme="minorHAnsi"/>
                <w:highlight w:val="yellow"/>
              </w:rPr>
            </w:pPr>
          </w:p>
        </w:tc>
        <w:tc>
          <w:tcPr>
            <w:tcW w:w="1449" w:type="dxa"/>
          </w:tcPr>
          <w:p w14:paraId="2C587014"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57D074E0" w14:textId="77777777" w:rsidR="006F003B" w:rsidRPr="00E85D60" w:rsidRDefault="006F003B" w:rsidP="006F003B">
            <w:pPr>
              <w:spacing w:before="0" w:line="240" w:lineRule="auto"/>
              <w:rPr>
                <w:rFonts w:asciiTheme="minorHAnsi" w:hAnsiTheme="minorHAnsi" w:cstheme="minorHAnsi"/>
                <w:highlight w:val="yellow"/>
              </w:rPr>
            </w:pPr>
          </w:p>
        </w:tc>
        <w:tc>
          <w:tcPr>
            <w:tcW w:w="985" w:type="dxa"/>
          </w:tcPr>
          <w:p w14:paraId="73209C66" w14:textId="77777777" w:rsidR="006F003B" w:rsidRPr="00E85D60" w:rsidRDefault="006F003B" w:rsidP="006F003B">
            <w:pPr>
              <w:spacing w:before="0" w:line="240" w:lineRule="auto"/>
              <w:rPr>
                <w:rFonts w:asciiTheme="minorHAnsi" w:hAnsiTheme="minorHAnsi" w:cstheme="minorHAnsi"/>
                <w:highlight w:val="yellow"/>
              </w:rPr>
            </w:pPr>
          </w:p>
        </w:tc>
        <w:tc>
          <w:tcPr>
            <w:tcW w:w="1407" w:type="dxa"/>
          </w:tcPr>
          <w:p w14:paraId="451CEBE4" w14:textId="77777777" w:rsidR="006F003B" w:rsidRPr="00E85D60" w:rsidRDefault="006F003B" w:rsidP="006F003B">
            <w:pPr>
              <w:spacing w:before="0" w:line="240" w:lineRule="auto"/>
              <w:rPr>
                <w:rFonts w:asciiTheme="minorHAnsi" w:hAnsiTheme="minorHAnsi" w:cstheme="minorHAnsi"/>
                <w:highlight w:val="yellow"/>
              </w:rPr>
            </w:pPr>
          </w:p>
        </w:tc>
      </w:tr>
      <w:tr w:rsidR="006F003B" w:rsidRPr="00E85D60" w14:paraId="64450C42" w14:textId="77777777" w:rsidTr="006F003B">
        <w:trPr>
          <w:trHeight w:val="303"/>
        </w:trPr>
        <w:tc>
          <w:tcPr>
            <w:tcW w:w="1292" w:type="dxa"/>
          </w:tcPr>
          <w:p w14:paraId="6884E31A"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None</w:t>
            </w:r>
          </w:p>
        </w:tc>
        <w:tc>
          <w:tcPr>
            <w:tcW w:w="1036" w:type="dxa"/>
          </w:tcPr>
          <w:p w14:paraId="4D09405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8.5 (2.1)</w:t>
            </w:r>
          </w:p>
        </w:tc>
        <w:tc>
          <w:tcPr>
            <w:tcW w:w="1116" w:type="dxa"/>
          </w:tcPr>
          <w:p w14:paraId="76F59A5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(2.4)</w:t>
            </w:r>
          </w:p>
        </w:tc>
        <w:tc>
          <w:tcPr>
            <w:tcW w:w="1128" w:type="dxa"/>
          </w:tcPr>
          <w:p w14:paraId="472E4AC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8.5 (2.2)</w:t>
            </w:r>
          </w:p>
        </w:tc>
        <w:tc>
          <w:tcPr>
            <w:tcW w:w="982" w:type="dxa"/>
          </w:tcPr>
          <w:p w14:paraId="55F6977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8.0 (2.4)</w:t>
            </w:r>
          </w:p>
        </w:tc>
        <w:tc>
          <w:tcPr>
            <w:tcW w:w="1116" w:type="dxa"/>
          </w:tcPr>
          <w:p w14:paraId="701DA9C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6.6 (2.9)</w:t>
            </w:r>
          </w:p>
        </w:tc>
        <w:tc>
          <w:tcPr>
            <w:tcW w:w="1257" w:type="dxa"/>
          </w:tcPr>
          <w:p w14:paraId="3D068F8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7.4 (2.6)</w:t>
            </w:r>
          </w:p>
        </w:tc>
        <w:tc>
          <w:tcPr>
            <w:tcW w:w="1272" w:type="dxa"/>
          </w:tcPr>
          <w:p w14:paraId="3FBC36D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(2.4)</w:t>
            </w:r>
          </w:p>
        </w:tc>
        <w:tc>
          <w:tcPr>
            <w:tcW w:w="1449" w:type="dxa"/>
          </w:tcPr>
          <w:p w14:paraId="3290639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(2.7)</w:t>
            </w:r>
          </w:p>
        </w:tc>
        <w:tc>
          <w:tcPr>
            <w:tcW w:w="1272" w:type="dxa"/>
          </w:tcPr>
          <w:p w14:paraId="68498C5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4.4 (3.0)</w:t>
            </w:r>
          </w:p>
        </w:tc>
        <w:tc>
          <w:tcPr>
            <w:tcW w:w="985" w:type="dxa"/>
          </w:tcPr>
          <w:p w14:paraId="689ADD4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4.5 (3.2)</w:t>
            </w:r>
          </w:p>
        </w:tc>
        <w:tc>
          <w:tcPr>
            <w:tcW w:w="1407" w:type="dxa"/>
          </w:tcPr>
          <w:p w14:paraId="18287CB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25,610 (56%)</w:t>
            </w:r>
          </w:p>
        </w:tc>
      </w:tr>
      <w:tr w:rsidR="006F003B" w:rsidRPr="00E85D60" w14:paraId="388B7D4D" w14:textId="77777777" w:rsidTr="006F003B">
        <w:trPr>
          <w:trHeight w:val="303"/>
        </w:trPr>
        <w:tc>
          <w:tcPr>
            <w:tcW w:w="1292" w:type="dxa"/>
          </w:tcPr>
          <w:p w14:paraId="47F43E61"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One</w:t>
            </w:r>
          </w:p>
        </w:tc>
        <w:tc>
          <w:tcPr>
            <w:tcW w:w="1036" w:type="dxa"/>
          </w:tcPr>
          <w:p w14:paraId="0009F97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8.5 (2.2)</w:t>
            </w:r>
          </w:p>
        </w:tc>
        <w:tc>
          <w:tcPr>
            <w:tcW w:w="1116" w:type="dxa"/>
          </w:tcPr>
          <w:p w14:paraId="19B4F99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(2.6)</w:t>
            </w:r>
          </w:p>
        </w:tc>
        <w:tc>
          <w:tcPr>
            <w:tcW w:w="1128" w:type="dxa"/>
          </w:tcPr>
          <w:p w14:paraId="4ED8E7A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(2.2)</w:t>
            </w:r>
          </w:p>
        </w:tc>
        <w:tc>
          <w:tcPr>
            <w:tcW w:w="982" w:type="dxa"/>
          </w:tcPr>
          <w:p w14:paraId="723B130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(2.5)</w:t>
            </w:r>
          </w:p>
        </w:tc>
        <w:tc>
          <w:tcPr>
            <w:tcW w:w="1116" w:type="dxa"/>
          </w:tcPr>
          <w:p w14:paraId="5F56C23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6.4 (2.9)</w:t>
            </w:r>
          </w:p>
        </w:tc>
        <w:tc>
          <w:tcPr>
            <w:tcW w:w="1257" w:type="dxa"/>
          </w:tcPr>
          <w:p w14:paraId="1E66D3B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7.2 (2.7)</w:t>
            </w:r>
          </w:p>
        </w:tc>
        <w:tc>
          <w:tcPr>
            <w:tcW w:w="1272" w:type="dxa"/>
          </w:tcPr>
          <w:p w14:paraId="69D4CB6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(2.5)</w:t>
            </w:r>
          </w:p>
        </w:tc>
        <w:tc>
          <w:tcPr>
            <w:tcW w:w="1449" w:type="dxa"/>
          </w:tcPr>
          <w:p w14:paraId="238B0F0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7.4 (2.8)</w:t>
            </w:r>
          </w:p>
        </w:tc>
        <w:tc>
          <w:tcPr>
            <w:tcW w:w="1272" w:type="dxa"/>
          </w:tcPr>
          <w:p w14:paraId="28CD0BCA"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4.2 (3.0)</w:t>
            </w:r>
          </w:p>
        </w:tc>
        <w:tc>
          <w:tcPr>
            <w:tcW w:w="985" w:type="dxa"/>
          </w:tcPr>
          <w:p w14:paraId="5D4A025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4.2 (3.2)</w:t>
            </w:r>
          </w:p>
        </w:tc>
        <w:tc>
          <w:tcPr>
            <w:tcW w:w="1407" w:type="dxa"/>
          </w:tcPr>
          <w:p w14:paraId="7B48F27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10,661 (23%)</w:t>
            </w:r>
          </w:p>
        </w:tc>
      </w:tr>
      <w:tr w:rsidR="006F003B" w:rsidRPr="00E85D60" w14:paraId="493693AF" w14:textId="77777777" w:rsidTr="006F003B">
        <w:trPr>
          <w:trHeight w:val="303"/>
        </w:trPr>
        <w:tc>
          <w:tcPr>
            <w:tcW w:w="1292" w:type="dxa"/>
          </w:tcPr>
          <w:p w14:paraId="5A52CF5C"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Two+</w:t>
            </w:r>
          </w:p>
        </w:tc>
        <w:tc>
          <w:tcPr>
            <w:tcW w:w="1036" w:type="dxa"/>
          </w:tcPr>
          <w:p w14:paraId="35E9D4D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8.6 (2.2)</w:t>
            </w:r>
          </w:p>
        </w:tc>
        <w:tc>
          <w:tcPr>
            <w:tcW w:w="1116" w:type="dxa"/>
          </w:tcPr>
          <w:p w14:paraId="6696FC7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(2.6)</w:t>
            </w:r>
          </w:p>
        </w:tc>
        <w:tc>
          <w:tcPr>
            <w:tcW w:w="1128" w:type="dxa"/>
          </w:tcPr>
          <w:p w14:paraId="4960628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8.7 (2.2)</w:t>
            </w:r>
          </w:p>
        </w:tc>
        <w:tc>
          <w:tcPr>
            <w:tcW w:w="982" w:type="dxa"/>
          </w:tcPr>
          <w:p w14:paraId="11B1CF0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(2.7)</w:t>
            </w:r>
          </w:p>
        </w:tc>
        <w:tc>
          <w:tcPr>
            <w:tcW w:w="1116" w:type="dxa"/>
          </w:tcPr>
          <w:p w14:paraId="6D61346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6.3 (3.0)</w:t>
            </w:r>
          </w:p>
        </w:tc>
        <w:tc>
          <w:tcPr>
            <w:tcW w:w="1257" w:type="dxa"/>
          </w:tcPr>
          <w:p w14:paraId="45238DC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7.0 (2.8)</w:t>
            </w:r>
          </w:p>
        </w:tc>
        <w:tc>
          <w:tcPr>
            <w:tcW w:w="1272" w:type="dxa"/>
          </w:tcPr>
          <w:p w14:paraId="000421E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(2.6)</w:t>
            </w:r>
          </w:p>
        </w:tc>
        <w:tc>
          <w:tcPr>
            <w:tcW w:w="1449" w:type="dxa"/>
          </w:tcPr>
          <w:p w14:paraId="3996783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7.3 (2.9)</w:t>
            </w:r>
          </w:p>
        </w:tc>
        <w:tc>
          <w:tcPr>
            <w:tcW w:w="1272" w:type="dxa"/>
          </w:tcPr>
          <w:p w14:paraId="5C8F684B"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4.1 (3.0)</w:t>
            </w:r>
          </w:p>
        </w:tc>
        <w:tc>
          <w:tcPr>
            <w:tcW w:w="985" w:type="dxa"/>
          </w:tcPr>
          <w:p w14:paraId="04A0EC6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4.1 (3.2)</w:t>
            </w:r>
          </w:p>
        </w:tc>
        <w:tc>
          <w:tcPr>
            <w:tcW w:w="1407" w:type="dxa"/>
          </w:tcPr>
          <w:p w14:paraId="2C9AC9A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9,274 (20%)</w:t>
            </w:r>
          </w:p>
        </w:tc>
      </w:tr>
      <w:tr w:rsidR="006F003B" w:rsidRPr="00E85D60" w14:paraId="0260ACDD" w14:textId="77777777" w:rsidTr="006F003B">
        <w:trPr>
          <w:trHeight w:val="303"/>
        </w:trPr>
        <w:tc>
          <w:tcPr>
            <w:tcW w:w="1292" w:type="dxa"/>
          </w:tcPr>
          <w:p w14:paraId="4DCC8B1F" w14:textId="77777777" w:rsidR="006F003B" w:rsidRPr="00E85D60" w:rsidRDefault="006F003B" w:rsidP="006F003B">
            <w:pPr>
              <w:spacing w:before="0" w:line="240" w:lineRule="auto"/>
              <w:rPr>
                <w:rFonts w:asciiTheme="minorHAnsi" w:hAnsiTheme="minorHAnsi" w:cstheme="minorHAnsi"/>
                <w:b/>
                <w:highlight w:val="yellow"/>
              </w:rPr>
            </w:pPr>
            <w:r w:rsidRPr="00E85D60">
              <w:rPr>
                <w:rFonts w:asciiTheme="minorHAnsi" w:hAnsiTheme="minorHAnsi" w:cstheme="minorHAnsi"/>
                <w:b/>
                <w:highlight w:val="yellow"/>
              </w:rPr>
              <w:t>Media Use</w:t>
            </w:r>
          </w:p>
        </w:tc>
        <w:tc>
          <w:tcPr>
            <w:tcW w:w="1036" w:type="dxa"/>
          </w:tcPr>
          <w:p w14:paraId="3B020957"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582D29B8" w14:textId="77777777" w:rsidR="006F003B" w:rsidRPr="00E85D60" w:rsidRDefault="006F003B" w:rsidP="006F003B">
            <w:pPr>
              <w:spacing w:before="0" w:line="240" w:lineRule="auto"/>
              <w:rPr>
                <w:rFonts w:asciiTheme="minorHAnsi" w:hAnsiTheme="minorHAnsi" w:cstheme="minorHAnsi"/>
                <w:highlight w:val="yellow"/>
              </w:rPr>
            </w:pPr>
          </w:p>
        </w:tc>
        <w:tc>
          <w:tcPr>
            <w:tcW w:w="1128" w:type="dxa"/>
          </w:tcPr>
          <w:p w14:paraId="57A64CE3" w14:textId="77777777" w:rsidR="006F003B" w:rsidRPr="00E85D60" w:rsidRDefault="006F003B" w:rsidP="006F003B">
            <w:pPr>
              <w:spacing w:before="0" w:line="240" w:lineRule="auto"/>
              <w:rPr>
                <w:rFonts w:asciiTheme="minorHAnsi" w:hAnsiTheme="minorHAnsi" w:cstheme="minorHAnsi"/>
                <w:highlight w:val="yellow"/>
              </w:rPr>
            </w:pPr>
          </w:p>
        </w:tc>
        <w:tc>
          <w:tcPr>
            <w:tcW w:w="982" w:type="dxa"/>
          </w:tcPr>
          <w:p w14:paraId="21E08086"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3CAF6946" w14:textId="77777777" w:rsidR="006F003B" w:rsidRPr="00E85D60" w:rsidRDefault="006F003B" w:rsidP="006F003B">
            <w:pPr>
              <w:spacing w:before="0" w:line="240" w:lineRule="auto"/>
              <w:rPr>
                <w:rFonts w:asciiTheme="minorHAnsi" w:hAnsiTheme="minorHAnsi" w:cstheme="minorHAnsi"/>
                <w:highlight w:val="yellow"/>
              </w:rPr>
            </w:pPr>
          </w:p>
        </w:tc>
        <w:tc>
          <w:tcPr>
            <w:tcW w:w="1257" w:type="dxa"/>
          </w:tcPr>
          <w:p w14:paraId="30667F0B"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67248FF3" w14:textId="77777777" w:rsidR="006F003B" w:rsidRPr="00E85D60" w:rsidRDefault="006F003B" w:rsidP="006F003B">
            <w:pPr>
              <w:spacing w:before="0" w:line="240" w:lineRule="auto"/>
              <w:rPr>
                <w:rFonts w:asciiTheme="minorHAnsi" w:hAnsiTheme="minorHAnsi" w:cstheme="minorHAnsi"/>
                <w:highlight w:val="yellow"/>
              </w:rPr>
            </w:pPr>
          </w:p>
        </w:tc>
        <w:tc>
          <w:tcPr>
            <w:tcW w:w="1449" w:type="dxa"/>
          </w:tcPr>
          <w:p w14:paraId="00B35E02"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7C2A2872" w14:textId="77777777" w:rsidR="006F003B" w:rsidRPr="00E85D60" w:rsidRDefault="006F003B" w:rsidP="006F003B">
            <w:pPr>
              <w:spacing w:before="0" w:line="240" w:lineRule="auto"/>
              <w:rPr>
                <w:rFonts w:asciiTheme="minorHAnsi" w:hAnsiTheme="minorHAnsi" w:cstheme="minorHAnsi"/>
                <w:highlight w:val="yellow"/>
              </w:rPr>
            </w:pPr>
          </w:p>
        </w:tc>
        <w:tc>
          <w:tcPr>
            <w:tcW w:w="985" w:type="dxa"/>
          </w:tcPr>
          <w:p w14:paraId="785EA6AE" w14:textId="77777777" w:rsidR="006F003B" w:rsidRPr="00E85D60" w:rsidRDefault="006F003B" w:rsidP="006F003B">
            <w:pPr>
              <w:spacing w:before="0" w:line="240" w:lineRule="auto"/>
              <w:rPr>
                <w:rFonts w:asciiTheme="minorHAnsi" w:hAnsiTheme="minorHAnsi" w:cstheme="minorHAnsi"/>
                <w:highlight w:val="yellow"/>
              </w:rPr>
            </w:pPr>
          </w:p>
        </w:tc>
        <w:tc>
          <w:tcPr>
            <w:tcW w:w="1407" w:type="dxa"/>
          </w:tcPr>
          <w:p w14:paraId="622D63F6" w14:textId="77777777" w:rsidR="006F003B" w:rsidRPr="00E85D60" w:rsidRDefault="006F003B" w:rsidP="006F003B">
            <w:pPr>
              <w:spacing w:before="0" w:line="240" w:lineRule="auto"/>
              <w:rPr>
                <w:rFonts w:asciiTheme="minorHAnsi" w:hAnsiTheme="minorHAnsi" w:cstheme="minorHAnsi"/>
                <w:highlight w:val="yellow"/>
              </w:rPr>
            </w:pPr>
          </w:p>
        </w:tc>
      </w:tr>
      <w:tr w:rsidR="006F003B" w:rsidRPr="00E85D60" w14:paraId="3E8C694B" w14:textId="77777777" w:rsidTr="006F003B">
        <w:trPr>
          <w:trHeight w:val="303"/>
        </w:trPr>
        <w:tc>
          <w:tcPr>
            <w:tcW w:w="1292" w:type="dxa"/>
          </w:tcPr>
          <w:p w14:paraId="51D43B41"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None</w:t>
            </w:r>
          </w:p>
        </w:tc>
        <w:tc>
          <w:tcPr>
            <w:tcW w:w="1036" w:type="dxa"/>
          </w:tcPr>
          <w:p w14:paraId="55F20375"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(2.6)</w:t>
            </w:r>
          </w:p>
        </w:tc>
        <w:tc>
          <w:tcPr>
            <w:tcW w:w="1116" w:type="dxa"/>
          </w:tcPr>
          <w:p w14:paraId="407B7DF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(2.7)</w:t>
            </w:r>
          </w:p>
        </w:tc>
        <w:tc>
          <w:tcPr>
            <w:tcW w:w="1128" w:type="dxa"/>
          </w:tcPr>
          <w:p w14:paraId="5C9D2E9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(2.6)</w:t>
            </w:r>
          </w:p>
        </w:tc>
        <w:tc>
          <w:tcPr>
            <w:tcW w:w="982" w:type="dxa"/>
          </w:tcPr>
          <w:p w14:paraId="1512703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7.3 (2.8)</w:t>
            </w:r>
          </w:p>
        </w:tc>
        <w:tc>
          <w:tcPr>
            <w:tcW w:w="1116" w:type="dxa"/>
          </w:tcPr>
          <w:p w14:paraId="7F66C6E3"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6.7 (3.0)</w:t>
            </w:r>
          </w:p>
        </w:tc>
        <w:tc>
          <w:tcPr>
            <w:tcW w:w="1257" w:type="dxa"/>
          </w:tcPr>
          <w:p w14:paraId="24E8F06C"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7.0 (2.9)</w:t>
            </w:r>
          </w:p>
        </w:tc>
        <w:tc>
          <w:tcPr>
            <w:tcW w:w="1272" w:type="dxa"/>
          </w:tcPr>
          <w:p w14:paraId="175C1FC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(2.6)</w:t>
            </w:r>
          </w:p>
        </w:tc>
        <w:tc>
          <w:tcPr>
            <w:tcW w:w="1449" w:type="dxa"/>
          </w:tcPr>
          <w:p w14:paraId="443ACB4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7.5 (2.8)</w:t>
            </w:r>
          </w:p>
        </w:tc>
        <w:tc>
          <w:tcPr>
            <w:tcW w:w="1272" w:type="dxa"/>
          </w:tcPr>
          <w:p w14:paraId="1E9594C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5.4 (3.1)</w:t>
            </w:r>
          </w:p>
        </w:tc>
        <w:tc>
          <w:tcPr>
            <w:tcW w:w="985" w:type="dxa"/>
          </w:tcPr>
          <w:p w14:paraId="6B784C6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5.3 (3.2)</w:t>
            </w:r>
          </w:p>
        </w:tc>
        <w:tc>
          <w:tcPr>
            <w:tcW w:w="1407" w:type="dxa"/>
          </w:tcPr>
          <w:p w14:paraId="0119317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1,250 (3%)</w:t>
            </w:r>
          </w:p>
        </w:tc>
      </w:tr>
      <w:tr w:rsidR="006F003B" w:rsidRPr="00E85D60" w14:paraId="14AC5164" w14:textId="77777777" w:rsidTr="006F003B">
        <w:trPr>
          <w:trHeight w:val="303"/>
        </w:trPr>
        <w:tc>
          <w:tcPr>
            <w:tcW w:w="1292" w:type="dxa"/>
          </w:tcPr>
          <w:p w14:paraId="2BB036C5"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1-4</w:t>
            </w:r>
          </w:p>
        </w:tc>
        <w:tc>
          <w:tcPr>
            <w:tcW w:w="1036" w:type="dxa"/>
          </w:tcPr>
          <w:p w14:paraId="2231DE5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8.4 (2.2)</w:t>
            </w:r>
          </w:p>
        </w:tc>
        <w:tc>
          <w:tcPr>
            <w:tcW w:w="1116" w:type="dxa"/>
          </w:tcPr>
          <w:p w14:paraId="6E2A661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(2.5)</w:t>
            </w:r>
          </w:p>
        </w:tc>
        <w:tc>
          <w:tcPr>
            <w:tcW w:w="1128" w:type="dxa"/>
          </w:tcPr>
          <w:p w14:paraId="6B9CA2E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8.4 (2.3)</w:t>
            </w:r>
          </w:p>
        </w:tc>
        <w:tc>
          <w:tcPr>
            <w:tcW w:w="982" w:type="dxa"/>
          </w:tcPr>
          <w:p w14:paraId="73226AA1"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(2.5)</w:t>
            </w:r>
          </w:p>
        </w:tc>
        <w:tc>
          <w:tcPr>
            <w:tcW w:w="1116" w:type="dxa"/>
          </w:tcPr>
          <w:p w14:paraId="0A61A64A"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6.6 (3.0)</w:t>
            </w:r>
          </w:p>
        </w:tc>
        <w:tc>
          <w:tcPr>
            <w:tcW w:w="1257" w:type="dxa"/>
          </w:tcPr>
          <w:p w14:paraId="5F352BD7"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7.4 (2.7)</w:t>
            </w:r>
          </w:p>
        </w:tc>
        <w:tc>
          <w:tcPr>
            <w:tcW w:w="1272" w:type="dxa"/>
          </w:tcPr>
          <w:p w14:paraId="15DFB17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7.8 (2.4)</w:t>
            </w:r>
          </w:p>
        </w:tc>
        <w:tc>
          <w:tcPr>
            <w:tcW w:w="1449" w:type="dxa"/>
          </w:tcPr>
          <w:p w14:paraId="41A824A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7.7 (2.7)</w:t>
            </w:r>
          </w:p>
        </w:tc>
        <w:tc>
          <w:tcPr>
            <w:tcW w:w="1272" w:type="dxa"/>
          </w:tcPr>
          <w:p w14:paraId="6A940A1D"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4.6 (3.0)</w:t>
            </w:r>
          </w:p>
        </w:tc>
        <w:tc>
          <w:tcPr>
            <w:tcW w:w="985" w:type="dxa"/>
          </w:tcPr>
          <w:p w14:paraId="4C54F1B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4.7 (3.2)</w:t>
            </w:r>
          </w:p>
        </w:tc>
        <w:tc>
          <w:tcPr>
            <w:tcW w:w="1407" w:type="dxa"/>
          </w:tcPr>
          <w:p w14:paraId="71CB05D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27,068 (59%)</w:t>
            </w:r>
          </w:p>
        </w:tc>
      </w:tr>
      <w:tr w:rsidR="006F003B" w:rsidRPr="00E85D60" w14:paraId="3C67844B" w14:textId="77777777" w:rsidTr="006F003B">
        <w:trPr>
          <w:trHeight w:val="303"/>
        </w:trPr>
        <w:tc>
          <w:tcPr>
            <w:tcW w:w="1292" w:type="dxa"/>
          </w:tcPr>
          <w:p w14:paraId="31BB3109" w14:textId="77777777" w:rsidR="006F003B" w:rsidRPr="00E85D60" w:rsidRDefault="006F003B" w:rsidP="006F003B">
            <w:pPr>
              <w:spacing w:before="0" w:line="240" w:lineRule="auto"/>
              <w:jc w:val="right"/>
              <w:rPr>
                <w:rFonts w:asciiTheme="minorHAnsi" w:hAnsiTheme="minorHAnsi" w:cstheme="minorHAnsi"/>
                <w:i/>
                <w:highlight w:val="yellow"/>
              </w:rPr>
            </w:pPr>
            <w:r w:rsidRPr="00E85D60">
              <w:rPr>
                <w:rFonts w:asciiTheme="minorHAnsi" w:hAnsiTheme="minorHAnsi" w:cstheme="minorHAnsi"/>
                <w:i/>
                <w:highlight w:val="yellow"/>
              </w:rPr>
              <w:t>5+</w:t>
            </w:r>
          </w:p>
        </w:tc>
        <w:tc>
          <w:tcPr>
            <w:tcW w:w="1036" w:type="dxa"/>
          </w:tcPr>
          <w:p w14:paraId="7554F99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8.7 (2.1)</w:t>
            </w:r>
          </w:p>
        </w:tc>
        <w:tc>
          <w:tcPr>
            <w:tcW w:w="1116" w:type="dxa"/>
          </w:tcPr>
          <w:p w14:paraId="57F7EF1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7.9 (2.4)</w:t>
            </w:r>
          </w:p>
        </w:tc>
        <w:tc>
          <w:tcPr>
            <w:tcW w:w="1128" w:type="dxa"/>
          </w:tcPr>
          <w:p w14:paraId="5D9C5272"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8.9 (2.0)</w:t>
            </w:r>
          </w:p>
        </w:tc>
        <w:tc>
          <w:tcPr>
            <w:tcW w:w="982" w:type="dxa"/>
          </w:tcPr>
          <w:p w14:paraId="5113BA60"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8.1 (2.4)</w:t>
            </w:r>
          </w:p>
        </w:tc>
        <w:tc>
          <w:tcPr>
            <w:tcW w:w="1116" w:type="dxa"/>
          </w:tcPr>
          <w:p w14:paraId="7CE1E258"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6.4 (2.8)</w:t>
            </w:r>
          </w:p>
        </w:tc>
        <w:tc>
          <w:tcPr>
            <w:tcW w:w="1257" w:type="dxa"/>
          </w:tcPr>
          <w:p w14:paraId="00B53246"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7.2 (2.6)</w:t>
            </w:r>
          </w:p>
        </w:tc>
        <w:tc>
          <w:tcPr>
            <w:tcW w:w="1272" w:type="dxa"/>
          </w:tcPr>
          <w:p w14:paraId="425654E9"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7.6 (2.5)</w:t>
            </w:r>
          </w:p>
        </w:tc>
        <w:tc>
          <w:tcPr>
            <w:tcW w:w="1449" w:type="dxa"/>
          </w:tcPr>
          <w:p w14:paraId="0504524E"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7.3 (2.8)</w:t>
            </w:r>
          </w:p>
        </w:tc>
        <w:tc>
          <w:tcPr>
            <w:tcW w:w="1272" w:type="dxa"/>
          </w:tcPr>
          <w:p w14:paraId="11D6293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3.6 (2.8)</w:t>
            </w:r>
          </w:p>
        </w:tc>
        <w:tc>
          <w:tcPr>
            <w:tcW w:w="985" w:type="dxa"/>
          </w:tcPr>
          <w:p w14:paraId="5FF8FE1F"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3.8 (3.1)</w:t>
            </w:r>
          </w:p>
        </w:tc>
        <w:tc>
          <w:tcPr>
            <w:tcW w:w="1407" w:type="dxa"/>
          </w:tcPr>
          <w:p w14:paraId="6E39D9DA" w14:textId="77777777" w:rsidR="006F003B" w:rsidRPr="00E85D60" w:rsidRDefault="006F003B" w:rsidP="006F003B">
            <w:pPr>
              <w:spacing w:before="0" w:line="240" w:lineRule="auto"/>
              <w:rPr>
                <w:rFonts w:asciiTheme="minorHAnsi" w:hAnsiTheme="minorHAnsi" w:cstheme="minorHAnsi"/>
                <w:highlight w:val="yellow"/>
              </w:rPr>
            </w:pPr>
            <w:r w:rsidRPr="00E85D60">
              <w:rPr>
                <w:rFonts w:asciiTheme="minorHAnsi" w:hAnsiTheme="minorHAnsi" w:cstheme="minorHAnsi"/>
                <w:highlight w:val="yellow"/>
              </w:rPr>
              <w:t>17,227 (38%)</w:t>
            </w:r>
          </w:p>
        </w:tc>
      </w:tr>
      <w:tr w:rsidR="006F003B" w:rsidRPr="00E85D60" w14:paraId="60BF3208" w14:textId="77777777" w:rsidTr="006F003B">
        <w:trPr>
          <w:trHeight w:val="303"/>
        </w:trPr>
        <w:tc>
          <w:tcPr>
            <w:tcW w:w="1292" w:type="dxa"/>
          </w:tcPr>
          <w:p w14:paraId="6A4B1413" w14:textId="77777777" w:rsidR="006F003B" w:rsidRPr="00E85D60" w:rsidRDefault="006F003B" w:rsidP="006F003B">
            <w:pPr>
              <w:spacing w:before="0" w:line="240" w:lineRule="auto"/>
              <w:jc w:val="right"/>
              <w:rPr>
                <w:rFonts w:asciiTheme="minorHAnsi" w:hAnsiTheme="minorHAnsi" w:cstheme="minorHAnsi"/>
                <w:i/>
                <w:highlight w:val="yellow"/>
              </w:rPr>
            </w:pPr>
          </w:p>
        </w:tc>
        <w:tc>
          <w:tcPr>
            <w:tcW w:w="1036" w:type="dxa"/>
          </w:tcPr>
          <w:p w14:paraId="5D4E0D25"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165B2208" w14:textId="77777777" w:rsidR="006F003B" w:rsidRPr="00E85D60" w:rsidRDefault="006F003B" w:rsidP="006F003B">
            <w:pPr>
              <w:spacing w:before="0" w:line="240" w:lineRule="auto"/>
              <w:rPr>
                <w:rFonts w:asciiTheme="minorHAnsi" w:hAnsiTheme="minorHAnsi" w:cstheme="minorHAnsi"/>
                <w:highlight w:val="yellow"/>
              </w:rPr>
            </w:pPr>
          </w:p>
        </w:tc>
        <w:tc>
          <w:tcPr>
            <w:tcW w:w="1128" w:type="dxa"/>
          </w:tcPr>
          <w:p w14:paraId="41353B5D" w14:textId="77777777" w:rsidR="006F003B" w:rsidRPr="00E85D60" w:rsidRDefault="006F003B" w:rsidP="006F003B">
            <w:pPr>
              <w:spacing w:before="0" w:line="240" w:lineRule="auto"/>
              <w:rPr>
                <w:rFonts w:asciiTheme="minorHAnsi" w:hAnsiTheme="minorHAnsi" w:cstheme="minorHAnsi"/>
                <w:highlight w:val="yellow"/>
              </w:rPr>
            </w:pPr>
          </w:p>
        </w:tc>
        <w:tc>
          <w:tcPr>
            <w:tcW w:w="982" w:type="dxa"/>
          </w:tcPr>
          <w:p w14:paraId="323329F0" w14:textId="77777777" w:rsidR="006F003B" w:rsidRPr="00E85D60" w:rsidRDefault="006F003B" w:rsidP="006F003B">
            <w:pPr>
              <w:spacing w:before="0" w:line="240" w:lineRule="auto"/>
              <w:rPr>
                <w:rFonts w:asciiTheme="minorHAnsi" w:hAnsiTheme="minorHAnsi" w:cstheme="minorHAnsi"/>
                <w:highlight w:val="yellow"/>
              </w:rPr>
            </w:pPr>
          </w:p>
        </w:tc>
        <w:tc>
          <w:tcPr>
            <w:tcW w:w="1116" w:type="dxa"/>
          </w:tcPr>
          <w:p w14:paraId="6FDCBD24" w14:textId="77777777" w:rsidR="006F003B" w:rsidRPr="00E85D60" w:rsidRDefault="006F003B" w:rsidP="006F003B">
            <w:pPr>
              <w:spacing w:before="0" w:line="240" w:lineRule="auto"/>
              <w:rPr>
                <w:rFonts w:asciiTheme="minorHAnsi" w:hAnsiTheme="minorHAnsi" w:cstheme="minorHAnsi"/>
                <w:highlight w:val="yellow"/>
              </w:rPr>
            </w:pPr>
          </w:p>
        </w:tc>
        <w:tc>
          <w:tcPr>
            <w:tcW w:w="1257" w:type="dxa"/>
          </w:tcPr>
          <w:p w14:paraId="02510FEF"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7ADCEF0E" w14:textId="77777777" w:rsidR="006F003B" w:rsidRPr="00E85D60" w:rsidRDefault="006F003B" w:rsidP="006F003B">
            <w:pPr>
              <w:spacing w:before="0" w:line="240" w:lineRule="auto"/>
              <w:rPr>
                <w:rFonts w:asciiTheme="minorHAnsi" w:hAnsiTheme="minorHAnsi" w:cstheme="minorHAnsi"/>
                <w:highlight w:val="yellow"/>
              </w:rPr>
            </w:pPr>
          </w:p>
        </w:tc>
        <w:tc>
          <w:tcPr>
            <w:tcW w:w="1449" w:type="dxa"/>
          </w:tcPr>
          <w:p w14:paraId="08CBE4E0" w14:textId="77777777" w:rsidR="006F003B" w:rsidRPr="00E85D60" w:rsidRDefault="006F003B" w:rsidP="006F003B">
            <w:pPr>
              <w:spacing w:before="0" w:line="240" w:lineRule="auto"/>
              <w:rPr>
                <w:rFonts w:asciiTheme="minorHAnsi" w:hAnsiTheme="minorHAnsi" w:cstheme="minorHAnsi"/>
                <w:highlight w:val="yellow"/>
              </w:rPr>
            </w:pPr>
          </w:p>
        </w:tc>
        <w:tc>
          <w:tcPr>
            <w:tcW w:w="1272" w:type="dxa"/>
          </w:tcPr>
          <w:p w14:paraId="11182870" w14:textId="77777777" w:rsidR="006F003B" w:rsidRPr="00E85D60" w:rsidRDefault="006F003B" w:rsidP="006F003B">
            <w:pPr>
              <w:spacing w:before="0" w:line="240" w:lineRule="auto"/>
              <w:rPr>
                <w:rFonts w:asciiTheme="minorHAnsi" w:hAnsiTheme="minorHAnsi" w:cstheme="minorHAnsi"/>
                <w:highlight w:val="yellow"/>
              </w:rPr>
            </w:pPr>
          </w:p>
        </w:tc>
        <w:tc>
          <w:tcPr>
            <w:tcW w:w="2392" w:type="dxa"/>
            <w:gridSpan w:val="2"/>
          </w:tcPr>
          <w:p w14:paraId="71F50B4B" w14:textId="3416196A" w:rsidR="006F003B" w:rsidRPr="00E85D60" w:rsidRDefault="006F003B" w:rsidP="006F003B">
            <w:pPr>
              <w:spacing w:before="0" w:line="240" w:lineRule="auto"/>
              <w:jc w:val="right"/>
              <w:rPr>
                <w:rFonts w:asciiTheme="minorHAnsi" w:hAnsiTheme="minorHAnsi" w:cstheme="minorHAnsi"/>
                <w:b/>
                <w:highlight w:val="yellow"/>
              </w:rPr>
            </w:pPr>
            <w:r w:rsidRPr="00E85D60">
              <w:rPr>
                <w:rFonts w:asciiTheme="minorHAnsi" w:hAnsiTheme="minorHAnsi" w:cstheme="minorHAnsi"/>
                <w:b/>
                <w:highlight w:val="yellow"/>
              </w:rPr>
              <w:t xml:space="preserve">Total </w:t>
            </w:r>
            <w:r w:rsidRPr="00E85D60">
              <w:rPr>
                <w:rFonts w:asciiTheme="minorHAnsi" w:hAnsiTheme="minorHAnsi" w:cstheme="minorHAnsi"/>
                <w:b/>
                <w:i/>
                <w:highlight w:val="yellow"/>
              </w:rPr>
              <w:t>n</w:t>
            </w:r>
            <w:r w:rsidRPr="00E85D60">
              <w:rPr>
                <w:rFonts w:asciiTheme="minorHAnsi" w:hAnsiTheme="minorHAnsi" w:cstheme="minorHAnsi"/>
                <w:b/>
                <w:highlight w:val="yellow"/>
              </w:rPr>
              <w:t xml:space="preserve"> = 45,545</w:t>
            </w:r>
          </w:p>
        </w:tc>
      </w:tr>
    </w:tbl>
    <w:p w14:paraId="795C79E4" w14:textId="31CE0A9A" w:rsidR="006F003B" w:rsidRPr="003A5664" w:rsidRDefault="00CF6C43">
      <w:pPr>
        <w:spacing w:before="0" w:after="200" w:line="276" w:lineRule="auto"/>
        <w:rPr>
          <w:rFonts w:cstheme="majorBidi"/>
          <w:b/>
          <w:sz w:val="20"/>
          <w:szCs w:val="20"/>
          <w:highlight w:val="yellow"/>
        </w:rPr>
      </w:pPr>
      <w:bookmarkStart w:id="169" w:name="_Toc494687143"/>
      <w:r w:rsidRPr="003A5664">
        <w:rPr>
          <w:b/>
          <w:sz w:val="20"/>
          <w:szCs w:val="20"/>
        </w:rPr>
        <w:t xml:space="preserve">Figure </w:t>
      </w:r>
      <w:r w:rsidRPr="003A5664">
        <w:rPr>
          <w:b/>
          <w:sz w:val="20"/>
          <w:szCs w:val="20"/>
        </w:rPr>
        <w:fldChar w:fldCharType="begin"/>
      </w:r>
      <w:r w:rsidRPr="003A5664">
        <w:rPr>
          <w:b/>
          <w:sz w:val="20"/>
          <w:szCs w:val="20"/>
        </w:rPr>
        <w:instrText xml:space="preserve"> STYLEREF 1 \s </w:instrText>
      </w:r>
      <w:r w:rsidRPr="003A5664">
        <w:rPr>
          <w:b/>
          <w:sz w:val="20"/>
          <w:szCs w:val="20"/>
        </w:rPr>
        <w:fldChar w:fldCharType="separate"/>
      </w:r>
      <w:r w:rsidRPr="003A5664">
        <w:rPr>
          <w:b/>
          <w:noProof/>
          <w:sz w:val="20"/>
          <w:szCs w:val="20"/>
        </w:rPr>
        <w:t>3</w:t>
      </w:r>
      <w:r w:rsidRPr="003A5664">
        <w:rPr>
          <w:b/>
          <w:noProof/>
          <w:sz w:val="20"/>
          <w:szCs w:val="20"/>
        </w:rPr>
        <w:fldChar w:fldCharType="end"/>
      </w:r>
      <w:r w:rsidRPr="003A5664">
        <w:rPr>
          <w:b/>
          <w:sz w:val="20"/>
          <w:szCs w:val="20"/>
        </w:rPr>
        <w:t>:</w:t>
      </w:r>
      <w:r w:rsidRPr="003A5664">
        <w:rPr>
          <w:b/>
          <w:sz w:val="20"/>
          <w:szCs w:val="20"/>
        </w:rPr>
        <w:fldChar w:fldCharType="begin"/>
      </w:r>
      <w:r w:rsidRPr="003A5664">
        <w:rPr>
          <w:b/>
          <w:sz w:val="20"/>
          <w:szCs w:val="20"/>
        </w:rPr>
        <w:instrText xml:space="preserve"> SEQ Figure \* ARABIC \s 1 </w:instrText>
      </w:r>
      <w:r w:rsidRPr="003A5664">
        <w:rPr>
          <w:b/>
          <w:sz w:val="20"/>
          <w:szCs w:val="20"/>
        </w:rPr>
        <w:fldChar w:fldCharType="separate"/>
      </w:r>
      <w:r w:rsidRPr="003A5664">
        <w:rPr>
          <w:b/>
          <w:noProof/>
          <w:sz w:val="20"/>
          <w:szCs w:val="20"/>
        </w:rPr>
        <w:t>6</w:t>
      </w:r>
      <w:r w:rsidRPr="003A5664">
        <w:rPr>
          <w:b/>
          <w:noProof/>
          <w:sz w:val="20"/>
          <w:szCs w:val="20"/>
        </w:rPr>
        <w:fldChar w:fldCharType="end"/>
      </w:r>
      <w:r w:rsidRPr="003A5664">
        <w:rPr>
          <w:b/>
          <w:sz w:val="20"/>
          <w:szCs w:val="20"/>
        </w:rPr>
        <w:t xml:space="preserve"> </w:t>
      </w:r>
      <w:r w:rsidRPr="003A5664">
        <w:rPr>
          <w:b/>
          <w:sz w:val="20"/>
          <w:szCs w:val="20"/>
          <w:highlight w:val="yellow"/>
        </w:rPr>
        <w:t xml:space="preserve"> </w:t>
      </w:r>
      <w:r w:rsidR="006F003B" w:rsidRPr="003A5664">
        <w:rPr>
          <w:rFonts w:cstheme="majorBidi"/>
          <w:b/>
          <w:sz w:val="20"/>
          <w:szCs w:val="20"/>
          <w:highlight w:val="yellow"/>
        </w:rPr>
        <w:t>Sociodemographic variables and essentialness of democratic characteristics: mean out of 10 &amp; standard deviation in</w:t>
      </w:r>
      <w:r w:rsidRPr="003A5664">
        <w:rPr>
          <w:rFonts w:cstheme="majorBidi"/>
          <w:b/>
          <w:sz w:val="20"/>
          <w:szCs w:val="20"/>
          <w:highlight w:val="yellow"/>
        </w:rPr>
        <w:t xml:space="preserve"> brackets</w:t>
      </w:r>
      <w:bookmarkEnd w:id="169"/>
    </w:p>
    <w:p w14:paraId="6E1F0A80" w14:textId="532624BE" w:rsidR="00955119" w:rsidRPr="00E85D60" w:rsidRDefault="00681C0A">
      <w:pPr>
        <w:spacing w:before="0" w:after="200" w:line="276" w:lineRule="auto"/>
        <w:rPr>
          <w:rFonts w:cstheme="majorBidi"/>
          <w:szCs w:val="24"/>
          <w:highlight w:val="yellow"/>
        </w:rPr>
        <w:sectPr w:rsidR="00955119" w:rsidRPr="00E85D60" w:rsidSect="00955119">
          <w:pgSz w:w="16838" w:h="11906" w:orient="landscape"/>
          <w:pgMar w:top="1440" w:right="1440" w:bottom="1440" w:left="1440" w:header="720" w:footer="720" w:gutter="357"/>
          <w:cols w:space="720"/>
          <w:docGrid w:linePitch="299"/>
        </w:sectPr>
      </w:pPr>
      <w:r w:rsidRPr="00E85D60">
        <w:rPr>
          <w:rFonts w:cstheme="majorBidi"/>
          <w:szCs w:val="24"/>
          <w:highlight w:val="yellow"/>
        </w:rPr>
        <w:br w:type="page"/>
      </w:r>
    </w:p>
    <w:p w14:paraId="6C5A79C0" w14:textId="4F7B6064" w:rsidR="00955119" w:rsidRPr="00E85D60" w:rsidRDefault="00497263" w:rsidP="00955119">
      <w:pPr>
        <w:rPr>
          <w:rFonts w:cstheme="majorBidi"/>
          <w:szCs w:val="24"/>
          <w:highlight w:val="yellow"/>
        </w:rPr>
      </w:pPr>
      <w:r w:rsidRPr="00E85D60">
        <w:rPr>
          <w:rFonts w:cstheme="majorBidi"/>
          <w:szCs w:val="24"/>
          <w:highlight w:val="yellow"/>
        </w:rPr>
        <w:t xml:space="preserve">Considering activity in associational organisations, when it comes to the procedural issues we see limited differences between those who active and those who are not. This could reflect the fact that liberal democratic conceptualisations often fact struggle with the notion of associational and group-led civil society (see discussion in Chapter 2, Section 2.2). Therefore, engagement in civil society space may not necessarily offer respondents more opportunities to come to see the importance of these procedures to democracy. There is a slightly wider gap however for the instrumental variables, with those in more groups seeing them as less essential. This perhaps reflects values of those involved in such organisations who may see less requirement in a democracy for the more material and monetary aspect of these variables, and be more interested in post-material values of expression and voice </w:t>
      </w:r>
      <w:r w:rsidRPr="00E85D60">
        <w:rPr>
          <w:rFonts w:cstheme="majorBidi"/>
          <w:szCs w:val="24"/>
          <w:highlight w:val="yellow"/>
        </w:rPr>
        <w:fldChar w:fldCharType="begin" w:fldLock="1"/>
      </w:r>
      <w:r w:rsidRPr="00E85D60">
        <w:rPr>
          <w:rFonts w:cstheme="majorBidi"/>
          <w:szCs w:val="24"/>
          <w:highlight w:val="yellow"/>
        </w:rPr>
        <w:instrText>ADDIN CSL_CITATION { "citationItems" : [ { "id" : "ITEM-1", "itemData" : { "DOI" : "10.1080/01402380701834747", "abstract" : "In 1971 it was hypothesised that intergenerational value changes were taking place. More than a generation has passed since then, and today it seems clear that the predicted changes have occurred. A large body of evidence, analysed using three different approaches\u00a0?\u00a0(1) cohort analysis; (2) comparisons of rich and poor countries; (3) examination of actual trends observed over the past 35 years\u00a0?\u00a0all points to the conclusion that major cultural changes are occurring, and that they reflect a process of intergenerational change linked with rising levels of existential security.", "author" : [ { "dropping-particle" : "", "family" : "Inglehart", "given" : "Ronald F", "non-dropping-particle" : "", "parse-names" : false, "suffix" : "" } ], "container-title" : "West European Politics", "id" : "ITEM-1", "issue" : "1-2", "issued" : { "date-parts" : [ [ "2008", "1" ] ] }, "page" : "130-146", "publisher" : "Routledge", "title" : "Changing Values among Western Publics from 1970 to 2006", "type" : "article-journal", "volume" : "31" }, "uris" : [ "http://www.mendeley.com/documents/?uuid=70add474-9d94-4b6c-82a3-7a9e4e948e01" ] } ], "mendeley" : { "formattedCitation" : "(Inglehart, 2008)", "plainTextFormattedCitation" : "(Inglehart, 2008)", "previouslyFormattedCitation" : "(Inglehart, 2008)" }, "properties" : { "noteIndex" : 0 }, "schema" : "https://github.com/citation-style-language/schema/raw/master/csl-citation.json" }</w:instrText>
      </w:r>
      <w:r w:rsidRPr="00E85D60">
        <w:rPr>
          <w:rFonts w:cstheme="majorBidi"/>
          <w:szCs w:val="24"/>
          <w:highlight w:val="yellow"/>
        </w:rPr>
        <w:fldChar w:fldCharType="separate"/>
      </w:r>
      <w:r w:rsidRPr="00E85D60">
        <w:rPr>
          <w:rFonts w:cstheme="majorBidi"/>
          <w:noProof/>
          <w:szCs w:val="24"/>
          <w:highlight w:val="yellow"/>
        </w:rPr>
        <w:t>(Inglehart, 2008)</w:t>
      </w:r>
      <w:r w:rsidRPr="00E85D60">
        <w:rPr>
          <w:rFonts w:cstheme="majorBidi"/>
          <w:szCs w:val="24"/>
          <w:highlight w:val="yellow"/>
        </w:rPr>
        <w:fldChar w:fldCharType="end"/>
      </w:r>
      <w:r w:rsidRPr="00E85D60">
        <w:rPr>
          <w:rFonts w:cstheme="majorBidi"/>
          <w:szCs w:val="24"/>
          <w:highlight w:val="yellow"/>
        </w:rPr>
        <w:t xml:space="preserve">. For the authoritarian </w:t>
      </w:r>
      <w:r w:rsidR="00955119" w:rsidRPr="00E85D60">
        <w:rPr>
          <w:rFonts w:cstheme="majorBidi"/>
          <w:szCs w:val="24"/>
          <w:highlight w:val="yellow"/>
        </w:rPr>
        <w:t xml:space="preserve">characteristics we can see that those in more organisations score them both lower, although the gap is considerably smaller than the gap for education. </w:t>
      </w:r>
    </w:p>
    <w:p w14:paraId="17AE057C" w14:textId="77777777" w:rsidR="00CE41F9" w:rsidRPr="00E85D60" w:rsidRDefault="00CE41F9" w:rsidP="00CE41F9">
      <w:pPr>
        <w:rPr>
          <w:szCs w:val="24"/>
          <w:highlight w:val="yellow"/>
        </w:rPr>
      </w:pPr>
      <w:r w:rsidRPr="00E85D60">
        <w:rPr>
          <w:rFonts w:cstheme="majorBidi"/>
          <w:szCs w:val="24"/>
          <w:highlight w:val="yellow"/>
        </w:rPr>
        <w:t xml:space="preserve">The final variable under consideration here is media use. </w:t>
      </w:r>
      <w:r w:rsidRPr="00E85D60">
        <w:rPr>
          <w:szCs w:val="24"/>
          <w:highlight w:val="yellow"/>
        </w:rPr>
        <w:t xml:space="preserve">Discussed in detail in Chapter 5, for now it will suffice to say that individuals who seek out more media sources and show interest in this sense are expected to be more </w:t>
      </w:r>
      <w:r w:rsidRPr="00E85D60">
        <w:rPr>
          <w:i/>
          <w:szCs w:val="24"/>
          <w:highlight w:val="yellow"/>
        </w:rPr>
        <w:t>cognitively engaged</w:t>
      </w:r>
      <w:r w:rsidRPr="00E85D60">
        <w:rPr>
          <w:szCs w:val="24"/>
          <w:highlight w:val="yellow"/>
        </w:rPr>
        <w:t xml:space="preserve"> </w:t>
      </w:r>
      <w:r w:rsidRPr="00E85D60">
        <w:rPr>
          <w:szCs w:val="24"/>
          <w:highlight w:val="yellow"/>
        </w:rPr>
        <w:fldChar w:fldCharType="begin" w:fldLock="1"/>
      </w:r>
      <w:r w:rsidRPr="00E85D60">
        <w:rPr>
          <w:szCs w:val="24"/>
          <w:highlight w:val="yellow"/>
        </w:rPr>
        <w:instrText>ADDIN CSL_CITATION { "citationItems" : [ { "id" : "ITEM-1",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"ITEM-1", "issued" : { "date-parts" : [ [ "2004" ] ] }, "publisher" : "Cambridge University Press", "publisher-place" : "Cambridge", "title" : "Citizenship in Britain", "type" : "book" }, "locator" : "138-140", "uris" : [ "http://www.mendeley.com/documents/?uuid=7ee55eb4-c098-4a41-8cae-776b65b64c9b" ] } ], "mendeley" : { "formattedCitation" : "(Pattie, Seyd and Whiteley, 2004, pp. 138\u2013140)", "plainTextFormattedCitation" : "(Pattie, Seyd and Whiteley, 2004, pp. 138\u2013140)", "previouslyFormattedCitation" : "(Pattie, Seyd and Whiteley, 2004, pp. 138\u2013140)" }, "properties" : { "noteIndex" : 0 }, "schema" : "https://github.com/citation-style-language/schema/raw/master/csl-citation.json" }</w:instrText>
      </w:r>
      <w:r w:rsidRPr="00E85D60">
        <w:rPr>
          <w:szCs w:val="24"/>
          <w:highlight w:val="yellow"/>
        </w:rPr>
        <w:fldChar w:fldCharType="separate"/>
      </w:r>
      <w:r w:rsidRPr="00E85D60">
        <w:rPr>
          <w:noProof/>
          <w:szCs w:val="24"/>
          <w:highlight w:val="yellow"/>
        </w:rPr>
        <w:t>(Pattie, Seyd and Whiteley, 2004, pp. 138–140)</w:t>
      </w:r>
      <w:r w:rsidRPr="00E85D60">
        <w:rPr>
          <w:szCs w:val="24"/>
          <w:highlight w:val="yellow"/>
        </w:rPr>
        <w:fldChar w:fldCharType="end"/>
      </w:r>
      <w:r w:rsidRPr="00E85D60">
        <w:rPr>
          <w:szCs w:val="24"/>
          <w:highlight w:val="yellow"/>
        </w:rPr>
        <w:t xml:space="preserve"> and we might predict they are better informed about politics and so their understanding of democracy will more likely align with elite-driven theoretical expectations. The media variable is worded as follows: “</w:t>
      </w:r>
      <w:r w:rsidRPr="00E85D60">
        <w:rPr>
          <w:i/>
          <w:szCs w:val="24"/>
          <w:highlight w:val="yellow"/>
        </w:rPr>
        <w:t>People use different sources to learn what is going on in their country and the world. For each of the following sources, please indicate whether you used it last week or did not use it last week to obtain information</w:t>
      </w:r>
      <w:r w:rsidRPr="00E85D60">
        <w:rPr>
          <w:szCs w:val="24"/>
          <w:highlight w:val="yellow"/>
        </w:rPr>
        <w:t xml:space="preserve">”. The respondents are then offered the choices of daily newspaper, news broadcasts on radio or TV, printed magazines, in depth reports on radio or TV, books, internet/email or talk with friends/colleagues. The table splits these into users with no media engagement, 1-4 sources and 5+.  We can see from the table that those using more media sources score the procedural characteristics higher than those who use less sources, with the gap being the widest for gender equality. This suggests that more sources could expose respondents to information concerning liberal procedural characteristics of democracy. The effect of media use seems inconsistent when it comes to the instrumental characteristics however. The gaps between the mean scores are smaller, and in fact seem to show in general that those reading some media, but not the widest range, actually score higher in general. Therefore the information environment and link to policy-related concerns is not clear, and this is explored in more detail in Chapter 5. However, the relationship is clear for the authoritarian characteristics; the more media types consulted, the lower on average the results with a very similar pattern across both. </w:t>
      </w:r>
    </w:p>
    <w:p w14:paraId="0A151854" w14:textId="2762C613" w:rsidR="00CE41F9" w:rsidRPr="00E85D60" w:rsidRDefault="00CE41F9" w:rsidP="00CE41F9">
      <w:pPr>
        <w:rPr>
          <w:szCs w:val="24"/>
          <w:highlight w:val="yellow"/>
        </w:rPr>
      </w:pPr>
      <w:r w:rsidRPr="00E85D60">
        <w:rPr>
          <w:szCs w:val="24"/>
          <w:highlight w:val="yellow"/>
        </w:rPr>
        <w:t>In sum, this discussion shows limited influence of gender, but some generational effects, with the older generations more likely on average to choose procedural characteristics as essential and authoritarian characteristics as non-essential. However, this pattern breaks down across the instrumental characteristics. It is suggested that education and media use have an important influence on increasing the score of procedural</w:t>
      </w:r>
      <w:r w:rsidR="000F5A22">
        <w:rPr>
          <w:szCs w:val="24"/>
          <w:highlight w:val="yellow"/>
        </w:rPr>
        <w:t xml:space="preserve"> characteristics</w:t>
      </w:r>
      <w:r w:rsidRPr="00E85D60">
        <w:rPr>
          <w:szCs w:val="24"/>
          <w:highlight w:val="yellow"/>
        </w:rPr>
        <w:t xml:space="preserve"> and lowering the score on authoritarian</w:t>
      </w:r>
      <w:r w:rsidR="000F5A22">
        <w:rPr>
          <w:szCs w:val="24"/>
          <w:highlight w:val="yellow"/>
        </w:rPr>
        <w:t xml:space="preserve"> ones</w:t>
      </w:r>
      <w:r w:rsidRPr="00E85D60">
        <w:rPr>
          <w:szCs w:val="24"/>
          <w:highlight w:val="yellow"/>
        </w:rPr>
        <w:t>, although again, the instrumental characteristics are less clear. Membership has a similar effect, yet seems at this stage to be weaker</w:t>
      </w:r>
      <w:r w:rsidR="000F5A22">
        <w:rPr>
          <w:szCs w:val="24"/>
          <w:highlight w:val="yellow"/>
        </w:rPr>
        <w:t xml:space="preserve"> in comaprison</w:t>
      </w:r>
      <w:r w:rsidRPr="00E85D60">
        <w:rPr>
          <w:szCs w:val="24"/>
          <w:highlight w:val="yellow"/>
        </w:rPr>
        <w:t>.</w:t>
      </w:r>
    </w:p>
    <w:p w14:paraId="335015D3" w14:textId="6B577FC7" w:rsidR="00CE41F9" w:rsidRDefault="00B77E5A" w:rsidP="00CE41F9">
      <w:pPr>
        <w:rPr>
          <w:szCs w:val="24"/>
        </w:rPr>
      </w:pPr>
      <w:r w:rsidRPr="00E85D60">
        <w:rPr>
          <w:szCs w:val="24"/>
          <w:highlight w:val="yellow"/>
        </w:rPr>
        <w:t>The results suggest that there are varying understandings of democracy amongst the citizenry, particularly when it comes to the populist, social and authoritarian understandings of the idea. As a result, this questions</w:t>
      </w:r>
      <w:r w:rsidR="00803848" w:rsidRPr="00E85D60">
        <w:rPr>
          <w:szCs w:val="24"/>
          <w:highlight w:val="yellow"/>
        </w:rPr>
        <w:t xml:space="preserve"> the conclusion of </w:t>
      </w:r>
      <w:r w:rsidRPr="00E85D60">
        <w:rPr>
          <w:szCs w:val="24"/>
          <w:highlight w:val="yellow"/>
        </w:rPr>
        <w:t xml:space="preserve">Dalton </w:t>
      </w:r>
      <w:r w:rsidR="00803848" w:rsidRPr="00E85D60">
        <w:rPr>
          <w:szCs w:val="24"/>
          <w:highlight w:val="yellow"/>
        </w:rPr>
        <w:t>et al</w:t>
      </w:r>
      <w:r w:rsidRPr="00E85D60">
        <w:rPr>
          <w:szCs w:val="24"/>
          <w:highlight w:val="yellow"/>
        </w:rPr>
        <w:t xml:space="preserve"> </w:t>
      </w:r>
      <w:r w:rsidR="009A076E" w:rsidRPr="00E85D60">
        <w:rPr>
          <w:szCs w:val="24"/>
          <w:highlight w:val="yellow"/>
        </w:rPr>
        <w:t>(</w:t>
      </w:r>
      <w:r w:rsidR="006274AF" w:rsidRPr="00E85D60">
        <w:rPr>
          <w:szCs w:val="24"/>
          <w:highlight w:val="yellow"/>
        </w:rPr>
        <w:t>2008</w:t>
      </w:r>
      <w:r w:rsidR="009A076E" w:rsidRPr="00E85D60">
        <w:rPr>
          <w:szCs w:val="24"/>
          <w:highlight w:val="yellow"/>
        </w:rPr>
        <w:t xml:space="preserve">) </w:t>
      </w:r>
      <w:r w:rsidRPr="00E85D60">
        <w:rPr>
          <w:szCs w:val="24"/>
          <w:highlight w:val="yellow"/>
        </w:rPr>
        <w:t>that relatively few people equate democracy with social benefits such as a higher standard of living, secure employment</w:t>
      </w:r>
      <w:r w:rsidR="000F5A22">
        <w:rPr>
          <w:szCs w:val="24"/>
          <w:highlight w:val="yellow"/>
        </w:rPr>
        <w:t>,</w:t>
      </w:r>
      <w:r w:rsidRPr="00E85D60">
        <w:rPr>
          <w:szCs w:val="24"/>
          <w:highlight w:val="yellow"/>
        </w:rPr>
        <w:t xml:space="preserve"> or personal security. Consequently, </w:t>
      </w:r>
      <w:r w:rsidR="00803848" w:rsidRPr="00E85D60">
        <w:rPr>
          <w:szCs w:val="24"/>
          <w:highlight w:val="yellow"/>
        </w:rPr>
        <w:t xml:space="preserve">the conclusion from </w:t>
      </w:r>
      <w:r w:rsidRPr="00E85D60">
        <w:rPr>
          <w:szCs w:val="24"/>
          <w:highlight w:val="yellow"/>
        </w:rPr>
        <w:t xml:space="preserve">Dalton </w:t>
      </w:r>
      <w:r w:rsidR="00803848" w:rsidRPr="00E85D60">
        <w:rPr>
          <w:szCs w:val="24"/>
          <w:highlight w:val="yellow"/>
        </w:rPr>
        <w:t>et al.</w:t>
      </w:r>
      <w:r w:rsidRPr="00E85D60">
        <w:rPr>
          <w:szCs w:val="24"/>
          <w:highlight w:val="yellow"/>
        </w:rPr>
        <w:t xml:space="preserve"> </w:t>
      </w:r>
      <w:r w:rsidR="000F5A22">
        <w:rPr>
          <w:szCs w:val="24"/>
          <w:highlight w:val="yellow"/>
        </w:rPr>
        <w:t>(</w:t>
      </w:r>
      <w:r w:rsidR="006274AF" w:rsidRPr="00E85D60">
        <w:rPr>
          <w:szCs w:val="24"/>
          <w:highlight w:val="yellow"/>
        </w:rPr>
        <w:t>2008</w:t>
      </w:r>
      <w:r w:rsidR="000F5A22">
        <w:rPr>
          <w:szCs w:val="24"/>
          <w:highlight w:val="yellow"/>
        </w:rPr>
        <w:t>)</w:t>
      </w:r>
      <w:r w:rsidR="009A076E" w:rsidRPr="00E85D60">
        <w:rPr>
          <w:szCs w:val="24"/>
          <w:highlight w:val="yellow"/>
        </w:rPr>
        <w:t xml:space="preserve"> </w:t>
      </w:r>
      <w:r w:rsidRPr="00E85D60">
        <w:rPr>
          <w:szCs w:val="24"/>
          <w:highlight w:val="yellow"/>
        </w:rPr>
        <w:t xml:space="preserve">that understandings generally conform to liberal democratic models of democracy requires further examination. </w:t>
      </w:r>
      <w:r w:rsidR="00CE41F9" w:rsidRPr="00E85D60">
        <w:rPr>
          <w:szCs w:val="24"/>
          <w:highlight w:val="yellow"/>
        </w:rPr>
        <w:t>The analyses undertaken in Chapter 5 more clearly place these socio-demographic variables in their theoretical context and, using multilevel regression analysis, starts to unpack their influence when taking into account all other variables. Before this however, the remainder of this chapter examines the importance of national-level context.</w:t>
      </w:r>
    </w:p>
    <w:p w14:paraId="7BDAC762" w14:textId="77777777" w:rsidR="00B77E5A" w:rsidRPr="00E223A2" w:rsidRDefault="00B77E5A" w:rsidP="00E223A2">
      <w:pPr>
        <w:pStyle w:val="Heading3"/>
      </w:pPr>
      <w:bookmarkStart w:id="170" w:name="_Toc380513899"/>
      <w:bookmarkStart w:id="171" w:name="_Toc380995538"/>
      <w:bookmarkStart w:id="172" w:name="_Toc381100515"/>
      <w:bookmarkStart w:id="173" w:name="_Toc381717102"/>
      <w:bookmarkStart w:id="174" w:name="_Toc441069209"/>
      <w:r w:rsidRPr="00E223A2">
        <w:t>Characteristics of Democracy at the National Level</w:t>
      </w:r>
      <w:bookmarkEnd w:id="170"/>
      <w:bookmarkEnd w:id="171"/>
      <w:bookmarkEnd w:id="172"/>
      <w:bookmarkEnd w:id="173"/>
      <w:bookmarkEnd w:id="174"/>
    </w:p>
    <w:p w14:paraId="514297BA" w14:textId="2C814D18" w:rsidR="00630002" w:rsidRPr="000367C8" w:rsidRDefault="00B77E5A" w:rsidP="00B77E5A">
      <w:pPr>
        <w:rPr>
          <w:szCs w:val="24"/>
        </w:rPr>
      </w:pPr>
      <w:r w:rsidRPr="000367C8">
        <w:rPr>
          <w:szCs w:val="24"/>
        </w:rPr>
        <w:t>The</w:t>
      </w:r>
      <w:r w:rsidR="000813DF">
        <w:rPr>
          <w:szCs w:val="24"/>
        </w:rPr>
        <w:t>se</w:t>
      </w:r>
      <w:r w:rsidRPr="000367C8">
        <w:rPr>
          <w:szCs w:val="24"/>
        </w:rPr>
        <w:t xml:space="preserve"> </w:t>
      </w:r>
      <w:r w:rsidR="000813DF">
        <w:rPr>
          <w:szCs w:val="24"/>
        </w:rPr>
        <w:t xml:space="preserve">initial </w:t>
      </w:r>
      <w:r w:rsidRPr="000367C8">
        <w:rPr>
          <w:szCs w:val="24"/>
        </w:rPr>
        <w:t xml:space="preserve">individual-level </w:t>
      </w:r>
      <w:r w:rsidR="000813DF">
        <w:rPr>
          <w:szCs w:val="24"/>
        </w:rPr>
        <w:t>findings</w:t>
      </w:r>
      <w:r w:rsidRPr="000367C8">
        <w:rPr>
          <w:szCs w:val="24"/>
        </w:rPr>
        <w:t xml:space="preserve"> </w:t>
      </w:r>
      <w:r w:rsidR="000813DF">
        <w:rPr>
          <w:szCs w:val="24"/>
        </w:rPr>
        <w:t>suggest</w:t>
      </w:r>
      <w:r w:rsidRPr="000367C8">
        <w:rPr>
          <w:szCs w:val="24"/>
        </w:rPr>
        <w:t xml:space="preserve"> that procedural characteristics are seen by citizens as essential to democracy, which matches the theoretical expectations of liberal democracy. However, the populist ideals are seen as essential to almost the same degree, whilst social ideals are mixed. The authoritarian options are generally rejected, but with a considerable amount of country level variance. This section now examines patterns at the national</w:t>
      </w:r>
      <w:r w:rsidR="00081828">
        <w:rPr>
          <w:szCs w:val="24"/>
        </w:rPr>
        <w:t xml:space="preserve"> </w:t>
      </w:r>
      <w:r w:rsidRPr="000367C8">
        <w:rPr>
          <w:szCs w:val="24"/>
        </w:rPr>
        <w:t xml:space="preserve">level, across </w:t>
      </w:r>
      <w:r w:rsidR="00C220BD">
        <w:rPr>
          <w:szCs w:val="24"/>
        </w:rPr>
        <w:t>the 46</w:t>
      </w:r>
      <w:r>
        <w:rPr>
          <w:szCs w:val="24"/>
        </w:rPr>
        <w:t xml:space="preserve"> countries in the WVS</w:t>
      </w:r>
      <w:r w:rsidRPr="000367C8">
        <w:rPr>
          <w:szCs w:val="24"/>
        </w:rPr>
        <w:t>2008 dataset.</w:t>
      </w:r>
    </w:p>
    <w:p w14:paraId="12922B99" w14:textId="4181C9EF" w:rsidR="005B4976" w:rsidRPr="003A5664" w:rsidRDefault="005B4976" w:rsidP="005B4976">
      <w:pPr>
        <w:pStyle w:val="Caption"/>
        <w:rPr>
          <w:rFonts w:ascii="Segoe UI" w:hAnsi="Segoe UI" w:cs="Segoe UI"/>
          <w:i w:val="0"/>
        </w:rPr>
      </w:pPr>
      <w:bookmarkStart w:id="175" w:name="_Toc494687144"/>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630002" w:rsidRPr="003A5664">
        <w:rPr>
          <w:rFonts w:ascii="Segoe UI" w:hAnsi="Segoe UI" w:cs="Segoe UI"/>
          <w:i w:val="0"/>
          <w:noProof/>
        </w:rPr>
        <w:t>7</w:t>
      </w:r>
      <w:r w:rsidR="00994662" w:rsidRPr="003A5664">
        <w:rPr>
          <w:rFonts w:ascii="Segoe UI" w:hAnsi="Segoe UI" w:cs="Segoe UI"/>
          <w:i w:val="0"/>
          <w:noProof/>
        </w:rPr>
        <w:fldChar w:fldCharType="end"/>
      </w:r>
      <w:r w:rsidRPr="003A5664">
        <w:rPr>
          <w:rFonts w:ascii="Segoe UI" w:hAnsi="Segoe UI" w:cs="Segoe UI"/>
          <w:i w:val="0"/>
        </w:rPr>
        <w:t xml:space="preserve"> Boxplot for Democracy Characteristics</w:t>
      </w:r>
      <w:bookmarkEnd w:id="175"/>
    </w:p>
    <w:p w14:paraId="0C9F471B" w14:textId="77777777" w:rsidR="00B77E5A" w:rsidRPr="000367C8" w:rsidRDefault="00B77E5A" w:rsidP="00B77E5A">
      <w:pPr>
        <w:spacing w:before="100" w:beforeAutospacing="1"/>
        <w:rPr>
          <w:szCs w:val="24"/>
        </w:rPr>
      </w:pPr>
      <w:r w:rsidRPr="000367C8">
        <w:rPr>
          <w:noProof/>
          <w:szCs w:val="24"/>
          <w:lang w:eastAsia="zh-CN"/>
        </w:rPr>
        <w:drawing>
          <wp:inline distT="0" distB="0" distL="0" distR="0" wp14:anchorId="6C402522" wp14:editId="73DD7805">
            <wp:extent cx="5731514" cy="4168136"/>
            <wp:effectExtent l="0" t="0" r="2536" b="3814"/>
            <wp:docPr id="11"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4" cy="4168136"/>
                    </a:xfrm>
                    <a:prstGeom prst="rect">
                      <a:avLst/>
                    </a:prstGeom>
                    <a:noFill/>
                    <a:ln>
                      <a:noFill/>
                      <a:prstDash/>
                    </a:ln>
                  </pic:spPr>
                </pic:pic>
              </a:graphicData>
            </a:graphic>
          </wp:inline>
        </w:drawing>
      </w:r>
    </w:p>
    <w:p w14:paraId="557784F7" w14:textId="3E90DC36" w:rsidR="00B77E5A" w:rsidRPr="000367C8" w:rsidRDefault="00630002" w:rsidP="00B77E5A">
      <w:pPr>
        <w:rPr>
          <w:szCs w:val="24"/>
        </w:rPr>
      </w:pPr>
      <w:r>
        <w:rPr>
          <w:szCs w:val="24"/>
        </w:rPr>
        <w:t>The boxplots in Figure 3.7</w:t>
      </w:r>
      <w:r w:rsidR="00B77E5A" w:rsidRPr="000367C8">
        <w:rPr>
          <w:szCs w:val="24"/>
        </w:rPr>
        <w:t xml:space="preserve"> show, for national-level averages, the median count</w:t>
      </w:r>
      <w:r w:rsidR="00B77E5A">
        <w:rPr>
          <w:szCs w:val="24"/>
        </w:rPr>
        <w:t>r</w:t>
      </w:r>
      <w:r w:rsidR="00B77E5A" w:rsidRPr="000367C8">
        <w:rPr>
          <w:szCs w:val="24"/>
        </w:rPr>
        <w:t xml:space="preserve">y score  line cutting across the box, the interquartile range between the </w:t>
      </w:r>
      <w:r w:rsidR="000E1EFB">
        <w:rPr>
          <w:szCs w:val="24"/>
        </w:rPr>
        <w:t>edges of the box,</w:t>
      </w:r>
      <w:r w:rsidR="00B77E5A" w:rsidRPr="000367C8">
        <w:rPr>
          <w:szCs w:val="24"/>
        </w:rPr>
        <w:t xml:space="preserve"> and each end of the whiskers show the highest or lowest score still within 1.5 times the interquartile range. Anything outside this range is classed as an outlier result, and is plotted individually.</w:t>
      </w:r>
    </w:p>
    <w:p w14:paraId="6534CD5F" w14:textId="77777777" w:rsidR="00B77E5A" w:rsidRPr="000367C8" w:rsidRDefault="00B77E5A" w:rsidP="00B77E5A">
      <w:pPr>
        <w:rPr>
          <w:szCs w:val="24"/>
        </w:rPr>
      </w:pPr>
      <w:r w:rsidRPr="000367C8">
        <w:rPr>
          <w:szCs w:val="24"/>
        </w:rPr>
        <w:t>Boxplots are useful for presenting distributional patterns across these characteristics, and they also provide strict criteria for identifying outlier countries which stray considerably from the general results.</w:t>
      </w:r>
    </w:p>
    <w:p w14:paraId="35B7A6F4" w14:textId="138CDDD1" w:rsidR="00B77E5A" w:rsidRPr="000367C8" w:rsidRDefault="00081828" w:rsidP="00B77E5A">
      <w:pPr>
        <w:rPr>
          <w:szCs w:val="24"/>
        </w:rPr>
      </w:pPr>
      <w:r>
        <w:rPr>
          <w:szCs w:val="24"/>
        </w:rPr>
        <w:t>T</w:t>
      </w:r>
      <w:r w:rsidR="00B77E5A" w:rsidRPr="000367C8">
        <w:rPr>
          <w:szCs w:val="24"/>
        </w:rPr>
        <w:t>he difference in ranges across the procedural characteristics</w:t>
      </w:r>
      <w:r>
        <w:rPr>
          <w:szCs w:val="24"/>
        </w:rPr>
        <w:t xml:space="preserve"> is noticeable</w:t>
      </w:r>
      <w:r w:rsidR="00B77E5A" w:rsidRPr="000367C8">
        <w:rPr>
          <w:szCs w:val="24"/>
        </w:rPr>
        <w:t xml:space="preserve">. For elections, Sweden is actually classed as an outlier in the sense that Swedish citizens score this element significantly </w:t>
      </w:r>
      <w:r w:rsidR="00B77E5A" w:rsidRPr="000367C8">
        <w:rPr>
          <w:i/>
          <w:szCs w:val="24"/>
        </w:rPr>
        <w:t>higher</w:t>
      </w:r>
      <w:r w:rsidR="00B77E5A" w:rsidRPr="000367C8">
        <w:rPr>
          <w:szCs w:val="24"/>
        </w:rPr>
        <w:t xml:space="preserve"> than</w:t>
      </w:r>
      <w:r w:rsidR="00DB7282">
        <w:rPr>
          <w:szCs w:val="24"/>
        </w:rPr>
        <w:t xml:space="preserve"> </w:t>
      </w:r>
      <w:r w:rsidR="000813DF">
        <w:rPr>
          <w:szCs w:val="24"/>
        </w:rPr>
        <w:t xml:space="preserve">citizens in </w:t>
      </w:r>
      <w:r w:rsidR="00B77E5A" w:rsidRPr="000367C8">
        <w:rPr>
          <w:szCs w:val="24"/>
        </w:rPr>
        <w:t xml:space="preserve">other countries, even taking into account the average for this element is already very high. The range is narrow for this element, which highlights the considerably different score given to the element by citizens from Malaysia and Thailand, </w:t>
      </w:r>
      <w:r w:rsidR="00DB7282" w:rsidRPr="000367C8">
        <w:rPr>
          <w:szCs w:val="24"/>
        </w:rPr>
        <w:t>wh</w:t>
      </w:r>
      <w:r w:rsidR="00DB7282">
        <w:rPr>
          <w:szCs w:val="24"/>
        </w:rPr>
        <w:t>o</w:t>
      </w:r>
      <w:r w:rsidR="00DB7282" w:rsidRPr="000367C8">
        <w:rPr>
          <w:szCs w:val="24"/>
        </w:rPr>
        <w:t xml:space="preserve"> </w:t>
      </w:r>
      <w:r w:rsidR="00B77E5A" w:rsidRPr="000367C8">
        <w:rPr>
          <w:szCs w:val="24"/>
        </w:rPr>
        <w:t xml:space="preserve">score it considerably less </w:t>
      </w:r>
      <w:r w:rsidR="00DB7282">
        <w:rPr>
          <w:szCs w:val="24"/>
        </w:rPr>
        <w:t xml:space="preserve">highly as an essential criterion for democracy </w:t>
      </w:r>
      <w:r w:rsidR="000813DF">
        <w:rPr>
          <w:szCs w:val="24"/>
        </w:rPr>
        <w:t>compared to citizens in</w:t>
      </w:r>
      <w:r w:rsidR="00B77E5A" w:rsidRPr="000367C8">
        <w:rPr>
          <w:szCs w:val="24"/>
        </w:rPr>
        <w:t xml:space="preserve"> other countries.</w:t>
      </w:r>
    </w:p>
    <w:p w14:paraId="618CB8A1" w14:textId="79D8BA2D" w:rsidR="00B77E5A" w:rsidRPr="000367C8" w:rsidRDefault="00B77E5A" w:rsidP="00B77E5A">
      <w:pPr>
        <w:rPr>
          <w:szCs w:val="24"/>
        </w:rPr>
      </w:pPr>
      <w:r w:rsidRPr="000367C8">
        <w:rPr>
          <w:szCs w:val="24"/>
        </w:rPr>
        <w:t>In comparison, there are no outliers for the referendum characteristic</w:t>
      </w:r>
      <w:r w:rsidR="00DB7282">
        <w:rPr>
          <w:szCs w:val="24"/>
        </w:rPr>
        <w:t>.</w:t>
      </w:r>
      <w:r w:rsidRPr="000367C8">
        <w:rPr>
          <w:szCs w:val="24"/>
        </w:rPr>
        <w:t xml:space="preserve"> </w:t>
      </w:r>
      <w:r w:rsidR="00DB7282">
        <w:rPr>
          <w:szCs w:val="24"/>
        </w:rPr>
        <w:t>H</w:t>
      </w:r>
      <w:r w:rsidRPr="000367C8">
        <w:rPr>
          <w:szCs w:val="24"/>
        </w:rPr>
        <w:t>owever, the range is much wider, from 6 through to 9.2.</w:t>
      </w:r>
      <w:r w:rsidR="00630002">
        <w:rPr>
          <w:szCs w:val="24"/>
        </w:rPr>
        <w:t xml:space="preserve"> </w:t>
      </w:r>
      <w:r w:rsidRPr="000367C8">
        <w:rPr>
          <w:szCs w:val="24"/>
        </w:rPr>
        <w:t xml:space="preserve">There is also a considerable range of results when it comes to civil rights. Once again, Thailand is an outlier. Thai citizens score two of the most fundamental elements of liberal democratic theory, elections and civil rights, significantly lower than </w:t>
      </w:r>
      <w:r w:rsidR="00DB7282">
        <w:rPr>
          <w:szCs w:val="24"/>
        </w:rPr>
        <w:t xml:space="preserve">do people in </w:t>
      </w:r>
      <w:r w:rsidRPr="000367C8">
        <w:rPr>
          <w:szCs w:val="24"/>
        </w:rPr>
        <w:t xml:space="preserve">the vast majority of countries </w:t>
      </w:r>
      <w:r w:rsidR="00F43C8D">
        <w:rPr>
          <w:szCs w:val="24"/>
        </w:rPr>
        <w:t>in the survey.</w:t>
      </w:r>
    </w:p>
    <w:p w14:paraId="6E93D818" w14:textId="25F15F02" w:rsidR="00B77E5A" w:rsidRPr="000367C8" w:rsidRDefault="00B77E5A" w:rsidP="00B77E5A">
      <w:pPr>
        <w:rPr>
          <w:szCs w:val="24"/>
        </w:rPr>
      </w:pPr>
      <w:r w:rsidRPr="000367C8">
        <w:rPr>
          <w:szCs w:val="24"/>
        </w:rPr>
        <w:t xml:space="preserve">Malaysia too, is also in this position as it makes a second appearance as an outlier for the equality characteristic, scoring 6.7 compared to the median of almost 8.8. The other outlier for this element is Iraq, which scores 6.4. </w:t>
      </w:r>
      <w:r w:rsidR="005B3D34">
        <w:rPr>
          <w:szCs w:val="24"/>
        </w:rPr>
        <w:t xml:space="preserve">This tells us that Malaysian and Iraq respondents are less likely to see this as an essential for democracy than are people in general. </w:t>
      </w:r>
      <w:r w:rsidRPr="000367C8">
        <w:rPr>
          <w:szCs w:val="24"/>
        </w:rPr>
        <w:t>Overall, the gender characteristic range shows that it has the highest country average across all characteristics; 9.8. This extraordinarily high score is the average result from Sweden. In every country the entire range of 1 to 10 is used by citizens across all these characteristics, except in Sweden. No one in the Swedish sample scored the gender equality characteristic less than 9. In Sweden the characteristics of liberal democracy are scored very highly and in a highly homogenous fashion unlike in any other country in the dataset.</w:t>
      </w:r>
    </w:p>
    <w:p w14:paraId="38D6083B" w14:textId="59217892" w:rsidR="00B77E5A" w:rsidRPr="000367C8" w:rsidRDefault="00B77E5A" w:rsidP="00B77E5A">
      <w:pPr>
        <w:rPr>
          <w:szCs w:val="24"/>
        </w:rPr>
      </w:pPr>
      <w:r w:rsidRPr="000367C8">
        <w:rPr>
          <w:szCs w:val="24"/>
        </w:rPr>
        <w:t>The tax redistribution shows a considerable range of 4.3 through to 8.6</w:t>
      </w:r>
      <w:r w:rsidR="008808FF">
        <w:rPr>
          <w:szCs w:val="24"/>
        </w:rPr>
        <w:t xml:space="preserve"> with a median of 6.5 and no</w:t>
      </w:r>
      <w:r w:rsidRPr="000367C8">
        <w:rPr>
          <w:szCs w:val="24"/>
        </w:rPr>
        <w:t xml:space="preserve"> outliers.</w:t>
      </w:r>
      <w:r w:rsidR="008808FF">
        <w:rPr>
          <w:szCs w:val="24"/>
        </w:rPr>
        <w:t xml:space="preserve"> This suggests there are a wide variety of responses across the country averages and so </w:t>
      </w:r>
      <w:r w:rsidR="003A134D">
        <w:rPr>
          <w:szCs w:val="24"/>
        </w:rPr>
        <w:t xml:space="preserve">there is </w:t>
      </w:r>
      <w:r w:rsidR="008808FF">
        <w:rPr>
          <w:szCs w:val="24"/>
        </w:rPr>
        <w:t>likely to be less consensus on exactly what is the nature of tax redistribution for democracy.</w:t>
      </w:r>
      <w:r w:rsidRPr="000367C8">
        <w:rPr>
          <w:szCs w:val="24"/>
        </w:rPr>
        <w:t xml:space="preserve"> In contrast, the range for unemployment benefit is </w:t>
      </w:r>
      <w:r w:rsidR="008808FF">
        <w:rPr>
          <w:szCs w:val="24"/>
        </w:rPr>
        <w:t>narrower and so there is more agreement on how essential unemployment benefits are seen. However</w:t>
      </w:r>
      <w:r w:rsidR="003A134D">
        <w:rPr>
          <w:szCs w:val="24"/>
        </w:rPr>
        <w:t>,</w:t>
      </w:r>
      <w:r w:rsidRPr="000367C8">
        <w:rPr>
          <w:szCs w:val="24"/>
        </w:rPr>
        <w:t xml:space="preserve"> Indonesia is classed as an outlier here, with a lower average score of 4.5, compared to a median of 7.5</w:t>
      </w:r>
    </w:p>
    <w:p w14:paraId="06068E7D" w14:textId="1358FA64" w:rsidR="00B77E5A" w:rsidRPr="000367C8" w:rsidRDefault="00B77E5A" w:rsidP="00B77E5A">
      <w:pPr>
        <w:rPr>
          <w:szCs w:val="24"/>
        </w:rPr>
      </w:pPr>
      <w:r w:rsidRPr="000367C8">
        <w:rPr>
          <w:szCs w:val="24"/>
        </w:rPr>
        <w:t>The high-scoring nature of the populist elements is evident, with the high</w:t>
      </w:r>
      <w:r w:rsidR="00DB7282">
        <w:rPr>
          <w:szCs w:val="24"/>
        </w:rPr>
        <w:t xml:space="preserve"> </w:t>
      </w:r>
      <w:r w:rsidRPr="000367C8">
        <w:rPr>
          <w:szCs w:val="24"/>
        </w:rPr>
        <w:t>end of the economy element higher than the civil rights and referendum elements, and matching that of elections. The criminal punishment option shows a similar result but not as high, with Norway’s significantly lower average making it an outlier.</w:t>
      </w:r>
      <w:r w:rsidR="008808FF">
        <w:rPr>
          <w:szCs w:val="24"/>
        </w:rPr>
        <w:t xml:space="preserve"> This suggests that a clear ‘liberal’ or ‘informed’ understanding of democracy may be questionable, as these populist characteristics are indeed popular</w:t>
      </w:r>
      <w:r w:rsidR="00880122">
        <w:rPr>
          <w:szCs w:val="24"/>
        </w:rPr>
        <w:t xml:space="preserve">, and it was clear that in some </w:t>
      </w:r>
      <w:r w:rsidR="003C009F">
        <w:rPr>
          <w:szCs w:val="24"/>
        </w:rPr>
        <w:t xml:space="preserve">scholarly </w:t>
      </w:r>
      <w:r w:rsidR="00880122">
        <w:rPr>
          <w:szCs w:val="24"/>
        </w:rPr>
        <w:t>tests of</w:t>
      </w:r>
      <w:r w:rsidR="003C009F">
        <w:rPr>
          <w:szCs w:val="24"/>
        </w:rPr>
        <w:t xml:space="preserve"> democratic knowledge </w:t>
      </w:r>
      <w:r w:rsidR="003C009F">
        <w:rPr>
          <w:szCs w:val="24"/>
        </w:rPr>
        <w:fldChar w:fldCharType="begin" w:fldLock="1"/>
      </w:r>
      <w:r w:rsidR="00E63CC6">
        <w:rPr>
          <w:szCs w:val="24"/>
        </w:rPr>
        <w:instrText>ADDIN CSL_CITATION { "citationItems" : [ { "id" : "ITEM-1", "itemData" : { "ISBN" : "9781107034709", "author" : [ { "dropping-particle" : "", "family" : "Welzel", "given" : "Christian", "non-dropping-particle" : "", "parse-names" : false, "suffix" : "" } ], "id" : "ITEM-1", "issued" : { "date-parts" : [ [ "2013" ] ] }, "publisher" : "Cambridge University Press", "publisher-place" : "Cambridge", "title" : "Freedom Rising Human Empowerment and the Quest for Emancipation", "type" : "book" }, "uris" : [ "http://www.mendeley.com/documents/?uuid=a04e4a97-3944-4d8e-ba77-b044563d9c7e" ] }, { "id" : "ITEM-2", "itemData" : { "author" : [ { "dropping-particle" : "", "family" : "Norris", "given" : "P", "non-dropping-particle" : "", "parse-names" : false, "suffix" : "" } ], "id" : "ITEM-2", "issued" : { "date-parts" : [ [ "2011" ] ] }, "publisher" : "Cambridge University Press", "publisher-place" : "Cambridge", "title" : "Democratic Deficit - Critical Citizens Revisited", "type" : "book" }, "uris" : [ "http://www.mendeley.com/documents/?uuid=767d7bfd-72a9-4ffe-ba7a-ed7860204ebd" ] } ], "mendeley" : { "formattedCitation" : "(Norris, 2011; Welzel, 2013)", "plainTextFormattedCitation" : "(Norris, 2011; Welzel, 2013)", "previouslyFormattedCitation" : "(Norris, 2011; Welzel, 2013)" }, "properties" : { "noteIndex" : 0 }, "schema" : "https://github.com/citation-style-language/schema/raw/master/csl-citation.json" }</w:instrText>
      </w:r>
      <w:r w:rsidR="003C009F">
        <w:rPr>
          <w:szCs w:val="24"/>
        </w:rPr>
        <w:fldChar w:fldCharType="separate"/>
      </w:r>
      <w:r w:rsidR="00E63CC6" w:rsidRPr="00E63CC6">
        <w:rPr>
          <w:noProof/>
          <w:szCs w:val="24"/>
        </w:rPr>
        <w:t>(Norris, 2011; Welzel, 2013)</w:t>
      </w:r>
      <w:r w:rsidR="003C009F">
        <w:rPr>
          <w:szCs w:val="24"/>
        </w:rPr>
        <w:fldChar w:fldCharType="end"/>
      </w:r>
      <w:r w:rsidR="003C009F">
        <w:rPr>
          <w:szCs w:val="24"/>
        </w:rPr>
        <w:t>, high scores on t</w:t>
      </w:r>
      <w:r w:rsidR="00A61D4D">
        <w:rPr>
          <w:szCs w:val="24"/>
        </w:rPr>
        <w:t>hese items were seen as impairing</w:t>
      </w:r>
      <w:r w:rsidR="000813DF">
        <w:rPr>
          <w:szCs w:val="24"/>
        </w:rPr>
        <w:t xml:space="preserve"> </w:t>
      </w:r>
      <w:r w:rsidR="00A61D4D">
        <w:rPr>
          <w:szCs w:val="24"/>
        </w:rPr>
        <w:t>a</w:t>
      </w:r>
      <w:r w:rsidR="003C009F">
        <w:rPr>
          <w:szCs w:val="24"/>
        </w:rPr>
        <w:t xml:space="preserve"> citizen’s understanding of democracy.</w:t>
      </w:r>
      <w:r w:rsidR="00880122">
        <w:rPr>
          <w:szCs w:val="24"/>
        </w:rPr>
        <w:t xml:space="preserve"> </w:t>
      </w:r>
    </w:p>
    <w:p w14:paraId="4494F6B9" w14:textId="0905AAB5" w:rsidR="00B77E5A" w:rsidRPr="000367C8" w:rsidRDefault="00B77E5A" w:rsidP="00B77E5A">
      <w:pPr>
        <w:rPr>
          <w:szCs w:val="24"/>
        </w:rPr>
      </w:pPr>
      <w:r w:rsidRPr="000367C8">
        <w:rPr>
          <w:szCs w:val="24"/>
        </w:rPr>
        <w:t xml:space="preserve">Finally, the authoritarian results demonstrate why the country-level variance is so high for these options. The average result ranges from a very low 1.5-2.2 up to a very high 7.4 for the two characteristics. These are significantly different averages across </w:t>
      </w:r>
      <w:r w:rsidR="00FE3156">
        <w:rPr>
          <w:szCs w:val="24"/>
        </w:rPr>
        <w:t xml:space="preserve">the </w:t>
      </w:r>
      <w:r w:rsidRPr="000367C8">
        <w:rPr>
          <w:szCs w:val="24"/>
        </w:rPr>
        <w:t xml:space="preserve">countries, and </w:t>
      </w:r>
      <w:r w:rsidR="00FE3156" w:rsidRPr="000367C8">
        <w:rPr>
          <w:szCs w:val="24"/>
        </w:rPr>
        <w:t xml:space="preserve">for the religious authorities characteristics </w:t>
      </w:r>
      <w:r w:rsidRPr="000367C8">
        <w:rPr>
          <w:szCs w:val="24"/>
        </w:rPr>
        <w:t xml:space="preserve">Vietnamese and Egyptian citizens score </w:t>
      </w:r>
      <w:r w:rsidR="00FE3156">
        <w:rPr>
          <w:szCs w:val="24"/>
        </w:rPr>
        <w:t xml:space="preserve">much higher than the median of just of 4, </w:t>
      </w:r>
      <w:r w:rsidRPr="000367C8">
        <w:rPr>
          <w:szCs w:val="24"/>
        </w:rPr>
        <w:t xml:space="preserve">with </w:t>
      </w:r>
      <w:r w:rsidR="00FE3156">
        <w:rPr>
          <w:szCs w:val="24"/>
        </w:rPr>
        <w:t>outlier averages</w:t>
      </w:r>
      <w:r w:rsidRPr="000367C8">
        <w:rPr>
          <w:szCs w:val="24"/>
        </w:rPr>
        <w:t xml:space="preserve"> of 7.8 and 8.1 respectively. The Egyptian result for religious authori</w:t>
      </w:r>
      <w:r w:rsidR="00FE3156">
        <w:rPr>
          <w:szCs w:val="24"/>
        </w:rPr>
        <w:t xml:space="preserve">ties in fact matches the median </w:t>
      </w:r>
      <w:r w:rsidRPr="000367C8">
        <w:rPr>
          <w:szCs w:val="24"/>
        </w:rPr>
        <w:t>result for civil rights</w:t>
      </w:r>
      <w:r w:rsidR="00FE3156">
        <w:rPr>
          <w:szCs w:val="24"/>
        </w:rPr>
        <w:t xml:space="preserve"> across all the countries</w:t>
      </w:r>
      <w:r w:rsidRPr="000367C8">
        <w:rPr>
          <w:szCs w:val="24"/>
        </w:rPr>
        <w:t>.</w:t>
      </w:r>
      <w:r w:rsidR="00FE3156">
        <w:rPr>
          <w:szCs w:val="24"/>
        </w:rPr>
        <w:t xml:space="preserve"> Therefore</w:t>
      </w:r>
      <w:r w:rsidR="003A134D">
        <w:rPr>
          <w:szCs w:val="24"/>
        </w:rPr>
        <w:t>,</w:t>
      </w:r>
      <w:r w:rsidR="00FE3156">
        <w:rPr>
          <w:szCs w:val="24"/>
        </w:rPr>
        <w:t xml:space="preserve"> there is some initial evidence that these anti-democratic characteristics are seen as democratic in certain countries, and even seen in some cases to be as essential as a liberal characteristic.</w:t>
      </w:r>
    </w:p>
    <w:p w14:paraId="21CA0295" w14:textId="10F004B7" w:rsidR="00B77E5A" w:rsidRPr="000367C8" w:rsidRDefault="00B77E5A" w:rsidP="00E223A2">
      <w:pPr>
        <w:pStyle w:val="Heading4"/>
      </w:pPr>
      <w:bookmarkStart w:id="176" w:name="_Toc381717103"/>
      <w:bookmarkStart w:id="177" w:name="_Toc441069210"/>
      <w:r w:rsidRPr="000367C8">
        <w:t>National Averages by</w:t>
      </w:r>
      <w:r w:rsidR="004479C8">
        <w:t xml:space="preserve"> Political Regimes</w:t>
      </w:r>
      <w:bookmarkEnd w:id="176"/>
      <w:bookmarkEnd w:id="177"/>
    </w:p>
    <w:p w14:paraId="5DD1CCC4" w14:textId="6DB19927" w:rsidR="00B77E5A" w:rsidRDefault="00C12892" w:rsidP="00B77E5A">
      <w:pPr>
        <w:rPr>
          <w:szCs w:val="24"/>
        </w:rPr>
      </w:pPr>
      <w:r>
        <w:rPr>
          <w:szCs w:val="24"/>
        </w:rPr>
        <w:t>Figure 3.8</w:t>
      </w:r>
      <w:r w:rsidR="00B77E5A" w:rsidRPr="000367C8">
        <w:rPr>
          <w:szCs w:val="24"/>
        </w:rPr>
        <w:t xml:space="preserve"> shows the patterns of national-level averages by regime characteristics, examining the differences between Freedom House categories, communist and Islamic regimes. </w:t>
      </w:r>
    </w:p>
    <w:p w14:paraId="54A975B6" w14:textId="6989C745" w:rsidR="00B77E5A" w:rsidRPr="000367C8" w:rsidRDefault="00B77E5A" w:rsidP="000E1EFB">
      <w:r w:rsidRPr="000367C8">
        <w:t xml:space="preserve">Freedom House </w:t>
      </w:r>
      <w:r w:rsidR="00C12EE7">
        <w:t xml:space="preserve">score </w:t>
      </w:r>
      <w:r w:rsidRPr="000367C8">
        <w:t xml:space="preserve">was chosen as a useful proxy for </w:t>
      </w:r>
      <w:r w:rsidR="00C12EE7">
        <w:t xml:space="preserve">the </w:t>
      </w:r>
      <w:r w:rsidRPr="000367C8">
        <w:t>level of democratization in a country. The three-band categorisation of “Free” (35 countri</w:t>
      </w:r>
      <w:r>
        <w:t>es), “Not Free” (10 countries),</w:t>
      </w:r>
      <w:r w:rsidRPr="000367C8">
        <w:t xml:space="preserve"> and “Partly Free” (7 countries) </w:t>
      </w:r>
      <w:r w:rsidR="00C12EE7">
        <w:t>is</w:t>
      </w:r>
      <w:r w:rsidR="00C12EE7" w:rsidRPr="000367C8">
        <w:t xml:space="preserve"> </w:t>
      </w:r>
      <w:r w:rsidRPr="000367C8">
        <w:t>used here. This scoring system provides a quick overview of the regime context for citizens, and the measure focuses squarely on judging theoretically relevant a</w:t>
      </w:r>
      <w:r w:rsidR="006274AF">
        <w:t xml:space="preserve">ttributes of liberal democracy </w:t>
      </w:r>
      <w:r w:rsidR="006274AF">
        <w:fldChar w:fldCharType="begin" w:fldLock="1"/>
      </w:r>
      <w:r w:rsidR="00E63CC6">
        <w:instrText>ADDIN CSL_CITATION { "citationItems" : [ { "id" : "ITEM-1", "itemData" : { "author" : [ { "dropping-particle" : "", "family" : "Munk", "given" : "GL", "non-dropping-particle" : "", "parse-names" : false, "suffix" : "" } ], "id" : "ITEM-1", "issued" : { "date-parts" : [ [ "2009" ] ] }, "publisher" : "Hopkins University Press", "publisher-place" : "Baltimore", "title" : "Measuring Democracy \u2013 A Bridge Between Scholarship &amp; Politics", "type" : "book" }, "uris" : [ "http://www.mendeley.com/documents/?uuid=8582740f-ad71-455a-85e2-c3f10d625e54" ] } ], "mendeley" : { "formattedCitation" : "(Munk, 2009)", "manualFormatting" : "(Munk 2009, p.17)", "plainTextFormattedCitation" : "(Munk, 2009)", "previouslyFormattedCitation" : "(Munk, 2009)" }, "properties" : { "noteIndex" : 0 }, "schema" : "https://github.com/citation-style-language/schema/raw/master/csl-citation.json" }</w:instrText>
      </w:r>
      <w:r w:rsidR="006274AF">
        <w:fldChar w:fldCharType="separate"/>
      </w:r>
      <w:r w:rsidR="006274AF" w:rsidRPr="006274AF">
        <w:rPr>
          <w:noProof/>
        </w:rPr>
        <w:t>(Munk 2009</w:t>
      </w:r>
      <w:r w:rsidR="006274AF">
        <w:rPr>
          <w:noProof/>
        </w:rPr>
        <w:t>, p.17</w:t>
      </w:r>
      <w:r w:rsidR="006274AF" w:rsidRPr="006274AF">
        <w:rPr>
          <w:noProof/>
        </w:rPr>
        <w:t>)</w:t>
      </w:r>
      <w:r w:rsidR="006274AF">
        <w:fldChar w:fldCharType="end"/>
      </w:r>
      <w:r w:rsidRPr="000367C8">
        <w:t>.</w:t>
      </w:r>
    </w:p>
    <w:p w14:paraId="0415A049" w14:textId="448C6A21" w:rsidR="00B77E5A" w:rsidRPr="00C12892" w:rsidRDefault="00A61D4D" w:rsidP="00B77E5A">
      <w:r>
        <w:t>The communist grouping classes eight</w:t>
      </w:r>
      <w:r w:rsidR="00B77E5A" w:rsidRPr="000367C8">
        <w:t xml:space="preserve"> countries in the dataset as being currently communist, or included in the </w:t>
      </w:r>
      <w:r w:rsidR="00C12EE7">
        <w:t xml:space="preserve">former </w:t>
      </w:r>
      <w:r w:rsidR="00B77E5A" w:rsidRPr="000367C8">
        <w:t xml:space="preserve">sphere of influence of the Soviet Union. This allows for a comparison to see </w:t>
      </w:r>
      <w:r w:rsidR="000E1EFB" w:rsidRPr="000367C8">
        <w:t xml:space="preserve">whether citizens socialized under non-democratic regimes differ </w:t>
      </w:r>
      <w:r w:rsidR="00C12892">
        <w:t>in their outlooks on democracy.</w:t>
      </w:r>
      <w:r w:rsidR="00B77E5A">
        <w:rPr>
          <w:szCs w:val="24"/>
        </w:rPr>
        <w:br w:type="page"/>
      </w:r>
    </w:p>
    <w:p w14:paraId="4CB2C9D7" w14:textId="77777777" w:rsidR="00B77E5A" w:rsidRDefault="00B77E5A" w:rsidP="00B77E5A">
      <w:pPr>
        <w:rPr>
          <w:szCs w:val="24"/>
        </w:rPr>
        <w:sectPr w:rsidR="00B77E5A" w:rsidSect="0052597C">
          <w:pgSz w:w="11906" w:h="16838"/>
          <w:pgMar w:top="1440" w:right="1440" w:bottom="1440" w:left="1440" w:header="720" w:footer="720" w:gutter="357"/>
          <w:cols w:space="720"/>
        </w:sectPr>
      </w:pPr>
    </w:p>
    <w:p w14:paraId="01F6153A" w14:textId="3C7BA47C" w:rsidR="00B77E5A" w:rsidRPr="003A5664" w:rsidRDefault="005B4976" w:rsidP="005B4976">
      <w:pPr>
        <w:pStyle w:val="Caption"/>
        <w:rPr>
          <w:rFonts w:ascii="Segoe UI" w:hAnsi="Segoe UI" w:cs="Segoe UI"/>
          <w:i w:val="0"/>
        </w:rPr>
      </w:pPr>
      <w:bookmarkStart w:id="178" w:name="_Toc494687145"/>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8</w:t>
      </w:r>
      <w:r w:rsidR="00994662" w:rsidRPr="003A5664">
        <w:rPr>
          <w:rFonts w:ascii="Segoe UI" w:hAnsi="Segoe UI" w:cs="Segoe UI"/>
          <w:i w:val="0"/>
          <w:noProof/>
        </w:rPr>
        <w:fldChar w:fldCharType="end"/>
      </w:r>
      <w:r w:rsidRPr="003A5664">
        <w:rPr>
          <w:rFonts w:ascii="Segoe UI" w:hAnsi="Segoe UI" w:cs="Segoe UI"/>
          <w:i w:val="0"/>
        </w:rPr>
        <w:t xml:space="preserve"> Table showing country level averages by Freedom House, Islamic and Communist classifications</w:t>
      </w:r>
      <w:bookmarkEnd w:id="178"/>
    </w:p>
    <w:p w14:paraId="4927F9C9" w14:textId="77777777" w:rsidR="00A61D4D" w:rsidRPr="00A61D4D" w:rsidRDefault="00A61D4D" w:rsidP="00A61D4D"/>
    <w:tbl>
      <w:tblPr>
        <w:tblW w:w="15914" w:type="dxa"/>
        <w:tblCellMar>
          <w:left w:w="10" w:type="dxa"/>
          <w:right w:w="10" w:type="dxa"/>
        </w:tblCellMar>
        <w:tblLook w:val="0000" w:firstRow="0" w:lastRow="0" w:firstColumn="0" w:lastColumn="0" w:noHBand="0" w:noVBand="0"/>
      </w:tblPr>
      <w:tblGrid>
        <w:gridCol w:w="1576"/>
        <w:gridCol w:w="1460"/>
        <w:gridCol w:w="1584"/>
        <w:gridCol w:w="1460"/>
        <w:gridCol w:w="1406"/>
        <w:gridCol w:w="1203"/>
        <w:gridCol w:w="1265"/>
        <w:gridCol w:w="1132"/>
        <w:gridCol w:w="1152"/>
        <w:gridCol w:w="919"/>
        <w:gridCol w:w="919"/>
        <w:gridCol w:w="919"/>
        <w:gridCol w:w="919"/>
      </w:tblGrid>
      <w:tr w:rsidR="00B77E5A" w:rsidRPr="005C052C" w14:paraId="7A961578" w14:textId="77777777" w:rsidTr="00A61D4D">
        <w:tc>
          <w:tcPr>
            <w:tcW w:w="1576" w:type="dxa"/>
            <w:tcBorders>
              <w:bottom w:val="single" w:sz="4" w:space="0" w:color="auto"/>
              <w:right w:val="single" w:sz="4" w:space="0" w:color="auto"/>
            </w:tcBorders>
            <w:shd w:val="clear" w:color="auto" w:fill="auto"/>
            <w:tcMar>
              <w:top w:w="0" w:type="dxa"/>
              <w:left w:w="108" w:type="dxa"/>
              <w:bottom w:w="0" w:type="dxa"/>
              <w:right w:w="108" w:type="dxa"/>
            </w:tcMar>
          </w:tcPr>
          <w:p w14:paraId="5898F68F" w14:textId="24C58910" w:rsidR="00B77E5A" w:rsidRDefault="00A61D4D" w:rsidP="00A61D4D">
            <w:pPr>
              <w:tabs>
                <w:tab w:val="left" w:pos="1141"/>
              </w:tabs>
              <w:spacing w:line="240" w:lineRule="auto"/>
            </w:pPr>
            <w:r>
              <w:tab/>
            </w:r>
          </w:p>
          <w:p w14:paraId="7F37B765" w14:textId="77777777" w:rsidR="00B77E5A" w:rsidRPr="005C052C" w:rsidRDefault="00B77E5A" w:rsidP="000D5E5F">
            <w:pPr>
              <w:spacing w:line="240" w:lineRule="auto"/>
            </w:pPr>
          </w:p>
        </w:tc>
        <w:tc>
          <w:tcPr>
            <w:tcW w:w="1460" w:type="dxa"/>
            <w:tcBorders>
              <w:left w:val="single" w:sz="4" w:space="0" w:color="auto"/>
              <w:bottom w:val="single" w:sz="4" w:space="0" w:color="auto"/>
            </w:tcBorders>
            <w:shd w:val="clear" w:color="auto" w:fill="auto"/>
            <w:tcMar>
              <w:top w:w="0" w:type="dxa"/>
              <w:left w:w="108" w:type="dxa"/>
              <w:bottom w:w="0" w:type="dxa"/>
              <w:right w:w="108" w:type="dxa"/>
            </w:tcMar>
          </w:tcPr>
          <w:p w14:paraId="1783A0AB" w14:textId="77777777" w:rsidR="00B77E5A" w:rsidRPr="005C052C" w:rsidRDefault="00B77E5A" w:rsidP="000D5E5F">
            <w:pPr>
              <w:spacing w:line="240" w:lineRule="auto"/>
              <w:jc w:val="center"/>
              <w:rPr>
                <w:b/>
                <w:sz w:val="16"/>
                <w:szCs w:val="16"/>
              </w:rPr>
            </w:pPr>
            <w:r w:rsidRPr="005C052C">
              <w:rPr>
                <w:b/>
                <w:sz w:val="16"/>
                <w:szCs w:val="16"/>
              </w:rPr>
              <w:t>Elections</w:t>
            </w:r>
          </w:p>
        </w:tc>
        <w:tc>
          <w:tcPr>
            <w:tcW w:w="1584" w:type="dxa"/>
            <w:tcBorders>
              <w:bottom w:val="single" w:sz="4" w:space="0" w:color="auto"/>
            </w:tcBorders>
            <w:shd w:val="clear" w:color="auto" w:fill="auto"/>
            <w:tcMar>
              <w:top w:w="0" w:type="dxa"/>
              <w:left w:w="108" w:type="dxa"/>
              <w:bottom w:w="0" w:type="dxa"/>
              <w:right w:w="108" w:type="dxa"/>
            </w:tcMar>
          </w:tcPr>
          <w:p w14:paraId="2FB78714" w14:textId="77777777" w:rsidR="00B77E5A" w:rsidRPr="005C052C" w:rsidRDefault="00B77E5A" w:rsidP="000D5E5F">
            <w:pPr>
              <w:spacing w:line="240" w:lineRule="auto"/>
              <w:jc w:val="center"/>
              <w:rPr>
                <w:b/>
                <w:sz w:val="16"/>
                <w:szCs w:val="16"/>
              </w:rPr>
            </w:pPr>
            <w:r w:rsidRPr="005C052C">
              <w:rPr>
                <w:b/>
                <w:sz w:val="16"/>
                <w:szCs w:val="16"/>
              </w:rPr>
              <w:t>Referendum</w:t>
            </w:r>
          </w:p>
        </w:tc>
        <w:tc>
          <w:tcPr>
            <w:tcW w:w="1460" w:type="dxa"/>
            <w:tcBorders>
              <w:bottom w:val="single" w:sz="4" w:space="0" w:color="auto"/>
            </w:tcBorders>
            <w:shd w:val="clear" w:color="auto" w:fill="auto"/>
            <w:tcMar>
              <w:top w:w="0" w:type="dxa"/>
              <w:left w:w="108" w:type="dxa"/>
              <w:bottom w:w="0" w:type="dxa"/>
              <w:right w:w="108" w:type="dxa"/>
            </w:tcMar>
          </w:tcPr>
          <w:p w14:paraId="2EC5E4A1" w14:textId="77777777" w:rsidR="00B77E5A" w:rsidRPr="005C052C" w:rsidRDefault="00B77E5A" w:rsidP="000D5E5F">
            <w:pPr>
              <w:spacing w:line="240" w:lineRule="auto"/>
              <w:jc w:val="center"/>
              <w:rPr>
                <w:b/>
                <w:sz w:val="16"/>
                <w:szCs w:val="16"/>
              </w:rPr>
            </w:pPr>
            <w:r w:rsidRPr="005C052C">
              <w:rPr>
                <w:b/>
                <w:sz w:val="16"/>
                <w:szCs w:val="16"/>
              </w:rPr>
              <w:t>Civil Rights</w:t>
            </w:r>
          </w:p>
        </w:tc>
        <w:tc>
          <w:tcPr>
            <w:tcW w:w="1406" w:type="dxa"/>
            <w:tcBorders>
              <w:bottom w:val="single" w:sz="4" w:space="0" w:color="auto"/>
            </w:tcBorders>
            <w:shd w:val="clear" w:color="auto" w:fill="auto"/>
            <w:tcMar>
              <w:top w:w="0" w:type="dxa"/>
              <w:left w:w="108" w:type="dxa"/>
              <w:bottom w:w="0" w:type="dxa"/>
              <w:right w:w="108" w:type="dxa"/>
            </w:tcMar>
          </w:tcPr>
          <w:p w14:paraId="78E0D092" w14:textId="77777777" w:rsidR="00B77E5A" w:rsidRPr="005C052C" w:rsidRDefault="00B77E5A" w:rsidP="000D5E5F">
            <w:pPr>
              <w:spacing w:line="240" w:lineRule="auto"/>
              <w:jc w:val="center"/>
              <w:rPr>
                <w:b/>
                <w:sz w:val="16"/>
                <w:szCs w:val="16"/>
              </w:rPr>
            </w:pPr>
            <w:r w:rsidRPr="005C052C">
              <w:rPr>
                <w:b/>
                <w:sz w:val="16"/>
                <w:szCs w:val="16"/>
              </w:rPr>
              <w:t>Gender Equality</w:t>
            </w:r>
          </w:p>
        </w:tc>
        <w:tc>
          <w:tcPr>
            <w:tcW w:w="1203" w:type="dxa"/>
            <w:tcBorders>
              <w:bottom w:val="single" w:sz="4" w:space="0" w:color="auto"/>
            </w:tcBorders>
            <w:shd w:val="clear" w:color="auto" w:fill="auto"/>
            <w:tcMar>
              <w:top w:w="0" w:type="dxa"/>
              <w:left w:w="10" w:type="dxa"/>
              <w:bottom w:w="0" w:type="dxa"/>
              <w:right w:w="10" w:type="dxa"/>
            </w:tcMar>
          </w:tcPr>
          <w:p w14:paraId="63AE7A4E" w14:textId="77777777" w:rsidR="00B77E5A" w:rsidRPr="005C052C" w:rsidRDefault="00B77E5A" w:rsidP="000D5E5F">
            <w:pPr>
              <w:spacing w:line="240" w:lineRule="auto"/>
              <w:jc w:val="center"/>
            </w:pPr>
            <w:r w:rsidRPr="005C052C">
              <w:rPr>
                <w:b/>
                <w:sz w:val="16"/>
                <w:szCs w:val="16"/>
              </w:rPr>
              <w:t>Tax Redistribution</w:t>
            </w:r>
          </w:p>
        </w:tc>
        <w:tc>
          <w:tcPr>
            <w:tcW w:w="1265" w:type="dxa"/>
            <w:tcBorders>
              <w:bottom w:val="single" w:sz="4" w:space="0" w:color="auto"/>
            </w:tcBorders>
            <w:shd w:val="clear" w:color="auto" w:fill="auto"/>
            <w:tcMar>
              <w:top w:w="0" w:type="dxa"/>
              <w:left w:w="10" w:type="dxa"/>
              <w:bottom w:w="0" w:type="dxa"/>
              <w:right w:w="10" w:type="dxa"/>
            </w:tcMar>
          </w:tcPr>
          <w:p w14:paraId="3796F98C" w14:textId="77777777" w:rsidR="00B77E5A" w:rsidRPr="005C052C" w:rsidRDefault="00B77E5A" w:rsidP="000D5E5F">
            <w:pPr>
              <w:spacing w:line="240" w:lineRule="auto"/>
              <w:jc w:val="center"/>
              <w:rPr>
                <w:b/>
                <w:sz w:val="16"/>
                <w:szCs w:val="16"/>
              </w:rPr>
            </w:pPr>
            <w:r w:rsidRPr="005C052C">
              <w:rPr>
                <w:b/>
                <w:sz w:val="16"/>
                <w:szCs w:val="16"/>
              </w:rPr>
              <w:t>Unemployment Benefit</w:t>
            </w:r>
          </w:p>
        </w:tc>
        <w:tc>
          <w:tcPr>
            <w:tcW w:w="1132" w:type="dxa"/>
            <w:tcBorders>
              <w:bottom w:val="single" w:sz="4" w:space="0" w:color="auto"/>
            </w:tcBorders>
            <w:shd w:val="clear" w:color="auto" w:fill="auto"/>
            <w:tcMar>
              <w:top w:w="0" w:type="dxa"/>
              <w:left w:w="10" w:type="dxa"/>
              <w:bottom w:w="0" w:type="dxa"/>
              <w:right w:w="10" w:type="dxa"/>
            </w:tcMar>
          </w:tcPr>
          <w:p w14:paraId="35F04953" w14:textId="77777777" w:rsidR="00B77E5A" w:rsidRPr="005C052C" w:rsidRDefault="00B77E5A" w:rsidP="000D5E5F">
            <w:pPr>
              <w:spacing w:line="240" w:lineRule="auto"/>
              <w:jc w:val="center"/>
              <w:rPr>
                <w:b/>
                <w:sz w:val="16"/>
                <w:szCs w:val="16"/>
              </w:rPr>
            </w:pPr>
            <w:r w:rsidRPr="005C052C">
              <w:rPr>
                <w:b/>
                <w:sz w:val="16"/>
                <w:szCs w:val="16"/>
              </w:rPr>
              <w:t>Prospering</w:t>
            </w:r>
          </w:p>
          <w:p w14:paraId="5E39CA58" w14:textId="77777777" w:rsidR="00B77E5A" w:rsidRPr="005C052C" w:rsidRDefault="00B77E5A" w:rsidP="000D5E5F">
            <w:pPr>
              <w:spacing w:line="240" w:lineRule="auto"/>
              <w:jc w:val="center"/>
            </w:pPr>
            <w:r w:rsidRPr="005C052C">
              <w:rPr>
                <w:b/>
                <w:sz w:val="16"/>
                <w:szCs w:val="16"/>
              </w:rPr>
              <w:t>Economy</w:t>
            </w:r>
          </w:p>
        </w:tc>
        <w:tc>
          <w:tcPr>
            <w:tcW w:w="1152" w:type="dxa"/>
            <w:tcBorders>
              <w:bottom w:val="single" w:sz="4" w:space="0" w:color="auto"/>
            </w:tcBorders>
            <w:shd w:val="clear" w:color="auto" w:fill="auto"/>
            <w:tcMar>
              <w:top w:w="0" w:type="dxa"/>
              <w:left w:w="10" w:type="dxa"/>
              <w:bottom w:w="0" w:type="dxa"/>
              <w:right w:w="10" w:type="dxa"/>
            </w:tcMar>
          </w:tcPr>
          <w:p w14:paraId="6A147FF6" w14:textId="77777777" w:rsidR="00B77E5A" w:rsidRPr="005C052C" w:rsidRDefault="00B77E5A" w:rsidP="000D5E5F">
            <w:pPr>
              <w:spacing w:line="240" w:lineRule="auto"/>
              <w:jc w:val="center"/>
              <w:rPr>
                <w:b/>
                <w:sz w:val="16"/>
                <w:szCs w:val="16"/>
              </w:rPr>
            </w:pPr>
            <w:r w:rsidRPr="005C052C">
              <w:rPr>
                <w:b/>
                <w:sz w:val="16"/>
                <w:szCs w:val="16"/>
              </w:rPr>
              <w:t>Criminal Punishment</w:t>
            </w:r>
          </w:p>
        </w:tc>
        <w:tc>
          <w:tcPr>
            <w:tcW w:w="919" w:type="dxa"/>
            <w:tcBorders>
              <w:bottom w:val="single" w:sz="4" w:space="0" w:color="auto"/>
            </w:tcBorders>
            <w:shd w:val="clear" w:color="auto" w:fill="auto"/>
            <w:tcMar>
              <w:top w:w="0" w:type="dxa"/>
              <w:left w:w="10" w:type="dxa"/>
              <w:bottom w:w="0" w:type="dxa"/>
              <w:right w:w="10" w:type="dxa"/>
            </w:tcMar>
          </w:tcPr>
          <w:p w14:paraId="2F7DF315" w14:textId="77777777" w:rsidR="00B77E5A" w:rsidRPr="005C052C" w:rsidRDefault="00B77E5A" w:rsidP="000D5E5F">
            <w:pPr>
              <w:spacing w:line="240" w:lineRule="auto"/>
              <w:jc w:val="center"/>
              <w:rPr>
                <w:b/>
                <w:sz w:val="16"/>
                <w:szCs w:val="16"/>
              </w:rPr>
            </w:pPr>
            <w:r w:rsidRPr="005C052C">
              <w:rPr>
                <w:b/>
                <w:sz w:val="16"/>
                <w:szCs w:val="16"/>
              </w:rPr>
              <w:t>Army Takeover</w:t>
            </w:r>
          </w:p>
        </w:tc>
        <w:tc>
          <w:tcPr>
            <w:tcW w:w="919" w:type="dxa"/>
            <w:tcBorders>
              <w:bottom w:val="single" w:sz="4" w:space="0" w:color="auto"/>
            </w:tcBorders>
            <w:shd w:val="clear" w:color="auto" w:fill="auto"/>
            <w:tcMar>
              <w:top w:w="0" w:type="dxa"/>
              <w:left w:w="10" w:type="dxa"/>
              <w:bottom w:w="0" w:type="dxa"/>
              <w:right w:w="10" w:type="dxa"/>
            </w:tcMar>
          </w:tcPr>
          <w:p w14:paraId="0DE349FE" w14:textId="77777777" w:rsidR="00B77E5A" w:rsidRPr="005C052C" w:rsidRDefault="00B77E5A" w:rsidP="000D5E5F">
            <w:pPr>
              <w:spacing w:line="240" w:lineRule="auto"/>
              <w:jc w:val="center"/>
            </w:pPr>
            <w:r w:rsidRPr="005C052C">
              <w:rPr>
                <w:b/>
                <w:sz w:val="16"/>
                <w:szCs w:val="16"/>
              </w:rPr>
              <w:t>Religious Authorities</w:t>
            </w:r>
          </w:p>
        </w:tc>
        <w:tc>
          <w:tcPr>
            <w:tcW w:w="919" w:type="dxa"/>
            <w:shd w:val="clear" w:color="auto" w:fill="auto"/>
            <w:tcMar>
              <w:top w:w="0" w:type="dxa"/>
              <w:left w:w="10" w:type="dxa"/>
              <w:bottom w:w="0" w:type="dxa"/>
              <w:right w:w="10" w:type="dxa"/>
            </w:tcMar>
          </w:tcPr>
          <w:p w14:paraId="639A552F" w14:textId="77777777" w:rsidR="00B77E5A" w:rsidRPr="005C052C" w:rsidRDefault="00B77E5A" w:rsidP="000D5E5F">
            <w:pPr>
              <w:spacing w:line="240" w:lineRule="auto"/>
              <w:jc w:val="center"/>
              <w:rPr>
                <w:sz w:val="16"/>
                <w:szCs w:val="16"/>
              </w:rPr>
            </w:pPr>
          </w:p>
        </w:tc>
        <w:tc>
          <w:tcPr>
            <w:tcW w:w="919" w:type="dxa"/>
            <w:shd w:val="clear" w:color="auto" w:fill="auto"/>
            <w:tcMar>
              <w:top w:w="0" w:type="dxa"/>
              <w:left w:w="10" w:type="dxa"/>
              <w:bottom w:w="0" w:type="dxa"/>
              <w:right w:w="10" w:type="dxa"/>
            </w:tcMar>
          </w:tcPr>
          <w:p w14:paraId="32C2E9F4" w14:textId="77777777" w:rsidR="00B77E5A" w:rsidRPr="005C052C" w:rsidRDefault="00B77E5A" w:rsidP="000D5E5F">
            <w:pPr>
              <w:spacing w:line="240" w:lineRule="auto"/>
              <w:rPr>
                <w:sz w:val="20"/>
                <w:szCs w:val="20"/>
              </w:rPr>
            </w:pPr>
          </w:p>
        </w:tc>
      </w:tr>
      <w:tr w:rsidR="00B77E5A" w:rsidRPr="005C052C" w14:paraId="6D67AC3E" w14:textId="77777777" w:rsidTr="00A61D4D">
        <w:tc>
          <w:tcPr>
            <w:tcW w:w="1576" w:type="dxa"/>
            <w:tcBorders>
              <w:top w:val="single" w:sz="4" w:space="0" w:color="auto"/>
              <w:right w:val="single" w:sz="4" w:space="0" w:color="auto"/>
            </w:tcBorders>
            <w:shd w:val="clear" w:color="auto" w:fill="auto"/>
            <w:tcMar>
              <w:top w:w="0" w:type="dxa"/>
              <w:left w:w="108" w:type="dxa"/>
              <w:bottom w:w="0" w:type="dxa"/>
              <w:right w:w="108" w:type="dxa"/>
            </w:tcMar>
          </w:tcPr>
          <w:p w14:paraId="6AC2A902" w14:textId="77777777" w:rsidR="00B77E5A" w:rsidRPr="005C052C" w:rsidRDefault="00B77E5A" w:rsidP="000D5E5F">
            <w:pPr>
              <w:spacing w:line="240" w:lineRule="auto"/>
              <w:rPr>
                <w:b/>
                <w:i/>
                <w:sz w:val="16"/>
                <w:szCs w:val="16"/>
              </w:rPr>
            </w:pPr>
            <w:r w:rsidRPr="005C052C">
              <w:rPr>
                <w:b/>
                <w:i/>
                <w:sz w:val="16"/>
                <w:szCs w:val="16"/>
              </w:rPr>
              <w:t>Freedom House</w:t>
            </w:r>
          </w:p>
        </w:tc>
        <w:tc>
          <w:tcPr>
            <w:tcW w:w="1460" w:type="dxa"/>
            <w:tcBorders>
              <w:top w:val="single" w:sz="4" w:space="0" w:color="auto"/>
              <w:left w:val="single" w:sz="4" w:space="0" w:color="auto"/>
            </w:tcBorders>
            <w:shd w:val="clear" w:color="auto" w:fill="auto"/>
            <w:tcMar>
              <w:top w:w="0" w:type="dxa"/>
              <w:left w:w="108" w:type="dxa"/>
              <w:bottom w:w="0" w:type="dxa"/>
              <w:right w:w="108" w:type="dxa"/>
            </w:tcMar>
          </w:tcPr>
          <w:p w14:paraId="48DA9ADA" w14:textId="77777777" w:rsidR="00B77E5A" w:rsidRPr="005C052C" w:rsidRDefault="00B77E5A" w:rsidP="000D5E5F">
            <w:pPr>
              <w:spacing w:line="240" w:lineRule="auto"/>
              <w:jc w:val="center"/>
            </w:pPr>
          </w:p>
        </w:tc>
        <w:tc>
          <w:tcPr>
            <w:tcW w:w="1584" w:type="dxa"/>
            <w:tcBorders>
              <w:top w:val="single" w:sz="4" w:space="0" w:color="auto"/>
            </w:tcBorders>
            <w:shd w:val="clear" w:color="auto" w:fill="auto"/>
            <w:tcMar>
              <w:top w:w="0" w:type="dxa"/>
              <w:left w:w="108" w:type="dxa"/>
              <w:bottom w:w="0" w:type="dxa"/>
              <w:right w:w="108" w:type="dxa"/>
            </w:tcMar>
          </w:tcPr>
          <w:p w14:paraId="057370F8" w14:textId="77777777" w:rsidR="00B77E5A" w:rsidRPr="005C052C" w:rsidRDefault="00B77E5A" w:rsidP="000D5E5F">
            <w:pPr>
              <w:spacing w:line="240" w:lineRule="auto"/>
              <w:jc w:val="center"/>
            </w:pPr>
          </w:p>
        </w:tc>
        <w:tc>
          <w:tcPr>
            <w:tcW w:w="1460" w:type="dxa"/>
            <w:tcBorders>
              <w:top w:val="single" w:sz="4" w:space="0" w:color="auto"/>
            </w:tcBorders>
            <w:shd w:val="clear" w:color="auto" w:fill="auto"/>
            <w:tcMar>
              <w:top w:w="0" w:type="dxa"/>
              <w:left w:w="108" w:type="dxa"/>
              <w:bottom w:w="0" w:type="dxa"/>
              <w:right w:w="108" w:type="dxa"/>
            </w:tcMar>
          </w:tcPr>
          <w:p w14:paraId="38C1906B" w14:textId="77777777" w:rsidR="00B77E5A" w:rsidRPr="005C052C" w:rsidRDefault="00B77E5A" w:rsidP="000D5E5F">
            <w:pPr>
              <w:spacing w:line="240" w:lineRule="auto"/>
              <w:jc w:val="center"/>
            </w:pPr>
          </w:p>
        </w:tc>
        <w:tc>
          <w:tcPr>
            <w:tcW w:w="1406" w:type="dxa"/>
            <w:tcBorders>
              <w:top w:val="single" w:sz="4" w:space="0" w:color="auto"/>
            </w:tcBorders>
            <w:shd w:val="clear" w:color="auto" w:fill="auto"/>
            <w:tcMar>
              <w:top w:w="0" w:type="dxa"/>
              <w:left w:w="108" w:type="dxa"/>
              <w:bottom w:w="0" w:type="dxa"/>
              <w:right w:w="108" w:type="dxa"/>
            </w:tcMar>
          </w:tcPr>
          <w:p w14:paraId="74CE26CB" w14:textId="77777777" w:rsidR="00B77E5A" w:rsidRPr="005C052C" w:rsidRDefault="00B77E5A" w:rsidP="000D5E5F">
            <w:pPr>
              <w:spacing w:line="240" w:lineRule="auto"/>
              <w:jc w:val="center"/>
            </w:pPr>
          </w:p>
        </w:tc>
        <w:tc>
          <w:tcPr>
            <w:tcW w:w="1203" w:type="dxa"/>
            <w:tcBorders>
              <w:top w:val="single" w:sz="4" w:space="0" w:color="auto"/>
            </w:tcBorders>
            <w:shd w:val="clear" w:color="auto" w:fill="auto"/>
            <w:tcMar>
              <w:top w:w="0" w:type="dxa"/>
              <w:left w:w="10" w:type="dxa"/>
              <w:bottom w:w="0" w:type="dxa"/>
              <w:right w:w="10" w:type="dxa"/>
            </w:tcMar>
          </w:tcPr>
          <w:p w14:paraId="23B3365B" w14:textId="77777777" w:rsidR="00B77E5A" w:rsidRPr="005C052C" w:rsidRDefault="00B77E5A" w:rsidP="000D5E5F">
            <w:pPr>
              <w:spacing w:line="240" w:lineRule="auto"/>
              <w:jc w:val="center"/>
            </w:pPr>
          </w:p>
        </w:tc>
        <w:tc>
          <w:tcPr>
            <w:tcW w:w="1265" w:type="dxa"/>
            <w:tcBorders>
              <w:top w:val="single" w:sz="4" w:space="0" w:color="auto"/>
            </w:tcBorders>
            <w:shd w:val="clear" w:color="auto" w:fill="auto"/>
            <w:tcMar>
              <w:top w:w="0" w:type="dxa"/>
              <w:left w:w="10" w:type="dxa"/>
              <w:bottom w:w="0" w:type="dxa"/>
              <w:right w:w="10" w:type="dxa"/>
            </w:tcMar>
          </w:tcPr>
          <w:p w14:paraId="2D38F73C" w14:textId="77777777" w:rsidR="00B77E5A" w:rsidRPr="005C052C" w:rsidRDefault="00B77E5A" w:rsidP="000D5E5F">
            <w:pPr>
              <w:spacing w:line="240" w:lineRule="auto"/>
              <w:jc w:val="center"/>
            </w:pPr>
          </w:p>
        </w:tc>
        <w:tc>
          <w:tcPr>
            <w:tcW w:w="1132" w:type="dxa"/>
            <w:tcBorders>
              <w:top w:val="single" w:sz="4" w:space="0" w:color="auto"/>
            </w:tcBorders>
            <w:shd w:val="clear" w:color="auto" w:fill="auto"/>
            <w:tcMar>
              <w:top w:w="0" w:type="dxa"/>
              <w:left w:w="10" w:type="dxa"/>
              <w:bottom w:w="0" w:type="dxa"/>
              <w:right w:w="10" w:type="dxa"/>
            </w:tcMar>
          </w:tcPr>
          <w:p w14:paraId="7D7178C8" w14:textId="77777777" w:rsidR="00B77E5A" w:rsidRPr="005C052C" w:rsidRDefault="00B77E5A" w:rsidP="000D5E5F">
            <w:pPr>
              <w:spacing w:line="240" w:lineRule="auto"/>
              <w:jc w:val="center"/>
            </w:pPr>
          </w:p>
        </w:tc>
        <w:tc>
          <w:tcPr>
            <w:tcW w:w="1152" w:type="dxa"/>
            <w:tcBorders>
              <w:top w:val="single" w:sz="4" w:space="0" w:color="auto"/>
            </w:tcBorders>
            <w:shd w:val="clear" w:color="auto" w:fill="auto"/>
            <w:tcMar>
              <w:top w:w="0" w:type="dxa"/>
              <w:left w:w="10" w:type="dxa"/>
              <w:bottom w:w="0" w:type="dxa"/>
              <w:right w:w="10" w:type="dxa"/>
            </w:tcMar>
          </w:tcPr>
          <w:p w14:paraId="05339582" w14:textId="77777777" w:rsidR="00B77E5A" w:rsidRPr="005C052C" w:rsidRDefault="00B77E5A" w:rsidP="000D5E5F">
            <w:pPr>
              <w:spacing w:line="240" w:lineRule="auto"/>
              <w:jc w:val="center"/>
            </w:pPr>
          </w:p>
        </w:tc>
        <w:tc>
          <w:tcPr>
            <w:tcW w:w="919" w:type="dxa"/>
            <w:tcBorders>
              <w:top w:val="single" w:sz="4" w:space="0" w:color="auto"/>
            </w:tcBorders>
            <w:shd w:val="clear" w:color="auto" w:fill="auto"/>
            <w:tcMar>
              <w:top w:w="0" w:type="dxa"/>
              <w:left w:w="10" w:type="dxa"/>
              <w:bottom w:w="0" w:type="dxa"/>
              <w:right w:w="10" w:type="dxa"/>
            </w:tcMar>
          </w:tcPr>
          <w:p w14:paraId="26FB51A7" w14:textId="77777777" w:rsidR="00B77E5A" w:rsidRPr="005C052C" w:rsidRDefault="00B77E5A" w:rsidP="000D5E5F">
            <w:pPr>
              <w:spacing w:line="240" w:lineRule="auto"/>
              <w:jc w:val="center"/>
            </w:pPr>
          </w:p>
        </w:tc>
        <w:tc>
          <w:tcPr>
            <w:tcW w:w="919" w:type="dxa"/>
            <w:tcBorders>
              <w:top w:val="single" w:sz="4" w:space="0" w:color="auto"/>
            </w:tcBorders>
            <w:shd w:val="clear" w:color="auto" w:fill="auto"/>
            <w:tcMar>
              <w:top w:w="0" w:type="dxa"/>
              <w:left w:w="10" w:type="dxa"/>
              <w:bottom w:w="0" w:type="dxa"/>
              <w:right w:w="10" w:type="dxa"/>
            </w:tcMar>
          </w:tcPr>
          <w:p w14:paraId="12783AB4"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2970C65C"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66768F63" w14:textId="77777777" w:rsidR="00B77E5A" w:rsidRPr="005C052C" w:rsidRDefault="00B77E5A" w:rsidP="000D5E5F">
            <w:pPr>
              <w:spacing w:line="240" w:lineRule="auto"/>
            </w:pPr>
          </w:p>
        </w:tc>
      </w:tr>
      <w:tr w:rsidR="00B77E5A" w:rsidRPr="005C052C" w14:paraId="79AAAB97"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3D47BA37" w14:textId="77777777" w:rsidR="00B77E5A" w:rsidRPr="005C052C" w:rsidRDefault="00B77E5A" w:rsidP="000D5E5F">
            <w:pPr>
              <w:spacing w:line="240" w:lineRule="auto"/>
              <w:rPr>
                <w:b/>
                <w:sz w:val="16"/>
                <w:szCs w:val="16"/>
              </w:rPr>
            </w:pPr>
            <w:r w:rsidRPr="005C052C">
              <w:rPr>
                <w:b/>
                <w:sz w:val="16"/>
                <w:szCs w:val="16"/>
              </w:rPr>
              <w:t>Free</w:t>
            </w:r>
          </w:p>
        </w:tc>
        <w:tc>
          <w:tcPr>
            <w:tcW w:w="1460" w:type="dxa"/>
            <w:tcBorders>
              <w:left w:val="single" w:sz="4" w:space="0" w:color="auto"/>
            </w:tcBorders>
            <w:shd w:val="clear" w:color="auto" w:fill="auto"/>
            <w:tcMar>
              <w:top w:w="0" w:type="dxa"/>
              <w:left w:w="108" w:type="dxa"/>
              <w:bottom w:w="0" w:type="dxa"/>
              <w:right w:w="108" w:type="dxa"/>
            </w:tcMar>
          </w:tcPr>
          <w:p w14:paraId="03BF94D8" w14:textId="77777777" w:rsidR="00B77E5A" w:rsidRPr="005C052C" w:rsidRDefault="00B77E5A" w:rsidP="000D5E5F">
            <w:pPr>
              <w:spacing w:line="240" w:lineRule="auto"/>
              <w:jc w:val="center"/>
            </w:pPr>
            <w:r w:rsidRPr="005C052C">
              <w:t>8.6</w:t>
            </w:r>
          </w:p>
        </w:tc>
        <w:tc>
          <w:tcPr>
            <w:tcW w:w="1584" w:type="dxa"/>
            <w:shd w:val="clear" w:color="auto" w:fill="auto"/>
            <w:tcMar>
              <w:top w:w="0" w:type="dxa"/>
              <w:left w:w="108" w:type="dxa"/>
              <w:bottom w:w="0" w:type="dxa"/>
              <w:right w:w="108" w:type="dxa"/>
            </w:tcMar>
          </w:tcPr>
          <w:p w14:paraId="67BDD32C" w14:textId="77777777" w:rsidR="00B77E5A" w:rsidRPr="005C052C" w:rsidRDefault="00B77E5A" w:rsidP="000D5E5F">
            <w:pPr>
              <w:spacing w:line="240" w:lineRule="auto"/>
              <w:jc w:val="center"/>
            </w:pPr>
            <w:r w:rsidRPr="005C052C">
              <w:t>7.8</w:t>
            </w:r>
          </w:p>
        </w:tc>
        <w:tc>
          <w:tcPr>
            <w:tcW w:w="1460" w:type="dxa"/>
            <w:shd w:val="clear" w:color="auto" w:fill="auto"/>
            <w:tcMar>
              <w:top w:w="0" w:type="dxa"/>
              <w:left w:w="108" w:type="dxa"/>
              <w:bottom w:w="0" w:type="dxa"/>
              <w:right w:w="108" w:type="dxa"/>
            </w:tcMar>
          </w:tcPr>
          <w:p w14:paraId="785B1B5E" w14:textId="77777777" w:rsidR="00B77E5A" w:rsidRPr="005C052C" w:rsidRDefault="00B77E5A" w:rsidP="000D5E5F">
            <w:pPr>
              <w:spacing w:line="240" w:lineRule="auto"/>
              <w:jc w:val="center"/>
            </w:pPr>
            <w:r w:rsidRPr="005C052C">
              <w:t>8.0</w:t>
            </w:r>
          </w:p>
        </w:tc>
        <w:tc>
          <w:tcPr>
            <w:tcW w:w="1406" w:type="dxa"/>
            <w:shd w:val="clear" w:color="auto" w:fill="auto"/>
            <w:tcMar>
              <w:top w:w="0" w:type="dxa"/>
              <w:left w:w="108" w:type="dxa"/>
              <w:bottom w:w="0" w:type="dxa"/>
              <w:right w:w="108" w:type="dxa"/>
            </w:tcMar>
          </w:tcPr>
          <w:p w14:paraId="5A35E3ED" w14:textId="77777777" w:rsidR="00B77E5A" w:rsidRPr="005C052C" w:rsidRDefault="00B77E5A" w:rsidP="000D5E5F">
            <w:pPr>
              <w:spacing w:line="240" w:lineRule="auto"/>
              <w:jc w:val="center"/>
            </w:pPr>
            <w:r w:rsidRPr="005C052C">
              <w:t>8.8</w:t>
            </w:r>
          </w:p>
        </w:tc>
        <w:tc>
          <w:tcPr>
            <w:tcW w:w="1203" w:type="dxa"/>
            <w:shd w:val="clear" w:color="auto" w:fill="auto"/>
            <w:tcMar>
              <w:top w:w="0" w:type="dxa"/>
              <w:left w:w="10" w:type="dxa"/>
              <w:bottom w:w="0" w:type="dxa"/>
              <w:right w:w="10" w:type="dxa"/>
            </w:tcMar>
          </w:tcPr>
          <w:p w14:paraId="6075E1D3" w14:textId="77777777" w:rsidR="00B77E5A" w:rsidRPr="005C052C" w:rsidRDefault="00B77E5A" w:rsidP="000D5E5F">
            <w:pPr>
              <w:spacing w:line="240" w:lineRule="auto"/>
              <w:jc w:val="center"/>
            </w:pPr>
            <w:r w:rsidRPr="005C052C">
              <w:t>6.4</w:t>
            </w:r>
          </w:p>
        </w:tc>
        <w:tc>
          <w:tcPr>
            <w:tcW w:w="1265" w:type="dxa"/>
            <w:shd w:val="clear" w:color="auto" w:fill="auto"/>
            <w:tcMar>
              <w:top w:w="0" w:type="dxa"/>
              <w:left w:w="10" w:type="dxa"/>
              <w:bottom w:w="0" w:type="dxa"/>
              <w:right w:w="10" w:type="dxa"/>
            </w:tcMar>
          </w:tcPr>
          <w:p w14:paraId="2565369E" w14:textId="77777777" w:rsidR="00B77E5A" w:rsidRPr="005C052C" w:rsidRDefault="00B77E5A" w:rsidP="000D5E5F">
            <w:pPr>
              <w:spacing w:line="240" w:lineRule="auto"/>
              <w:jc w:val="center"/>
            </w:pPr>
            <w:r w:rsidRPr="005C052C">
              <w:t>7.2</w:t>
            </w:r>
          </w:p>
        </w:tc>
        <w:tc>
          <w:tcPr>
            <w:tcW w:w="1132" w:type="dxa"/>
            <w:shd w:val="clear" w:color="auto" w:fill="auto"/>
            <w:tcMar>
              <w:top w:w="0" w:type="dxa"/>
              <w:left w:w="10" w:type="dxa"/>
              <w:bottom w:w="0" w:type="dxa"/>
              <w:right w:w="10" w:type="dxa"/>
            </w:tcMar>
          </w:tcPr>
          <w:p w14:paraId="36ED1282" w14:textId="77777777" w:rsidR="00B77E5A" w:rsidRPr="005C052C" w:rsidRDefault="00B77E5A" w:rsidP="000D5E5F">
            <w:pPr>
              <w:spacing w:line="240" w:lineRule="auto"/>
              <w:jc w:val="center"/>
            </w:pPr>
            <w:r w:rsidRPr="005C052C">
              <w:t>7.6</w:t>
            </w:r>
          </w:p>
        </w:tc>
        <w:tc>
          <w:tcPr>
            <w:tcW w:w="1152" w:type="dxa"/>
            <w:shd w:val="clear" w:color="auto" w:fill="auto"/>
            <w:tcMar>
              <w:top w:w="0" w:type="dxa"/>
              <w:left w:w="10" w:type="dxa"/>
              <w:bottom w:w="0" w:type="dxa"/>
              <w:right w:w="10" w:type="dxa"/>
            </w:tcMar>
          </w:tcPr>
          <w:p w14:paraId="3FEBC72A" w14:textId="77777777" w:rsidR="00B77E5A" w:rsidRPr="005C052C" w:rsidRDefault="00B77E5A" w:rsidP="000D5E5F">
            <w:pPr>
              <w:spacing w:line="240" w:lineRule="auto"/>
              <w:jc w:val="center"/>
            </w:pPr>
            <w:r w:rsidRPr="005C052C">
              <w:t>7.5</w:t>
            </w:r>
          </w:p>
        </w:tc>
        <w:tc>
          <w:tcPr>
            <w:tcW w:w="919" w:type="dxa"/>
            <w:shd w:val="clear" w:color="auto" w:fill="auto"/>
            <w:tcMar>
              <w:top w:w="0" w:type="dxa"/>
              <w:left w:w="10" w:type="dxa"/>
              <w:bottom w:w="0" w:type="dxa"/>
              <w:right w:w="10" w:type="dxa"/>
            </w:tcMar>
          </w:tcPr>
          <w:p w14:paraId="53446A1A" w14:textId="77777777" w:rsidR="00B77E5A" w:rsidRPr="005C052C" w:rsidRDefault="00B77E5A" w:rsidP="000D5E5F">
            <w:pPr>
              <w:spacing w:line="240" w:lineRule="auto"/>
              <w:jc w:val="center"/>
            </w:pPr>
            <w:r w:rsidRPr="005C052C">
              <w:t>3.8</w:t>
            </w:r>
          </w:p>
        </w:tc>
        <w:tc>
          <w:tcPr>
            <w:tcW w:w="919" w:type="dxa"/>
            <w:shd w:val="clear" w:color="auto" w:fill="auto"/>
            <w:tcMar>
              <w:top w:w="0" w:type="dxa"/>
              <w:left w:w="10" w:type="dxa"/>
              <w:bottom w:w="0" w:type="dxa"/>
              <w:right w:w="10" w:type="dxa"/>
            </w:tcMar>
          </w:tcPr>
          <w:p w14:paraId="02A74B1B" w14:textId="77777777" w:rsidR="00B77E5A" w:rsidRPr="005C052C" w:rsidRDefault="00B77E5A" w:rsidP="000D5E5F">
            <w:pPr>
              <w:spacing w:line="240" w:lineRule="auto"/>
              <w:jc w:val="center"/>
            </w:pPr>
            <w:r w:rsidRPr="005C052C">
              <w:t>3.6</w:t>
            </w:r>
          </w:p>
        </w:tc>
        <w:tc>
          <w:tcPr>
            <w:tcW w:w="919" w:type="dxa"/>
            <w:shd w:val="clear" w:color="auto" w:fill="auto"/>
            <w:tcMar>
              <w:top w:w="0" w:type="dxa"/>
              <w:left w:w="10" w:type="dxa"/>
              <w:bottom w:w="0" w:type="dxa"/>
              <w:right w:w="10" w:type="dxa"/>
            </w:tcMar>
          </w:tcPr>
          <w:p w14:paraId="66F8EE3F"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76D8E3DE" w14:textId="77777777" w:rsidR="00B77E5A" w:rsidRPr="005C052C" w:rsidRDefault="00B77E5A" w:rsidP="000D5E5F">
            <w:pPr>
              <w:spacing w:line="240" w:lineRule="auto"/>
            </w:pPr>
          </w:p>
        </w:tc>
      </w:tr>
      <w:tr w:rsidR="00B77E5A" w:rsidRPr="005C052C" w14:paraId="7226BA2D"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2385A815" w14:textId="77777777" w:rsidR="00B77E5A" w:rsidRPr="005C052C" w:rsidRDefault="00B77E5A" w:rsidP="000D5E5F">
            <w:pPr>
              <w:spacing w:line="240" w:lineRule="auto"/>
              <w:rPr>
                <w:b/>
                <w:sz w:val="16"/>
                <w:szCs w:val="16"/>
              </w:rPr>
            </w:pPr>
            <w:r w:rsidRPr="005C052C">
              <w:rPr>
                <w:b/>
                <w:sz w:val="16"/>
                <w:szCs w:val="16"/>
              </w:rPr>
              <w:t>Partly Free</w:t>
            </w:r>
          </w:p>
        </w:tc>
        <w:tc>
          <w:tcPr>
            <w:tcW w:w="1460" w:type="dxa"/>
            <w:tcBorders>
              <w:left w:val="single" w:sz="4" w:space="0" w:color="auto"/>
            </w:tcBorders>
            <w:shd w:val="clear" w:color="auto" w:fill="auto"/>
            <w:tcMar>
              <w:top w:w="0" w:type="dxa"/>
              <w:left w:w="108" w:type="dxa"/>
              <w:bottom w:w="0" w:type="dxa"/>
              <w:right w:w="108" w:type="dxa"/>
            </w:tcMar>
          </w:tcPr>
          <w:p w14:paraId="598DFA94" w14:textId="77777777" w:rsidR="00B77E5A" w:rsidRPr="005C052C" w:rsidRDefault="00B77E5A" w:rsidP="000D5E5F">
            <w:pPr>
              <w:spacing w:line="240" w:lineRule="auto"/>
              <w:jc w:val="center"/>
            </w:pPr>
            <w:r w:rsidRPr="005C052C">
              <w:t>8.3</w:t>
            </w:r>
          </w:p>
        </w:tc>
        <w:tc>
          <w:tcPr>
            <w:tcW w:w="1584" w:type="dxa"/>
            <w:shd w:val="clear" w:color="auto" w:fill="auto"/>
            <w:tcMar>
              <w:top w:w="0" w:type="dxa"/>
              <w:left w:w="108" w:type="dxa"/>
              <w:bottom w:w="0" w:type="dxa"/>
              <w:right w:w="108" w:type="dxa"/>
            </w:tcMar>
          </w:tcPr>
          <w:p w14:paraId="36D2EE83" w14:textId="77777777" w:rsidR="00B77E5A" w:rsidRPr="005C052C" w:rsidRDefault="00B77E5A" w:rsidP="000D5E5F">
            <w:pPr>
              <w:spacing w:line="240" w:lineRule="auto"/>
              <w:jc w:val="center"/>
            </w:pPr>
            <w:r w:rsidRPr="005C052C">
              <w:t>8.0</w:t>
            </w:r>
          </w:p>
        </w:tc>
        <w:tc>
          <w:tcPr>
            <w:tcW w:w="1460" w:type="dxa"/>
            <w:shd w:val="clear" w:color="auto" w:fill="auto"/>
            <w:tcMar>
              <w:top w:w="0" w:type="dxa"/>
              <w:left w:w="108" w:type="dxa"/>
              <w:bottom w:w="0" w:type="dxa"/>
              <w:right w:w="108" w:type="dxa"/>
            </w:tcMar>
          </w:tcPr>
          <w:p w14:paraId="5514DCE6" w14:textId="77777777" w:rsidR="00B77E5A" w:rsidRPr="005C052C" w:rsidRDefault="00B77E5A" w:rsidP="000D5E5F">
            <w:pPr>
              <w:spacing w:line="240" w:lineRule="auto"/>
              <w:jc w:val="center"/>
            </w:pPr>
            <w:r w:rsidRPr="005C052C">
              <w:t>7.8</w:t>
            </w:r>
          </w:p>
        </w:tc>
        <w:tc>
          <w:tcPr>
            <w:tcW w:w="1406" w:type="dxa"/>
            <w:shd w:val="clear" w:color="auto" w:fill="auto"/>
            <w:tcMar>
              <w:top w:w="0" w:type="dxa"/>
              <w:left w:w="108" w:type="dxa"/>
              <w:bottom w:w="0" w:type="dxa"/>
              <w:right w:w="108" w:type="dxa"/>
            </w:tcMar>
          </w:tcPr>
          <w:p w14:paraId="1C6B3E12" w14:textId="77777777" w:rsidR="00B77E5A" w:rsidRPr="005C052C" w:rsidRDefault="00B77E5A" w:rsidP="000D5E5F">
            <w:pPr>
              <w:spacing w:line="240" w:lineRule="auto"/>
              <w:jc w:val="center"/>
            </w:pPr>
            <w:r w:rsidRPr="005C052C">
              <w:t>8.2</w:t>
            </w:r>
          </w:p>
        </w:tc>
        <w:tc>
          <w:tcPr>
            <w:tcW w:w="1203" w:type="dxa"/>
            <w:shd w:val="clear" w:color="auto" w:fill="auto"/>
            <w:tcMar>
              <w:top w:w="0" w:type="dxa"/>
              <w:left w:w="10" w:type="dxa"/>
              <w:bottom w:w="0" w:type="dxa"/>
              <w:right w:w="10" w:type="dxa"/>
            </w:tcMar>
          </w:tcPr>
          <w:p w14:paraId="5938FC33" w14:textId="77777777" w:rsidR="00B77E5A" w:rsidRPr="005C052C" w:rsidRDefault="00B77E5A" w:rsidP="000D5E5F">
            <w:pPr>
              <w:spacing w:line="240" w:lineRule="auto"/>
              <w:jc w:val="center"/>
            </w:pPr>
            <w:r w:rsidRPr="005C052C">
              <w:t>6.5</w:t>
            </w:r>
          </w:p>
        </w:tc>
        <w:tc>
          <w:tcPr>
            <w:tcW w:w="1265" w:type="dxa"/>
            <w:shd w:val="clear" w:color="auto" w:fill="auto"/>
            <w:tcMar>
              <w:top w:w="0" w:type="dxa"/>
              <w:left w:w="10" w:type="dxa"/>
              <w:bottom w:w="0" w:type="dxa"/>
              <w:right w:w="10" w:type="dxa"/>
            </w:tcMar>
          </w:tcPr>
          <w:p w14:paraId="7A300B30" w14:textId="77777777" w:rsidR="00B77E5A" w:rsidRPr="005C052C" w:rsidRDefault="00B77E5A" w:rsidP="000D5E5F">
            <w:pPr>
              <w:spacing w:line="240" w:lineRule="auto"/>
              <w:jc w:val="center"/>
            </w:pPr>
            <w:r w:rsidRPr="005C052C">
              <w:t>7.3</w:t>
            </w:r>
          </w:p>
        </w:tc>
        <w:tc>
          <w:tcPr>
            <w:tcW w:w="1132" w:type="dxa"/>
            <w:shd w:val="clear" w:color="auto" w:fill="auto"/>
            <w:tcMar>
              <w:top w:w="0" w:type="dxa"/>
              <w:left w:w="10" w:type="dxa"/>
              <w:bottom w:w="0" w:type="dxa"/>
              <w:right w:w="10" w:type="dxa"/>
            </w:tcMar>
          </w:tcPr>
          <w:p w14:paraId="202A2866" w14:textId="77777777" w:rsidR="00B77E5A" w:rsidRPr="005C052C" w:rsidRDefault="00B77E5A" w:rsidP="000D5E5F">
            <w:pPr>
              <w:spacing w:line="240" w:lineRule="auto"/>
              <w:jc w:val="center"/>
            </w:pPr>
            <w:r w:rsidRPr="005C052C">
              <w:t>7.9</w:t>
            </w:r>
          </w:p>
        </w:tc>
        <w:tc>
          <w:tcPr>
            <w:tcW w:w="1152" w:type="dxa"/>
            <w:shd w:val="clear" w:color="auto" w:fill="auto"/>
            <w:tcMar>
              <w:top w:w="0" w:type="dxa"/>
              <w:left w:w="10" w:type="dxa"/>
              <w:bottom w:w="0" w:type="dxa"/>
              <w:right w:w="10" w:type="dxa"/>
            </w:tcMar>
          </w:tcPr>
          <w:p w14:paraId="0C5CA38E" w14:textId="77777777" w:rsidR="00B77E5A" w:rsidRPr="005C052C" w:rsidRDefault="00B77E5A" w:rsidP="000D5E5F">
            <w:pPr>
              <w:spacing w:line="240" w:lineRule="auto"/>
              <w:jc w:val="center"/>
            </w:pPr>
            <w:r w:rsidRPr="005C052C">
              <w:t>7.7</w:t>
            </w:r>
          </w:p>
        </w:tc>
        <w:tc>
          <w:tcPr>
            <w:tcW w:w="919" w:type="dxa"/>
            <w:shd w:val="clear" w:color="auto" w:fill="auto"/>
            <w:tcMar>
              <w:top w:w="0" w:type="dxa"/>
              <w:left w:w="10" w:type="dxa"/>
              <w:bottom w:w="0" w:type="dxa"/>
              <w:right w:w="10" w:type="dxa"/>
            </w:tcMar>
          </w:tcPr>
          <w:p w14:paraId="58FB3189" w14:textId="77777777" w:rsidR="00B77E5A" w:rsidRPr="005C052C" w:rsidRDefault="00B77E5A" w:rsidP="000D5E5F">
            <w:pPr>
              <w:spacing w:line="240" w:lineRule="auto"/>
              <w:jc w:val="center"/>
            </w:pPr>
            <w:r w:rsidRPr="005C052C">
              <w:t>5.1</w:t>
            </w:r>
          </w:p>
        </w:tc>
        <w:tc>
          <w:tcPr>
            <w:tcW w:w="919" w:type="dxa"/>
            <w:shd w:val="clear" w:color="auto" w:fill="auto"/>
            <w:tcMar>
              <w:top w:w="0" w:type="dxa"/>
              <w:left w:w="10" w:type="dxa"/>
              <w:bottom w:w="0" w:type="dxa"/>
              <w:right w:w="10" w:type="dxa"/>
            </w:tcMar>
          </w:tcPr>
          <w:p w14:paraId="37A84264" w14:textId="77777777" w:rsidR="00B77E5A" w:rsidRPr="005C052C" w:rsidRDefault="00B77E5A" w:rsidP="000D5E5F">
            <w:pPr>
              <w:spacing w:line="240" w:lineRule="auto"/>
              <w:jc w:val="center"/>
            </w:pPr>
            <w:r w:rsidRPr="005C052C">
              <w:t>5.2</w:t>
            </w:r>
          </w:p>
        </w:tc>
        <w:tc>
          <w:tcPr>
            <w:tcW w:w="919" w:type="dxa"/>
            <w:shd w:val="clear" w:color="auto" w:fill="auto"/>
            <w:tcMar>
              <w:top w:w="0" w:type="dxa"/>
              <w:left w:w="10" w:type="dxa"/>
              <w:bottom w:w="0" w:type="dxa"/>
              <w:right w:w="10" w:type="dxa"/>
            </w:tcMar>
          </w:tcPr>
          <w:p w14:paraId="4D07C634"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3E4B847E" w14:textId="77777777" w:rsidR="00B77E5A" w:rsidRPr="005C052C" w:rsidRDefault="00B77E5A" w:rsidP="000D5E5F">
            <w:pPr>
              <w:spacing w:line="240" w:lineRule="auto"/>
            </w:pPr>
          </w:p>
        </w:tc>
      </w:tr>
      <w:tr w:rsidR="00B77E5A" w:rsidRPr="005C052C" w14:paraId="7CC44F79"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52C13979" w14:textId="77777777" w:rsidR="00B77E5A" w:rsidRPr="005C052C" w:rsidRDefault="00B77E5A" w:rsidP="000D5E5F">
            <w:pPr>
              <w:spacing w:line="240" w:lineRule="auto"/>
              <w:rPr>
                <w:b/>
                <w:sz w:val="16"/>
                <w:szCs w:val="16"/>
              </w:rPr>
            </w:pPr>
            <w:r w:rsidRPr="005C052C">
              <w:rPr>
                <w:b/>
                <w:sz w:val="16"/>
                <w:szCs w:val="16"/>
              </w:rPr>
              <w:t>Not Free</w:t>
            </w:r>
          </w:p>
        </w:tc>
        <w:tc>
          <w:tcPr>
            <w:tcW w:w="1460" w:type="dxa"/>
            <w:tcBorders>
              <w:left w:val="single" w:sz="4" w:space="0" w:color="auto"/>
            </w:tcBorders>
            <w:shd w:val="clear" w:color="auto" w:fill="auto"/>
            <w:tcMar>
              <w:top w:w="0" w:type="dxa"/>
              <w:left w:w="108" w:type="dxa"/>
              <w:bottom w:w="0" w:type="dxa"/>
              <w:right w:w="108" w:type="dxa"/>
            </w:tcMar>
          </w:tcPr>
          <w:p w14:paraId="59C6AACD" w14:textId="77777777" w:rsidR="00B77E5A" w:rsidRPr="005C052C" w:rsidRDefault="00B77E5A" w:rsidP="000D5E5F">
            <w:pPr>
              <w:spacing w:line="240" w:lineRule="auto"/>
              <w:jc w:val="center"/>
            </w:pPr>
            <w:r w:rsidRPr="005C052C">
              <w:t>8.8</w:t>
            </w:r>
          </w:p>
        </w:tc>
        <w:tc>
          <w:tcPr>
            <w:tcW w:w="1584" w:type="dxa"/>
            <w:shd w:val="clear" w:color="auto" w:fill="auto"/>
            <w:tcMar>
              <w:top w:w="0" w:type="dxa"/>
              <w:left w:w="108" w:type="dxa"/>
              <w:bottom w:w="0" w:type="dxa"/>
              <w:right w:w="108" w:type="dxa"/>
            </w:tcMar>
          </w:tcPr>
          <w:p w14:paraId="35935E21" w14:textId="77777777" w:rsidR="00B77E5A" w:rsidRPr="005C052C" w:rsidRDefault="00B77E5A" w:rsidP="000D5E5F">
            <w:pPr>
              <w:spacing w:line="240" w:lineRule="auto"/>
              <w:jc w:val="center"/>
            </w:pPr>
            <w:r w:rsidRPr="005C052C">
              <w:t>8.3</w:t>
            </w:r>
          </w:p>
        </w:tc>
        <w:tc>
          <w:tcPr>
            <w:tcW w:w="1460" w:type="dxa"/>
            <w:shd w:val="clear" w:color="auto" w:fill="auto"/>
            <w:tcMar>
              <w:top w:w="0" w:type="dxa"/>
              <w:left w:w="108" w:type="dxa"/>
              <w:bottom w:w="0" w:type="dxa"/>
              <w:right w:w="108" w:type="dxa"/>
            </w:tcMar>
          </w:tcPr>
          <w:p w14:paraId="718EE1CA" w14:textId="77777777" w:rsidR="00B77E5A" w:rsidRPr="005C052C" w:rsidRDefault="00B77E5A" w:rsidP="000D5E5F">
            <w:pPr>
              <w:spacing w:line="240" w:lineRule="auto"/>
              <w:jc w:val="center"/>
            </w:pPr>
            <w:r w:rsidRPr="005C052C">
              <w:t>8.4</w:t>
            </w:r>
          </w:p>
        </w:tc>
        <w:tc>
          <w:tcPr>
            <w:tcW w:w="1406" w:type="dxa"/>
            <w:shd w:val="clear" w:color="auto" w:fill="auto"/>
            <w:tcMar>
              <w:top w:w="0" w:type="dxa"/>
              <w:left w:w="108" w:type="dxa"/>
              <w:bottom w:w="0" w:type="dxa"/>
              <w:right w:w="108" w:type="dxa"/>
            </w:tcMar>
          </w:tcPr>
          <w:p w14:paraId="1178FF5E" w14:textId="77777777" w:rsidR="00B77E5A" w:rsidRPr="005C052C" w:rsidRDefault="00B77E5A" w:rsidP="000D5E5F">
            <w:pPr>
              <w:spacing w:line="240" w:lineRule="auto"/>
              <w:jc w:val="center"/>
            </w:pPr>
            <w:r w:rsidRPr="005C052C">
              <w:t>8.0</w:t>
            </w:r>
          </w:p>
        </w:tc>
        <w:tc>
          <w:tcPr>
            <w:tcW w:w="1203" w:type="dxa"/>
            <w:shd w:val="clear" w:color="auto" w:fill="auto"/>
            <w:tcMar>
              <w:top w:w="0" w:type="dxa"/>
              <w:left w:w="10" w:type="dxa"/>
              <w:bottom w:w="0" w:type="dxa"/>
              <w:right w:w="10" w:type="dxa"/>
            </w:tcMar>
          </w:tcPr>
          <w:p w14:paraId="69E96BB9" w14:textId="77777777" w:rsidR="00B77E5A" w:rsidRPr="005C052C" w:rsidRDefault="00B77E5A" w:rsidP="000D5E5F">
            <w:pPr>
              <w:spacing w:line="240" w:lineRule="auto"/>
              <w:jc w:val="center"/>
            </w:pPr>
            <w:r w:rsidRPr="005C052C">
              <w:t>7.4</w:t>
            </w:r>
          </w:p>
        </w:tc>
        <w:tc>
          <w:tcPr>
            <w:tcW w:w="1265" w:type="dxa"/>
            <w:shd w:val="clear" w:color="auto" w:fill="auto"/>
            <w:tcMar>
              <w:top w:w="0" w:type="dxa"/>
              <w:left w:w="10" w:type="dxa"/>
              <w:bottom w:w="0" w:type="dxa"/>
              <w:right w:w="10" w:type="dxa"/>
            </w:tcMar>
          </w:tcPr>
          <w:p w14:paraId="3AD68959" w14:textId="77777777" w:rsidR="00B77E5A" w:rsidRPr="005C052C" w:rsidRDefault="00B77E5A" w:rsidP="000D5E5F">
            <w:pPr>
              <w:spacing w:line="240" w:lineRule="auto"/>
              <w:jc w:val="center"/>
            </w:pPr>
            <w:r w:rsidRPr="005C052C">
              <w:t>7.7</w:t>
            </w:r>
          </w:p>
        </w:tc>
        <w:tc>
          <w:tcPr>
            <w:tcW w:w="1132" w:type="dxa"/>
            <w:shd w:val="clear" w:color="auto" w:fill="auto"/>
            <w:tcMar>
              <w:top w:w="0" w:type="dxa"/>
              <w:left w:w="10" w:type="dxa"/>
              <w:bottom w:w="0" w:type="dxa"/>
              <w:right w:w="10" w:type="dxa"/>
            </w:tcMar>
          </w:tcPr>
          <w:p w14:paraId="535FFFCF" w14:textId="77777777" w:rsidR="00B77E5A" w:rsidRPr="005C052C" w:rsidRDefault="00B77E5A" w:rsidP="000D5E5F">
            <w:pPr>
              <w:spacing w:line="240" w:lineRule="auto"/>
              <w:jc w:val="center"/>
            </w:pPr>
            <w:r w:rsidRPr="005C052C">
              <w:t>8.6</w:t>
            </w:r>
          </w:p>
        </w:tc>
        <w:tc>
          <w:tcPr>
            <w:tcW w:w="1152" w:type="dxa"/>
            <w:shd w:val="clear" w:color="auto" w:fill="auto"/>
            <w:tcMar>
              <w:top w:w="0" w:type="dxa"/>
              <w:left w:w="10" w:type="dxa"/>
              <w:bottom w:w="0" w:type="dxa"/>
              <w:right w:w="10" w:type="dxa"/>
            </w:tcMar>
          </w:tcPr>
          <w:p w14:paraId="24E5984B" w14:textId="77777777" w:rsidR="00B77E5A" w:rsidRPr="005C052C" w:rsidRDefault="00B77E5A" w:rsidP="000D5E5F">
            <w:pPr>
              <w:spacing w:line="240" w:lineRule="auto"/>
              <w:jc w:val="center"/>
            </w:pPr>
            <w:r w:rsidRPr="005C052C">
              <w:t>8.4</w:t>
            </w:r>
          </w:p>
        </w:tc>
        <w:tc>
          <w:tcPr>
            <w:tcW w:w="919" w:type="dxa"/>
            <w:shd w:val="clear" w:color="auto" w:fill="auto"/>
            <w:tcMar>
              <w:top w:w="0" w:type="dxa"/>
              <w:left w:w="10" w:type="dxa"/>
              <w:bottom w:w="0" w:type="dxa"/>
              <w:right w:w="10" w:type="dxa"/>
            </w:tcMar>
          </w:tcPr>
          <w:p w14:paraId="171044E6" w14:textId="77777777" w:rsidR="00B77E5A" w:rsidRPr="005C052C" w:rsidRDefault="00B77E5A" w:rsidP="000D5E5F">
            <w:pPr>
              <w:spacing w:line="240" w:lineRule="auto"/>
              <w:jc w:val="center"/>
            </w:pPr>
            <w:r w:rsidRPr="005C052C">
              <w:t>6.1</w:t>
            </w:r>
          </w:p>
        </w:tc>
        <w:tc>
          <w:tcPr>
            <w:tcW w:w="919" w:type="dxa"/>
            <w:shd w:val="clear" w:color="auto" w:fill="auto"/>
            <w:tcMar>
              <w:top w:w="0" w:type="dxa"/>
              <w:left w:w="10" w:type="dxa"/>
              <w:bottom w:w="0" w:type="dxa"/>
              <w:right w:w="10" w:type="dxa"/>
            </w:tcMar>
          </w:tcPr>
          <w:p w14:paraId="662FE240" w14:textId="77777777" w:rsidR="00B77E5A" w:rsidRPr="005C052C" w:rsidRDefault="00B77E5A" w:rsidP="000D5E5F">
            <w:pPr>
              <w:spacing w:line="240" w:lineRule="auto"/>
              <w:jc w:val="center"/>
            </w:pPr>
            <w:r w:rsidRPr="005C052C">
              <w:t>5.8</w:t>
            </w:r>
          </w:p>
        </w:tc>
        <w:tc>
          <w:tcPr>
            <w:tcW w:w="919" w:type="dxa"/>
            <w:shd w:val="clear" w:color="auto" w:fill="auto"/>
            <w:tcMar>
              <w:top w:w="0" w:type="dxa"/>
              <w:left w:w="10" w:type="dxa"/>
              <w:bottom w:w="0" w:type="dxa"/>
              <w:right w:w="10" w:type="dxa"/>
            </w:tcMar>
          </w:tcPr>
          <w:p w14:paraId="5607A204"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7DDF5B73" w14:textId="77777777" w:rsidR="00B77E5A" w:rsidRPr="005C052C" w:rsidRDefault="00B77E5A" w:rsidP="000D5E5F">
            <w:pPr>
              <w:spacing w:line="240" w:lineRule="auto"/>
            </w:pPr>
          </w:p>
        </w:tc>
      </w:tr>
      <w:tr w:rsidR="00B77E5A" w:rsidRPr="005C052C" w14:paraId="555E800D" w14:textId="77777777" w:rsidTr="00A61D4D">
        <w:trPr>
          <w:trHeight w:val="121"/>
        </w:trPr>
        <w:tc>
          <w:tcPr>
            <w:tcW w:w="1576" w:type="dxa"/>
            <w:tcBorders>
              <w:right w:val="single" w:sz="4" w:space="0" w:color="auto"/>
            </w:tcBorders>
            <w:shd w:val="clear" w:color="auto" w:fill="auto"/>
            <w:tcMar>
              <w:top w:w="0" w:type="dxa"/>
              <w:left w:w="108" w:type="dxa"/>
              <w:bottom w:w="0" w:type="dxa"/>
              <w:right w:w="108" w:type="dxa"/>
            </w:tcMar>
          </w:tcPr>
          <w:p w14:paraId="1229C92D" w14:textId="77777777" w:rsidR="00B77E5A" w:rsidRPr="005C052C" w:rsidRDefault="00B77E5A" w:rsidP="000D5E5F">
            <w:pPr>
              <w:spacing w:line="240" w:lineRule="auto"/>
              <w:rPr>
                <w:b/>
                <w:sz w:val="16"/>
                <w:szCs w:val="16"/>
              </w:rPr>
            </w:pPr>
            <w:r w:rsidRPr="005C052C">
              <w:rPr>
                <w:b/>
                <w:sz w:val="16"/>
                <w:szCs w:val="16"/>
              </w:rPr>
              <w:t>[Range]</w:t>
            </w:r>
          </w:p>
        </w:tc>
        <w:tc>
          <w:tcPr>
            <w:tcW w:w="1460" w:type="dxa"/>
            <w:tcBorders>
              <w:left w:val="single" w:sz="4" w:space="0" w:color="auto"/>
            </w:tcBorders>
            <w:shd w:val="clear" w:color="auto" w:fill="auto"/>
            <w:tcMar>
              <w:top w:w="0" w:type="dxa"/>
              <w:left w:w="108" w:type="dxa"/>
              <w:bottom w:w="0" w:type="dxa"/>
              <w:right w:w="108" w:type="dxa"/>
            </w:tcMar>
          </w:tcPr>
          <w:p w14:paraId="68176C55" w14:textId="77777777" w:rsidR="00B77E5A" w:rsidRPr="005C052C" w:rsidRDefault="00B77E5A" w:rsidP="000D5E5F">
            <w:pPr>
              <w:spacing w:line="240" w:lineRule="auto"/>
              <w:jc w:val="center"/>
            </w:pPr>
            <w:r w:rsidRPr="005C052C">
              <w:t>0.5</w:t>
            </w:r>
          </w:p>
        </w:tc>
        <w:tc>
          <w:tcPr>
            <w:tcW w:w="1584" w:type="dxa"/>
            <w:shd w:val="clear" w:color="auto" w:fill="auto"/>
            <w:tcMar>
              <w:top w:w="0" w:type="dxa"/>
              <w:left w:w="108" w:type="dxa"/>
              <w:bottom w:w="0" w:type="dxa"/>
              <w:right w:w="108" w:type="dxa"/>
            </w:tcMar>
          </w:tcPr>
          <w:p w14:paraId="65A3E06E" w14:textId="77777777" w:rsidR="00B77E5A" w:rsidRPr="005C052C" w:rsidRDefault="00B77E5A" w:rsidP="000D5E5F">
            <w:pPr>
              <w:spacing w:line="240" w:lineRule="auto"/>
              <w:jc w:val="center"/>
            </w:pPr>
            <w:r w:rsidRPr="005C052C">
              <w:t>0.5</w:t>
            </w:r>
          </w:p>
        </w:tc>
        <w:tc>
          <w:tcPr>
            <w:tcW w:w="1460" w:type="dxa"/>
            <w:shd w:val="clear" w:color="auto" w:fill="auto"/>
            <w:tcMar>
              <w:top w:w="0" w:type="dxa"/>
              <w:left w:w="108" w:type="dxa"/>
              <w:bottom w:w="0" w:type="dxa"/>
              <w:right w:w="108" w:type="dxa"/>
            </w:tcMar>
          </w:tcPr>
          <w:p w14:paraId="5AE5B6D9" w14:textId="77777777" w:rsidR="00B77E5A" w:rsidRPr="005C052C" w:rsidRDefault="00B77E5A" w:rsidP="000D5E5F">
            <w:pPr>
              <w:spacing w:line="240" w:lineRule="auto"/>
              <w:jc w:val="center"/>
            </w:pPr>
            <w:r w:rsidRPr="005C052C">
              <w:t>0.6</w:t>
            </w:r>
          </w:p>
        </w:tc>
        <w:tc>
          <w:tcPr>
            <w:tcW w:w="1406" w:type="dxa"/>
            <w:shd w:val="clear" w:color="auto" w:fill="auto"/>
            <w:tcMar>
              <w:top w:w="0" w:type="dxa"/>
              <w:left w:w="108" w:type="dxa"/>
              <w:bottom w:w="0" w:type="dxa"/>
              <w:right w:w="108" w:type="dxa"/>
            </w:tcMar>
          </w:tcPr>
          <w:p w14:paraId="39A48956" w14:textId="77777777" w:rsidR="00B77E5A" w:rsidRPr="005C052C" w:rsidRDefault="00B77E5A" w:rsidP="000D5E5F">
            <w:pPr>
              <w:spacing w:line="240" w:lineRule="auto"/>
              <w:jc w:val="center"/>
            </w:pPr>
            <w:r w:rsidRPr="005C052C">
              <w:t>0.8</w:t>
            </w:r>
          </w:p>
        </w:tc>
        <w:tc>
          <w:tcPr>
            <w:tcW w:w="1203" w:type="dxa"/>
            <w:shd w:val="clear" w:color="auto" w:fill="auto"/>
            <w:tcMar>
              <w:top w:w="0" w:type="dxa"/>
              <w:left w:w="10" w:type="dxa"/>
              <w:bottom w:w="0" w:type="dxa"/>
              <w:right w:w="10" w:type="dxa"/>
            </w:tcMar>
          </w:tcPr>
          <w:p w14:paraId="78356E4C" w14:textId="77777777" w:rsidR="00B77E5A" w:rsidRPr="005C052C" w:rsidRDefault="00B77E5A" w:rsidP="000D5E5F">
            <w:pPr>
              <w:spacing w:line="240" w:lineRule="auto"/>
              <w:jc w:val="center"/>
            </w:pPr>
            <w:r w:rsidRPr="005C052C">
              <w:t>1.0</w:t>
            </w:r>
          </w:p>
        </w:tc>
        <w:tc>
          <w:tcPr>
            <w:tcW w:w="1265" w:type="dxa"/>
            <w:shd w:val="clear" w:color="auto" w:fill="auto"/>
            <w:tcMar>
              <w:top w:w="0" w:type="dxa"/>
              <w:left w:w="10" w:type="dxa"/>
              <w:bottom w:w="0" w:type="dxa"/>
              <w:right w:w="10" w:type="dxa"/>
            </w:tcMar>
          </w:tcPr>
          <w:p w14:paraId="34D55372" w14:textId="77777777" w:rsidR="00B77E5A" w:rsidRPr="005C052C" w:rsidRDefault="00B77E5A" w:rsidP="000D5E5F">
            <w:pPr>
              <w:spacing w:line="240" w:lineRule="auto"/>
              <w:jc w:val="center"/>
            </w:pPr>
            <w:r w:rsidRPr="005C052C">
              <w:t>0.5</w:t>
            </w:r>
          </w:p>
        </w:tc>
        <w:tc>
          <w:tcPr>
            <w:tcW w:w="1132" w:type="dxa"/>
            <w:shd w:val="clear" w:color="auto" w:fill="auto"/>
            <w:tcMar>
              <w:top w:w="0" w:type="dxa"/>
              <w:left w:w="10" w:type="dxa"/>
              <w:bottom w:w="0" w:type="dxa"/>
              <w:right w:w="10" w:type="dxa"/>
            </w:tcMar>
          </w:tcPr>
          <w:p w14:paraId="76EEFD60" w14:textId="77777777" w:rsidR="00B77E5A" w:rsidRPr="005C052C" w:rsidRDefault="00B77E5A" w:rsidP="000D5E5F">
            <w:pPr>
              <w:spacing w:line="240" w:lineRule="auto"/>
              <w:jc w:val="center"/>
            </w:pPr>
            <w:r w:rsidRPr="005C052C">
              <w:t>1.0</w:t>
            </w:r>
          </w:p>
        </w:tc>
        <w:tc>
          <w:tcPr>
            <w:tcW w:w="1152" w:type="dxa"/>
            <w:shd w:val="clear" w:color="auto" w:fill="auto"/>
            <w:tcMar>
              <w:top w:w="0" w:type="dxa"/>
              <w:left w:w="10" w:type="dxa"/>
              <w:bottom w:w="0" w:type="dxa"/>
              <w:right w:w="10" w:type="dxa"/>
            </w:tcMar>
          </w:tcPr>
          <w:p w14:paraId="497B3839" w14:textId="77777777" w:rsidR="00B77E5A" w:rsidRPr="005C052C" w:rsidRDefault="00B77E5A" w:rsidP="000D5E5F">
            <w:pPr>
              <w:spacing w:line="240" w:lineRule="auto"/>
              <w:jc w:val="center"/>
            </w:pPr>
            <w:r w:rsidRPr="005C052C">
              <w:t>0.9</w:t>
            </w:r>
          </w:p>
        </w:tc>
        <w:tc>
          <w:tcPr>
            <w:tcW w:w="919" w:type="dxa"/>
            <w:shd w:val="clear" w:color="auto" w:fill="auto"/>
            <w:tcMar>
              <w:top w:w="0" w:type="dxa"/>
              <w:left w:w="10" w:type="dxa"/>
              <w:bottom w:w="0" w:type="dxa"/>
              <w:right w:w="10" w:type="dxa"/>
            </w:tcMar>
          </w:tcPr>
          <w:p w14:paraId="1728AF5D" w14:textId="77777777" w:rsidR="00B77E5A" w:rsidRPr="005C052C" w:rsidRDefault="00B77E5A" w:rsidP="000D5E5F">
            <w:pPr>
              <w:spacing w:line="240" w:lineRule="auto"/>
              <w:jc w:val="center"/>
            </w:pPr>
            <w:r w:rsidRPr="005C052C">
              <w:t>2.3</w:t>
            </w:r>
          </w:p>
        </w:tc>
        <w:tc>
          <w:tcPr>
            <w:tcW w:w="919" w:type="dxa"/>
            <w:shd w:val="clear" w:color="auto" w:fill="auto"/>
            <w:tcMar>
              <w:top w:w="0" w:type="dxa"/>
              <w:left w:w="10" w:type="dxa"/>
              <w:bottom w:w="0" w:type="dxa"/>
              <w:right w:w="10" w:type="dxa"/>
            </w:tcMar>
          </w:tcPr>
          <w:p w14:paraId="0EDC2F4C" w14:textId="77777777" w:rsidR="00B77E5A" w:rsidRPr="005C052C" w:rsidRDefault="00B77E5A" w:rsidP="000D5E5F">
            <w:pPr>
              <w:spacing w:line="240" w:lineRule="auto"/>
              <w:jc w:val="center"/>
            </w:pPr>
            <w:r w:rsidRPr="005C052C">
              <w:t>2.2</w:t>
            </w:r>
          </w:p>
        </w:tc>
        <w:tc>
          <w:tcPr>
            <w:tcW w:w="919" w:type="dxa"/>
            <w:shd w:val="clear" w:color="auto" w:fill="auto"/>
            <w:tcMar>
              <w:top w:w="0" w:type="dxa"/>
              <w:left w:w="10" w:type="dxa"/>
              <w:bottom w:w="0" w:type="dxa"/>
              <w:right w:w="10" w:type="dxa"/>
            </w:tcMar>
          </w:tcPr>
          <w:p w14:paraId="300F260A"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503326A6" w14:textId="77777777" w:rsidR="00B77E5A" w:rsidRPr="005C052C" w:rsidRDefault="00B77E5A" w:rsidP="000D5E5F">
            <w:pPr>
              <w:spacing w:line="240" w:lineRule="auto"/>
            </w:pPr>
          </w:p>
        </w:tc>
      </w:tr>
      <w:tr w:rsidR="00B77E5A" w:rsidRPr="005C052C" w14:paraId="45EAF459"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25635315" w14:textId="77777777" w:rsidR="00B77E5A" w:rsidRPr="005C052C" w:rsidRDefault="00B77E5A" w:rsidP="000D5E5F">
            <w:pPr>
              <w:spacing w:line="240" w:lineRule="auto"/>
              <w:rPr>
                <w:b/>
                <w:sz w:val="16"/>
                <w:szCs w:val="16"/>
              </w:rPr>
            </w:pPr>
          </w:p>
        </w:tc>
        <w:tc>
          <w:tcPr>
            <w:tcW w:w="1460" w:type="dxa"/>
            <w:tcBorders>
              <w:left w:val="single" w:sz="4" w:space="0" w:color="auto"/>
            </w:tcBorders>
            <w:shd w:val="clear" w:color="auto" w:fill="auto"/>
            <w:tcMar>
              <w:top w:w="0" w:type="dxa"/>
              <w:left w:w="108" w:type="dxa"/>
              <w:bottom w:w="0" w:type="dxa"/>
              <w:right w:w="108" w:type="dxa"/>
            </w:tcMar>
          </w:tcPr>
          <w:p w14:paraId="6E7716BB" w14:textId="77777777" w:rsidR="00B77E5A" w:rsidRPr="005C052C" w:rsidRDefault="00B77E5A" w:rsidP="000D5E5F">
            <w:pPr>
              <w:spacing w:line="240" w:lineRule="auto"/>
              <w:jc w:val="center"/>
            </w:pPr>
          </w:p>
        </w:tc>
        <w:tc>
          <w:tcPr>
            <w:tcW w:w="1584" w:type="dxa"/>
            <w:shd w:val="clear" w:color="auto" w:fill="auto"/>
            <w:tcMar>
              <w:top w:w="0" w:type="dxa"/>
              <w:left w:w="108" w:type="dxa"/>
              <w:bottom w:w="0" w:type="dxa"/>
              <w:right w:w="108" w:type="dxa"/>
            </w:tcMar>
          </w:tcPr>
          <w:p w14:paraId="69AFF66C" w14:textId="77777777" w:rsidR="00B77E5A" w:rsidRPr="005C052C" w:rsidRDefault="00B77E5A" w:rsidP="000D5E5F">
            <w:pPr>
              <w:spacing w:line="240" w:lineRule="auto"/>
              <w:jc w:val="center"/>
            </w:pPr>
          </w:p>
        </w:tc>
        <w:tc>
          <w:tcPr>
            <w:tcW w:w="1460" w:type="dxa"/>
            <w:shd w:val="clear" w:color="auto" w:fill="auto"/>
            <w:tcMar>
              <w:top w:w="0" w:type="dxa"/>
              <w:left w:w="108" w:type="dxa"/>
              <w:bottom w:w="0" w:type="dxa"/>
              <w:right w:w="108" w:type="dxa"/>
            </w:tcMar>
          </w:tcPr>
          <w:p w14:paraId="1E8D7C0E" w14:textId="77777777" w:rsidR="00B77E5A" w:rsidRPr="005C052C" w:rsidRDefault="00B77E5A" w:rsidP="000D5E5F">
            <w:pPr>
              <w:spacing w:line="240" w:lineRule="auto"/>
              <w:jc w:val="center"/>
            </w:pPr>
          </w:p>
        </w:tc>
        <w:tc>
          <w:tcPr>
            <w:tcW w:w="1406" w:type="dxa"/>
            <w:shd w:val="clear" w:color="auto" w:fill="auto"/>
            <w:tcMar>
              <w:top w:w="0" w:type="dxa"/>
              <w:left w:w="108" w:type="dxa"/>
              <w:bottom w:w="0" w:type="dxa"/>
              <w:right w:w="108" w:type="dxa"/>
            </w:tcMar>
          </w:tcPr>
          <w:p w14:paraId="34DCF15D" w14:textId="77777777" w:rsidR="00B77E5A" w:rsidRPr="005C052C" w:rsidRDefault="00B77E5A" w:rsidP="000D5E5F">
            <w:pPr>
              <w:spacing w:line="240" w:lineRule="auto"/>
              <w:jc w:val="center"/>
            </w:pPr>
          </w:p>
        </w:tc>
        <w:tc>
          <w:tcPr>
            <w:tcW w:w="1203" w:type="dxa"/>
            <w:shd w:val="clear" w:color="auto" w:fill="auto"/>
            <w:tcMar>
              <w:top w:w="0" w:type="dxa"/>
              <w:left w:w="10" w:type="dxa"/>
              <w:bottom w:w="0" w:type="dxa"/>
              <w:right w:w="10" w:type="dxa"/>
            </w:tcMar>
          </w:tcPr>
          <w:p w14:paraId="1B24532E" w14:textId="77777777" w:rsidR="00B77E5A" w:rsidRPr="005C052C" w:rsidRDefault="00B77E5A" w:rsidP="000D5E5F">
            <w:pPr>
              <w:spacing w:line="240" w:lineRule="auto"/>
              <w:jc w:val="center"/>
            </w:pPr>
          </w:p>
        </w:tc>
        <w:tc>
          <w:tcPr>
            <w:tcW w:w="1265" w:type="dxa"/>
            <w:shd w:val="clear" w:color="auto" w:fill="auto"/>
            <w:tcMar>
              <w:top w:w="0" w:type="dxa"/>
              <w:left w:w="10" w:type="dxa"/>
              <w:bottom w:w="0" w:type="dxa"/>
              <w:right w:w="10" w:type="dxa"/>
            </w:tcMar>
          </w:tcPr>
          <w:p w14:paraId="5B97CFBF" w14:textId="77777777" w:rsidR="00B77E5A" w:rsidRPr="005C052C" w:rsidRDefault="00B77E5A" w:rsidP="000D5E5F">
            <w:pPr>
              <w:spacing w:line="240" w:lineRule="auto"/>
              <w:jc w:val="center"/>
            </w:pPr>
          </w:p>
        </w:tc>
        <w:tc>
          <w:tcPr>
            <w:tcW w:w="1132" w:type="dxa"/>
            <w:shd w:val="clear" w:color="auto" w:fill="auto"/>
            <w:tcMar>
              <w:top w:w="0" w:type="dxa"/>
              <w:left w:w="10" w:type="dxa"/>
              <w:bottom w:w="0" w:type="dxa"/>
              <w:right w:w="10" w:type="dxa"/>
            </w:tcMar>
          </w:tcPr>
          <w:p w14:paraId="6A09A987" w14:textId="77777777" w:rsidR="00B77E5A" w:rsidRPr="005C052C" w:rsidRDefault="00B77E5A" w:rsidP="000D5E5F">
            <w:pPr>
              <w:spacing w:line="240" w:lineRule="auto"/>
              <w:jc w:val="center"/>
            </w:pPr>
          </w:p>
        </w:tc>
        <w:tc>
          <w:tcPr>
            <w:tcW w:w="1152" w:type="dxa"/>
            <w:shd w:val="clear" w:color="auto" w:fill="auto"/>
            <w:tcMar>
              <w:top w:w="0" w:type="dxa"/>
              <w:left w:w="10" w:type="dxa"/>
              <w:bottom w:w="0" w:type="dxa"/>
              <w:right w:w="10" w:type="dxa"/>
            </w:tcMar>
          </w:tcPr>
          <w:p w14:paraId="0FB98367"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5AF2B459"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2BFDA16F"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3C26F6C4"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3DD59612" w14:textId="77777777" w:rsidR="00B77E5A" w:rsidRPr="005C052C" w:rsidRDefault="00B77E5A" w:rsidP="000D5E5F">
            <w:pPr>
              <w:spacing w:line="240" w:lineRule="auto"/>
            </w:pPr>
          </w:p>
        </w:tc>
      </w:tr>
      <w:tr w:rsidR="00B77E5A" w:rsidRPr="005C052C" w14:paraId="32B4F37E"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61ACE2EE" w14:textId="77777777" w:rsidR="00B77E5A" w:rsidRPr="005C052C" w:rsidRDefault="00B77E5A" w:rsidP="000D5E5F">
            <w:pPr>
              <w:spacing w:line="240" w:lineRule="auto"/>
              <w:rPr>
                <w:b/>
                <w:sz w:val="16"/>
                <w:szCs w:val="16"/>
              </w:rPr>
            </w:pPr>
            <w:r w:rsidRPr="005C052C">
              <w:rPr>
                <w:b/>
                <w:sz w:val="16"/>
                <w:szCs w:val="16"/>
              </w:rPr>
              <w:t>Islam</w:t>
            </w:r>
          </w:p>
        </w:tc>
        <w:tc>
          <w:tcPr>
            <w:tcW w:w="1460" w:type="dxa"/>
            <w:tcBorders>
              <w:left w:val="single" w:sz="4" w:space="0" w:color="auto"/>
            </w:tcBorders>
            <w:shd w:val="clear" w:color="auto" w:fill="auto"/>
            <w:tcMar>
              <w:top w:w="0" w:type="dxa"/>
              <w:left w:w="108" w:type="dxa"/>
              <w:bottom w:w="0" w:type="dxa"/>
              <w:right w:w="108" w:type="dxa"/>
            </w:tcMar>
          </w:tcPr>
          <w:p w14:paraId="408AB42E" w14:textId="77777777" w:rsidR="00B77E5A" w:rsidRPr="005C052C" w:rsidRDefault="00B77E5A" w:rsidP="000D5E5F">
            <w:pPr>
              <w:spacing w:line="240" w:lineRule="auto"/>
              <w:jc w:val="center"/>
            </w:pPr>
            <w:r w:rsidRPr="005C052C">
              <w:t>8.6</w:t>
            </w:r>
          </w:p>
        </w:tc>
        <w:tc>
          <w:tcPr>
            <w:tcW w:w="1584" w:type="dxa"/>
            <w:shd w:val="clear" w:color="auto" w:fill="auto"/>
            <w:tcMar>
              <w:top w:w="0" w:type="dxa"/>
              <w:left w:w="108" w:type="dxa"/>
              <w:bottom w:w="0" w:type="dxa"/>
              <w:right w:w="108" w:type="dxa"/>
            </w:tcMar>
          </w:tcPr>
          <w:p w14:paraId="242F1BE2" w14:textId="77777777" w:rsidR="00B77E5A" w:rsidRPr="005C052C" w:rsidRDefault="00B77E5A" w:rsidP="000D5E5F">
            <w:pPr>
              <w:spacing w:line="240" w:lineRule="auto"/>
              <w:jc w:val="center"/>
            </w:pPr>
            <w:r w:rsidRPr="005C052C">
              <w:t>8.2</w:t>
            </w:r>
          </w:p>
        </w:tc>
        <w:tc>
          <w:tcPr>
            <w:tcW w:w="1460" w:type="dxa"/>
            <w:shd w:val="clear" w:color="auto" w:fill="auto"/>
            <w:tcMar>
              <w:top w:w="0" w:type="dxa"/>
              <w:left w:w="108" w:type="dxa"/>
              <w:bottom w:w="0" w:type="dxa"/>
              <w:right w:w="108" w:type="dxa"/>
            </w:tcMar>
          </w:tcPr>
          <w:p w14:paraId="3E4D7868" w14:textId="77777777" w:rsidR="00B77E5A" w:rsidRPr="005C052C" w:rsidRDefault="00B77E5A" w:rsidP="000D5E5F">
            <w:pPr>
              <w:spacing w:line="240" w:lineRule="auto"/>
              <w:jc w:val="center"/>
            </w:pPr>
            <w:r w:rsidRPr="005C052C">
              <w:t>8.0</w:t>
            </w:r>
          </w:p>
        </w:tc>
        <w:tc>
          <w:tcPr>
            <w:tcW w:w="1406" w:type="dxa"/>
            <w:shd w:val="clear" w:color="auto" w:fill="auto"/>
            <w:tcMar>
              <w:top w:w="0" w:type="dxa"/>
              <w:left w:w="108" w:type="dxa"/>
              <w:bottom w:w="0" w:type="dxa"/>
              <w:right w:w="108" w:type="dxa"/>
            </w:tcMar>
          </w:tcPr>
          <w:p w14:paraId="3D10F650" w14:textId="77777777" w:rsidR="00B77E5A" w:rsidRPr="005C052C" w:rsidRDefault="00B77E5A" w:rsidP="000D5E5F">
            <w:pPr>
              <w:spacing w:line="240" w:lineRule="auto"/>
              <w:jc w:val="center"/>
            </w:pPr>
            <w:r w:rsidRPr="005C052C">
              <w:t>7.6</w:t>
            </w:r>
          </w:p>
        </w:tc>
        <w:tc>
          <w:tcPr>
            <w:tcW w:w="1203" w:type="dxa"/>
            <w:shd w:val="clear" w:color="auto" w:fill="auto"/>
            <w:tcMar>
              <w:top w:w="0" w:type="dxa"/>
              <w:left w:w="10" w:type="dxa"/>
              <w:bottom w:w="0" w:type="dxa"/>
              <w:right w:w="10" w:type="dxa"/>
            </w:tcMar>
          </w:tcPr>
          <w:p w14:paraId="4EC62E4F" w14:textId="77777777" w:rsidR="00B77E5A" w:rsidRPr="005C052C" w:rsidRDefault="00B77E5A" w:rsidP="000D5E5F">
            <w:pPr>
              <w:spacing w:line="240" w:lineRule="auto"/>
              <w:jc w:val="center"/>
            </w:pPr>
            <w:r w:rsidRPr="005C052C">
              <w:t>7.2</w:t>
            </w:r>
          </w:p>
        </w:tc>
        <w:tc>
          <w:tcPr>
            <w:tcW w:w="1265" w:type="dxa"/>
            <w:shd w:val="clear" w:color="auto" w:fill="auto"/>
            <w:tcMar>
              <w:top w:w="0" w:type="dxa"/>
              <w:left w:w="10" w:type="dxa"/>
              <w:bottom w:w="0" w:type="dxa"/>
              <w:right w:w="10" w:type="dxa"/>
            </w:tcMar>
          </w:tcPr>
          <w:p w14:paraId="23EB5EF9" w14:textId="77777777" w:rsidR="00B77E5A" w:rsidRPr="005C052C" w:rsidRDefault="00B77E5A" w:rsidP="000D5E5F">
            <w:pPr>
              <w:spacing w:line="240" w:lineRule="auto"/>
              <w:jc w:val="center"/>
            </w:pPr>
            <w:r w:rsidRPr="005C052C">
              <w:t>7.5</w:t>
            </w:r>
          </w:p>
        </w:tc>
        <w:tc>
          <w:tcPr>
            <w:tcW w:w="1132" w:type="dxa"/>
            <w:shd w:val="clear" w:color="auto" w:fill="auto"/>
            <w:tcMar>
              <w:top w:w="0" w:type="dxa"/>
              <w:left w:w="10" w:type="dxa"/>
              <w:bottom w:w="0" w:type="dxa"/>
              <w:right w:w="10" w:type="dxa"/>
            </w:tcMar>
          </w:tcPr>
          <w:p w14:paraId="17A73ADF" w14:textId="77777777" w:rsidR="00B77E5A" w:rsidRPr="005C052C" w:rsidRDefault="00B77E5A" w:rsidP="000D5E5F">
            <w:pPr>
              <w:spacing w:line="240" w:lineRule="auto"/>
              <w:jc w:val="center"/>
            </w:pPr>
            <w:r w:rsidRPr="005C052C">
              <w:t>8.3</w:t>
            </w:r>
          </w:p>
        </w:tc>
        <w:tc>
          <w:tcPr>
            <w:tcW w:w="1152" w:type="dxa"/>
            <w:shd w:val="clear" w:color="auto" w:fill="auto"/>
            <w:tcMar>
              <w:top w:w="0" w:type="dxa"/>
              <w:left w:w="10" w:type="dxa"/>
              <w:bottom w:w="0" w:type="dxa"/>
              <w:right w:w="10" w:type="dxa"/>
            </w:tcMar>
          </w:tcPr>
          <w:p w14:paraId="058A2A46" w14:textId="77777777" w:rsidR="00B77E5A" w:rsidRPr="005C052C" w:rsidRDefault="00B77E5A" w:rsidP="000D5E5F">
            <w:pPr>
              <w:spacing w:line="240" w:lineRule="auto"/>
              <w:jc w:val="center"/>
            </w:pPr>
            <w:r w:rsidRPr="005C052C">
              <w:t>8.2</w:t>
            </w:r>
          </w:p>
        </w:tc>
        <w:tc>
          <w:tcPr>
            <w:tcW w:w="919" w:type="dxa"/>
            <w:shd w:val="clear" w:color="auto" w:fill="auto"/>
            <w:tcMar>
              <w:top w:w="0" w:type="dxa"/>
              <w:left w:w="10" w:type="dxa"/>
              <w:bottom w:w="0" w:type="dxa"/>
              <w:right w:w="10" w:type="dxa"/>
            </w:tcMar>
          </w:tcPr>
          <w:p w14:paraId="208467D1" w14:textId="77777777" w:rsidR="00B77E5A" w:rsidRPr="005C052C" w:rsidRDefault="00B77E5A" w:rsidP="000D5E5F">
            <w:pPr>
              <w:spacing w:line="240" w:lineRule="auto"/>
              <w:jc w:val="center"/>
            </w:pPr>
            <w:r w:rsidRPr="005C052C">
              <w:t>6.0</w:t>
            </w:r>
          </w:p>
        </w:tc>
        <w:tc>
          <w:tcPr>
            <w:tcW w:w="919" w:type="dxa"/>
            <w:shd w:val="clear" w:color="auto" w:fill="auto"/>
            <w:tcMar>
              <w:top w:w="0" w:type="dxa"/>
              <w:left w:w="10" w:type="dxa"/>
              <w:bottom w:w="0" w:type="dxa"/>
              <w:right w:w="10" w:type="dxa"/>
            </w:tcMar>
          </w:tcPr>
          <w:p w14:paraId="128F9319" w14:textId="77777777" w:rsidR="00B77E5A" w:rsidRPr="005C052C" w:rsidRDefault="00B77E5A" w:rsidP="000D5E5F">
            <w:pPr>
              <w:spacing w:line="240" w:lineRule="auto"/>
              <w:jc w:val="center"/>
            </w:pPr>
            <w:r w:rsidRPr="005C052C">
              <w:t>6.0</w:t>
            </w:r>
          </w:p>
        </w:tc>
        <w:tc>
          <w:tcPr>
            <w:tcW w:w="919" w:type="dxa"/>
            <w:shd w:val="clear" w:color="auto" w:fill="auto"/>
            <w:tcMar>
              <w:top w:w="0" w:type="dxa"/>
              <w:left w:w="10" w:type="dxa"/>
              <w:bottom w:w="0" w:type="dxa"/>
              <w:right w:w="10" w:type="dxa"/>
            </w:tcMar>
          </w:tcPr>
          <w:p w14:paraId="290AD537"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1FA25C20" w14:textId="77777777" w:rsidR="00B77E5A" w:rsidRPr="005C052C" w:rsidRDefault="00B77E5A" w:rsidP="000D5E5F">
            <w:pPr>
              <w:spacing w:line="240" w:lineRule="auto"/>
            </w:pPr>
          </w:p>
        </w:tc>
      </w:tr>
      <w:tr w:rsidR="00B77E5A" w:rsidRPr="005C052C" w14:paraId="365D4A95"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62EE07A1" w14:textId="77777777" w:rsidR="00B77E5A" w:rsidRPr="005C052C" w:rsidRDefault="00B77E5A" w:rsidP="000D5E5F">
            <w:pPr>
              <w:spacing w:line="240" w:lineRule="auto"/>
              <w:rPr>
                <w:b/>
                <w:sz w:val="16"/>
                <w:szCs w:val="16"/>
              </w:rPr>
            </w:pPr>
            <w:r w:rsidRPr="005C052C">
              <w:rPr>
                <w:b/>
                <w:sz w:val="16"/>
                <w:szCs w:val="16"/>
              </w:rPr>
              <w:t>Non-Islamic</w:t>
            </w:r>
          </w:p>
        </w:tc>
        <w:tc>
          <w:tcPr>
            <w:tcW w:w="1460" w:type="dxa"/>
            <w:tcBorders>
              <w:left w:val="single" w:sz="4" w:space="0" w:color="auto"/>
            </w:tcBorders>
            <w:shd w:val="clear" w:color="auto" w:fill="auto"/>
            <w:tcMar>
              <w:top w:w="0" w:type="dxa"/>
              <w:left w:w="108" w:type="dxa"/>
              <w:bottom w:w="0" w:type="dxa"/>
              <w:right w:w="108" w:type="dxa"/>
            </w:tcMar>
          </w:tcPr>
          <w:p w14:paraId="60A7AA0A" w14:textId="77777777" w:rsidR="00B77E5A" w:rsidRPr="005C052C" w:rsidRDefault="00B77E5A" w:rsidP="000D5E5F">
            <w:pPr>
              <w:spacing w:line="240" w:lineRule="auto"/>
              <w:jc w:val="center"/>
            </w:pPr>
            <w:r w:rsidRPr="005C052C">
              <w:t>8.6</w:t>
            </w:r>
          </w:p>
        </w:tc>
        <w:tc>
          <w:tcPr>
            <w:tcW w:w="1584" w:type="dxa"/>
            <w:shd w:val="clear" w:color="auto" w:fill="auto"/>
            <w:tcMar>
              <w:top w:w="0" w:type="dxa"/>
              <w:left w:w="108" w:type="dxa"/>
              <w:bottom w:w="0" w:type="dxa"/>
              <w:right w:w="108" w:type="dxa"/>
            </w:tcMar>
          </w:tcPr>
          <w:p w14:paraId="1B3339D2" w14:textId="77777777" w:rsidR="00B77E5A" w:rsidRPr="005C052C" w:rsidRDefault="00B77E5A" w:rsidP="000D5E5F">
            <w:pPr>
              <w:spacing w:line="240" w:lineRule="auto"/>
              <w:jc w:val="center"/>
            </w:pPr>
            <w:r w:rsidRPr="005C052C">
              <w:t>7.9</w:t>
            </w:r>
          </w:p>
        </w:tc>
        <w:tc>
          <w:tcPr>
            <w:tcW w:w="1460" w:type="dxa"/>
            <w:shd w:val="clear" w:color="auto" w:fill="auto"/>
            <w:tcMar>
              <w:top w:w="0" w:type="dxa"/>
              <w:left w:w="108" w:type="dxa"/>
              <w:bottom w:w="0" w:type="dxa"/>
              <w:right w:w="108" w:type="dxa"/>
            </w:tcMar>
          </w:tcPr>
          <w:p w14:paraId="173DEE41" w14:textId="77777777" w:rsidR="00B77E5A" w:rsidRPr="005C052C" w:rsidRDefault="00B77E5A" w:rsidP="000D5E5F">
            <w:pPr>
              <w:spacing w:line="240" w:lineRule="auto"/>
              <w:jc w:val="center"/>
            </w:pPr>
            <w:r w:rsidRPr="005C052C">
              <w:t>8.0</w:t>
            </w:r>
          </w:p>
        </w:tc>
        <w:tc>
          <w:tcPr>
            <w:tcW w:w="1406" w:type="dxa"/>
            <w:shd w:val="clear" w:color="auto" w:fill="auto"/>
            <w:tcMar>
              <w:top w:w="0" w:type="dxa"/>
              <w:left w:w="108" w:type="dxa"/>
              <w:bottom w:w="0" w:type="dxa"/>
              <w:right w:w="108" w:type="dxa"/>
            </w:tcMar>
          </w:tcPr>
          <w:p w14:paraId="3DE9F999" w14:textId="77777777" w:rsidR="00B77E5A" w:rsidRPr="005C052C" w:rsidRDefault="00B77E5A" w:rsidP="000D5E5F">
            <w:pPr>
              <w:spacing w:line="240" w:lineRule="auto"/>
              <w:jc w:val="center"/>
            </w:pPr>
            <w:r w:rsidRPr="005C052C">
              <w:t>8.8</w:t>
            </w:r>
          </w:p>
        </w:tc>
        <w:tc>
          <w:tcPr>
            <w:tcW w:w="1203" w:type="dxa"/>
            <w:shd w:val="clear" w:color="auto" w:fill="auto"/>
            <w:tcMar>
              <w:top w:w="0" w:type="dxa"/>
              <w:left w:w="10" w:type="dxa"/>
              <w:bottom w:w="0" w:type="dxa"/>
              <w:right w:w="10" w:type="dxa"/>
            </w:tcMar>
          </w:tcPr>
          <w:p w14:paraId="54192F15" w14:textId="77777777" w:rsidR="00B77E5A" w:rsidRPr="005C052C" w:rsidRDefault="00B77E5A" w:rsidP="000D5E5F">
            <w:pPr>
              <w:spacing w:line="240" w:lineRule="auto"/>
              <w:jc w:val="center"/>
            </w:pPr>
            <w:r w:rsidRPr="005C052C">
              <w:t>6.5</w:t>
            </w:r>
          </w:p>
        </w:tc>
        <w:tc>
          <w:tcPr>
            <w:tcW w:w="1265" w:type="dxa"/>
            <w:shd w:val="clear" w:color="auto" w:fill="auto"/>
            <w:tcMar>
              <w:top w:w="0" w:type="dxa"/>
              <w:left w:w="10" w:type="dxa"/>
              <w:bottom w:w="0" w:type="dxa"/>
              <w:right w:w="10" w:type="dxa"/>
            </w:tcMar>
          </w:tcPr>
          <w:p w14:paraId="653023ED" w14:textId="77777777" w:rsidR="00B77E5A" w:rsidRPr="005C052C" w:rsidRDefault="00B77E5A" w:rsidP="000D5E5F">
            <w:pPr>
              <w:spacing w:line="240" w:lineRule="auto"/>
              <w:jc w:val="center"/>
            </w:pPr>
            <w:r w:rsidRPr="005C052C">
              <w:t>7.3</w:t>
            </w:r>
          </w:p>
        </w:tc>
        <w:tc>
          <w:tcPr>
            <w:tcW w:w="1132" w:type="dxa"/>
            <w:shd w:val="clear" w:color="auto" w:fill="auto"/>
            <w:tcMar>
              <w:top w:w="0" w:type="dxa"/>
              <w:left w:w="10" w:type="dxa"/>
              <w:bottom w:w="0" w:type="dxa"/>
              <w:right w:w="10" w:type="dxa"/>
            </w:tcMar>
          </w:tcPr>
          <w:p w14:paraId="02DF1923" w14:textId="77777777" w:rsidR="00B77E5A" w:rsidRPr="005C052C" w:rsidRDefault="00B77E5A" w:rsidP="000D5E5F">
            <w:pPr>
              <w:spacing w:line="240" w:lineRule="auto"/>
              <w:jc w:val="center"/>
            </w:pPr>
            <w:r w:rsidRPr="005C052C">
              <w:t>7.8</w:t>
            </w:r>
          </w:p>
        </w:tc>
        <w:tc>
          <w:tcPr>
            <w:tcW w:w="1152" w:type="dxa"/>
            <w:shd w:val="clear" w:color="auto" w:fill="auto"/>
            <w:tcMar>
              <w:top w:w="0" w:type="dxa"/>
              <w:left w:w="10" w:type="dxa"/>
              <w:bottom w:w="0" w:type="dxa"/>
              <w:right w:w="10" w:type="dxa"/>
            </w:tcMar>
          </w:tcPr>
          <w:p w14:paraId="43D4059E" w14:textId="77777777" w:rsidR="00B77E5A" w:rsidRPr="005C052C" w:rsidRDefault="00B77E5A" w:rsidP="000D5E5F">
            <w:pPr>
              <w:spacing w:line="240" w:lineRule="auto"/>
              <w:jc w:val="center"/>
            </w:pPr>
            <w:r w:rsidRPr="005C052C">
              <w:t>7.7</w:t>
            </w:r>
          </w:p>
        </w:tc>
        <w:tc>
          <w:tcPr>
            <w:tcW w:w="919" w:type="dxa"/>
            <w:shd w:val="clear" w:color="auto" w:fill="auto"/>
            <w:tcMar>
              <w:top w:w="0" w:type="dxa"/>
              <w:left w:w="10" w:type="dxa"/>
              <w:bottom w:w="0" w:type="dxa"/>
              <w:right w:w="10" w:type="dxa"/>
            </w:tcMar>
          </w:tcPr>
          <w:p w14:paraId="37E85731" w14:textId="77777777" w:rsidR="00B77E5A" w:rsidRPr="005C052C" w:rsidRDefault="00B77E5A" w:rsidP="000D5E5F">
            <w:pPr>
              <w:spacing w:line="240" w:lineRule="auto"/>
              <w:jc w:val="center"/>
            </w:pPr>
            <w:r w:rsidRPr="005C052C">
              <w:t>4.1</w:t>
            </w:r>
          </w:p>
        </w:tc>
        <w:tc>
          <w:tcPr>
            <w:tcW w:w="919" w:type="dxa"/>
            <w:shd w:val="clear" w:color="auto" w:fill="auto"/>
            <w:tcMar>
              <w:top w:w="0" w:type="dxa"/>
              <w:left w:w="10" w:type="dxa"/>
              <w:bottom w:w="0" w:type="dxa"/>
              <w:right w:w="10" w:type="dxa"/>
            </w:tcMar>
          </w:tcPr>
          <w:p w14:paraId="6765C6A5" w14:textId="77777777" w:rsidR="00B77E5A" w:rsidRPr="005C052C" w:rsidRDefault="00B77E5A" w:rsidP="000D5E5F">
            <w:pPr>
              <w:spacing w:line="240" w:lineRule="auto"/>
              <w:jc w:val="center"/>
            </w:pPr>
            <w:r w:rsidRPr="005C052C">
              <w:t>3.9</w:t>
            </w:r>
          </w:p>
        </w:tc>
        <w:tc>
          <w:tcPr>
            <w:tcW w:w="919" w:type="dxa"/>
            <w:shd w:val="clear" w:color="auto" w:fill="auto"/>
            <w:tcMar>
              <w:top w:w="0" w:type="dxa"/>
              <w:left w:w="10" w:type="dxa"/>
              <w:bottom w:w="0" w:type="dxa"/>
              <w:right w:w="10" w:type="dxa"/>
            </w:tcMar>
          </w:tcPr>
          <w:p w14:paraId="46828B99"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19323664" w14:textId="77777777" w:rsidR="00B77E5A" w:rsidRPr="005C052C" w:rsidRDefault="00B77E5A" w:rsidP="000D5E5F">
            <w:pPr>
              <w:spacing w:line="240" w:lineRule="auto"/>
            </w:pPr>
          </w:p>
        </w:tc>
      </w:tr>
      <w:tr w:rsidR="00B77E5A" w:rsidRPr="005C052C" w14:paraId="569C6E70"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34030F12" w14:textId="77777777" w:rsidR="00B77E5A" w:rsidRPr="005C052C" w:rsidRDefault="00B77E5A" w:rsidP="000D5E5F">
            <w:pPr>
              <w:spacing w:line="240" w:lineRule="auto"/>
              <w:rPr>
                <w:b/>
                <w:sz w:val="16"/>
                <w:szCs w:val="16"/>
              </w:rPr>
            </w:pPr>
            <w:r w:rsidRPr="005C052C">
              <w:rPr>
                <w:b/>
                <w:sz w:val="16"/>
                <w:szCs w:val="16"/>
              </w:rPr>
              <w:t>[Range]</w:t>
            </w:r>
          </w:p>
        </w:tc>
        <w:tc>
          <w:tcPr>
            <w:tcW w:w="1460" w:type="dxa"/>
            <w:tcBorders>
              <w:left w:val="single" w:sz="4" w:space="0" w:color="auto"/>
            </w:tcBorders>
            <w:shd w:val="clear" w:color="auto" w:fill="auto"/>
            <w:tcMar>
              <w:top w:w="0" w:type="dxa"/>
              <w:left w:w="108" w:type="dxa"/>
              <w:bottom w:w="0" w:type="dxa"/>
              <w:right w:w="108" w:type="dxa"/>
            </w:tcMar>
          </w:tcPr>
          <w:p w14:paraId="7465F051" w14:textId="77777777" w:rsidR="00B77E5A" w:rsidRPr="005C052C" w:rsidRDefault="00B77E5A" w:rsidP="000D5E5F">
            <w:pPr>
              <w:spacing w:line="240" w:lineRule="auto"/>
              <w:jc w:val="center"/>
            </w:pPr>
            <w:r w:rsidRPr="005C052C">
              <w:t>0.0</w:t>
            </w:r>
          </w:p>
        </w:tc>
        <w:tc>
          <w:tcPr>
            <w:tcW w:w="1584" w:type="dxa"/>
            <w:shd w:val="clear" w:color="auto" w:fill="auto"/>
            <w:tcMar>
              <w:top w:w="0" w:type="dxa"/>
              <w:left w:w="108" w:type="dxa"/>
              <w:bottom w:w="0" w:type="dxa"/>
              <w:right w:w="108" w:type="dxa"/>
            </w:tcMar>
          </w:tcPr>
          <w:p w14:paraId="05C137E9" w14:textId="77777777" w:rsidR="00B77E5A" w:rsidRPr="005C052C" w:rsidRDefault="00B77E5A" w:rsidP="000D5E5F">
            <w:pPr>
              <w:spacing w:line="240" w:lineRule="auto"/>
              <w:jc w:val="center"/>
            </w:pPr>
            <w:r w:rsidRPr="005C052C">
              <w:t>0.3</w:t>
            </w:r>
          </w:p>
        </w:tc>
        <w:tc>
          <w:tcPr>
            <w:tcW w:w="1460" w:type="dxa"/>
            <w:shd w:val="clear" w:color="auto" w:fill="auto"/>
            <w:tcMar>
              <w:top w:w="0" w:type="dxa"/>
              <w:left w:w="108" w:type="dxa"/>
              <w:bottom w:w="0" w:type="dxa"/>
              <w:right w:w="108" w:type="dxa"/>
            </w:tcMar>
          </w:tcPr>
          <w:p w14:paraId="608A8915" w14:textId="77777777" w:rsidR="00B77E5A" w:rsidRPr="005C052C" w:rsidRDefault="00B77E5A" w:rsidP="000D5E5F">
            <w:pPr>
              <w:spacing w:line="240" w:lineRule="auto"/>
              <w:jc w:val="center"/>
            </w:pPr>
            <w:r w:rsidRPr="005C052C">
              <w:t>0.0</w:t>
            </w:r>
          </w:p>
        </w:tc>
        <w:tc>
          <w:tcPr>
            <w:tcW w:w="1406" w:type="dxa"/>
            <w:shd w:val="clear" w:color="auto" w:fill="auto"/>
            <w:tcMar>
              <w:top w:w="0" w:type="dxa"/>
              <w:left w:w="108" w:type="dxa"/>
              <w:bottom w:w="0" w:type="dxa"/>
              <w:right w:w="108" w:type="dxa"/>
            </w:tcMar>
          </w:tcPr>
          <w:p w14:paraId="3DB9E79C" w14:textId="77777777" w:rsidR="00B77E5A" w:rsidRPr="005C052C" w:rsidRDefault="00B77E5A" w:rsidP="000D5E5F">
            <w:pPr>
              <w:spacing w:line="240" w:lineRule="auto"/>
              <w:jc w:val="center"/>
            </w:pPr>
            <w:r w:rsidRPr="005C052C">
              <w:t>1.2</w:t>
            </w:r>
          </w:p>
        </w:tc>
        <w:tc>
          <w:tcPr>
            <w:tcW w:w="1203" w:type="dxa"/>
            <w:shd w:val="clear" w:color="auto" w:fill="auto"/>
            <w:tcMar>
              <w:top w:w="0" w:type="dxa"/>
              <w:left w:w="10" w:type="dxa"/>
              <w:bottom w:w="0" w:type="dxa"/>
              <w:right w:w="10" w:type="dxa"/>
            </w:tcMar>
          </w:tcPr>
          <w:p w14:paraId="1FF7249D" w14:textId="77777777" w:rsidR="00B77E5A" w:rsidRPr="005C052C" w:rsidRDefault="00B77E5A" w:rsidP="000D5E5F">
            <w:pPr>
              <w:spacing w:line="240" w:lineRule="auto"/>
              <w:jc w:val="center"/>
            </w:pPr>
            <w:r w:rsidRPr="005C052C">
              <w:t>0.7</w:t>
            </w:r>
          </w:p>
        </w:tc>
        <w:tc>
          <w:tcPr>
            <w:tcW w:w="1265" w:type="dxa"/>
            <w:shd w:val="clear" w:color="auto" w:fill="auto"/>
            <w:tcMar>
              <w:top w:w="0" w:type="dxa"/>
              <w:left w:w="10" w:type="dxa"/>
              <w:bottom w:w="0" w:type="dxa"/>
              <w:right w:w="10" w:type="dxa"/>
            </w:tcMar>
          </w:tcPr>
          <w:p w14:paraId="674465D0" w14:textId="77777777" w:rsidR="00B77E5A" w:rsidRPr="005C052C" w:rsidRDefault="00B77E5A" w:rsidP="000D5E5F">
            <w:pPr>
              <w:spacing w:line="240" w:lineRule="auto"/>
              <w:jc w:val="center"/>
            </w:pPr>
            <w:r w:rsidRPr="005C052C">
              <w:t>0.2</w:t>
            </w:r>
          </w:p>
        </w:tc>
        <w:tc>
          <w:tcPr>
            <w:tcW w:w="1132" w:type="dxa"/>
            <w:shd w:val="clear" w:color="auto" w:fill="auto"/>
            <w:tcMar>
              <w:top w:w="0" w:type="dxa"/>
              <w:left w:w="10" w:type="dxa"/>
              <w:bottom w:w="0" w:type="dxa"/>
              <w:right w:w="10" w:type="dxa"/>
            </w:tcMar>
          </w:tcPr>
          <w:p w14:paraId="4602C10B" w14:textId="77777777" w:rsidR="00B77E5A" w:rsidRPr="005C052C" w:rsidRDefault="00B77E5A" w:rsidP="000D5E5F">
            <w:pPr>
              <w:spacing w:line="240" w:lineRule="auto"/>
              <w:jc w:val="center"/>
            </w:pPr>
            <w:r w:rsidRPr="005C052C">
              <w:t>0.5</w:t>
            </w:r>
          </w:p>
        </w:tc>
        <w:tc>
          <w:tcPr>
            <w:tcW w:w="1152" w:type="dxa"/>
            <w:shd w:val="clear" w:color="auto" w:fill="auto"/>
            <w:tcMar>
              <w:top w:w="0" w:type="dxa"/>
              <w:left w:w="10" w:type="dxa"/>
              <w:bottom w:w="0" w:type="dxa"/>
              <w:right w:w="10" w:type="dxa"/>
            </w:tcMar>
          </w:tcPr>
          <w:p w14:paraId="72B48CB9" w14:textId="77777777" w:rsidR="00B77E5A" w:rsidRPr="005C052C" w:rsidRDefault="00B77E5A" w:rsidP="000D5E5F">
            <w:pPr>
              <w:spacing w:line="240" w:lineRule="auto"/>
              <w:jc w:val="center"/>
            </w:pPr>
            <w:r w:rsidRPr="005C052C">
              <w:t>0.5</w:t>
            </w:r>
          </w:p>
        </w:tc>
        <w:tc>
          <w:tcPr>
            <w:tcW w:w="919" w:type="dxa"/>
            <w:shd w:val="clear" w:color="auto" w:fill="auto"/>
            <w:tcMar>
              <w:top w:w="0" w:type="dxa"/>
              <w:left w:w="10" w:type="dxa"/>
              <w:bottom w:w="0" w:type="dxa"/>
              <w:right w:w="10" w:type="dxa"/>
            </w:tcMar>
          </w:tcPr>
          <w:p w14:paraId="13878B39" w14:textId="77777777" w:rsidR="00B77E5A" w:rsidRPr="005C052C" w:rsidRDefault="00B77E5A" w:rsidP="000D5E5F">
            <w:pPr>
              <w:spacing w:line="240" w:lineRule="auto"/>
              <w:jc w:val="center"/>
            </w:pPr>
            <w:r w:rsidRPr="005C052C">
              <w:t>1.9</w:t>
            </w:r>
          </w:p>
        </w:tc>
        <w:tc>
          <w:tcPr>
            <w:tcW w:w="919" w:type="dxa"/>
            <w:shd w:val="clear" w:color="auto" w:fill="auto"/>
            <w:tcMar>
              <w:top w:w="0" w:type="dxa"/>
              <w:left w:w="10" w:type="dxa"/>
              <w:bottom w:w="0" w:type="dxa"/>
              <w:right w:w="10" w:type="dxa"/>
            </w:tcMar>
          </w:tcPr>
          <w:p w14:paraId="51F4C07B" w14:textId="77777777" w:rsidR="00B77E5A" w:rsidRPr="005C052C" w:rsidRDefault="00B77E5A" w:rsidP="000D5E5F">
            <w:pPr>
              <w:spacing w:line="240" w:lineRule="auto"/>
              <w:jc w:val="center"/>
            </w:pPr>
            <w:r w:rsidRPr="005C052C">
              <w:t>2.1</w:t>
            </w:r>
          </w:p>
        </w:tc>
        <w:tc>
          <w:tcPr>
            <w:tcW w:w="919" w:type="dxa"/>
            <w:shd w:val="clear" w:color="auto" w:fill="auto"/>
            <w:tcMar>
              <w:top w:w="0" w:type="dxa"/>
              <w:left w:w="10" w:type="dxa"/>
              <w:bottom w:w="0" w:type="dxa"/>
              <w:right w:w="10" w:type="dxa"/>
            </w:tcMar>
          </w:tcPr>
          <w:p w14:paraId="3589000F"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63D3FCF7" w14:textId="77777777" w:rsidR="00B77E5A" w:rsidRPr="005C052C" w:rsidRDefault="00B77E5A" w:rsidP="000D5E5F">
            <w:pPr>
              <w:spacing w:line="240" w:lineRule="auto"/>
            </w:pPr>
          </w:p>
        </w:tc>
      </w:tr>
      <w:tr w:rsidR="00B77E5A" w:rsidRPr="005C052C" w14:paraId="0C672784"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4A45AF4E" w14:textId="77777777" w:rsidR="00B77E5A" w:rsidRPr="005C052C" w:rsidRDefault="00B77E5A" w:rsidP="000D5E5F">
            <w:pPr>
              <w:spacing w:line="240" w:lineRule="auto"/>
              <w:rPr>
                <w:b/>
                <w:sz w:val="16"/>
                <w:szCs w:val="16"/>
              </w:rPr>
            </w:pPr>
          </w:p>
        </w:tc>
        <w:tc>
          <w:tcPr>
            <w:tcW w:w="1460" w:type="dxa"/>
            <w:tcBorders>
              <w:left w:val="single" w:sz="4" w:space="0" w:color="auto"/>
            </w:tcBorders>
            <w:shd w:val="clear" w:color="auto" w:fill="auto"/>
            <w:tcMar>
              <w:top w:w="0" w:type="dxa"/>
              <w:left w:w="108" w:type="dxa"/>
              <w:bottom w:w="0" w:type="dxa"/>
              <w:right w:w="108" w:type="dxa"/>
            </w:tcMar>
          </w:tcPr>
          <w:p w14:paraId="6E631D66" w14:textId="77777777" w:rsidR="00B77E5A" w:rsidRPr="005C052C" w:rsidRDefault="00B77E5A" w:rsidP="000D5E5F">
            <w:pPr>
              <w:spacing w:line="240" w:lineRule="auto"/>
              <w:jc w:val="center"/>
            </w:pPr>
          </w:p>
        </w:tc>
        <w:tc>
          <w:tcPr>
            <w:tcW w:w="1584" w:type="dxa"/>
            <w:shd w:val="clear" w:color="auto" w:fill="auto"/>
            <w:tcMar>
              <w:top w:w="0" w:type="dxa"/>
              <w:left w:w="108" w:type="dxa"/>
              <w:bottom w:w="0" w:type="dxa"/>
              <w:right w:w="108" w:type="dxa"/>
            </w:tcMar>
          </w:tcPr>
          <w:p w14:paraId="6B6BB8A1" w14:textId="77777777" w:rsidR="00B77E5A" w:rsidRPr="005C052C" w:rsidRDefault="00B77E5A" w:rsidP="000D5E5F">
            <w:pPr>
              <w:spacing w:line="240" w:lineRule="auto"/>
              <w:jc w:val="center"/>
            </w:pPr>
          </w:p>
        </w:tc>
        <w:tc>
          <w:tcPr>
            <w:tcW w:w="1460" w:type="dxa"/>
            <w:shd w:val="clear" w:color="auto" w:fill="auto"/>
            <w:tcMar>
              <w:top w:w="0" w:type="dxa"/>
              <w:left w:w="108" w:type="dxa"/>
              <w:bottom w:w="0" w:type="dxa"/>
              <w:right w:w="108" w:type="dxa"/>
            </w:tcMar>
          </w:tcPr>
          <w:p w14:paraId="1E96EBF5" w14:textId="77777777" w:rsidR="00B77E5A" w:rsidRPr="005C052C" w:rsidRDefault="00B77E5A" w:rsidP="000D5E5F">
            <w:pPr>
              <w:spacing w:line="240" w:lineRule="auto"/>
              <w:jc w:val="center"/>
            </w:pPr>
          </w:p>
        </w:tc>
        <w:tc>
          <w:tcPr>
            <w:tcW w:w="1406" w:type="dxa"/>
            <w:shd w:val="clear" w:color="auto" w:fill="auto"/>
            <w:tcMar>
              <w:top w:w="0" w:type="dxa"/>
              <w:left w:w="108" w:type="dxa"/>
              <w:bottom w:w="0" w:type="dxa"/>
              <w:right w:w="108" w:type="dxa"/>
            </w:tcMar>
          </w:tcPr>
          <w:p w14:paraId="1EE6C609" w14:textId="77777777" w:rsidR="00B77E5A" w:rsidRPr="005C052C" w:rsidRDefault="00B77E5A" w:rsidP="000D5E5F">
            <w:pPr>
              <w:spacing w:line="240" w:lineRule="auto"/>
              <w:jc w:val="center"/>
            </w:pPr>
          </w:p>
        </w:tc>
        <w:tc>
          <w:tcPr>
            <w:tcW w:w="1203" w:type="dxa"/>
            <w:shd w:val="clear" w:color="auto" w:fill="auto"/>
            <w:tcMar>
              <w:top w:w="0" w:type="dxa"/>
              <w:left w:w="10" w:type="dxa"/>
              <w:bottom w:w="0" w:type="dxa"/>
              <w:right w:w="10" w:type="dxa"/>
            </w:tcMar>
          </w:tcPr>
          <w:p w14:paraId="16480B4F" w14:textId="77777777" w:rsidR="00B77E5A" w:rsidRPr="005C052C" w:rsidRDefault="00B77E5A" w:rsidP="000D5E5F">
            <w:pPr>
              <w:spacing w:line="240" w:lineRule="auto"/>
              <w:jc w:val="center"/>
            </w:pPr>
          </w:p>
        </w:tc>
        <w:tc>
          <w:tcPr>
            <w:tcW w:w="1265" w:type="dxa"/>
            <w:shd w:val="clear" w:color="auto" w:fill="auto"/>
            <w:tcMar>
              <w:top w:w="0" w:type="dxa"/>
              <w:left w:w="10" w:type="dxa"/>
              <w:bottom w:w="0" w:type="dxa"/>
              <w:right w:w="10" w:type="dxa"/>
            </w:tcMar>
          </w:tcPr>
          <w:p w14:paraId="64E6867A" w14:textId="77777777" w:rsidR="00B77E5A" w:rsidRPr="005C052C" w:rsidRDefault="00B77E5A" w:rsidP="000D5E5F">
            <w:pPr>
              <w:spacing w:line="240" w:lineRule="auto"/>
              <w:jc w:val="center"/>
            </w:pPr>
          </w:p>
        </w:tc>
        <w:tc>
          <w:tcPr>
            <w:tcW w:w="1132" w:type="dxa"/>
            <w:shd w:val="clear" w:color="auto" w:fill="auto"/>
            <w:tcMar>
              <w:top w:w="0" w:type="dxa"/>
              <w:left w:w="10" w:type="dxa"/>
              <w:bottom w:w="0" w:type="dxa"/>
              <w:right w:w="10" w:type="dxa"/>
            </w:tcMar>
          </w:tcPr>
          <w:p w14:paraId="7AC1D9AC" w14:textId="77777777" w:rsidR="00B77E5A" w:rsidRPr="005C052C" w:rsidRDefault="00B77E5A" w:rsidP="000D5E5F">
            <w:pPr>
              <w:spacing w:line="240" w:lineRule="auto"/>
              <w:jc w:val="center"/>
            </w:pPr>
          </w:p>
        </w:tc>
        <w:tc>
          <w:tcPr>
            <w:tcW w:w="1152" w:type="dxa"/>
            <w:shd w:val="clear" w:color="auto" w:fill="auto"/>
            <w:tcMar>
              <w:top w:w="0" w:type="dxa"/>
              <w:left w:w="10" w:type="dxa"/>
              <w:bottom w:w="0" w:type="dxa"/>
              <w:right w:w="10" w:type="dxa"/>
            </w:tcMar>
          </w:tcPr>
          <w:p w14:paraId="79C89624"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1F34CA42"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473FFE19"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7D03E0CA"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18D3B22D" w14:textId="77777777" w:rsidR="00B77E5A" w:rsidRPr="005C052C" w:rsidRDefault="00B77E5A" w:rsidP="000D5E5F">
            <w:pPr>
              <w:spacing w:line="240" w:lineRule="auto"/>
            </w:pPr>
          </w:p>
        </w:tc>
      </w:tr>
      <w:tr w:rsidR="00B77E5A" w:rsidRPr="005C052C" w14:paraId="16E25061"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6C63AB26" w14:textId="77777777" w:rsidR="00B77E5A" w:rsidRPr="005C052C" w:rsidRDefault="00B77E5A" w:rsidP="000D5E5F">
            <w:pPr>
              <w:spacing w:line="240" w:lineRule="auto"/>
              <w:rPr>
                <w:b/>
                <w:sz w:val="16"/>
                <w:szCs w:val="16"/>
              </w:rPr>
            </w:pPr>
            <w:r w:rsidRPr="005C052C">
              <w:rPr>
                <w:b/>
                <w:sz w:val="16"/>
                <w:szCs w:val="16"/>
              </w:rPr>
              <w:t>Communist</w:t>
            </w:r>
          </w:p>
        </w:tc>
        <w:tc>
          <w:tcPr>
            <w:tcW w:w="1460" w:type="dxa"/>
            <w:tcBorders>
              <w:left w:val="single" w:sz="4" w:space="0" w:color="auto"/>
            </w:tcBorders>
            <w:shd w:val="clear" w:color="auto" w:fill="auto"/>
            <w:tcMar>
              <w:top w:w="0" w:type="dxa"/>
              <w:left w:w="108" w:type="dxa"/>
              <w:bottom w:w="0" w:type="dxa"/>
              <w:right w:w="108" w:type="dxa"/>
            </w:tcMar>
          </w:tcPr>
          <w:p w14:paraId="46A9B37C" w14:textId="77777777" w:rsidR="00B77E5A" w:rsidRPr="005C052C" w:rsidRDefault="00B77E5A" w:rsidP="000D5E5F">
            <w:pPr>
              <w:spacing w:line="240" w:lineRule="auto"/>
              <w:jc w:val="center"/>
            </w:pPr>
            <w:r w:rsidRPr="005C052C">
              <w:t>8.9</w:t>
            </w:r>
          </w:p>
        </w:tc>
        <w:tc>
          <w:tcPr>
            <w:tcW w:w="1584" w:type="dxa"/>
            <w:shd w:val="clear" w:color="auto" w:fill="auto"/>
            <w:tcMar>
              <w:top w:w="0" w:type="dxa"/>
              <w:left w:w="108" w:type="dxa"/>
              <w:bottom w:w="0" w:type="dxa"/>
              <w:right w:w="108" w:type="dxa"/>
            </w:tcMar>
          </w:tcPr>
          <w:p w14:paraId="77577E6D" w14:textId="77777777" w:rsidR="00B77E5A" w:rsidRPr="005C052C" w:rsidRDefault="00B77E5A" w:rsidP="000D5E5F">
            <w:pPr>
              <w:spacing w:line="240" w:lineRule="auto"/>
              <w:jc w:val="center"/>
            </w:pPr>
            <w:r w:rsidRPr="005C052C">
              <w:t>8.6</w:t>
            </w:r>
          </w:p>
        </w:tc>
        <w:tc>
          <w:tcPr>
            <w:tcW w:w="1460" w:type="dxa"/>
            <w:shd w:val="clear" w:color="auto" w:fill="auto"/>
            <w:tcMar>
              <w:top w:w="0" w:type="dxa"/>
              <w:left w:w="108" w:type="dxa"/>
              <w:bottom w:w="0" w:type="dxa"/>
              <w:right w:w="108" w:type="dxa"/>
            </w:tcMar>
          </w:tcPr>
          <w:p w14:paraId="729A0864" w14:textId="77777777" w:rsidR="00B77E5A" w:rsidRPr="005C052C" w:rsidRDefault="00B77E5A" w:rsidP="000D5E5F">
            <w:pPr>
              <w:spacing w:line="240" w:lineRule="auto"/>
              <w:jc w:val="center"/>
            </w:pPr>
            <w:r w:rsidRPr="005C052C">
              <w:t>8.8</w:t>
            </w:r>
          </w:p>
        </w:tc>
        <w:tc>
          <w:tcPr>
            <w:tcW w:w="1406" w:type="dxa"/>
            <w:shd w:val="clear" w:color="auto" w:fill="auto"/>
            <w:tcMar>
              <w:top w:w="0" w:type="dxa"/>
              <w:left w:w="108" w:type="dxa"/>
              <w:bottom w:w="0" w:type="dxa"/>
              <w:right w:w="108" w:type="dxa"/>
            </w:tcMar>
          </w:tcPr>
          <w:p w14:paraId="1A40DAA4" w14:textId="77777777" w:rsidR="00B77E5A" w:rsidRPr="005C052C" w:rsidRDefault="00B77E5A" w:rsidP="000D5E5F">
            <w:pPr>
              <w:spacing w:line="240" w:lineRule="auto"/>
              <w:jc w:val="center"/>
            </w:pPr>
            <w:r w:rsidRPr="005C052C">
              <w:t>9.1</w:t>
            </w:r>
          </w:p>
        </w:tc>
        <w:tc>
          <w:tcPr>
            <w:tcW w:w="1203" w:type="dxa"/>
            <w:shd w:val="clear" w:color="auto" w:fill="auto"/>
            <w:tcMar>
              <w:top w:w="0" w:type="dxa"/>
              <w:left w:w="10" w:type="dxa"/>
              <w:bottom w:w="0" w:type="dxa"/>
              <w:right w:w="10" w:type="dxa"/>
            </w:tcMar>
          </w:tcPr>
          <w:p w14:paraId="45109839" w14:textId="77777777" w:rsidR="00B77E5A" w:rsidRPr="005C052C" w:rsidRDefault="00B77E5A" w:rsidP="000D5E5F">
            <w:pPr>
              <w:spacing w:line="240" w:lineRule="auto"/>
              <w:jc w:val="center"/>
            </w:pPr>
            <w:r w:rsidRPr="005C052C">
              <w:t>7.1</w:t>
            </w:r>
          </w:p>
        </w:tc>
        <w:tc>
          <w:tcPr>
            <w:tcW w:w="1265" w:type="dxa"/>
            <w:shd w:val="clear" w:color="auto" w:fill="auto"/>
            <w:tcMar>
              <w:top w:w="0" w:type="dxa"/>
              <w:left w:w="10" w:type="dxa"/>
              <w:bottom w:w="0" w:type="dxa"/>
              <w:right w:w="10" w:type="dxa"/>
            </w:tcMar>
          </w:tcPr>
          <w:p w14:paraId="28ACA9F6" w14:textId="77777777" w:rsidR="00B77E5A" w:rsidRPr="005C052C" w:rsidRDefault="00B77E5A" w:rsidP="000D5E5F">
            <w:pPr>
              <w:spacing w:line="240" w:lineRule="auto"/>
              <w:jc w:val="center"/>
            </w:pPr>
            <w:r w:rsidRPr="005C052C">
              <w:t>8.3</w:t>
            </w:r>
          </w:p>
        </w:tc>
        <w:tc>
          <w:tcPr>
            <w:tcW w:w="1132" w:type="dxa"/>
            <w:shd w:val="clear" w:color="auto" w:fill="auto"/>
            <w:tcMar>
              <w:top w:w="0" w:type="dxa"/>
              <w:left w:w="10" w:type="dxa"/>
              <w:bottom w:w="0" w:type="dxa"/>
              <w:right w:w="10" w:type="dxa"/>
            </w:tcMar>
          </w:tcPr>
          <w:p w14:paraId="03010163" w14:textId="77777777" w:rsidR="00B77E5A" w:rsidRPr="005C052C" w:rsidRDefault="00B77E5A" w:rsidP="000D5E5F">
            <w:pPr>
              <w:spacing w:line="240" w:lineRule="auto"/>
              <w:jc w:val="center"/>
            </w:pPr>
            <w:r w:rsidRPr="005C052C">
              <w:t>8.8</w:t>
            </w:r>
          </w:p>
        </w:tc>
        <w:tc>
          <w:tcPr>
            <w:tcW w:w="1152" w:type="dxa"/>
            <w:shd w:val="clear" w:color="auto" w:fill="auto"/>
            <w:tcMar>
              <w:top w:w="0" w:type="dxa"/>
              <w:left w:w="10" w:type="dxa"/>
              <w:bottom w:w="0" w:type="dxa"/>
              <w:right w:w="10" w:type="dxa"/>
            </w:tcMar>
          </w:tcPr>
          <w:p w14:paraId="589EDD39" w14:textId="77777777" w:rsidR="00B77E5A" w:rsidRPr="005C052C" w:rsidRDefault="00B77E5A" w:rsidP="000D5E5F">
            <w:pPr>
              <w:spacing w:line="240" w:lineRule="auto"/>
              <w:jc w:val="center"/>
            </w:pPr>
            <w:r w:rsidRPr="005C052C">
              <w:t>8.6</w:t>
            </w:r>
          </w:p>
        </w:tc>
        <w:tc>
          <w:tcPr>
            <w:tcW w:w="919" w:type="dxa"/>
            <w:shd w:val="clear" w:color="auto" w:fill="auto"/>
            <w:tcMar>
              <w:top w:w="0" w:type="dxa"/>
              <w:left w:w="10" w:type="dxa"/>
              <w:bottom w:w="0" w:type="dxa"/>
              <w:right w:w="10" w:type="dxa"/>
            </w:tcMar>
          </w:tcPr>
          <w:p w14:paraId="6199BEA1" w14:textId="77777777" w:rsidR="00B77E5A" w:rsidRPr="005C052C" w:rsidRDefault="00B77E5A" w:rsidP="000D5E5F">
            <w:pPr>
              <w:spacing w:line="240" w:lineRule="auto"/>
              <w:jc w:val="center"/>
            </w:pPr>
            <w:r w:rsidRPr="005C052C">
              <w:t>4.9</w:t>
            </w:r>
          </w:p>
        </w:tc>
        <w:tc>
          <w:tcPr>
            <w:tcW w:w="919" w:type="dxa"/>
            <w:shd w:val="clear" w:color="auto" w:fill="auto"/>
            <w:tcMar>
              <w:top w:w="0" w:type="dxa"/>
              <w:left w:w="10" w:type="dxa"/>
              <w:bottom w:w="0" w:type="dxa"/>
              <w:right w:w="10" w:type="dxa"/>
            </w:tcMar>
          </w:tcPr>
          <w:p w14:paraId="62331F0C" w14:textId="77777777" w:rsidR="00B77E5A" w:rsidRPr="005C052C" w:rsidRDefault="00B77E5A" w:rsidP="000D5E5F">
            <w:pPr>
              <w:spacing w:line="240" w:lineRule="auto"/>
              <w:jc w:val="center"/>
            </w:pPr>
            <w:r w:rsidRPr="005C052C">
              <w:t>4.6</w:t>
            </w:r>
          </w:p>
        </w:tc>
        <w:tc>
          <w:tcPr>
            <w:tcW w:w="919" w:type="dxa"/>
            <w:shd w:val="clear" w:color="auto" w:fill="auto"/>
            <w:tcMar>
              <w:top w:w="0" w:type="dxa"/>
              <w:left w:w="10" w:type="dxa"/>
              <w:bottom w:w="0" w:type="dxa"/>
              <w:right w:w="10" w:type="dxa"/>
            </w:tcMar>
          </w:tcPr>
          <w:p w14:paraId="5E3AF32A"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168F6A00" w14:textId="77777777" w:rsidR="00B77E5A" w:rsidRPr="005C052C" w:rsidRDefault="00B77E5A" w:rsidP="000D5E5F">
            <w:pPr>
              <w:spacing w:line="240" w:lineRule="auto"/>
            </w:pPr>
          </w:p>
        </w:tc>
      </w:tr>
      <w:tr w:rsidR="00B77E5A" w:rsidRPr="005C052C" w14:paraId="6FFBA9D5"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03324C91" w14:textId="77777777" w:rsidR="00B77E5A" w:rsidRPr="005C052C" w:rsidRDefault="00B77E5A" w:rsidP="000D5E5F">
            <w:pPr>
              <w:spacing w:line="240" w:lineRule="auto"/>
              <w:rPr>
                <w:b/>
                <w:sz w:val="16"/>
                <w:szCs w:val="16"/>
              </w:rPr>
            </w:pPr>
            <w:r w:rsidRPr="005C052C">
              <w:rPr>
                <w:b/>
                <w:sz w:val="16"/>
                <w:szCs w:val="16"/>
              </w:rPr>
              <w:t>Non-Communist</w:t>
            </w:r>
          </w:p>
        </w:tc>
        <w:tc>
          <w:tcPr>
            <w:tcW w:w="1460" w:type="dxa"/>
            <w:tcBorders>
              <w:left w:val="single" w:sz="4" w:space="0" w:color="auto"/>
            </w:tcBorders>
            <w:shd w:val="clear" w:color="auto" w:fill="auto"/>
            <w:tcMar>
              <w:top w:w="0" w:type="dxa"/>
              <w:left w:w="108" w:type="dxa"/>
              <w:bottom w:w="0" w:type="dxa"/>
              <w:right w:w="108" w:type="dxa"/>
            </w:tcMar>
          </w:tcPr>
          <w:p w14:paraId="3BB01A69" w14:textId="77777777" w:rsidR="00B77E5A" w:rsidRPr="005C052C" w:rsidRDefault="00B77E5A" w:rsidP="000D5E5F">
            <w:pPr>
              <w:spacing w:line="240" w:lineRule="auto"/>
              <w:jc w:val="center"/>
            </w:pPr>
            <w:r w:rsidRPr="005C052C">
              <w:t>8.5</w:t>
            </w:r>
          </w:p>
        </w:tc>
        <w:tc>
          <w:tcPr>
            <w:tcW w:w="1584" w:type="dxa"/>
            <w:shd w:val="clear" w:color="auto" w:fill="auto"/>
            <w:tcMar>
              <w:top w:w="0" w:type="dxa"/>
              <w:left w:w="108" w:type="dxa"/>
              <w:bottom w:w="0" w:type="dxa"/>
              <w:right w:w="108" w:type="dxa"/>
            </w:tcMar>
          </w:tcPr>
          <w:p w14:paraId="6DF20FC7" w14:textId="77777777" w:rsidR="00B77E5A" w:rsidRPr="005C052C" w:rsidRDefault="00B77E5A" w:rsidP="000D5E5F">
            <w:pPr>
              <w:spacing w:line="240" w:lineRule="auto"/>
              <w:jc w:val="center"/>
            </w:pPr>
            <w:r w:rsidRPr="005C052C">
              <w:t>7.8</w:t>
            </w:r>
          </w:p>
        </w:tc>
        <w:tc>
          <w:tcPr>
            <w:tcW w:w="1460" w:type="dxa"/>
            <w:shd w:val="clear" w:color="auto" w:fill="auto"/>
            <w:tcMar>
              <w:top w:w="0" w:type="dxa"/>
              <w:left w:w="108" w:type="dxa"/>
              <w:bottom w:w="0" w:type="dxa"/>
              <w:right w:w="108" w:type="dxa"/>
            </w:tcMar>
          </w:tcPr>
          <w:p w14:paraId="7A5429C5" w14:textId="77777777" w:rsidR="00B77E5A" w:rsidRPr="005C052C" w:rsidRDefault="00B77E5A" w:rsidP="000D5E5F">
            <w:pPr>
              <w:spacing w:line="240" w:lineRule="auto"/>
              <w:jc w:val="center"/>
            </w:pPr>
            <w:r w:rsidRPr="005C052C">
              <w:t>7.9</w:t>
            </w:r>
          </w:p>
        </w:tc>
        <w:tc>
          <w:tcPr>
            <w:tcW w:w="1406" w:type="dxa"/>
            <w:shd w:val="clear" w:color="auto" w:fill="auto"/>
            <w:tcMar>
              <w:top w:w="0" w:type="dxa"/>
              <w:left w:w="108" w:type="dxa"/>
              <w:bottom w:w="0" w:type="dxa"/>
              <w:right w:w="108" w:type="dxa"/>
            </w:tcMar>
          </w:tcPr>
          <w:p w14:paraId="09D35ABD" w14:textId="77777777" w:rsidR="00B77E5A" w:rsidRPr="005C052C" w:rsidRDefault="00B77E5A" w:rsidP="000D5E5F">
            <w:pPr>
              <w:spacing w:line="240" w:lineRule="auto"/>
              <w:jc w:val="center"/>
            </w:pPr>
            <w:r w:rsidRPr="005C052C">
              <w:t>8.4</w:t>
            </w:r>
          </w:p>
        </w:tc>
        <w:tc>
          <w:tcPr>
            <w:tcW w:w="1203" w:type="dxa"/>
            <w:shd w:val="clear" w:color="auto" w:fill="auto"/>
            <w:tcMar>
              <w:top w:w="0" w:type="dxa"/>
              <w:left w:w="10" w:type="dxa"/>
              <w:bottom w:w="0" w:type="dxa"/>
              <w:right w:w="10" w:type="dxa"/>
            </w:tcMar>
          </w:tcPr>
          <w:p w14:paraId="0C4CB4FE" w14:textId="77777777" w:rsidR="00B77E5A" w:rsidRPr="005C052C" w:rsidRDefault="00B77E5A" w:rsidP="000D5E5F">
            <w:pPr>
              <w:spacing w:line="240" w:lineRule="auto"/>
              <w:jc w:val="center"/>
            </w:pPr>
            <w:r w:rsidRPr="005C052C">
              <w:t>6.5</w:t>
            </w:r>
          </w:p>
        </w:tc>
        <w:tc>
          <w:tcPr>
            <w:tcW w:w="1265" w:type="dxa"/>
            <w:shd w:val="clear" w:color="auto" w:fill="auto"/>
            <w:tcMar>
              <w:top w:w="0" w:type="dxa"/>
              <w:left w:w="10" w:type="dxa"/>
              <w:bottom w:w="0" w:type="dxa"/>
              <w:right w:w="10" w:type="dxa"/>
            </w:tcMar>
          </w:tcPr>
          <w:p w14:paraId="75C82DD1" w14:textId="77777777" w:rsidR="00B77E5A" w:rsidRPr="005C052C" w:rsidRDefault="00B77E5A" w:rsidP="000D5E5F">
            <w:pPr>
              <w:spacing w:line="240" w:lineRule="auto"/>
              <w:jc w:val="center"/>
            </w:pPr>
            <w:r w:rsidRPr="005C052C">
              <w:t>7.1</w:t>
            </w:r>
          </w:p>
        </w:tc>
        <w:tc>
          <w:tcPr>
            <w:tcW w:w="1132" w:type="dxa"/>
            <w:shd w:val="clear" w:color="auto" w:fill="auto"/>
            <w:tcMar>
              <w:top w:w="0" w:type="dxa"/>
              <w:left w:w="10" w:type="dxa"/>
              <w:bottom w:w="0" w:type="dxa"/>
              <w:right w:w="10" w:type="dxa"/>
            </w:tcMar>
          </w:tcPr>
          <w:p w14:paraId="1B9297F3" w14:textId="77777777" w:rsidR="00B77E5A" w:rsidRPr="005C052C" w:rsidRDefault="00B77E5A" w:rsidP="000D5E5F">
            <w:pPr>
              <w:spacing w:line="240" w:lineRule="auto"/>
              <w:jc w:val="center"/>
            </w:pPr>
            <w:r w:rsidRPr="005C052C">
              <w:t>7.7</w:t>
            </w:r>
          </w:p>
        </w:tc>
        <w:tc>
          <w:tcPr>
            <w:tcW w:w="1152" w:type="dxa"/>
            <w:shd w:val="clear" w:color="auto" w:fill="auto"/>
            <w:tcMar>
              <w:top w:w="0" w:type="dxa"/>
              <w:left w:w="10" w:type="dxa"/>
              <w:bottom w:w="0" w:type="dxa"/>
              <w:right w:w="10" w:type="dxa"/>
            </w:tcMar>
          </w:tcPr>
          <w:p w14:paraId="61DC03D7" w14:textId="77777777" w:rsidR="00B77E5A" w:rsidRPr="005C052C" w:rsidRDefault="00B77E5A" w:rsidP="000D5E5F">
            <w:pPr>
              <w:spacing w:line="240" w:lineRule="auto"/>
              <w:jc w:val="center"/>
            </w:pPr>
            <w:r w:rsidRPr="005C052C">
              <w:t>7.5</w:t>
            </w:r>
          </w:p>
        </w:tc>
        <w:tc>
          <w:tcPr>
            <w:tcW w:w="919" w:type="dxa"/>
            <w:shd w:val="clear" w:color="auto" w:fill="auto"/>
            <w:tcMar>
              <w:top w:w="0" w:type="dxa"/>
              <w:left w:w="10" w:type="dxa"/>
              <w:bottom w:w="0" w:type="dxa"/>
              <w:right w:w="10" w:type="dxa"/>
            </w:tcMar>
          </w:tcPr>
          <w:p w14:paraId="508C42A5" w14:textId="77777777" w:rsidR="00B77E5A" w:rsidRPr="005C052C" w:rsidRDefault="00B77E5A" w:rsidP="000D5E5F">
            <w:pPr>
              <w:spacing w:line="240" w:lineRule="auto"/>
              <w:jc w:val="center"/>
            </w:pPr>
            <w:r w:rsidRPr="005C052C">
              <w:t>4.4</w:t>
            </w:r>
          </w:p>
        </w:tc>
        <w:tc>
          <w:tcPr>
            <w:tcW w:w="919" w:type="dxa"/>
            <w:shd w:val="clear" w:color="auto" w:fill="auto"/>
            <w:tcMar>
              <w:top w:w="0" w:type="dxa"/>
              <w:left w:w="10" w:type="dxa"/>
              <w:bottom w:w="0" w:type="dxa"/>
              <w:right w:w="10" w:type="dxa"/>
            </w:tcMar>
          </w:tcPr>
          <w:p w14:paraId="2FE5913A" w14:textId="77777777" w:rsidR="00B77E5A" w:rsidRPr="005C052C" w:rsidRDefault="00B77E5A" w:rsidP="000D5E5F">
            <w:pPr>
              <w:spacing w:line="240" w:lineRule="auto"/>
              <w:jc w:val="center"/>
            </w:pPr>
            <w:r w:rsidRPr="005C052C">
              <w:t>4.3</w:t>
            </w:r>
          </w:p>
        </w:tc>
        <w:tc>
          <w:tcPr>
            <w:tcW w:w="919" w:type="dxa"/>
            <w:shd w:val="clear" w:color="auto" w:fill="auto"/>
            <w:tcMar>
              <w:top w:w="0" w:type="dxa"/>
              <w:left w:w="10" w:type="dxa"/>
              <w:bottom w:w="0" w:type="dxa"/>
              <w:right w:w="10" w:type="dxa"/>
            </w:tcMar>
          </w:tcPr>
          <w:p w14:paraId="15013D62"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6B9C8DE0" w14:textId="77777777" w:rsidR="00B77E5A" w:rsidRPr="005C052C" w:rsidRDefault="00B77E5A" w:rsidP="000D5E5F">
            <w:pPr>
              <w:spacing w:line="240" w:lineRule="auto"/>
            </w:pPr>
          </w:p>
        </w:tc>
      </w:tr>
      <w:tr w:rsidR="00B77E5A" w:rsidRPr="005C052C" w14:paraId="0026CD5D" w14:textId="77777777" w:rsidTr="00A61D4D">
        <w:tc>
          <w:tcPr>
            <w:tcW w:w="1576" w:type="dxa"/>
            <w:tcBorders>
              <w:right w:val="single" w:sz="4" w:space="0" w:color="auto"/>
            </w:tcBorders>
            <w:shd w:val="clear" w:color="auto" w:fill="auto"/>
            <w:tcMar>
              <w:top w:w="0" w:type="dxa"/>
              <w:left w:w="108" w:type="dxa"/>
              <w:bottom w:w="0" w:type="dxa"/>
              <w:right w:w="108" w:type="dxa"/>
            </w:tcMar>
          </w:tcPr>
          <w:p w14:paraId="24AF3A1B" w14:textId="77777777" w:rsidR="00B77E5A" w:rsidRPr="005C052C" w:rsidRDefault="00B77E5A" w:rsidP="000D5E5F">
            <w:pPr>
              <w:spacing w:line="240" w:lineRule="auto"/>
              <w:rPr>
                <w:b/>
                <w:sz w:val="16"/>
                <w:szCs w:val="16"/>
              </w:rPr>
            </w:pPr>
            <w:r w:rsidRPr="005C052C">
              <w:rPr>
                <w:b/>
                <w:sz w:val="16"/>
                <w:szCs w:val="16"/>
              </w:rPr>
              <w:t>[Range]</w:t>
            </w:r>
          </w:p>
        </w:tc>
        <w:tc>
          <w:tcPr>
            <w:tcW w:w="1460" w:type="dxa"/>
            <w:tcBorders>
              <w:left w:val="single" w:sz="4" w:space="0" w:color="auto"/>
            </w:tcBorders>
            <w:shd w:val="clear" w:color="auto" w:fill="auto"/>
            <w:tcMar>
              <w:top w:w="0" w:type="dxa"/>
              <w:left w:w="108" w:type="dxa"/>
              <w:bottom w:w="0" w:type="dxa"/>
              <w:right w:w="108" w:type="dxa"/>
            </w:tcMar>
          </w:tcPr>
          <w:p w14:paraId="7154DCAC" w14:textId="77777777" w:rsidR="00B77E5A" w:rsidRPr="005C052C" w:rsidRDefault="00B77E5A" w:rsidP="000D5E5F">
            <w:pPr>
              <w:spacing w:line="240" w:lineRule="auto"/>
              <w:jc w:val="center"/>
            </w:pPr>
            <w:r w:rsidRPr="005C052C">
              <w:t>0.4</w:t>
            </w:r>
          </w:p>
        </w:tc>
        <w:tc>
          <w:tcPr>
            <w:tcW w:w="1584" w:type="dxa"/>
            <w:shd w:val="clear" w:color="auto" w:fill="auto"/>
            <w:tcMar>
              <w:top w:w="0" w:type="dxa"/>
              <w:left w:w="108" w:type="dxa"/>
              <w:bottom w:w="0" w:type="dxa"/>
              <w:right w:w="108" w:type="dxa"/>
            </w:tcMar>
          </w:tcPr>
          <w:p w14:paraId="5FA29B88" w14:textId="77777777" w:rsidR="00B77E5A" w:rsidRPr="005C052C" w:rsidRDefault="00B77E5A" w:rsidP="000D5E5F">
            <w:pPr>
              <w:spacing w:line="240" w:lineRule="auto"/>
              <w:jc w:val="center"/>
            </w:pPr>
            <w:r w:rsidRPr="005C052C">
              <w:t>0.8</w:t>
            </w:r>
          </w:p>
        </w:tc>
        <w:tc>
          <w:tcPr>
            <w:tcW w:w="1460" w:type="dxa"/>
            <w:shd w:val="clear" w:color="auto" w:fill="auto"/>
            <w:tcMar>
              <w:top w:w="0" w:type="dxa"/>
              <w:left w:w="108" w:type="dxa"/>
              <w:bottom w:w="0" w:type="dxa"/>
              <w:right w:w="108" w:type="dxa"/>
            </w:tcMar>
          </w:tcPr>
          <w:p w14:paraId="7C35A3B8" w14:textId="77777777" w:rsidR="00B77E5A" w:rsidRPr="005C052C" w:rsidRDefault="00B77E5A" w:rsidP="000D5E5F">
            <w:pPr>
              <w:spacing w:line="240" w:lineRule="auto"/>
              <w:jc w:val="center"/>
            </w:pPr>
            <w:r w:rsidRPr="005C052C">
              <w:t>0.9</w:t>
            </w:r>
          </w:p>
        </w:tc>
        <w:tc>
          <w:tcPr>
            <w:tcW w:w="1406" w:type="dxa"/>
            <w:shd w:val="clear" w:color="auto" w:fill="auto"/>
            <w:tcMar>
              <w:top w:w="0" w:type="dxa"/>
              <w:left w:w="108" w:type="dxa"/>
              <w:bottom w:w="0" w:type="dxa"/>
              <w:right w:w="108" w:type="dxa"/>
            </w:tcMar>
          </w:tcPr>
          <w:p w14:paraId="30D6B897" w14:textId="77777777" w:rsidR="00B77E5A" w:rsidRPr="005C052C" w:rsidRDefault="00B77E5A" w:rsidP="000D5E5F">
            <w:pPr>
              <w:spacing w:line="240" w:lineRule="auto"/>
              <w:jc w:val="center"/>
            </w:pPr>
            <w:r w:rsidRPr="005C052C">
              <w:t>0.7</w:t>
            </w:r>
          </w:p>
        </w:tc>
        <w:tc>
          <w:tcPr>
            <w:tcW w:w="1203" w:type="dxa"/>
            <w:shd w:val="clear" w:color="auto" w:fill="auto"/>
            <w:tcMar>
              <w:top w:w="0" w:type="dxa"/>
              <w:left w:w="10" w:type="dxa"/>
              <w:bottom w:w="0" w:type="dxa"/>
              <w:right w:w="10" w:type="dxa"/>
            </w:tcMar>
          </w:tcPr>
          <w:p w14:paraId="38743E51" w14:textId="77777777" w:rsidR="00B77E5A" w:rsidRPr="005C052C" w:rsidRDefault="00B77E5A" w:rsidP="000D5E5F">
            <w:pPr>
              <w:spacing w:line="240" w:lineRule="auto"/>
              <w:jc w:val="center"/>
            </w:pPr>
            <w:r w:rsidRPr="005C052C">
              <w:t>0.6</w:t>
            </w:r>
          </w:p>
        </w:tc>
        <w:tc>
          <w:tcPr>
            <w:tcW w:w="1265" w:type="dxa"/>
            <w:shd w:val="clear" w:color="auto" w:fill="auto"/>
            <w:tcMar>
              <w:top w:w="0" w:type="dxa"/>
              <w:left w:w="10" w:type="dxa"/>
              <w:bottom w:w="0" w:type="dxa"/>
              <w:right w:w="10" w:type="dxa"/>
            </w:tcMar>
          </w:tcPr>
          <w:p w14:paraId="5E876B83" w14:textId="77777777" w:rsidR="00B77E5A" w:rsidRPr="005C052C" w:rsidRDefault="00B77E5A" w:rsidP="000D5E5F">
            <w:pPr>
              <w:spacing w:line="240" w:lineRule="auto"/>
              <w:jc w:val="center"/>
            </w:pPr>
            <w:r w:rsidRPr="005C052C">
              <w:t>1.2</w:t>
            </w:r>
          </w:p>
        </w:tc>
        <w:tc>
          <w:tcPr>
            <w:tcW w:w="1132" w:type="dxa"/>
            <w:shd w:val="clear" w:color="auto" w:fill="auto"/>
            <w:tcMar>
              <w:top w:w="0" w:type="dxa"/>
              <w:left w:w="10" w:type="dxa"/>
              <w:bottom w:w="0" w:type="dxa"/>
              <w:right w:w="10" w:type="dxa"/>
            </w:tcMar>
          </w:tcPr>
          <w:p w14:paraId="0C346260" w14:textId="77777777" w:rsidR="00B77E5A" w:rsidRPr="005C052C" w:rsidRDefault="00B77E5A" w:rsidP="000D5E5F">
            <w:pPr>
              <w:spacing w:line="240" w:lineRule="auto"/>
              <w:jc w:val="center"/>
            </w:pPr>
            <w:r w:rsidRPr="005C052C">
              <w:t>1.1</w:t>
            </w:r>
          </w:p>
        </w:tc>
        <w:tc>
          <w:tcPr>
            <w:tcW w:w="1152" w:type="dxa"/>
            <w:shd w:val="clear" w:color="auto" w:fill="auto"/>
            <w:tcMar>
              <w:top w:w="0" w:type="dxa"/>
              <w:left w:w="10" w:type="dxa"/>
              <w:bottom w:w="0" w:type="dxa"/>
              <w:right w:w="10" w:type="dxa"/>
            </w:tcMar>
          </w:tcPr>
          <w:p w14:paraId="50AEB1EC" w14:textId="77777777" w:rsidR="00B77E5A" w:rsidRPr="005C052C" w:rsidRDefault="00B77E5A" w:rsidP="000D5E5F">
            <w:pPr>
              <w:spacing w:line="240" w:lineRule="auto"/>
              <w:jc w:val="center"/>
            </w:pPr>
            <w:r w:rsidRPr="005C052C">
              <w:t>1.1</w:t>
            </w:r>
          </w:p>
        </w:tc>
        <w:tc>
          <w:tcPr>
            <w:tcW w:w="919" w:type="dxa"/>
            <w:shd w:val="clear" w:color="auto" w:fill="auto"/>
            <w:tcMar>
              <w:top w:w="0" w:type="dxa"/>
              <w:left w:w="10" w:type="dxa"/>
              <w:bottom w:w="0" w:type="dxa"/>
              <w:right w:w="10" w:type="dxa"/>
            </w:tcMar>
          </w:tcPr>
          <w:p w14:paraId="58EC9BA6" w14:textId="77777777" w:rsidR="00B77E5A" w:rsidRPr="005C052C" w:rsidRDefault="00B77E5A" w:rsidP="000D5E5F">
            <w:pPr>
              <w:spacing w:line="240" w:lineRule="auto"/>
              <w:jc w:val="center"/>
            </w:pPr>
            <w:r w:rsidRPr="005C052C">
              <w:t>0.5</w:t>
            </w:r>
          </w:p>
        </w:tc>
        <w:tc>
          <w:tcPr>
            <w:tcW w:w="919" w:type="dxa"/>
            <w:shd w:val="clear" w:color="auto" w:fill="auto"/>
            <w:tcMar>
              <w:top w:w="0" w:type="dxa"/>
              <w:left w:w="10" w:type="dxa"/>
              <w:bottom w:w="0" w:type="dxa"/>
              <w:right w:w="10" w:type="dxa"/>
            </w:tcMar>
          </w:tcPr>
          <w:p w14:paraId="081C253F" w14:textId="77777777" w:rsidR="00B77E5A" w:rsidRPr="005C052C" w:rsidRDefault="00B77E5A" w:rsidP="000D5E5F">
            <w:pPr>
              <w:spacing w:line="240" w:lineRule="auto"/>
              <w:jc w:val="center"/>
            </w:pPr>
            <w:r w:rsidRPr="005C052C">
              <w:t>0.3</w:t>
            </w:r>
          </w:p>
        </w:tc>
        <w:tc>
          <w:tcPr>
            <w:tcW w:w="919" w:type="dxa"/>
            <w:shd w:val="clear" w:color="auto" w:fill="auto"/>
            <w:tcMar>
              <w:top w:w="0" w:type="dxa"/>
              <w:left w:w="10" w:type="dxa"/>
              <w:bottom w:w="0" w:type="dxa"/>
              <w:right w:w="10" w:type="dxa"/>
            </w:tcMar>
          </w:tcPr>
          <w:p w14:paraId="3ACD919E"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7B5828EC" w14:textId="77777777" w:rsidR="00B77E5A" w:rsidRPr="005C052C" w:rsidRDefault="00B77E5A" w:rsidP="000D5E5F">
            <w:pPr>
              <w:spacing w:line="240" w:lineRule="auto"/>
            </w:pPr>
          </w:p>
        </w:tc>
      </w:tr>
      <w:tr w:rsidR="00B77E5A" w:rsidRPr="005C052C" w14:paraId="4C100B04" w14:textId="77777777" w:rsidTr="000D5E5F">
        <w:tc>
          <w:tcPr>
            <w:tcW w:w="1576" w:type="dxa"/>
            <w:shd w:val="clear" w:color="auto" w:fill="auto"/>
            <w:tcMar>
              <w:top w:w="0" w:type="dxa"/>
              <w:left w:w="108" w:type="dxa"/>
              <w:bottom w:w="0" w:type="dxa"/>
              <w:right w:w="108" w:type="dxa"/>
            </w:tcMar>
          </w:tcPr>
          <w:p w14:paraId="6BA1245A" w14:textId="77777777" w:rsidR="00B77E5A" w:rsidRPr="005C052C" w:rsidRDefault="00B77E5A" w:rsidP="000D5E5F">
            <w:pPr>
              <w:spacing w:line="240" w:lineRule="auto"/>
            </w:pPr>
          </w:p>
        </w:tc>
        <w:tc>
          <w:tcPr>
            <w:tcW w:w="1460" w:type="dxa"/>
            <w:shd w:val="clear" w:color="auto" w:fill="auto"/>
            <w:tcMar>
              <w:top w:w="0" w:type="dxa"/>
              <w:left w:w="108" w:type="dxa"/>
              <w:bottom w:w="0" w:type="dxa"/>
              <w:right w:w="108" w:type="dxa"/>
            </w:tcMar>
          </w:tcPr>
          <w:p w14:paraId="1FFC7A0C" w14:textId="77777777" w:rsidR="00B77E5A" w:rsidRPr="005C052C" w:rsidRDefault="00B77E5A" w:rsidP="000D5E5F">
            <w:pPr>
              <w:spacing w:line="240" w:lineRule="auto"/>
              <w:jc w:val="center"/>
            </w:pPr>
          </w:p>
        </w:tc>
        <w:tc>
          <w:tcPr>
            <w:tcW w:w="1584" w:type="dxa"/>
            <w:shd w:val="clear" w:color="auto" w:fill="auto"/>
            <w:tcMar>
              <w:top w:w="0" w:type="dxa"/>
              <w:left w:w="108" w:type="dxa"/>
              <w:bottom w:w="0" w:type="dxa"/>
              <w:right w:w="108" w:type="dxa"/>
            </w:tcMar>
          </w:tcPr>
          <w:p w14:paraId="33E2EF0F" w14:textId="77777777" w:rsidR="00B77E5A" w:rsidRPr="005C052C" w:rsidRDefault="00B77E5A" w:rsidP="000D5E5F">
            <w:pPr>
              <w:spacing w:line="240" w:lineRule="auto"/>
              <w:jc w:val="center"/>
            </w:pPr>
          </w:p>
        </w:tc>
        <w:tc>
          <w:tcPr>
            <w:tcW w:w="1460" w:type="dxa"/>
            <w:shd w:val="clear" w:color="auto" w:fill="auto"/>
            <w:tcMar>
              <w:top w:w="0" w:type="dxa"/>
              <w:left w:w="108" w:type="dxa"/>
              <w:bottom w:w="0" w:type="dxa"/>
              <w:right w:w="108" w:type="dxa"/>
            </w:tcMar>
          </w:tcPr>
          <w:p w14:paraId="23F9DDFB" w14:textId="77777777" w:rsidR="00B77E5A" w:rsidRPr="005C052C" w:rsidRDefault="00B77E5A" w:rsidP="000D5E5F">
            <w:pPr>
              <w:spacing w:line="240" w:lineRule="auto"/>
              <w:jc w:val="center"/>
            </w:pPr>
          </w:p>
        </w:tc>
        <w:tc>
          <w:tcPr>
            <w:tcW w:w="1406" w:type="dxa"/>
            <w:shd w:val="clear" w:color="auto" w:fill="auto"/>
            <w:tcMar>
              <w:top w:w="0" w:type="dxa"/>
              <w:left w:w="108" w:type="dxa"/>
              <w:bottom w:w="0" w:type="dxa"/>
              <w:right w:w="108" w:type="dxa"/>
            </w:tcMar>
          </w:tcPr>
          <w:p w14:paraId="43C59D42" w14:textId="77777777" w:rsidR="00B77E5A" w:rsidRPr="005C052C" w:rsidRDefault="00B77E5A" w:rsidP="000D5E5F">
            <w:pPr>
              <w:spacing w:line="240" w:lineRule="auto"/>
              <w:jc w:val="center"/>
            </w:pPr>
          </w:p>
        </w:tc>
        <w:tc>
          <w:tcPr>
            <w:tcW w:w="1203" w:type="dxa"/>
            <w:shd w:val="clear" w:color="auto" w:fill="auto"/>
            <w:tcMar>
              <w:top w:w="0" w:type="dxa"/>
              <w:left w:w="10" w:type="dxa"/>
              <w:bottom w:w="0" w:type="dxa"/>
              <w:right w:w="10" w:type="dxa"/>
            </w:tcMar>
          </w:tcPr>
          <w:p w14:paraId="0F2EB3DD" w14:textId="77777777" w:rsidR="00B77E5A" w:rsidRPr="005C052C" w:rsidRDefault="00B77E5A" w:rsidP="000D5E5F">
            <w:pPr>
              <w:spacing w:line="240" w:lineRule="auto"/>
              <w:jc w:val="center"/>
            </w:pPr>
          </w:p>
        </w:tc>
        <w:tc>
          <w:tcPr>
            <w:tcW w:w="1265" w:type="dxa"/>
            <w:shd w:val="clear" w:color="auto" w:fill="auto"/>
            <w:tcMar>
              <w:top w:w="0" w:type="dxa"/>
              <w:left w:w="10" w:type="dxa"/>
              <w:bottom w:w="0" w:type="dxa"/>
              <w:right w:w="10" w:type="dxa"/>
            </w:tcMar>
          </w:tcPr>
          <w:p w14:paraId="0DB6D252" w14:textId="77777777" w:rsidR="00B77E5A" w:rsidRPr="005C052C" w:rsidRDefault="00B77E5A" w:rsidP="000D5E5F">
            <w:pPr>
              <w:spacing w:line="240" w:lineRule="auto"/>
              <w:jc w:val="center"/>
            </w:pPr>
          </w:p>
        </w:tc>
        <w:tc>
          <w:tcPr>
            <w:tcW w:w="1132" w:type="dxa"/>
            <w:shd w:val="clear" w:color="auto" w:fill="auto"/>
            <w:tcMar>
              <w:top w:w="0" w:type="dxa"/>
              <w:left w:w="10" w:type="dxa"/>
              <w:bottom w:w="0" w:type="dxa"/>
              <w:right w:w="10" w:type="dxa"/>
            </w:tcMar>
          </w:tcPr>
          <w:p w14:paraId="39AF4DA2" w14:textId="77777777" w:rsidR="00B77E5A" w:rsidRPr="005C052C" w:rsidRDefault="00B77E5A" w:rsidP="000D5E5F">
            <w:pPr>
              <w:spacing w:line="240" w:lineRule="auto"/>
              <w:jc w:val="center"/>
            </w:pPr>
          </w:p>
        </w:tc>
        <w:tc>
          <w:tcPr>
            <w:tcW w:w="1152" w:type="dxa"/>
            <w:shd w:val="clear" w:color="auto" w:fill="auto"/>
            <w:tcMar>
              <w:top w:w="0" w:type="dxa"/>
              <w:left w:w="10" w:type="dxa"/>
              <w:bottom w:w="0" w:type="dxa"/>
              <w:right w:w="10" w:type="dxa"/>
            </w:tcMar>
          </w:tcPr>
          <w:p w14:paraId="15422263"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252DDDF9"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6BA96129"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5C015B94"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3B231601" w14:textId="77777777" w:rsidR="00B77E5A" w:rsidRPr="005C052C" w:rsidRDefault="00B77E5A" w:rsidP="000D5E5F">
            <w:pPr>
              <w:spacing w:line="240" w:lineRule="auto"/>
            </w:pPr>
          </w:p>
        </w:tc>
      </w:tr>
      <w:tr w:rsidR="00B77E5A" w:rsidRPr="005C052C" w14:paraId="3BB2FADF" w14:textId="77777777" w:rsidTr="000D5E5F">
        <w:tc>
          <w:tcPr>
            <w:tcW w:w="1576" w:type="dxa"/>
            <w:shd w:val="clear" w:color="auto" w:fill="auto"/>
            <w:tcMar>
              <w:top w:w="0" w:type="dxa"/>
              <w:left w:w="108" w:type="dxa"/>
              <w:bottom w:w="0" w:type="dxa"/>
              <w:right w:w="108" w:type="dxa"/>
            </w:tcMar>
          </w:tcPr>
          <w:p w14:paraId="1E836C73" w14:textId="77777777" w:rsidR="00B77E5A" w:rsidRPr="005C052C" w:rsidRDefault="00B77E5A" w:rsidP="000D5E5F">
            <w:pPr>
              <w:spacing w:line="240" w:lineRule="auto"/>
            </w:pPr>
          </w:p>
        </w:tc>
        <w:tc>
          <w:tcPr>
            <w:tcW w:w="1460" w:type="dxa"/>
            <w:shd w:val="clear" w:color="auto" w:fill="auto"/>
            <w:tcMar>
              <w:top w:w="0" w:type="dxa"/>
              <w:left w:w="108" w:type="dxa"/>
              <w:bottom w:w="0" w:type="dxa"/>
              <w:right w:w="108" w:type="dxa"/>
            </w:tcMar>
          </w:tcPr>
          <w:p w14:paraId="32E44302" w14:textId="77777777" w:rsidR="00B77E5A" w:rsidRPr="005C052C" w:rsidRDefault="00B77E5A" w:rsidP="000D5E5F">
            <w:pPr>
              <w:spacing w:line="240" w:lineRule="auto"/>
              <w:jc w:val="center"/>
            </w:pPr>
          </w:p>
        </w:tc>
        <w:tc>
          <w:tcPr>
            <w:tcW w:w="1584" w:type="dxa"/>
            <w:shd w:val="clear" w:color="auto" w:fill="auto"/>
            <w:tcMar>
              <w:top w:w="0" w:type="dxa"/>
              <w:left w:w="108" w:type="dxa"/>
              <w:bottom w:w="0" w:type="dxa"/>
              <w:right w:w="108" w:type="dxa"/>
            </w:tcMar>
          </w:tcPr>
          <w:p w14:paraId="79EB6549" w14:textId="77777777" w:rsidR="00B77E5A" w:rsidRPr="005C052C" w:rsidRDefault="00B77E5A" w:rsidP="000D5E5F">
            <w:pPr>
              <w:spacing w:line="240" w:lineRule="auto"/>
              <w:jc w:val="center"/>
            </w:pPr>
          </w:p>
        </w:tc>
        <w:tc>
          <w:tcPr>
            <w:tcW w:w="1460" w:type="dxa"/>
            <w:shd w:val="clear" w:color="auto" w:fill="auto"/>
            <w:tcMar>
              <w:top w:w="0" w:type="dxa"/>
              <w:left w:w="108" w:type="dxa"/>
              <w:bottom w:w="0" w:type="dxa"/>
              <w:right w:w="108" w:type="dxa"/>
            </w:tcMar>
          </w:tcPr>
          <w:p w14:paraId="56999F40" w14:textId="77777777" w:rsidR="00B77E5A" w:rsidRPr="005C052C" w:rsidRDefault="00B77E5A" w:rsidP="000D5E5F">
            <w:pPr>
              <w:spacing w:line="240" w:lineRule="auto"/>
              <w:jc w:val="center"/>
            </w:pPr>
          </w:p>
        </w:tc>
        <w:tc>
          <w:tcPr>
            <w:tcW w:w="1406" w:type="dxa"/>
            <w:shd w:val="clear" w:color="auto" w:fill="auto"/>
            <w:tcMar>
              <w:top w:w="0" w:type="dxa"/>
              <w:left w:w="108" w:type="dxa"/>
              <w:bottom w:w="0" w:type="dxa"/>
              <w:right w:w="108" w:type="dxa"/>
            </w:tcMar>
          </w:tcPr>
          <w:p w14:paraId="5E7F2C4C" w14:textId="77777777" w:rsidR="00B77E5A" w:rsidRPr="005C052C" w:rsidRDefault="00B77E5A" w:rsidP="000D5E5F">
            <w:pPr>
              <w:spacing w:line="240" w:lineRule="auto"/>
              <w:jc w:val="center"/>
            </w:pPr>
          </w:p>
        </w:tc>
        <w:tc>
          <w:tcPr>
            <w:tcW w:w="1203" w:type="dxa"/>
            <w:shd w:val="clear" w:color="auto" w:fill="auto"/>
            <w:tcMar>
              <w:top w:w="0" w:type="dxa"/>
              <w:left w:w="10" w:type="dxa"/>
              <w:bottom w:w="0" w:type="dxa"/>
              <w:right w:w="10" w:type="dxa"/>
            </w:tcMar>
          </w:tcPr>
          <w:p w14:paraId="4FD3357A" w14:textId="77777777" w:rsidR="00B77E5A" w:rsidRPr="005C052C" w:rsidRDefault="00B77E5A" w:rsidP="000D5E5F">
            <w:pPr>
              <w:spacing w:line="240" w:lineRule="auto"/>
              <w:jc w:val="center"/>
            </w:pPr>
          </w:p>
        </w:tc>
        <w:tc>
          <w:tcPr>
            <w:tcW w:w="1265" w:type="dxa"/>
            <w:shd w:val="clear" w:color="auto" w:fill="auto"/>
            <w:tcMar>
              <w:top w:w="0" w:type="dxa"/>
              <w:left w:w="10" w:type="dxa"/>
              <w:bottom w:w="0" w:type="dxa"/>
              <w:right w:w="10" w:type="dxa"/>
            </w:tcMar>
          </w:tcPr>
          <w:p w14:paraId="74B7694D" w14:textId="77777777" w:rsidR="00B77E5A" w:rsidRPr="005C052C" w:rsidRDefault="00B77E5A" w:rsidP="000D5E5F">
            <w:pPr>
              <w:spacing w:line="240" w:lineRule="auto"/>
              <w:jc w:val="center"/>
            </w:pPr>
          </w:p>
        </w:tc>
        <w:tc>
          <w:tcPr>
            <w:tcW w:w="1132" w:type="dxa"/>
            <w:shd w:val="clear" w:color="auto" w:fill="auto"/>
            <w:tcMar>
              <w:top w:w="0" w:type="dxa"/>
              <w:left w:w="10" w:type="dxa"/>
              <w:bottom w:w="0" w:type="dxa"/>
              <w:right w:w="10" w:type="dxa"/>
            </w:tcMar>
          </w:tcPr>
          <w:p w14:paraId="3B4FA2F6" w14:textId="77777777" w:rsidR="00B77E5A" w:rsidRPr="005C052C" w:rsidRDefault="00B77E5A" w:rsidP="000D5E5F">
            <w:pPr>
              <w:spacing w:line="240" w:lineRule="auto"/>
              <w:jc w:val="center"/>
            </w:pPr>
          </w:p>
        </w:tc>
        <w:tc>
          <w:tcPr>
            <w:tcW w:w="1152" w:type="dxa"/>
            <w:shd w:val="clear" w:color="auto" w:fill="auto"/>
            <w:tcMar>
              <w:top w:w="0" w:type="dxa"/>
              <w:left w:w="10" w:type="dxa"/>
              <w:bottom w:w="0" w:type="dxa"/>
              <w:right w:w="10" w:type="dxa"/>
            </w:tcMar>
          </w:tcPr>
          <w:p w14:paraId="792B9819"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1876E408"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2416BE94" w14:textId="77777777" w:rsidR="00B77E5A" w:rsidRPr="005C052C" w:rsidRDefault="00B77E5A" w:rsidP="000D5E5F">
            <w:pPr>
              <w:spacing w:line="240" w:lineRule="auto"/>
              <w:jc w:val="center"/>
            </w:pPr>
          </w:p>
        </w:tc>
        <w:tc>
          <w:tcPr>
            <w:tcW w:w="919" w:type="dxa"/>
            <w:shd w:val="clear" w:color="auto" w:fill="auto"/>
            <w:tcMar>
              <w:top w:w="0" w:type="dxa"/>
              <w:left w:w="10" w:type="dxa"/>
              <w:bottom w:w="0" w:type="dxa"/>
              <w:right w:w="10" w:type="dxa"/>
            </w:tcMar>
          </w:tcPr>
          <w:p w14:paraId="179A0C09" w14:textId="77777777" w:rsidR="00B77E5A" w:rsidRPr="005C052C" w:rsidRDefault="00B77E5A" w:rsidP="000D5E5F">
            <w:pPr>
              <w:spacing w:line="240" w:lineRule="auto"/>
            </w:pPr>
          </w:p>
        </w:tc>
        <w:tc>
          <w:tcPr>
            <w:tcW w:w="919" w:type="dxa"/>
            <w:shd w:val="clear" w:color="auto" w:fill="auto"/>
            <w:tcMar>
              <w:top w:w="0" w:type="dxa"/>
              <w:left w:w="10" w:type="dxa"/>
              <w:bottom w:w="0" w:type="dxa"/>
              <w:right w:w="10" w:type="dxa"/>
            </w:tcMar>
          </w:tcPr>
          <w:p w14:paraId="0BCC67B3" w14:textId="77777777" w:rsidR="00B77E5A" w:rsidRPr="005C052C" w:rsidRDefault="00B77E5A" w:rsidP="000D5E5F">
            <w:pPr>
              <w:spacing w:line="240" w:lineRule="auto"/>
            </w:pPr>
          </w:p>
        </w:tc>
      </w:tr>
    </w:tbl>
    <w:p w14:paraId="5E411C7E" w14:textId="6F33D47C" w:rsidR="00B77E5A" w:rsidRDefault="00B77E5A" w:rsidP="00B77E5A">
      <w:pPr>
        <w:spacing w:line="259" w:lineRule="auto"/>
        <w:rPr>
          <w:szCs w:val="24"/>
        </w:rPr>
        <w:sectPr w:rsidR="00B77E5A" w:rsidSect="0052597C">
          <w:pgSz w:w="16838" w:h="11906" w:orient="landscape"/>
          <w:pgMar w:top="1440" w:right="1440" w:bottom="1440" w:left="1440" w:header="720" w:footer="720" w:gutter="357"/>
          <w:cols w:space="720"/>
        </w:sectPr>
      </w:pPr>
    </w:p>
    <w:p w14:paraId="42309B33" w14:textId="77777777" w:rsidR="00C12892" w:rsidRPr="000367C8" w:rsidRDefault="00C12892" w:rsidP="00C12892">
      <w:pPr>
        <w:rPr>
          <w:szCs w:val="24"/>
        </w:rPr>
      </w:pPr>
      <w:r w:rsidRPr="000367C8">
        <w:rPr>
          <w:szCs w:val="24"/>
        </w:rPr>
        <w:t>The Islamic grouping</w:t>
      </w:r>
      <w:r>
        <w:rPr>
          <w:szCs w:val="24"/>
        </w:rPr>
        <w:t xml:space="preserve"> also classes eight</w:t>
      </w:r>
      <w:r w:rsidRPr="000367C8">
        <w:rPr>
          <w:szCs w:val="24"/>
        </w:rPr>
        <w:t xml:space="preserve"> countries in the dataset as </w:t>
      </w:r>
      <w:r>
        <w:rPr>
          <w:szCs w:val="24"/>
        </w:rPr>
        <w:t>having</w:t>
      </w:r>
      <w:r w:rsidRPr="000367C8">
        <w:rPr>
          <w:szCs w:val="24"/>
        </w:rPr>
        <w:t xml:space="preserve"> Islamic regimes or</w:t>
      </w:r>
      <w:r>
        <w:rPr>
          <w:szCs w:val="24"/>
        </w:rPr>
        <w:t xml:space="preserve"> predominantly Islamic</w:t>
      </w:r>
      <w:r w:rsidRPr="000367C8">
        <w:rPr>
          <w:szCs w:val="24"/>
        </w:rPr>
        <w:t xml:space="preserve"> populations, according to Huntington‘s </w:t>
      </w:r>
      <w:r w:rsidRPr="000367C8">
        <w:rPr>
          <w:i/>
          <w:szCs w:val="24"/>
        </w:rPr>
        <w:t xml:space="preserve">Clash of Civilizations </w:t>
      </w:r>
      <w:r>
        <w:rPr>
          <w:szCs w:val="24"/>
        </w:rPr>
        <w:t>thesis.</w:t>
      </w:r>
      <w:r w:rsidRPr="000367C8">
        <w:rPr>
          <w:szCs w:val="24"/>
        </w:rPr>
        <w:t xml:space="preserve"> </w:t>
      </w:r>
      <w:r>
        <w:rPr>
          <w:szCs w:val="24"/>
        </w:rPr>
        <w:fldChar w:fldCharType="begin" w:fldLock="1"/>
      </w:r>
      <w:r>
        <w:rPr>
          <w:szCs w:val="24"/>
        </w:rPr>
        <w:instrText>ADDIN CSL_CITATION { "citationItems" : [ { "id" : "ITEM-1", "itemData" : { "author" : [ { "dropping-particle" : "", "family" : "Huntington", "given" : "Samuel P", "non-dropping-particle" : "", "parse-names" : false, "suffix" : "" } ], "id" : "ITEM-1", "issued" : { "date-parts" : [ [ "1996" ] ] }, "publisher" : "Simon &amp; Schuster", "publisher-place" : "New York", "title" : "The Clash of Civilizations and the Remaking of the World Order", "type" : "book" }, "uris" : [ "http://www.mendeley.com/documents/?uuid=3ff37773-2087-4419-833b-d558013efdbd" ] } ], "mendeley" : { "formattedCitation" : "(Huntington, 1996)", "manualFormatting" : "Huntington (1996)", "plainTextFormattedCitation" : "(Huntington, 1996)", "previouslyFormattedCitation" : "(Huntington, 1996)" }, "properties" : { "noteIndex" : 0 }, "schema" : "https://github.com/citation-style-language/schema/raw/master/csl-citation.json" }</w:instrText>
      </w:r>
      <w:r>
        <w:rPr>
          <w:szCs w:val="24"/>
        </w:rPr>
        <w:fldChar w:fldCharType="separate"/>
      </w:r>
      <w:r w:rsidRPr="006274AF">
        <w:rPr>
          <w:noProof/>
          <w:szCs w:val="24"/>
        </w:rPr>
        <w:t xml:space="preserve">Huntington </w:t>
      </w:r>
      <w:r>
        <w:rPr>
          <w:noProof/>
          <w:szCs w:val="24"/>
        </w:rPr>
        <w:t>(</w:t>
      </w:r>
      <w:r w:rsidRPr="006274AF">
        <w:rPr>
          <w:noProof/>
          <w:szCs w:val="24"/>
        </w:rPr>
        <w:t>1996)</w:t>
      </w:r>
      <w:r>
        <w:rPr>
          <w:szCs w:val="24"/>
        </w:rPr>
        <w:fldChar w:fldCharType="end"/>
      </w:r>
      <w:r w:rsidRPr="000367C8">
        <w:rPr>
          <w:szCs w:val="24"/>
        </w:rPr>
        <w:t xml:space="preserve"> argued that Islam is an obstacle to democratizati</w:t>
      </w:r>
      <w:r>
        <w:rPr>
          <w:szCs w:val="24"/>
        </w:rPr>
        <w:t xml:space="preserve">on, and so this is a simple </w:t>
      </w:r>
      <w:r w:rsidRPr="000367C8">
        <w:rPr>
          <w:szCs w:val="24"/>
        </w:rPr>
        <w:t>test to see if there any differences from citizens living in Islamic countries on their understanding of democracy.</w:t>
      </w:r>
    </w:p>
    <w:p w14:paraId="473704F2" w14:textId="176684DA" w:rsidR="00A61D4D" w:rsidRPr="000367C8" w:rsidRDefault="00A61D4D" w:rsidP="00A61D4D">
      <w:pPr>
        <w:rPr>
          <w:szCs w:val="24"/>
        </w:rPr>
      </w:pPr>
      <w:r w:rsidRPr="000367C8">
        <w:rPr>
          <w:szCs w:val="24"/>
        </w:rPr>
        <w:t>In terms of Freedom House categories, the Not Free countries score all characteristics the highest except for gender equality. The Not Free countries score the importance of a prospering economy</w:t>
      </w:r>
      <w:r>
        <w:rPr>
          <w:szCs w:val="24"/>
        </w:rPr>
        <w:t xml:space="preserve"> and severe criminal punishment</w:t>
      </w:r>
      <w:r w:rsidRPr="000367C8">
        <w:rPr>
          <w:szCs w:val="24"/>
        </w:rPr>
        <w:t xml:space="preserve"> equal to, or higher, than civil rights. At 6.1, army takeover scores considerably high too. For the citizens in these countries, there is not a strict adherence to the expectations of liberal democratic theory. Again, we can see here that there is the potential for these characteristics to be combined in a significantly different way to the ideal liberal democratic understanding.</w:t>
      </w:r>
    </w:p>
    <w:p w14:paraId="41AC5827" w14:textId="649348D8" w:rsidR="00B77E5A" w:rsidRPr="000367C8" w:rsidRDefault="00B77E5A" w:rsidP="00B77E5A">
      <w:pPr>
        <w:rPr>
          <w:szCs w:val="24"/>
        </w:rPr>
      </w:pPr>
      <w:r w:rsidRPr="000367C8">
        <w:rPr>
          <w:szCs w:val="24"/>
        </w:rPr>
        <w:t xml:space="preserve">The difference between countries classified as Islamic and Non-Islamic across elections, referendums, civil rights and unemployment benefit is minor, and not more than 0.3. By 0.5 the Islamic countries see criminal punishment and a prospering economy as more essential to democracy than non-Islamic countries. So far, there is limited difference between the countries, matching </w:t>
      </w:r>
      <w:r>
        <w:rPr>
          <w:szCs w:val="24"/>
        </w:rPr>
        <w:t>previous studies which</w:t>
      </w:r>
      <w:r w:rsidRPr="000367C8">
        <w:rPr>
          <w:szCs w:val="24"/>
        </w:rPr>
        <w:t xml:space="preserve"> found that citizens in Islamic countries desire and understand </w:t>
      </w:r>
      <w:r w:rsidR="00A61D4D">
        <w:rPr>
          <w:szCs w:val="24"/>
        </w:rPr>
        <w:t xml:space="preserve">liberal </w:t>
      </w:r>
      <w:r w:rsidRPr="000367C8">
        <w:rPr>
          <w:szCs w:val="24"/>
        </w:rPr>
        <w:t xml:space="preserve">democracy in </w:t>
      </w:r>
      <w:r w:rsidR="00A61D4D">
        <w:rPr>
          <w:szCs w:val="24"/>
        </w:rPr>
        <w:t>much the</w:t>
      </w:r>
      <w:r w:rsidRPr="000367C8">
        <w:rPr>
          <w:szCs w:val="24"/>
        </w:rPr>
        <w:t xml:space="preserve"> same fashion as those in non-Islamic countries</w:t>
      </w:r>
      <w:r>
        <w:rPr>
          <w:szCs w:val="24"/>
        </w:rPr>
        <w:t xml:space="preserve"> </w:t>
      </w:r>
      <w:r w:rsidR="006274AF">
        <w:rPr>
          <w:szCs w:val="24"/>
        </w:rPr>
        <w:fldChar w:fldCharType="begin" w:fldLock="1"/>
      </w:r>
      <w:r w:rsidR="00E63CC6">
        <w:rPr>
          <w:szCs w:val="24"/>
        </w:rPr>
        <w:instrText>ADDIN CSL_CITATION { "citationItems" : [ { "id" : "ITEM-1", "itemData" : { "DOI" : "10.1007/s11127-008-9393-8", "ISSN" : "0048-5829", "author" : [ { "dropping-particle" : "", "family" : "Rowley", "given" : "Charles K.", "non-dropping-particle" : "", "parse-names" : false, "suffix" : "" }, { "dropping-particle" : "", "family" : "Smith", "given" : "Nathanael", "non-dropping-particle" : "", "parse-names" : false, "suffix" : "" } ], "container-title" : "Public Choice", "id" : "ITEM-1", "issue" : "3-4", "issued" : { "date-parts" : [ [ "2009", "1", "20" ] ] }, "page" : "273-299", "title" : "Islam\u2019s democracy paradox: Muslims claim to like democracy, so why do they have so little?", "type" : "article-journal", "volume" : "139" }, "uris" : [ "http://www.mendeley.com/documents/?uuid=adf9330a-a34f-4401-ab79-1764713183d7" ] }, { "id" : "ITEM-2", "itemData" : { "author" : [ { "dropping-particle" : "", "family" : "Norris", "given" : "Pippa", "non-dropping-particle" : "", "parse-names" : false, "suffix" : "" }, { "dropping-particle" : "", "family" : "Inglehart", "given" : "Ronald F", "non-dropping-particle" : "", "parse-names" : false, "suffix" : "" } ], "container-title" : "Comparative S", "id" : "ITEM-2", "issue" : "3-4", "issued" : { "date-parts" : [ [ "2002" ] ] }, "page" : "235-263", "title" : "Islamic Culture and Democracy : Testing the \u2018 Clash of Civilizations \u2019 Thesis", "type" : "article-journal", "volume" : "1" }, "uris" : [ "http://www.mendeley.com/documents/?uuid=9d566570-5ee8-428a-9ebc-ff72ecb5b0c3" ] } ], "mendeley" : { "formattedCitation" : "(Norris and Inglehart, 2002; Rowley and Smith, 2009)", "plainTextFormattedCitation" : "(Norris and Inglehart, 2002; Rowley and Smith, 2009)", "previouslyFormattedCitation" : "(Norris and Inglehart, 2002; Rowley and Smith, 2009)" }, "properties" : { "noteIndex" : 0 }, "schema" : "https://github.com/citation-style-language/schema/raw/master/csl-citation.json" }</w:instrText>
      </w:r>
      <w:r w:rsidR="006274AF">
        <w:rPr>
          <w:szCs w:val="24"/>
        </w:rPr>
        <w:fldChar w:fldCharType="separate"/>
      </w:r>
      <w:r w:rsidR="00E63CC6" w:rsidRPr="00E63CC6">
        <w:rPr>
          <w:noProof/>
          <w:szCs w:val="24"/>
        </w:rPr>
        <w:t>(Norris and Inglehart, 2002; Rowley and Smith, 2009)</w:t>
      </w:r>
      <w:r w:rsidR="006274AF">
        <w:rPr>
          <w:szCs w:val="24"/>
        </w:rPr>
        <w:fldChar w:fldCharType="end"/>
      </w:r>
      <w:r w:rsidRPr="000367C8">
        <w:rPr>
          <w:szCs w:val="24"/>
        </w:rPr>
        <w:t>. However, this is not a consistent finding across all the characteristics. Although the average for equal gender rights is still relatively high at 7.6 for Islamic countries, it is considerably less than the average of 8.8 for non-Islamic countries. Similarly, the authoritarian characteristics have almost the same average for Islamic countries as they do for Not Free countries, at 6.</w:t>
      </w:r>
    </w:p>
    <w:p w14:paraId="0BBEB3AD" w14:textId="39EEBF40" w:rsidR="00B77E5A" w:rsidRPr="000367C8" w:rsidRDefault="00B77E5A" w:rsidP="00B77E5A">
      <w:pPr>
        <w:rPr>
          <w:szCs w:val="24"/>
        </w:rPr>
      </w:pPr>
      <w:r w:rsidRPr="000367C8">
        <w:rPr>
          <w:szCs w:val="24"/>
        </w:rPr>
        <w:t>When countries are split into Communist and non-Communist categories, citizens in Communist countries score every characteristic on average higher. It is a little difficult to unpack why this might be as the communist category contains countries which are currently experiencing a regime described as communist (such as China), and one which was previously a communist regime (such as Poland). However, China is the largest currently communist country in this category and also categorised as the most authoritarian, yet Chinese citizens score referendums an average of 8 and civil rights and elections both hig</w:t>
      </w:r>
      <w:r>
        <w:rPr>
          <w:szCs w:val="24"/>
        </w:rPr>
        <w:t xml:space="preserve">her than 8.5 (see </w:t>
      </w:r>
      <w:r w:rsidR="00C12892">
        <w:rPr>
          <w:szCs w:val="24"/>
        </w:rPr>
        <w:t>below Figures 3.9-3.10</w:t>
      </w:r>
      <w:r w:rsidRPr="000367C8">
        <w:rPr>
          <w:szCs w:val="24"/>
        </w:rPr>
        <w:t>). It is clear that living under these regimes has not impacted upon citizen</w:t>
      </w:r>
      <w:r w:rsidR="00A61D4D">
        <w:rPr>
          <w:szCs w:val="24"/>
        </w:rPr>
        <w:t>s’</w:t>
      </w:r>
      <w:r w:rsidRPr="000367C8">
        <w:rPr>
          <w:szCs w:val="24"/>
        </w:rPr>
        <w:t xml:space="preserve"> judgement of the importance of procedural characteristics, but there is a difference when it comes to the social and populist characteristics</w:t>
      </w:r>
      <w:r w:rsidR="00A61D4D">
        <w:rPr>
          <w:szCs w:val="24"/>
        </w:rPr>
        <w:t xml:space="preserve">: </w:t>
      </w:r>
      <w:r w:rsidR="00A8114B">
        <w:rPr>
          <w:szCs w:val="24"/>
        </w:rPr>
        <w:t xml:space="preserve">those living in these regimes appear to believe that severe criminal punishment, a prospering </w:t>
      </w:r>
      <w:r w:rsidR="00C12892">
        <w:rPr>
          <w:szCs w:val="24"/>
        </w:rPr>
        <w:t>economy,</w:t>
      </w:r>
      <w:r w:rsidR="00A8114B">
        <w:rPr>
          <w:szCs w:val="24"/>
        </w:rPr>
        <w:t>y and the provision of unemployment benefit are more essential to the idea of democracy than do those people who do not live under these regimes.</w:t>
      </w:r>
    </w:p>
    <w:p w14:paraId="2DFFAFB7" w14:textId="6128B238" w:rsidR="00B77E5A" w:rsidRPr="000367C8" w:rsidRDefault="00B77E5A" w:rsidP="00B77E5A">
      <w:pPr>
        <w:rPr>
          <w:szCs w:val="24"/>
        </w:rPr>
      </w:pPr>
      <w:r w:rsidRPr="000367C8">
        <w:rPr>
          <w:szCs w:val="24"/>
        </w:rPr>
        <w:t xml:space="preserve">In summary there are notable differences across these different classifications. It is clear that national context </w:t>
      </w:r>
      <w:r w:rsidR="007178BF">
        <w:rPr>
          <w:szCs w:val="24"/>
        </w:rPr>
        <w:t>has</w:t>
      </w:r>
      <w:r w:rsidRPr="000367C8">
        <w:rPr>
          <w:szCs w:val="24"/>
        </w:rPr>
        <w:t xml:space="preserve"> an impact upon the opinions of citizens when it comes to ideas of democracy. The final analytical section of this chapter examines all the nation level averages against the country’s level of development.</w:t>
      </w:r>
    </w:p>
    <w:p w14:paraId="4504DE57" w14:textId="77777777" w:rsidR="00B77E5A" w:rsidRPr="005E0061" w:rsidRDefault="00B77E5A" w:rsidP="00E223A2">
      <w:pPr>
        <w:pStyle w:val="Heading4"/>
      </w:pPr>
      <w:bookmarkStart w:id="179" w:name="_Toc381717104"/>
      <w:bookmarkStart w:id="180" w:name="_Toc441069211"/>
      <w:r w:rsidRPr="005E0061">
        <w:t>Democracy and Development</w:t>
      </w:r>
      <w:bookmarkEnd w:id="179"/>
      <w:bookmarkEnd w:id="180"/>
    </w:p>
    <w:p w14:paraId="66D287CB" w14:textId="280A7A1C" w:rsidR="00B77E5A" w:rsidRPr="000367C8" w:rsidRDefault="00B77E5A" w:rsidP="00A61D4D">
      <w:r w:rsidRPr="000367C8">
        <w:t xml:space="preserve">This section provides details of each </w:t>
      </w:r>
      <w:r w:rsidR="00C12892">
        <w:t xml:space="preserve">of the 46 </w:t>
      </w:r>
      <w:r w:rsidRPr="000367C8">
        <w:t>country average</w:t>
      </w:r>
      <w:r w:rsidR="00C12892">
        <w:t>s</w:t>
      </w:r>
      <w:r w:rsidRPr="000367C8">
        <w:t xml:space="preserve"> for each question, alongside their HDI score. The detail of this is important in presenting how citizen averages group certain countries, which may be similar for some characteristics, but very different for others. Each characteristic is show</w:t>
      </w:r>
      <w:r w:rsidR="007178BF">
        <w:t>n</w:t>
      </w:r>
      <w:r w:rsidRPr="000367C8">
        <w:t xml:space="preserve"> with its own scatterplot against HDI. A correlation analysis was also run on this pairing, with the Pearson’s </w:t>
      </w:r>
      <w:r w:rsidRPr="000367C8">
        <w:rPr>
          <w:i/>
        </w:rPr>
        <w:t>r</w:t>
      </w:r>
      <w:r w:rsidRPr="000367C8">
        <w:t xml:space="preserve"> result shown on each graph. For this final discussion, the characteristics are again grouped into three categories: procedural, instrumental and authoritarian.</w:t>
      </w:r>
    </w:p>
    <w:p w14:paraId="35B06EEF" w14:textId="77777777" w:rsidR="00B77E5A" w:rsidRPr="000367C8" w:rsidRDefault="00B77E5A" w:rsidP="00E223A2">
      <w:pPr>
        <w:pStyle w:val="Heading4"/>
      </w:pPr>
      <w:bookmarkStart w:id="181" w:name="_Toc441069212"/>
      <w:r w:rsidRPr="000367C8">
        <w:t>Procedural</w:t>
      </w:r>
      <w:bookmarkEnd w:id="181"/>
    </w:p>
    <w:p w14:paraId="4C9C87C9" w14:textId="521D234F" w:rsidR="00B77E5A" w:rsidRPr="000367C8" w:rsidRDefault="00B77E5A" w:rsidP="00B77E5A">
      <w:pPr>
        <w:rPr>
          <w:szCs w:val="24"/>
        </w:rPr>
      </w:pPr>
      <w:r w:rsidRPr="000367C8">
        <w:rPr>
          <w:szCs w:val="24"/>
        </w:rPr>
        <w:t>The correlation between the procedural characteristics and level of development is strongest for the gender equali</w:t>
      </w:r>
      <w:r>
        <w:rPr>
          <w:szCs w:val="24"/>
        </w:rPr>
        <w:t>ty</w:t>
      </w:r>
      <w:r w:rsidR="00C12892">
        <w:rPr>
          <w:szCs w:val="24"/>
        </w:rPr>
        <w:t xml:space="preserve"> characteristic (see Figure 3.12</w:t>
      </w:r>
      <w:r>
        <w:rPr>
          <w:szCs w:val="24"/>
        </w:rPr>
        <w:t>), w</w:t>
      </w:r>
      <w:r w:rsidRPr="000367C8">
        <w:rPr>
          <w:szCs w:val="24"/>
        </w:rPr>
        <w:t>ith a Pearson’s r of 0.45.</w:t>
      </w:r>
      <w:r w:rsidR="00857090">
        <w:rPr>
          <w:szCs w:val="24"/>
        </w:rPr>
        <w:t xml:space="preserve"> A</w:t>
      </w:r>
      <w:r w:rsidR="00FC201E">
        <w:rPr>
          <w:szCs w:val="24"/>
        </w:rPr>
        <w:t xml:space="preserve">s HDI goes up, so too in general does the score on gender equality. </w:t>
      </w:r>
      <w:r w:rsidRPr="000367C8">
        <w:rPr>
          <w:szCs w:val="24"/>
        </w:rPr>
        <w:t xml:space="preserve">Without other controls, HDI explains a fifth of the variance in the gender equality characteristic at the national level. The outlier results from Iraqis and Malaysians can be seen in comparison to other scores, as well as the high scoring Swedes. </w:t>
      </w:r>
    </w:p>
    <w:p w14:paraId="3C5A52B6" w14:textId="396C9B14" w:rsidR="00EA5568" w:rsidRDefault="00C12892" w:rsidP="00B77E5A">
      <w:pPr>
        <w:rPr>
          <w:szCs w:val="24"/>
        </w:rPr>
      </w:pPr>
      <w:r>
        <w:rPr>
          <w:szCs w:val="24"/>
        </w:rPr>
        <w:t>In Figure 3.12</w:t>
      </w:r>
      <w:r w:rsidR="00B77E5A" w:rsidRPr="000367C8">
        <w:rPr>
          <w:szCs w:val="24"/>
        </w:rPr>
        <w:t xml:space="preserve"> is notable that other countries </w:t>
      </w:r>
      <w:r w:rsidR="00FC201E">
        <w:rPr>
          <w:szCs w:val="24"/>
        </w:rPr>
        <w:t>with lower than expected averages (according to the line of best fit)</w:t>
      </w:r>
      <w:r w:rsidR="00B77E5A" w:rsidRPr="000367C8">
        <w:rPr>
          <w:szCs w:val="24"/>
        </w:rPr>
        <w:t xml:space="preserve"> include Middle Eastern and North Africa countries such as Morroco, Egypt, Jordan and Iran.</w:t>
      </w:r>
      <w:r w:rsidR="00FC201E">
        <w:rPr>
          <w:szCs w:val="24"/>
        </w:rPr>
        <w:t xml:space="preserve"> In these countries gender inequality is seen as less essential to democracy than their HDI score might predict.</w:t>
      </w:r>
      <w:r w:rsidR="00B77E5A" w:rsidRPr="000367C8">
        <w:rPr>
          <w:szCs w:val="24"/>
        </w:rPr>
        <w:t xml:space="preserve"> These are all classed as Islamic, matching the lower score this characteristic received in </w:t>
      </w:r>
      <w:r w:rsidR="00B77E5A">
        <w:rPr>
          <w:szCs w:val="24"/>
        </w:rPr>
        <w:t>Figure 3.9</w:t>
      </w:r>
      <w:r w:rsidR="00B77E5A" w:rsidRPr="000367C8">
        <w:rPr>
          <w:szCs w:val="24"/>
        </w:rPr>
        <w:t>. In comparison, there is a wide range of results across other African nations. For instance, Ethiopia scores over 9, compared to the much lower Rwanda, Zambia and South Africa, even though they a</w:t>
      </w:r>
      <w:r>
        <w:rPr>
          <w:szCs w:val="24"/>
        </w:rPr>
        <w:t>ll have higher HDI values. Also</w:t>
      </w:r>
      <w:r w:rsidR="00B77E5A" w:rsidRPr="000367C8">
        <w:rPr>
          <w:szCs w:val="24"/>
        </w:rPr>
        <w:t xml:space="preserve"> notable is the lower scoring east Asian nations of Japan and South Korea, which although highly developed, score less than </w:t>
      </w:r>
      <w:r>
        <w:rPr>
          <w:szCs w:val="24"/>
        </w:rPr>
        <w:t>all the European countries with</w:t>
      </w:r>
      <w:r w:rsidR="00B77E5A" w:rsidRPr="000367C8">
        <w:rPr>
          <w:szCs w:val="24"/>
        </w:rPr>
        <w:t xml:space="preserve"> similar development scores.</w:t>
      </w:r>
    </w:p>
    <w:p w14:paraId="728090FA" w14:textId="2B78C234" w:rsidR="00761DC1" w:rsidRPr="003A5664" w:rsidRDefault="00761DC1" w:rsidP="00761DC1">
      <w:pPr>
        <w:pStyle w:val="Caption"/>
        <w:rPr>
          <w:rFonts w:ascii="Segoe UI" w:hAnsi="Segoe UI" w:cs="Segoe UI"/>
          <w:i w:val="0"/>
        </w:rPr>
      </w:pPr>
      <w:bookmarkStart w:id="182" w:name="_Toc494687146"/>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9</w:t>
      </w:r>
      <w:r w:rsidR="00994662" w:rsidRPr="003A5664">
        <w:rPr>
          <w:rFonts w:ascii="Segoe UI" w:hAnsi="Segoe UI" w:cs="Segoe UI"/>
          <w:i w:val="0"/>
          <w:noProof/>
        </w:rPr>
        <w:fldChar w:fldCharType="end"/>
      </w:r>
      <w:r w:rsidRPr="003A5664">
        <w:rPr>
          <w:rFonts w:ascii="Segoe UI" w:hAnsi="Segoe UI" w:cs="Segoe UI"/>
          <w:i w:val="0"/>
        </w:rPr>
        <w:t xml:space="preserve"> Elections and HDI scatterplot</w:t>
      </w:r>
      <w:bookmarkEnd w:id="182"/>
    </w:p>
    <w:p w14:paraId="75327199" w14:textId="74FA30B1" w:rsidR="006274AF" w:rsidRDefault="00B77E5A" w:rsidP="00EA5568">
      <w:pPr>
        <w:keepNext/>
        <w:tabs>
          <w:tab w:val="left" w:pos="978"/>
        </w:tabs>
        <w:spacing w:before="100" w:beforeAutospacing="1"/>
      </w:pPr>
      <w:r w:rsidRPr="000367C8">
        <w:rPr>
          <w:noProof/>
          <w:szCs w:val="24"/>
          <w:lang w:eastAsia="zh-CN"/>
        </w:rPr>
        <w:drawing>
          <wp:inline distT="0" distB="0" distL="0" distR="0" wp14:anchorId="12523C99" wp14:editId="77EB78E5">
            <wp:extent cx="5543550" cy="4074730"/>
            <wp:effectExtent l="0" t="0" r="0" b="2540"/>
            <wp:docPr id="12"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1098" cy="4072928"/>
                    </a:xfrm>
                    <a:prstGeom prst="rect">
                      <a:avLst/>
                    </a:prstGeom>
                    <a:noFill/>
                    <a:ln>
                      <a:noFill/>
                      <a:prstDash/>
                    </a:ln>
                  </pic:spPr>
                </pic:pic>
              </a:graphicData>
            </a:graphic>
          </wp:inline>
        </w:drawing>
      </w:r>
    </w:p>
    <w:p w14:paraId="692D54BE" w14:textId="254AA719" w:rsidR="006274AF" w:rsidRDefault="006274AF" w:rsidP="00761DC1">
      <w:pPr>
        <w:pStyle w:val="Caption"/>
      </w:pPr>
    </w:p>
    <w:p w14:paraId="3BF92008" w14:textId="73A41159" w:rsidR="00C12892" w:rsidRDefault="00C12892" w:rsidP="00C12892"/>
    <w:p w14:paraId="783A7AFD" w14:textId="2AB678F2" w:rsidR="00C12892" w:rsidRDefault="00C12892" w:rsidP="00C12892"/>
    <w:p w14:paraId="354A9AA1" w14:textId="3B9041DD" w:rsidR="00C12892" w:rsidRDefault="00C12892" w:rsidP="00C12892"/>
    <w:p w14:paraId="283B80AC" w14:textId="5FD1F3FF" w:rsidR="00C12892" w:rsidRDefault="00C12892" w:rsidP="00C12892"/>
    <w:p w14:paraId="148A77C6" w14:textId="77777777" w:rsidR="00C12892" w:rsidRPr="00C12892" w:rsidRDefault="00C12892" w:rsidP="00C12892"/>
    <w:p w14:paraId="3B11A5B8" w14:textId="4FB1C77C" w:rsidR="00761DC1" w:rsidRPr="003A5664" w:rsidRDefault="00761DC1" w:rsidP="00761DC1">
      <w:pPr>
        <w:pStyle w:val="Caption"/>
        <w:rPr>
          <w:rFonts w:ascii="Segoe UI" w:hAnsi="Segoe UI" w:cs="Segoe UI"/>
          <w:i w:val="0"/>
        </w:rPr>
      </w:pPr>
      <w:bookmarkStart w:id="183" w:name="_Toc494687147"/>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10</w:t>
      </w:r>
      <w:r w:rsidR="00994662" w:rsidRPr="003A5664">
        <w:rPr>
          <w:rFonts w:ascii="Segoe UI" w:hAnsi="Segoe UI" w:cs="Segoe UI"/>
          <w:i w:val="0"/>
          <w:noProof/>
        </w:rPr>
        <w:fldChar w:fldCharType="end"/>
      </w:r>
      <w:r w:rsidRPr="003A5664">
        <w:rPr>
          <w:rFonts w:ascii="Segoe UI" w:hAnsi="Segoe UI" w:cs="Segoe UI"/>
          <w:i w:val="0"/>
        </w:rPr>
        <w:t xml:space="preserve"> Referendum and HDI scatterplot</w:t>
      </w:r>
      <w:bookmarkEnd w:id="183"/>
    </w:p>
    <w:p w14:paraId="79480E3D" w14:textId="0B18F4D6" w:rsidR="00761DC1" w:rsidRPr="006274AF" w:rsidRDefault="00B77E5A" w:rsidP="006274AF">
      <w:pPr>
        <w:tabs>
          <w:tab w:val="left" w:pos="978"/>
        </w:tabs>
        <w:spacing w:before="100" w:beforeAutospacing="1"/>
        <w:rPr>
          <w:b/>
          <w:szCs w:val="24"/>
        </w:rPr>
      </w:pPr>
      <w:r w:rsidRPr="000367C8">
        <w:rPr>
          <w:noProof/>
          <w:szCs w:val="24"/>
          <w:lang w:eastAsia="zh-CN"/>
        </w:rPr>
        <w:drawing>
          <wp:inline distT="0" distB="0" distL="0" distR="0" wp14:anchorId="1F89D5B1" wp14:editId="05D79B61">
            <wp:extent cx="5476875" cy="3476625"/>
            <wp:effectExtent l="0" t="0" r="9525" b="9525"/>
            <wp:docPr id="13"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1045" cy="3479272"/>
                    </a:xfrm>
                    <a:prstGeom prst="rect">
                      <a:avLst/>
                    </a:prstGeom>
                    <a:noFill/>
                    <a:ln>
                      <a:noFill/>
                      <a:prstDash/>
                    </a:ln>
                  </pic:spPr>
                </pic:pic>
              </a:graphicData>
            </a:graphic>
          </wp:inline>
        </w:drawing>
      </w:r>
    </w:p>
    <w:p w14:paraId="5C572A40" w14:textId="24113588" w:rsidR="00761DC1" w:rsidRPr="003A5664" w:rsidRDefault="00761DC1" w:rsidP="00761DC1">
      <w:pPr>
        <w:pStyle w:val="Caption"/>
        <w:rPr>
          <w:rFonts w:ascii="Segoe UI" w:hAnsi="Segoe UI" w:cs="Segoe UI"/>
          <w:i w:val="0"/>
        </w:rPr>
      </w:pPr>
      <w:bookmarkStart w:id="184" w:name="_Toc494687148"/>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11</w:t>
      </w:r>
      <w:r w:rsidR="00994662" w:rsidRPr="003A5664">
        <w:rPr>
          <w:rFonts w:ascii="Segoe UI" w:hAnsi="Segoe UI" w:cs="Segoe UI"/>
          <w:i w:val="0"/>
          <w:noProof/>
        </w:rPr>
        <w:fldChar w:fldCharType="end"/>
      </w:r>
      <w:r w:rsidRPr="003A5664">
        <w:rPr>
          <w:rFonts w:ascii="Segoe UI" w:hAnsi="Segoe UI" w:cs="Segoe UI"/>
          <w:i w:val="0"/>
        </w:rPr>
        <w:t xml:space="preserve"> Civil Rights and HDI Scatterplot</w:t>
      </w:r>
      <w:bookmarkEnd w:id="184"/>
    </w:p>
    <w:p w14:paraId="57757A3A" w14:textId="4583BCD9" w:rsidR="006274AF" w:rsidRDefault="00B77E5A" w:rsidP="00EA5568">
      <w:pPr>
        <w:keepNext/>
        <w:tabs>
          <w:tab w:val="left" w:pos="978"/>
        </w:tabs>
        <w:spacing w:before="100" w:beforeAutospacing="1"/>
      </w:pPr>
      <w:r w:rsidRPr="000367C8">
        <w:rPr>
          <w:noProof/>
          <w:szCs w:val="24"/>
          <w:lang w:eastAsia="zh-CN"/>
        </w:rPr>
        <w:drawing>
          <wp:inline distT="0" distB="0" distL="0" distR="0" wp14:anchorId="3B7094EE" wp14:editId="79B54CEB">
            <wp:extent cx="5478780" cy="3573780"/>
            <wp:effectExtent l="0" t="0" r="7620" b="7620"/>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7188" cy="3579264"/>
                    </a:xfrm>
                    <a:prstGeom prst="rect">
                      <a:avLst/>
                    </a:prstGeom>
                    <a:noFill/>
                    <a:ln>
                      <a:noFill/>
                      <a:prstDash/>
                    </a:ln>
                  </pic:spPr>
                </pic:pic>
              </a:graphicData>
            </a:graphic>
          </wp:inline>
        </w:drawing>
      </w:r>
    </w:p>
    <w:p w14:paraId="0C4B0A5B" w14:textId="77777777" w:rsidR="00C12892" w:rsidRDefault="00C12892" w:rsidP="00C12892">
      <w:pPr>
        <w:rPr>
          <w:szCs w:val="24"/>
        </w:rPr>
      </w:pPr>
    </w:p>
    <w:p w14:paraId="69F0A486" w14:textId="065BD7CE" w:rsidR="00C12892" w:rsidRPr="00C12892" w:rsidRDefault="00C12892" w:rsidP="00C12892">
      <w:pPr>
        <w:rPr>
          <w:szCs w:val="24"/>
        </w:rPr>
      </w:pPr>
      <w:r w:rsidRPr="000367C8">
        <w:rPr>
          <w:szCs w:val="24"/>
        </w:rPr>
        <w:t>The Islamic grouping</w:t>
      </w:r>
      <w:r>
        <w:rPr>
          <w:szCs w:val="24"/>
        </w:rPr>
        <w:t xml:space="preserve"> also classes eight</w:t>
      </w:r>
      <w:r w:rsidRPr="000367C8">
        <w:rPr>
          <w:szCs w:val="24"/>
        </w:rPr>
        <w:t xml:space="preserve"> countries in the dataset as </w:t>
      </w:r>
      <w:r>
        <w:rPr>
          <w:szCs w:val="24"/>
        </w:rPr>
        <w:t>having</w:t>
      </w:r>
      <w:r w:rsidRPr="000367C8">
        <w:rPr>
          <w:szCs w:val="24"/>
        </w:rPr>
        <w:t xml:space="preserve"> Islamic regimes or</w:t>
      </w:r>
      <w:r>
        <w:rPr>
          <w:szCs w:val="24"/>
        </w:rPr>
        <w:t xml:space="preserve"> predominantly Islamic</w:t>
      </w:r>
      <w:r w:rsidRPr="000367C8">
        <w:rPr>
          <w:szCs w:val="24"/>
        </w:rPr>
        <w:t xml:space="preserve"> populations, according to Huntington‘s </w:t>
      </w:r>
      <w:r w:rsidRPr="000367C8">
        <w:rPr>
          <w:i/>
          <w:szCs w:val="24"/>
        </w:rPr>
        <w:t xml:space="preserve">Clash of Civilizations </w:t>
      </w:r>
      <w:r>
        <w:rPr>
          <w:szCs w:val="24"/>
        </w:rPr>
        <w:t>thesis.</w:t>
      </w:r>
      <w:r w:rsidRPr="000367C8">
        <w:rPr>
          <w:szCs w:val="24"/>
        </w:rPr>
        <w:t xml:space="preserve"> </w:t>
      </w:r>
      <w:r>
        <w:rPr>
          <w:szCs w:val="24"/>
        </w:rPr>
        <w:fldChar w:fldCharType="begin" w:fldLock="1"/>
      </w:r>
      <w:r>
        <w:rPr>
          <w:szCs w:val="24"/>
        </w:rPr>
        <w:instrText>ADDIN CSL_CITATION { "citationItems" : [ { "id" : "ITEM-1", "itemData" : { "author" : [ { "dropping-particle" : "", "family" : "Huntington", "given" : "Samuel P", "non-dropping-particle" : "", "parse-names" : false, "suffix" : "" } ], "id" : "ITEM-1", "issued" : { "date-parts" : [ [ "1996" ] ] }, "publisher" : "Simon &amp; Schuster", "publisher-place" : "New York", "title" : "The Clash of Civilizations and the Remaking of the World Order", "type" : "book" }, "uris" : [ "http://www.mendeley.com/documents/?uuid=3ff37773-2087-4419-833b-d558013efdbd" ] } ], "mendeley" : { "formattedCitation" : "(Huntington, 1996)", "manualFormatting" : "Huntington (1996)", "plainTextFormattedCitation" : "(Huntington, 1996)", "previouslyFormattedCitation" : "(Huntington, 1996)" }, "properties" : { "noteIndex" : 0 }, "schema" : "https://github.com/citation-style-language/schema/raw/master/csl-citation.json" }</w:instrText>
      </w:r>
      <w:r>
        <w:rPr>
          <w:szCs w:val="24"/>
        </w:rPr>
        <w:fldChar w:fldCharType="separate"/>
      </w:r>
      <w:r w:rsidRPr="006274AF">
        <w:rPr>
          <w:noProof/>
          <w:szCs w:val="24"/>
        </w:rPr>
        <w:t xml:space="preserve">Huntington </w:t>
      </w:r>
      <w:r>
        <w:rPr>
          <w:noProof/>
          <w:szCs w:val="24"/>
        </w:rPr>
        <w:t>(</w:t>
      </w:r>
      <w:r w:rsidRPr="006274AF">
        <w:rPr>
          <w:noProof/>
          <w:szCs w:val="24"/>
        </w:rPr>
        <w:t>1996)</w:t>
      </w:r>
      <w:r>
        <w:rPr>
          <w:szCs w:val="24"/>
        </w:rPr>
        <w:fldChar w:fldCharType="end"/>
      </w:r>
      <w:r w:rsidRPr="000367C8">
        <w:rPr>
          <w:szCs w:val="24"/>
        </w:rPr>
        <w:t xml:space="preserve"> argued that Islam is an obstacle to democratizati</w:t>
      </w:r>
      <w:r>
        <w:rPr>
          <w:szCs w:val="24"/>
        </w:rPr>
        <w:t xml:space="preserve">on, and so this is a simple </w:t>
      </w:r>
      <w:r w:rsidRPr="000367C8">
        <w:rPr>
          <w:szCs w:val="24"/>
        </w:rPr>
        <w:t>test to see if there any differences from citizens living in Islamic countries on their underst</w:t>
      </w:r>
      <w:r>
        <w:rPr>
          <w:szCs w:val="24"/>
        </w:rPr>
        <w:t>anding of democracy.</w:t>
      </w:r>
    </w:p>
    <w:p w14:paraId="7BA81A66" w14:textId="2E8A42B4" w:rsidR="00761DC1" w:rsidRPr="003A5664" w:rsidRDefault="00761DC1" w:rsidP="00761DC1">
      <w:pPr>
        <w:pStyle w:val="Caption"/>
        <w:rPr>
          <w:rFonts w:ascii="Segoe UI" w:hAnsi="Segoe UI" w:cs="Segoe UI"/>
          <w:i w:val="0"/>
        </w:rPr>
      </w:pPr>
      <w:bookmarkStart w:id="185" w:name="_Toc494687149"/>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12</w:t>
      </w:r>
      <w:r w:rsidR="00994662" w:rsidRPr="003A5664">
        <w:rPr>
          <w:rFonts w:ascii="Segoe UI" w:hAnsi="Segoe UI" w:cs="Segoe UI"/>
          <w:i w:val="0"/>
          <w:noProof/>
        </w:rPr>
        <w:fldChar w:fldCharType="end"/>
      </w:r>
      <w:r w:rsidRPr="003A5664">
        <w:rPr>
          <w:rFonts w:ascii="Segoe UI" w:hAnsi="Segoe UI" w:cs="Segoe UI"/>
          <w:i w:val="0"/>
        </w:rPr>
        <w:t xml:space="preserve"> Equality and HDI Scatterplot</w:t>
      </w:r>
      <w:bookmarkEnd w:id="185"/>
    </w:p>
    <w:p w14:paraId="7B09ABD2" w14:textId="77777777" w:rsidR="00B77E5A" w:rsidRPr="005E0061" w:rsidRDefault="00B77E5A" w:rsidP="00B77E5A">
      <w:pPr>
        <w:tabs>
          <w:tab w:val="left" w:pos="978"/>
        </w:tabs>
        <w:spacing w:before="100" w:beforeAutospacing="1"/>
        <w:rPr>
          <w:b/>
          <w:szCs w:val="24"/>
        </w:rPr>
      </w:pPr>
      <w:r w:rsidRPr="000367C8">
        <w:rPr>
          <w:noProof/>
          <w:szCs w:val="24"/>
          <w:lang w:eastAsia="zh-CN"/>
        </w:rPr>
        <w:drawing>
          <wp:inline distT="0" distB="0" distL="0" distR="0" wp14:anchorId="64B63B1B" wp14:editId="3E06771D">
            <wp:extent cx="5678905" cy="3926874"/>
            <wp:effectExtent l="0" t="0" r="0" b="0"/>
            <wp:docPr id="1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79865" cy="3927538"/>
                    </a:xfrm>
                    <a:prstGeom prst="rect">
                      <a:avLst/>
                    </a:prstGeom>
                    <a:noFill/>
                    <a:ln>
                      <a:noFill/>
                      <a:prstDash/>
                    </a:ln>
                  </pic:spPr>
                </pic:pic>
              </a:graphicData>
            </a:graphic>
          </wp:inline>
        </w:drawing>
      </w:r>
    </w:p>
    <w:p w14:paraId="3E5CB3D7" w14:textId="77777777" w:rsidR="00EA5568" w:rsidRDefault="00EA5568" w:rsidP="00EA5568">
      <w:pPr>
        <w:rPr>
          <w:szCs w:val="24"/>
        </w:rPr>
      </w:pPr>
      <w:bookmarkStart w:id="186" w:name="_Toc441069213"/>
      <w:bookmarkStart w:id="187" w:name="_Toc380513902"/>
      <w:bookmarkStart w:id="188" w:name="_Toc380995541"/>
      <w:bookmarkStart w:id="189" w:name="_Toc381100518"/>
      <w:r w:rsidRPr="000367C8">
        <w:rPr>
          <w:szCs w:val="24"/>
        </w:rPr>
        <w:t>The higher score for Communist or former communist countries is also clear, with a high-scoring cluster of China, Georgia, Romania, Russia, Vietnam and Poland, whose citizens score this characteristic an average of higher than 9.</w:t>
      </w:r>
    </w:p>
    <w:p w14:paraId="056C2649" w14:textId="61568DE9" w:rsidR="00EA5568" w:rsidRDefault="00EA5568" w:rsidP="00EA5568">
      <w:pPr>
        <w:rPr>
          <w:szCs w:val="24"/>
        </w:rPr>
      </w:pPr>
      <w:r>
        <w:rPr>
          <w:szCs w:val="24"/>
        </w:rPr>
        <w:t>The electio</w:t>
      </w:r>
      <w:r w:rsidR="00C12892">
        <w:rPr>
          <w:szCs w:val="24"/>
        </w:rPr>
        <w:t>ns characteristic in Figure 3.9</w:t>
      </w:r>
      <w:r>
        <w:rPr>
          <w:szCs w:val="24"/>
        </w:rPr>
        <w:t xml:space="preserve"> has</w:t>
      </w:r>
      <w:r w:rsidRPr="000367C8">
        <w:rPr>
          <w:szCs w:val="24"/>
        </w:rPr>
        <w:t xml:space="preserve"> a P</w:t>
      </w:r>
      <w:r>
        <w:rPr>
          <w:szCs w:val="24"/>
        </w:rPr>
        <w:t xml:space="preserve">earson’s r correlation of 0.23 with HDI and </w:t>
      </w:r>
      <w:r w:rsidRPr="000367C8">
        <w:rPr>
          <w:szCs w:val="24"/>
        </w:rPr>
        <w:t xml:space="preserve">shows </w:t>
      </w:r>
      <w:r>
        <w:rPr>
          <w:szCs w:val="24"/>
        </w:rPr>
        <w:t>the</w:t>
      </w:r>
      <w:r w:rsidRPr="000367C8">
        <w:rPr>
          <w:szCs w:val="24"/>
        </w:rPr>
        <w:t xml:space="preserve"> </w:t>
      </w:r>
      <w:r>
        <w:rPr>
          <w:szCs w:val="24"/>
        </w:rPr>
        <w:t>t</w:t>
      </w:r>
      <w:r w:rsidRPr="000367C8">
        <w:rPr>
          <w:szCs w:val="24"/>
        </w:rPr>
        <w:t>ight bunching together of most results</w:t>
      </w:r>
      <w:r>
        <w:rPr>
          <w:szCs w:val="24"/>
        </w:rPr>
        <w:t xml:space="preserve"> between scores of 8 and 9, as would we expect from the results in the box-plot</w:t>
      </w:r>
      <w:r w:rsidRPr="000367C8">
        <w:rPr>
          <w:szCs w:val="24"/>
        </w:rPr>
        <w:t>. The other outliers are those picked up on the box plots; on average Malaysian and Thai citizens score this result much lower than other citizens</w:t>
      </w:r>
      <w:r>
        <w:rPr>
          <w:szCs w:val="24"/>
        </w:rPr>
        <w:t>, and much lower than citizens in other states with similar levels of HDI</w:t>
      </w:r>
      <w:r w:rsidRPr="000367C8">
        <w:rPr>
          <w:szCs w:val="24"/>
        </w:rPr>
        <w:t>.</w:t>
      </w:r>
    </w:p>
    <w:p w14:paraId="21057691" w14:textId="77777777" w:rsidR="00EA5568" w:rsidRDefault="00EA5568" w:rsidP="00EA5568">
      <w:pPr>
        <w:rPr>
          <w:szCs w:val="24"/>
        </w:rPr>
      </w:pPr>
      <w:r w:rsidRPr="000367C8">
        <w:rPr>
          <w:szCs w:val="24"/>
        </w:rPr>
        <w:t>The remaining procedural characteristi</w:t>
      </w:r>
      <w:r>
        <w:rPr>
          <w:szCs w:val="24"/>
        </w:rPr>
        <w:t xml:space="preserve">cs had much weaker correlations with HDI. </w:t>
      </w:r>
      <w:r w:rsidRPr="000367C8">
        <w:rPr>
          <w:szCs w:val="24"/>
        </w:rPr>
        <w:t>The civil rights correlation result is on</w:t>
      </w:r>
      <w:r>
        <w:rPr>
          <w:szCs w:val="24"/>
        </w:rPr>
        <w:t>ly 0.05, suggesting that HDI has</w:t>
      </w:r>
      <w:r w:rsidRPr="000367C8">
        <w:rPr>
          <w:szCs w:val="24"/>
        </w:rPr>
        <w:t xml:space="preserve"> limited explanatory power. Indeed, it can be seen that citizens living in countries with </w:t>
      </w:r>
      <w:r>
        <w:rPr>
          <w:szCs w:val="24"/>
        </w:rPr>
        <w:t xml:space="preserve">HDI </w:t>
      </w:r>
      <w:r w:rsidRPr="000367C8">
        <w:rPr>
          <w:szCs w:val="24"/>
        </w:rPr>
        <w:t>scores around 0.6 (China, Indonesia, Vietnam and Egypt) have the same understanding of how essential civil rights are in a democracy as citizens in countries with a</w:t>
      </w:r>
      <w:r>
        <w:rPr>
          <w:szCs w:val="24"/>
        </w:rPr>
        <w:t>n HDI</w:t>
      </w:r>
      <w:r w:rsidRPr="000367C8">
        <w:rPr>
          <w:szCs w:val="24"/>
        </w:rPr>
        <w:t xml:space="preserve"> score of 0.9 (Sweden, Germany, Netherlands and Switzerland). In fact, those in less developed countries often score this characteristic </w:t>
      </w:r>
      <w:r w:rsidRPr="000367C8">
        <w:rPr>
          <w:i/>
          <w:szCs w:val="24"/>
        </w:rPr>
        <w:t>higher</w:t>
      </w:r>
      <w:r w:rsidRPr="000367C8">
        <w:rPr>
          <w:szCs w:val="24"/>
        </w:rPr>
        <w:t xml:space="preserve">. An interesting comparison is that Chinese citizens score civil rights on average </w:t>
      </w:r>
      <w:r>
        <w:rPr>
          <w:szCs w:val="24"/>
        </w:rPr>
        <w:t xml:space="preserve">at </w:t>
      </w:r>
      <w:r w:rsidRPr="000367C8">
        <w:rPr>
          <w:szCs w:val="24"/>
        </w:rPr>
        <w:t>8.7, whereas British, Australian, Japanese and South Korean citizens score it an average of 7.5 or less.</w:t>
      </w:r>
      <w:r>
        <w:rPr>
          <w:szCs w:val="24"/>
        </w:rPr>
        <w:t xml:space="preserve"> This could suggest that having experience of democracy is not necessarily a precursor for believing that civil rights are an essential element of democracy.</w:t>
      </w:r>
    </w:p>
    <w:p w14:paraId="40A2BDEB" w14:textId="6EB3C9F2" w:rsidR="00EA5568" w:rsidRPr="00EA5568" w:rsidRDefault="00EA5568" w:rsidP="00EA5568">
      <w:pPr>
        <w:rPr>
          <w:szCs w:val="24"/>
        </w:rPr>
      </w:pPr>
      <w:r w:rsidRPr="000367C8">
        <w:rPr>
          <w:szCs w:val="24"/>
        </w:rPr>
        <w:t xml:space="preserve">Finally, the referendum characteristic shows no pattern with HDI, although there is a wide scatter of results. For the most developed countries there is a range of averages from over 9 for Swiss respondents down to 7.1 for British respondents. This </w:t>
      </w:r>
      <w:r>
        <w:rPr>
          <w:szCs w:val="24"/>
        </w:rPr>
        <w:t>could</w:t>
      </w:r>
      <w:r w:rsidRPr="000367C8">
        <w:rPr>
          <w:szCs w:val="24"/>
        </w:rPr>
        <w:t xml:space="preserve"> reflect the voting system in Switzerland which runs regular r</w:t>
      </w:r>
      <w:r>
        <w:rPr>
          <w:szCs w:val="24"/>
        </w:rPr>
        <w:t>eferendums at the Canton level.</w:t>
      </w:r>
    </w:p>
    <w:p w14:paraId="0DF033E2" w14:textId="77777777" w:rsidR="00B77E5A" w:rsidRPr="000367C8" w:rsidRDefault="00B77E5A" w:rsidP="00EA5568">
      <w:pPr>
        <w:pStyle w:val="Heading4"/>
      </w:pPr>
      <w:r w:rsidRPr="000367C8">
        <w:t xml:space="preserve">Instrumental </w:t>
      </w:r>
      <w:r w:rsidRPr="005A26EB">
        <w:t>Characteristics</w:t>
      </w:r>
      <w:bookmarkEnd w:id="186"/>
    </w:p>
    <w:p w14:paraId="530329A9" w14:textId="77777777" w:rsidR="00B77E5A" w:rsidRPr="000367C8" w:rsidRDefault="00B77E5A" w:rsidP="00B77E5A">
      <w:pPr>
        <w:rPr>
          <w:szCs w:val="24"/>
        </w:rPr>
      </w:pPr>
      <w:r w:rsidRPr="000367C8">
        <w:rPr>
          <w:szCs w:val="24"/>
        </w:rPr>
        <w:t>For the instrumental characteristics the HDI relationship is strong and negative for economy and punishment (populist ideals) but not for taxation or state aid (social democratic ideals).</w:t>
      </w:r>
    </w:p>
    <w:p w14:paraId="3B6219F4" w14:textId="30E3537E" w:rsidR="00B77E5A" w:rsidRPr="000367C8" w:rsidRDefault="00B77E5A" w:rsidP="00B77E5A">
      <w:pPr>
        <w:rPr>
          <w:szCs w:val="24"/>
        </w:rPr>
      </w:pPr>
      <w:r w:rsidRPr="000367C8">
        <w:rPr>
          <w:szCs w:val="24"/>
        </w:rPr>
        <w:t>For the prospering economy ideal</w:t>
      </w:r>
      <w:r w:rsidR="004F34C5">
        <w:rPr>
          <w:szCs w:val="24"/>
        </w:rPr>
        <w:t xml:space="preserve"> (F</w:t>
      </w:r>
      <w:r>
        <w:rPr>
          <w:szCs w:val="24"/>
        </w:rPr>
        <w:t>igure 3</w:t>
      </w:r>
      <w:r w:rsidR="00C12892">
        <w:rPr>
          <w:szCs w:val="24"/>
        </w:rPr>
        <w:t>.13</w:t>
      </w:r>
      <w:r>
        <w:rPr>
          <w:szCs w:val="24"/>
        </w:rPr>
        <w:t>)</w:t>
      </w:r>
      <w:r w:rsidRPr="000367C8">
        <w:rPr>
          <w:szCs w:val="24"/>
        </w:rPr>
        <w:t xml:space="preserve">, the Pearson’s r </w:t>
      </w:r>
      <w:r w:rsidR="000D2B30">
        <w:rPr>
          <w:szCs w:val="24"/>
        </w:rPr>
        <w:t>with HDI</w:t>
      </w:r>
      <w:r w:rsidR="000D2B30" w:rsidRPr="000367C8">
        <w:rPr>
          <w:szCs w:val="24"/>
        </w:rPr>
        <w:t xml:space="preserve"> </w:t>
      </w:r>
      <w:r w:rsidRPr="000367C8">
        <w:rPr>
          <w:szCs w:val="24"/>
        </w:rPr>
        <w:t>is -0.36; citizens in more developed coun</w:t>
      </w:r>
      <w:r>
        <w:rPr>
          <w:szCs w:val="24"/>
        </w:rPr>
        <w:t>tries score this lower, suggesting a “purer” understanding</w:t>
      </w:r>
      <w:r w:rsidRPr="000367C8">
        <w:rPr>
          <w:szCs w:val="24"/>
        </w:rPr>
        <w:t xml:space="preserve"> </w:t>
      </w:r>
      <w:r>
        <w:rPr>
          <w:szCs w:val="24"/>
        </w:rPr>
        <w:t xml:space="preserve">of </w:t>
      </w:r>
      <w:r w:rsidRPr="000367C8">
        <w:rPr>
          <w:szCs w:val="24"/>
        </w:rPr>
        <w:t>liberal democratic theory</w:t>
      </w:r>
      <w:r>
        <w:rPr>
          <w:szCs w:val="24"/>
        </w:rPr>
        <w:t xml:space="preserve"> which does not require populist policies</w:t>
      </w:r>
      <w:r w:rsidRPr="000367C8">
        <w:rPr>
          <w:szCs w:val="24"/>
        </w:rPr>
        <w:t>. The Scandinavian countries score this the lowest; both Swedish and Norwegian citizens score this an average of less than 6. Other European countries score round 7, with former or currently communist countries producing a higher scoring group of 8 or more, and Romanians and Russians scoring as highs as 9.5. Respondents in Indonesia, Egypt, Jordan and Vietnam all score this characteristic high: we can start to see that these particular countries score a number of characteristics quite differently to the overall average results.</w:t>
      </w:r>
    </w:p>
    <w:p w14:paraId="1EB943BA" w14:textId="77777777" w:rsidR="00C12892" w:rsidRDefault="00C12892" w:rsidP="00761DC1">
      <w:pPr>
        <w:pStyle w:val="Caption"/>
      </w:pPr>
    </w:p>
    <w:p w14:paraId="2706A600" w14:textId="77777777" w:rsidR="00C12892" w:rsidRDefault="00C12892" w:rsidP="00761DC1">
      <w:pPr>
        <w:pStyle w:val="Caption"/>
      </w:pPr>
    </w:p>
    <w:p w14:paraId="78334211" w14:textId="77777777" w:rsidR="00C12892" w:rsidRDefault="00C12892" w:rsidP="00761DC1">
      <w:pPr>
        <w:pStyle w:val="Caption"/>
      </w:pPr>
    </w:p>
    <w:p w14:paraId="74AA4423" w14:textId="77777777" w:rsidR="00C12892" w:rsidRDefault="00C12892" w:rsidP="00761DC1">
      <w:pPr>
        <w:pStyle w:val="Caption"/>
      </w:pPr>
    </w:p>
    <w:p w14:paraId="0263C4BA" w14:textId="1A060994" w:rsidR="00761DC1" w:rsidRPr="003A5664" w:rsidRDefault="00761DC1" w:rsidP="00761DC1">
      <w:pPr>
        <w:pStyle w:val="Caption"/>
        <w:rPr>
          <w:rFonts w:ascii="Segoe UI" w:hAnsi="Segoe UI" w:cs="Segoe UI"/>
          <w:i w:val="0"/>
        </w:rPr>
      </w:pPr>
      <w:bookmarkStart w:id="190" w:name="_Toc494687150"/>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13</w:t>
      </w:r>
      <w:r w:rsidR="00994662" w:rsidRPr="003A5664">
        <w:rPr>
          <w:rFonts w:ascii="Segoe UI" w:hAnsi="Segoe UI" w:cs="Segoe UI"/>
          <w:i w:val="0"/>
          <w:noProof/>
        </w:rPr>
        <w:fldChar w:fldCharType="end"/>
      </w:r>
      <w:r w:rsidRPr="003A5664">
        <w:rPr>
          <w:rFonts w:ascii="Segoe UI" w:hAnsi="Segoe UI" w:cs="Segoe UI"/>
          <w:i w:val="0"/>
        </w:rPr>
        <w:t xml:space="preserve"> Economy and HDI Scatterplot</w:t>
      </w:r>
      <w:bookmarkEnd w:id="190"/>
    </w:p>
    <w:p w14:paraId="10EA6707" w14:textId="19FEAE30" w:rsidR="006274AF" w:rsidRPr="00C12892" w:rsidRDefault="00B77E5A" w:rsidP="00C12892">
      <w:pPr>
        <w:spacing w:before="100" w:beforeAutospacing="1"/>
        <w:rPr>
          <w:b/>
          <w:szCs w:val="24"/>
        </w:rPr>
      </w:pPr>
      <w:r w:rsidRPr="000367C8">
        <w:rPr>
          <w:noProof/>
          <w:szCs w:val="24"/>
          <w:lang w:eastAsia="zh-CN"/>
        </w:rPr>
        <w:drawing>
          <wp:inline distT="0" distB="0" distL="0" distR="0" wp14:anchorId="19147A7D" wp14:editId="41ABD6EA">
            <wp:extent cx="5630779" cy="3994484"/>
            <wp:effectExtent l="0" t="0" r="8255" b="6350"/>
            <wp:docPr id="17"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33528" cy="3996434"/>
                    </a:xfrm>
                    <a:prstGeom prst="rect">
                      <a:avLst/>
                    </a:prstGeom>
                    <a:noFill/>
                    <a:ln>
                      <a:noFill/>
                      <a:prstDash/>
                    </a:ln>
                  </pic:spPr>
                </pic:pic>
              </a:graphicData>
            </a:graphic>
          </wp:inline>
        </w:drawing>
      </w:r>
    </w:p>
    <w:p w14:paraId="285BBFD8" w14:textId="3C5F760C" w:rsidR="00761DC1" w:rsidRPr="003A5664" w:rsidRDefault="00761DC1" w:rsidP="00761DC1">
      <w:pPr>
        <w:pStyle w:val="Caption"/>
        <w:rPr>
          <w:rFonts w:ascii="Segoe UI" w:hAnsi="Segoe UI" w:cs="Segoe UI"/>
          <w:i w:val="0"/>
        </w:rPr>
      </w:pPr>
      <w:bookmarkStart w:id="191" w:name="_Toc494687151"/>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14</w:t>
      </w:r>
      <w:r w:rsidR="00994662" w:rsidRPr="003A5664">
        <w:rPr>
          <w:rFonts w:ascii="Segoe UI" w:hAnsi="Segoe UI" w:cs="Segoe UI"/>
          <w:i w:val="0"/>
          <w:noProof/>
        </w:rPr>
        <w:fldChar w:fldCharType="end"/>
      </w:r>
      <w:r w:rsidRPr="003A5664">
        <w:rPr>
          <w:rFonts w:ascii="Segoe UI" w:hAnsi="Segoe UI" w:cs="Segoe UI"/>
          <w:i w:val="0"/>
        </w:rPr>
        <w:t xml:space="preserve"> Punishment and HDI Scatterplot</w:t>
      </w:r>
      <w:bookmarkEnd w:id="191"/>
    </w:p>
    <w:p w14:paraId="62DB7FBB" w14:textId="77777777" w:rsidR="00B77E5A" w:rsidRPr="000367C8" w:rsidRDefault="00B77E5A" w:rsidP="00B77E5A">
      <w:pPr>
        <w:spacing w:before="100" w:beforeAutospacing="1"/>
        <w:rPr>
          <w:szCs w:val="24"/>
        </w:rPr>
      </w:pPr>
      <w:r w:rsidRPr="000367C8">
        <w:rPr>
          <w:noProof/>
          <w:szCs w:val="24"/>
          <w:lang w:eastAsia="zh-CN"/>
        </w:rPr>
        <w:drawing>
          <wp:inline distT="0" distB="0" distL="0" distR="0" wp14:anchorId="7860B01D" wp14:editId="4843A602">
            <wp:extent cx="5657850" cy="3819525"/>
            <wp:effectExtent l="0" t="0" r="0" b="9525"/>
            <wp:docPr id="18"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55348" cy="3817836"/>
                    </a:xfrm>
                    <a:prstGeom prst="rect">
                      <a:avLst/>
                    </a:prstGeom>
                    <a:noFill/>
                    <a:ln>
                      <a:noFill/>
                      <a:prstDash/>
                    </a:ln>
                  </pic:spPr>
                </pic:pic>
              </a:graphicData>
            </a:graphic>
          </wp:inline>
        </w:drawing>
      </w:r>
    </w:p>
    <w:p w14:paraId="19C026F7" w14:textId="3FE07735" w:rsidR="00761DC1" w:rsidRPr="003A5664" w:rsidRDefault="00761DC1" w:rsidP="00761DC1">
      <w:pPr>
        <w:pStyle w:val="Caption"/>
        <w:rPr>
          <w:rFonts w:ascii="Segoe UI" w:hAnsi="Segoe UI" w:cs="Segoe UI"/>
          <w:i w:val="0"/>
        </w:rPr>
      </w:pPr>
      <w:bookmarkStart w:id="192" w:name="_Toc494687152"/>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15</w:t>
      </w:r>
      <w:r w:rsidR="00994662" w:rsidRPr="003A5664">
        <w:rPr>
          <w:rFonts w:ascii="Segoe UI" w:hAnsi="Segoe UI" w:cs="Segoe UI"/>
          <w:i w:val="0"/>
          <w:noProof/>
        </w:rPr>
        <w:fldChar w:fldCharType="end"/>
      </w:r>
      <w:r w:rsidRPr="003A5664">
        <w:rPr>
          <w:rFonts w:ascii="Segoe UI" w:hAnsi="Segoe UI" w:cs="Segoe UI"/>
          <w:i w:val="0"/>
        </w:rPr>
        <w:t xml:space="preserve"> State Aid and HDI Scatterplot</w:t>
      </w:r>
      <w:bookmarkEnd w:id="192"/>
    </w:p>
    <w:p w14:paraId="7BA39922" w14:textId="77777777" w:rsidR="00B77E5A" w:rsidRPr="000367C8" w:rsidRDefault="00B77E5A" w:rsidP="00B77E5A">
      <w:pPr>
        <w:spacing w:before="100" w:beforeAutospacing="1"/>
        <w:rPr>
          <w:szCs w:val="24"/>
        </w:rPr>
      </w:pPr>
      <w:r w:rsidRPr="000367C8">
        <w:rPr>
          <w:noProof/>
          <w:szCs w:val="24"/>
          <w:lang w:eastAsia="zh-CN"/>
        </w:rPr>
        <w:drawing>
          <wp:inline distT="0" distB="0" distL="0" distR="0" wp14:anchorId="35F673B9" wp14:editId="4AC25361">
            <wp:extent cx="5486400" cy="3753552"/>
            <wp:effectExtent l="0" t="0" r="0" b="0"/>
            <wp:docPr id="1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91457" cy="3757012"/>
                    </a:xfrm>
                    <a:prstGeom prst="rect">
                      <a:avLst/>
                    </a:prstGeom>
                    <a:noFill/>
                    <a:ln>
                      <a:noFill/>
                      <a:prstDash/>
                    </a:ln>
                  </pic:spPr>
                </pic:pic>
              </a:graphicData>
            </a:graphic>
          </wp:inline>
        </w:drawing>
      </w:r>
    </w:p>
    <w:p w14:paraId="4E36B186" w14:textId="2DD8AF23" w:rsidR="00761DC1" w:rsidRPr="003A5664" w:rsidRDefault="00761DC1" w:rsidP="00761DC1">
      <w:pPr>
        <w:pStyle w:val="Caption"/>
        <w:rPr>
          <w:rFonts w:ascii="Segoe UI" w:hAnsi="Segoe UI" w:cs="Segoe UI"/>
          <w:i w:val="0"/>
        </w:rPr>
      </w:pPr>
      <w:bookmarkStart w:id="193" w:name="_Toc494687153"/>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16</w:t>
      </w:r>
      <w:r w:rsidR="00994662" w:rsidRPr="003A5664">
        <w:rPr>
          <w:rFonts w:ascii="Segoe UI" w:hAnsi="Segoe UI" w:cs="Segoe UI"/>
          <w:i w:val="0"/>
          <w:noProof/>
        </w:rPr>
        <w:fldChar w:fldCharType="end"/>
      </w:r>
      <w:r w:rsidRPr="003A5664">
        <w:rPr>
          <w:rFonts w:ascii="Segoe UI" w:hAnsi="Segoe UI" w:cs="Segoe UI"/>
          <w:i w:val="0"/>
        </w:rPr>
        <w:t xml:space="preserve"> Tax and HDI Scatterplot</w:t>
      </w:r>
      <w:bookmarkEnd w:id="193"/>
    </w:p>
    <w:p w14:paraId="23454B68" w14:textId="77777777" w:rsidR="00B77E5A" w:rsidRPr="000367C8" w:rsidRDefault="00B77E5A" w:rsidP="00B77E5A">
      <w:pPr>
        <w:spacing w:before="100" w:beforeAutospacing="1"/>
        <w:rPr>
          <w:szCs w:val="24"/>
        </w:rPr>
      </w:pPr>
      <w:r w:rsidRPr="000367C8">
        <w:rPr>
          <w:noProof/>
          <w:szCs w:val="24"/>
          <w:lang w:eastAsia="zh-CN"/>
        </w:rPr>
        <w:drawing>
          <wp:inline distT="0" distB="0" distL="0" distR="0" wp14:anchorId="1C057B8B" wp14:editId="19614C08">
            <wp:extent cx="5731514" cy="4168136"/>
            <wp:effectExtent l="0" t="0" r="2536" b="3814"/>
            <wp:docPr id="2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4" cy="4168136"/>
                    </a:xfrm>
                    <a:prstGeom prst="rect">
                      <a:avLst/>
                    </a:prstGeom>
                    <a:noFill/>
                    <a:ln>
                      <a:noFill/>
                      <a:prstDash/>
                    </a:ln>
                  </pic:spPr>
                </pic:pic>
              </a:graphicData>
            </a:graphic>
          </wp:inline>
        </w:drawing>
      </w:r>
    </w:p>
    <w:p w14:paraId="773CF665" w14:textId="77777777" w:rsidR="00C12892" w:rsidRDefault="00C12892" w:rsidP="00C12892">
      <w:pPr>
        <w:rPr>
          <w:szCs w:val="24"/>
        </w:rPr>
      </w:pPr>
      <w:r w:rsidRPr="000367C8">
        <w:rPr>
          <w:szCs w:val="24"/>
        </w:rPr>
        <w:t>The relationship between punishment and HDI is also negative</w:t>
      </w:r>
      <w:r>
        <w:rPr>
          <w:szCs w:val="24"/>
        </w:rPr>
        <w:t xml:space="preserve"> (Figure 3.14)</w:t>
      </w:r>
      <w:r w:rsidRPr="000367C8">
        <w:rPr>
          <w:szCs w:val="24"/>
        </w:rPr>
        <w:t xml:space="preserve">, and of similar strength to the economy characteristic. In terms of aligning with the theoretical expectations of liberal democratic theory, it is again the Scandinavian countries which are closest, although also amongst the low scorers are citizens from Brazil and Mexico. In authoritarian regimes it can clearly be seen that this characteristic is </w:t>
      </w:r>
      <w:r>
        <w:rPr>
          <w:szCs w:val="24"/>
        </w:rPr>
        <w:t>understood as central to democracy</w:t>
      </w:r>
      <w:r w:rsidRPr="000367C8">
        <w:rPr>
          <w:szCs w:val="24"/>
        </w:rPr>
        <w:t xml:space="preserve"> </w:t>
      </w:r>
      <w:r>
        <w:rPr>
          <w:szCs w:val="24"/>
        </w:rPr>
        <w:t>by</w:t>
      </w:r>
      <w:r w:rsidRPr="000367C8">
        <w:rPr>
          <w:szCs w:val="24"/>
        </w:rPr>
        <w:t xml:space="preserve"> citizens</w:t>
      </w:r>
      <w:r>
        <w:rPr>
          <w:szCs w:val="24"/>
        </w:rPr>
        <w:t xml:space="preserve"> in</w:t>
      </w:r>
      <w:r w:rsidRPr="000367C8">
        <w:rPr>
          <w:szCs w:val="24"/>
        </w:rPr>
        <w:t xml:space="preserve"> Vietnam, China, Jordan, Iraq and Russia</w:t>
      </w:r>
      <w:r>
        <w:rPr>
          <w:szCs w:val="24"/>
        </w:rPr>
        <w:t>, who</w:t>
      </w:r>
      <w:r w:rsidRPr="000367C8">
        <w:rPr>
          <w:szCs w:val="24"/>
        </w:rPr>
        <w:t xml:space="preserve"> score</w:t>
      </w:r>
      <w:r>
        <w:rPr>
          <w:szCs w:val="24"/>
        </w:rPr>
        <w:t xml:space="preserve"> it</w:t>
      </w:r>
      <w:r w:rsidRPr="000367C8">
        <w:rPr>
          <w:szCs w:val="24"/>
        </w:rPr>
        <w:t xml:space="preserve"> highly.</w:t>
      </w:r>
    </w:p>
    <w:p w14:paraId="0B7F27BA" w14:textId="67110AC0" w:rsidR="006274AF" w:rsidRPr="00EA5568" w:rsidRDefault="006E76DB" w:rsidP="00EA5568">
      <w:pPr>
        <w:rPr>
          <w:szCs w:val="24"/>
        </w:rPr>
      </w:pPr>
      <w:r>
        <w:rPr>
          <w:szCs w:val="24"/>
        </w:rPr>
        <w:t>As the relationship with HDI appears almost non-existent for the state aid characteristic, what is p</w:t>
      </w:r>
      <w:r w:rsidR="00B77E5A" w:rsidRPr="000367C8">
        <w:rPr>
          <w:szCs w:val="24"/>
        </w:rPr>
        <w:t xml:space="preserve">erhaps the strongest pattern </w:t>
      </w:r>
      <w:r>
        <w:rPr>
          <w:szCs w:val="24"/>
        </w:rPr>
        <w:t>here</w:t>
      </w:r>
      <w:r w:rsidR="00EA5568">
        <w:rPr>
          <w:szCs w:val="24"/>
        </w:rPr>
        <w:t xml:space="preserve"> (F</w:t>
      </w:r>
      <w:r w:rsidR="00C12892">
        <w:rPr>
          <w:szCs w:val="24"/>
        </w:rPr>
        <w:t>igure 3.15</w:t>
      </w:r>
      <w:r w:rsidR="00B77E5A">
        <w:rPr>
          <w:szCs w:val="24"/>
        </w:rPr>
        <w:t>)</w:t>
      </w:r>
      <w:r w:rsidR="00B77E5A" w:rsidRPr="000367C8">
        <w:rPr>
          <w:szCs w:val="24"/>
        </w:rPr>
        <w:t xml:space="preserve"> is the clustering of communist and former communist countries at the higher end of the scale, and a combination of Latin American, African and some </w:t>
      </w:r>
      <w:r w:rsidR="00EA5568">
        <w:rPr>
          <w:szCs w:val="24"/>
        </w:rPr>
        <w:t>English-speaking</w:t>
      </w:r>
      <w:r w:rsidR="00B77E5A" w:rsidRPr="000367C8">
        <w:rPr>
          <w:szCs w:val="24"/>
        </w:rPr>
        <w:t xml:space="preserve"> democracies at the lower end of the scale</w:t>
      </w:r>
      <w:r w:rsidR="00210081">
        <w:rPr>
          <w:szCs w:val="24"/>
        </w:rPr>
        <w:t>.</w:t>
      </w:r>
      <w:r w:rsidR="00EA5568">
        <w:rPr>
          <w:szCs w:val="24"/>
        </w:rPr>
        <w:t xml:space="preserve"> </w:t>
      </w:r>
      <w:r w:rsidR="00210081">
        <w:rPr>
          <w:szCs w:val="24"/>
        </w:rPr>
        <w:t>The placement of UK, USA and Australia here</w:t>
      </w:r>
      <w:r w:rsidR="00EA5568">
        <w:rPr>
          <w:szCs w:val="24"/>
        </w:rPr>
        <w:t xml:space="preserve"> this could mirror welfare </w:t>
      </w:r>
      <w:r w:rsidR="004F34C5">
        <w:rPr>
          <w:szCs w:val="24"/>
        </w:rPr>
        <w:t>retrenchment</w:t>
      </w:r>
      <w:r w:rsidR="00EA5568">
        <w:rPr>
          <w:szCs w:val="24"/>
        </w:rPr>
        <w:t xml:space="preserve"> policies in these countries since the 1980s</w:t>
      </w:r>
      <w:r w:rsidR="00210081">
        <w:rPr>
          <w:szCs w:val="24"/>
        </w:rPr>
        <w:t xml:space="preserve">. They also share the ‘liberal’ classification of welfare according to Esping-Anderson’s famous schema </w:t>
      </w:r>
      <w:r w:rsidR="00210081">
        <w:rPr>
          <w:szCs w:val="24"/>
        </w:rPr>
        <w:fldChar w:fldCharType="begin" w:fldLock="1"/>
      </w:r>
      <w:r w:rsidR="00E63CC6">
        <w:rPr>
          <w:szCs w:val="24"/>
        </w:rPr>
        <w:instrText>ADDIN CSL_CITATION { "citationItems" : [ { "id" : "ITEM-1", "itemData" : { "author" : [ { "dropping-particle" : "", "family" : "Esping-Anderson", "given" : "G", "non-dropping-particle" : "", "parse-names" : false, "suffix" : "" } ], "id" : "ITEM-1", "issued" : { "date-parts" : [ [ "1990" ] ] }, "publisher" : "Princeton University Press", "publisher-place" : "New Jersey", "title" : "The three worlds of welfare capitalism", "type" : "book" }, "uris" : [ "http://www.mendeley.com/documents/?uuid=b6afa16a-6c39-4684-8443-24ea06cd00a5" ] } ], "mendeley" : { "formattedCitation" : "(Esping-Anderson, 1990)", "manualFormatting" : "(1990)", "plainTextFormattedCitation" : "(Esping-Anderson, 1990)", "previouslyFormattedCitation" : "(Esping-Anderson, 1990)" }, "properties" : { "noteIndex" : 0 }, "schema" : "https://github.com/citation-style-language/schema/raw/master/csl-citation.json" }</w:instrText>
      </w:r>
      <w:r w:rsidR="00210081">
        <w:rPr>
          <w:szCs w:val="24"/>
        </w:rPr>
        <w:fldChar w:fldCharType="separate"/>
      </w:r>
      <w:r w:rsidR="00210081">
        <w:rPr>
          <w:noProof/>
          <w:szCs w:val="24"/>
        </w:rPr>
        <w:t>(</w:t>
      </w:r>
      <w:r w:rsidR="00210081" w:rsidRPr="00210081">
        <w:rPr>
          <w:noProof/>
          <w:szCs w:val="24"/>
        </w:rPr>
        <w:t>1990)</w:t>
      </w:r>
      <w:r w:rsidR="00210081">
        <w:rPr>
          <w:szCs w:val="24"/>
        </w:rPr>
        <w:fldChar w:fldCharType="end"/>
      </w:r>
      <w:r w:rsidR="00210081">
        <w:rPr>
          <w:szCs w:val="24"/>
        </w:rPr>
        <w:t xml:space="preserve"> which focuses on means-tested, as opposed to universalist, welfare provision.</w:t>
      </w:r>
      <w:r w:rsidR="00B77E5A" w:rsidRPr="000367C8">
        <w:rPr>
          <w:szCs w:val="24"/>
        </w:rPr>
        <w:t xml:space="preserve"> For tax redistribution</w:t>
      </w:r>
      <w:r w:rsidR="00EA5568">
        <w:rPr>
          <w:szCs w:val="24"/>
        </w:rPr>
        <w:t xml:space="preserve"> (F</w:t>
      </w:r>
      <w:r w:rsidR="00C12892">
        <w:rPr>
          <w:szCs w:val="24"/>
        </w:rPr>
        <w:t>igure 3.16</w:t>
      </w:r>
      <w:r w:rsidR="00B77E5A">
        <w:rPr>
          <w:szCs w:val="24"/>
        </w:rPr>
        <w:t>)</w:t>
      </w:r>
      <w:r w:rsidR="00B77E5A" w:rsidRPr="000367C8">
        <w:rPr>
          <w:szCs w:val="24"/>
        </w:rPr>
        <w:t>, a number of former or currently communist countries come high again, with some authoritarian states too. The mature and established democracies tend to score between 6 and 7.</w:t>
      </w:r>
      <w:r w:rsidR="00B77E5A">
        <w:rPr>
          <w:szCs w:val="24"/>
        </w:rPr>
        <w:t xml:space="preserve"> Both these characteristics show a very weak relationship with HDI. </w:t>
      </w:r>
      <w:bookmarkStart w:id="194" w:name="_Toc441069214"/>
    </w:p>
    <w:p w14:paraId="77AC2A1E" w14:textId="77777777" w:rsidR="00B77E5A" w:rsidRPr="00B3226C" w:rsidRDefault="00B77E5A" w:rsidP="00E223A2">
      <w:pPr>
        <w:pStyle w:val="Heading4"/>
      </w:pPr>
      <w:r w:rsidRPr="00B3226C">
        <w:t>Authoritarian</w:t>
      </w:r>
      <w:bookmarkEnd w:id="194"/>
    </w:p>
    <w:p w14:paraId="22D8B830" w14:textId="7DB484AC" w:rsidR="00B77E5A" w:rsidRDefault="00B77E5A" w:rsidP="00B77E5A">
      <w:pPr>
        <w:rPr>
          <w:szCs w:val="24"/>
        </w:rPr>
      </w:pPr>
      <w:r w:rsidRPr="000367C8">
        <w:rPr>
          <w:szCs w:val="24"/>
        </w:rPr>
        <w:t>Finally, the authoritarian characteristics show the strongest relationship with HDI. Both characteristics have the same Pearson’s r of -0.64</w:t>
      </w:r>
      <w:r w:rsidR="00576DF7">
        <w:rPr>
          <w:szCs w:val="24"/>
        </w:rPr>
        <w:t>, telling us that the higher a country’s HDI the lower the score these characteristics were given on whether they were essential to democracy</w:t>
      </w:r>
      <w:r w:rsidRPr="000367C8">
        <w:rPr>
          <w:szCs w:val="24"/>
        </w:rPr>
        <w:t>. There is a clear group of countries that score both these characteristics high</w:t>
      </w:r>
      <w:r w:rsidR="0072347C">
        <w:rPr>
          <w:szCs w:val="24"/>
        </w:rPr>
        <w:t>er than we might expect based on their HDI score</w:t>
      </w:r>
      <w:r w:rsidRPr="000367C8">
        <w:rPr>
          <w:szCs w:val="24"/>
        </w:rPr>
        <w:t xml:space="preserve">: Jordan, Egypt, Iraq and Vietnam. </w:t>
      </w:r>
    </w:p>
    <w:p w14:paraId="1152AE40" w14:textId="482433E6" w:rsidR="00C12892" w:rsidRDefault="00C12892" w:rsidP="00B77E5A">
      <w:pPr>
        <w:rPr>
          <w:szCs w:val="24"/>
        </w:rPr>
      </w:pPr>
    </w:p>
    <w:p w14:paraId="2FE7E715" w14:textId="464185CA" w:rsidR="00C12892" w:rsidRDefault="00C12892" w:rsidP="00B77E5A">
      <w:pPr>
        <w:rPr>
          <w:szCs w:val="24"/>
        </w:rPr>
      </w:pPr>
    </w:p>
    <w:p w14:paraId="5AB6723E" w14:textId="7CEE38C2" w:rsidR="00C12892" w:rsidRDefault="00C12892" w:rsidP="00B77E5A">
      <w:pPr>
        <w:rPr>
          <w:szCs w:val="24"/>
        </w:rPr>
      </w:pPr>
    </w:p>
    <w:p w14:paraId="5A046CDA" w14:textId="77777777" w:rsidR="00C12892" w:rsidRPr="000367C8" w:rsidRDefault="00C12892" w:rsidP="00B77E5A">
      <w:pPr>
        <w:rPr>
          <w:szCs w:val="24"/>
        </w:rPr>
      </w:pPr>
    </w:p>
    <w:p w14:paraId="0A3F234D" w14:textId="20B40871" w:rsidR="00761DC1" w:rsidRPr="003A5664" w:rsidRDefault="00761DC1" w:rsidP="00761DC1">
      <w:pPr>
        <w:pStyle w:val="Caption"/>
        <w:rPr>
          <w:rFonts w:ascii="Segoe UI" w:hAnsi="Segoe UI" w:cs="Segoe UI"/>
          <w:i w:val="0"/>
        </w:rPr>
      </w:pPr>
      <w:bookmarkStart w:id="195" w:name="_Toc494687154"/>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17</w:t>
      </w:r>
      <w:r w:rsidR="00994662" w:rsidRPr="003A5664">
        <w:rPr>
          <w:rFonts w:ascii="Segoe UI" w:hAnsi="Segoe UI" w:cs="Segoe UI"/>
          <w:i w:val="0"/>
          <w:noProof/>
        </w:rPr>
        <w:fldChar w:fldCharType="end"/>
      </w:r>
      <w:r w:rsidRPr="003A5664">
        <w:rPr>
          <w:rFonts w:ascii="Segoe UI" w:hAnsi="Segoe UI" w:cs="Segoe UI"/>
          <w:i w:val="0"/>
        </w:rPr>
        <w:t xml:space="preserve"> Religious Authorities and HDI Scatterplot</w:t>
      </w:r>
      <w:bookmarkEnd w:id="195"/>
    </w:p>
    <w:p w14:paraId="6F434D8B" w14:textId="31677550" w:rsidR="00EA5568" w:rsidRPr="00C12892" w:rsidRDefault="00B77E5A" w:rsidP="00C12892">
      <w:pPr>
        <w:spacing w:before="100" w:beforeAutospacing="1"/>
        <w:rPr>
          <w:b/>
          <w:szCs w:val="24"/>
        </w:rPr>
      </w:pPr>
      <w:r w:rsidRPr="000367C8">
        <w:rPr>
          <w:noProof/>
          <w:szCs w:val="24"/>
          <w:lang w:eastAsia="zh-CN"/>
        </w:rPr>
        <w:drawing>
          <wp:inline distT="0" distB="0" distL="0" distR="0" wp14:anchorId="44AE7BCA" wp14:editId="1DBCDB6D">
            <wp:extent cx="5516880" cy="3832860"/>
            <wp:effectExtent l="0" t="0" r="7620" b="0"/>
            <wp:docPr id="2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17718" cy="3833442"/>
                    </a:xfrm>
                    <a:prstGeom prst="rect">
                      <a:avLst/>
                    </a:prstGeom>
                    <a:noFill/>
                    <a:ln>
                      <a:noFill/>
                      <a:prstDash/>
                    </a:ln>
                  </pic:spPr>
                </pic:pic>
              </a:graphicData>
            </a:graphic>
          </wp:inline>
        </w:drawing>
      </w:r>
    </w:p>
    <w:p w14:paraId="19378242" w14:textId="26FD832A" w:rsidR="00761DC1" w:rsidRPr="003A5664" w:rsidRDefault="00761DC1" w:rsidP="00761DC1">
      <w:pPr>
        <w:pStyle w:val="Caption"/>
        <w:rPr>
          <w:rFonts w:ascii="Segoe UI" w:hAnsi="Segoe UI" w:cs="Segoe UI"/>
          <w:i w:val="0"/>
        </w:rPr>
      </w:pPr>
      <w:bookmarkStart w:id="196" w:name="_Toc494687155"/>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C12892" w:rsidRPr="003A5664">
        <w:rPr>
          <w:rFonts w:ascii="Segoe UI" w:hAnsi="Segoe UI" w:cs="Segoe UI"/>
          <w:i w:val="0"/>
          <w:noProof/>
        </w:rPr>
        <w:t>18</w:t>
      </w:r>
      <w:r w:rsidR="00994662" w:rsidRPr="003A5664">
        <w:rPr>
          <w:rFonts w:ascii="Segoe UI" w:hAnsi="Segoe UI" w:cs="Segoe UI"/>
          <w:i w:val="0"/>
          <w:noProof/>
        </w:rPr>
        <w:fldChar w:fldCharType="end"/>
      </w:r>
      <w:r w:rsidRPr="003A5664">
        <w:rPr>
          <w:rFonts w:ascii="Segoe UI" w:hAnsi="Segoe UI" w:cs="Segoe UI"/>
          <w:i w:val="0"/>
        </w:rPr>
        <w:t xml:space="preserve"> Army and HDI Scatterplot</w:t>
      </w:r>
      <w:bookmarkEnd w:id="196"/>
    </w:p>
    <w:p w14:paraId="018CE65D" w14:textId="556B3443" w:rsidR="00B77E5A" w:rsidRDefault="00B77E5A" w:rsidP="00B77E5A">
      <w:pPr>
        <w:spacing w:before="100" w:beforeAutospacing="1"/>
        <w:rPr>
          <w:szCs w:val="24"/>
        </w:rPr>
      </w:pPr>
      <w:r w:rsidRPr="000367C8">
        <w:rPr>
          <w:noProof/>
          <w:szCs w:val="24"/>
          <w:lang w:eastAsia="zh-CN"/>
        </w:rPr>
        <w:drawing>
          <wp:inline distT="0" distB="0" distL="0" distR="0" wp14:anchorId="6204DF70" wp14:editId="6F2D3276">
            <wp:extent cx="5570220" cy="4023360"/>
            <wp:effectExtent l="0" t="0" r="0" b="0"/>
            <wp:docPr id="22"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1065" cy="4023970"/>
                    </a:xfrm>
                    <a:prstGeom prst="rect">
                      <a:avLst/>
                    </a:prstGeom>
                    <a:noFill/>
                    <a:ln>
                      <a:noFill/>
                      <a:prstDash/>
                    </a:ln>
                  </pic:spPr>
                </pic:pic>
              </a:graphicData>
            </a:graphic>
          </wp:inline>
        </w:drawing>
      </w:r>
    </w:p>
    <w:p w14:paraId="7C3BA8F5" w14:textId="77777777" w:rsidR="00C12892" w:rsidRPr="000367C8" w:rsidRDefault="00C12892" w:rsidP="00C12892">
      <w:pPr>
        <w:rPr>
          <w:szCs w:val="24"/>
        </w:rPr>
      </w:pPr>
      <w:r w:rsidRPr="000367C8">
        <w:rPr>
          <w:szCs w:val="24"/>
        </w:rPr>
        <w:t>There is wide range of averages in the religious authority variable</w:t>
      </w:r>
      <w:r>
        <w:rPr>
          <w:szCs w:val="24"/>
        </w:rPr>
        <w:t xml:space="preserve"> (Figure 3.17)</w:t>
      </w:r>
      <w:r w:rsidRPr="000367C8">
        <w:rPr>
          <w:szCs w:val="24"/>
        </w:rPr>
        <w:t>, from Egyptian citizen</w:t>
      </w:r>
      <w:r>
        <w:rPr>
          <w:szCs w:val="24"/>
        </w:rPr>
        <w:t>s</w:t>
      </w:r>
      <w:r w:rsidRPr="000367C8">
        <w:rPr>
          <w:szCs w:val="24"/>
        </w:rPr>
        <w:t>’ 8.1 to Swedish citizen</w:t>
      </w:r>
      <w:r>
        <w:rPr>
          <w:szCs w:val="24"/>
        </w:rPr>
        <w:t>s</w:t>
      </w:r>
      <w:r w:rsidRPr="000367C8">
        <w:rPr>
          <w:szCs w:val="24"/>
        </w:rPr>
        <w:t xml:space="preserve">’ 1.8. For army takeover the lowest averages, just over 2, are in Switzerland, Norway, Japan and Germany. This is quite a distinct collection of countries, as the first two have a history of neutrality, </w:t>
      </w:r>
      <w:r>
        <w:rPr>
          <w:szCs w:val="24"/>
        </w:rPr>
        <w:t>while</w:t>
      </w:r>
      <w:r w:rsidRPr="000367C8">
        <w:rPr>
          <w:szCs w:val="24"/>
        </w:rPr>
        <w:t xml:space="preserve"> the second two were both defeated in the </w:t>
      </w:r>
      <w:r>
        <w:rPr>
          <w:szCs w:val="24"/>
        </w:rPr>
        <w:t>S</w:t>
      </w:r>
      <w:r w:rsidRPr="000367C8">
        <w:rPr>
          <w:szCs w:val="24"/>
        </w:rPr>
        <w:t xml:space="preserve">econd </w:t>
      </w:r>
      <w:r>
        <w:rPr>
          <w:szCs w:val="24"/>
        </w:rPr>
        <w:t>W</w:t>
      </w:r>
      <w:r w:rsidRPr="000367C8">
        <w:rPr>
          <w:szCs w:val="24"/>
        </w:rPr>
        <w:t xml:space="preserve">orld </w:t>
      </w:r>
      <w:r>
        <w:rPr>
          <w:szCs w:val="24"/>
        </w:rPr>
        <w:t>W</w:t>
      </w:r>
      <w:r w:rsidRPr="000367C8">
        <w:rPr>
          <w:szCs w:val="24"/>
        </w:rPr>
        <w:t>ar. Other mature western democracies score this characteristic almost twice as high, with Britain, Canada and USA scoring it 4.</w:t>
      </w:r>
    </w:p>
    <w:p w14:paraId="0CC0D957" w14:textId="5A678AD2" w:rsidR="00C12892" w:rsidRPr="000367C8" w:rsidRDefault="00C12892" w:rsidP="00C12892">
      <w:pPr>
        <w:rPr>
          <w:szCs w:val="24"/>
        </w:rPr>
      </w:pPr>
      <w:r w:rsidRPr="000367C8">
        <w:rPr>
          <w:szCs w:val="24"/>
        </w:rPr>
        <w:t xml:space="preserve">When it comes to the </w:t>
      </w:r>
      <w:r>
        <w:rPr>
          <w:szCs w:val="24"/>
        </w:rPr>
        <w:t>military intervention</w:t>
      </w:r>
      <w:r w:rsidRPr="000367C8">
        <w:rPr>
          <w:szCs w:val="24"/>
        </w:rPr>
        <w:t xml:space="preserve"> characteristic</w:t>
      </w:r>
      <w:r>
        <w:rPr>
          <w:szCs w:val="24"/>
        </w:rPr>
        <w:t xml:space="preserve"> (Figure 3.18)</w:t>
      </w:r>
      <w:r w:rsidRPr="000367C8">
        <w:rPr>
          <w:szCs w:val="24"/>
        </w:rPr>
        <w:t xml:space="preserve"> the same lar</w:t>
      </w:r>
      <w:r>
        <w:rPr>
          <w:szCs w:val="24"/>
        </w:rPr>
        <w:t>ge range of results can be seen. The figure also displays a similar pattern of outliers.</w:t>
      </w:r>
    </w:p>
    <w:p w14:paraId="156E1CBC" w14:textId="77777777" w:rsidR="00B77E5A" w:rsidRPr="00577217" w:rsidRDefault="00B77E5A" w:rsidP="00577217">
      <w:pPr>
        <w:pStyle w:val="Heading2"/>
      </w:pPr>
      <w:bookmarkStart w:id="197" w:name="_Toc379889577"/>
      <w:bookmarkStart w:id="198" w:name="_Toc380151506"/>
      <w:bookmarkStart w:id="199" w:name="_Toc380513914"/>
      <w:bookmarkStart w:id="200" w:name="_Toc380995549"/>
      <w:bookmarkStart w:id="201" w:name="_Toc381100524"/>
      <w:bookmarkStart w:id="202" w:name="_Toc381717107"/>
      <w:bookmarkStart w:id="203" w:name="_Toc441069025"/>
      <w:bookmarkStart w:id="204" w:name="_Toc441069215"/>
      <w:bookmarkStart w:id="205" w:name="_Toc494034218"/>
      <w:bookmarkEnd w:id="187"/>
      <w:bookmarkEnd w:id="188"/>
      <w:bookmarkEnd w:id="189"/>
      <w:r w:rsidRPr="00577217">
        <w:t>3.4: Conclusion</w:t>
      </w:r>
      <w:bookmarkEnd w:id="197"/>
      <w:bookmarkEnd w:id="198"/>
      <w:bookmarkEnd w:id="199"/>
      <w:bookmarkEnd w:id="200"/>
      <w:bookmarkEnd w:id="201"/>
      <w:bookmarkEnd w:id="202"/>
      <w:bookmarkEnd w:id="203"/>
      <w:bookmarkEnd w:id="204"/>
      <w:bookmarkEnd w:id="205"/>
    </w:p>
    <w:p w14:paraId="3C510C73" w14:textId="77868135" w:rsidR="00B77E5A" w:rsidRPr="000367C8" w:rsidRDefault="00B77E5A" w:rsidP="00B77E5A">
      <w:pPr>
        <w:rPr>
          <w:szCs w:val="24"/>
        </w:rPr>
      </w:pPr>
      <w:r w:rsidRPr="000367C8">
        <w:rPr>
          <w:szCs w:val="24"/>
        </w:rPr>
        <w:t>This chapter first demonstrated the way these ten characteristics sit within ideas of liberal democracy: there are four essential procedural elements, two social democratic elements of debatable importance, two populist elements which are not at all essential, and two authoritarian</w:t>
      </w:r>
      <w:r w:rsidR="00EA5568">
        <w:rPr>
          <w:szCs w:val="24"/>
        </w:rPr>
        <w:t>, anti-democratic</w:t>
      </w:r>
      <w:r w:rsidRPr="000367C8">
        <w:rPr>
          <w:szCs w:val="24"/>
        </w:rPr>
        <w:t xml:space="preserve"> elements.</w:t>
      </w:r>
    </w:p>
    <w:p w14:paraId="0C5766F1" w14:textId="7B2F081F" w:rsidR="00B77E5A" w:rsidRPr="000367C8" w:rsidRDefault="00B77E5A" w:rsidP="00B77E5A">
      <w:pPr>
        <w:rPr>
          <w:szCs w:val="24"/>
        </w:rPr>
      </w:pPr>
      <w:r w:rsidRPr="000367C8">
        <w:rPr>
          <w:szCs w:val="24"/>
        </w:rPr>
        <w:t xml:space="preserve">From the findings of Dalton </w:t>
      </w:r>
      <w:r w:rsidR="00803848" w:rsidRPr="00EA5568">
        <w:rPr>
          <w:szCs w:val="24"/>
        </w:rPr>
        <w:t>et al</w:t>
      </w:r>
      <w:r w:rsidRPr="00EA5568">
        <w:rPr>
          <w:szCs w:val="24"/>
        </w:rPr>
        <w:t>.</w:t>
      </w:r>
      <w:r w:rsidRPr="000367C8">
        <w:rPr>
          <w:szCs w:val="24"/>
        </w:rPr>
        <w:t xml:space="preserve"> </w:t>
      </w:r>
      <w:r w:rsidR="0072347C">
        <w:rPr>
          <w:szCs w:val="24"/>
        </w:rPr>
        <w:t>(</w:t>
      </w:r>
      <w:r w:rsidRPr="000367C8">
        <w:rPr>
          <w:szCs w:val="24"/>
        </w:rPr>
        <w:t>2008</w:t>
      </w:r>
      <w:r w:rsidR="0072347C">
        <w:rPr>
          <w:szCs w:val="24"/>
        </w:rPr>
        <w:t>)</w:t>
      </w:r>
      <w:r w:rsidRPr="000367C8">
        <w:rPr>
          <w:szCs w:val="24"/>
        </w:rPr>
        <w:t xml:space="preserve">, it </w:t>
      </w:r>
      <w:r>
        <w:rPr>
          <w:szCs w:val="24"/>
        </w:rPr>
        <w:t>was</w:t>
      </w:r>
      <w:r w:rsidRPr="000367C8">
        <w:rPr>
          <w:szCs w:val="24"/>
        </w:rPr>
        <w:t xml:space="preserve"> expected that the responses citizens give to these elements will align with liberal democratic theory. For the procedural elements, the descriptive statistics suggest this is the case. Very large majorities score these elements highly. There is also evidence that those with more media use score </w:t>
      </w:r>
      <w:r>
        <w:rPr>
          <w:szCs w:val="24"/>
        </w:rPr>
        <w:t>the gender equality characteristic higher in comparison to those who use the media less often.</w:t>
      </w:r>
    </w:p>
    <w:p w14:paraId="1014EE8A" w14:textId="769C2FB3" w:rsidR="00B77E5A" w:rsidRPr="000367C8" w:rsidRDefault="00B77E5A" w:rsidP="00B77E5A">
      <w:pPr>
        <w:rPr>
          <w:szCs w:val="24"/>
        </w:rPr>
      </w:pPr>
      <w:r w:rsidRPr="000367C8">
        <w:rPr>
          <w:szCs w:val="24"/>
        </w:rPr>
        <w:t>At the national level, these procedural characteristics score very high averages across all countries. There are some under-scoring outliers however: Thailand and Malaysia for elections, Thailand for civil rights, and Iraq and Malaysia for equal gender rights.</w:t>
      </w:r>
      <w:r>
        <w:rPr>
          <w:szCs w:val="24"/>
        </w:rPr>
        <w:t xml:space="preserve"> Indeed, the most contest</w:t>
      </w:r>
      <w:r w:rsidR="006E0D75">
        <w:rPr>
          <w:szCs w:val="24"/>
        </w:rPr>
        <w:t>ed</w:t>
      </w:r>
      <w:r>
        <w:rPr>
          <w:szCs w:val="24"/>
        </w:rPr>
        <w:t xml:space="preserve"> of these issues i</w:t>
      </w:r>
      <w:r w:rsidR="00FD02D1">
        <w:rPr>
          <w:szCs w:val="24"/>
        </w:rPr>
        <w:t>s that of equal gender rights</w:t>
      </w:r>
      <w:r>
        <w:rPr>
          <w:szCs w:val="24"/>
        </w:rPr>
        <w:t>.</w:t>
      </w:r>
      <w:r w:rsidRPr="000367C8">
        <w:rPr>
          <w:szCs w:val="24"/>
        </w:rPr>
        <w:t xml:space="preserve"> But overall these characteristics are scored higher by </w:t>
      </w:r>
      <w:r w:rsidR="0072347C">
        <w:rPr>
          <w:szCs w:val="24"/>
        </w:rPr>
        <w:t xml:space="preserve">citizens of </w:t>
      </w:r>
      <w:r w:rsidRPr="000367C8">
        <w:rPr>
          <w:szCs w:val="24"/>
        </w:rPr>
        <w:t>countries which are not free, and have had or recently had a communist government.</w:t>
      </w:r>
      <w:r>
        <w:rPr>
          <w:szCs w:val="24"/>
        </w:rPr>
        <w:t xml:space="preserve"> This suggests that not having access to these procedures sharpens an individual’s belief in their role in a democratic system.</w:t>
      </w:r>
    </w:p>
    <w:p w14:paraId="0E0FE673" w14:textId="7010AA6D" w:rsidR="00B77E5A" w:rsidRPr="000367C8" w:rsidRDefault="00B77E5A" w:rsidP="00B77E5A">
      <w:pPr>
        <w:rPr>
          <w:szCs w:val="24"/>
        </w:rPr>
      </w:pPr>
      <w:r w:rsidRPr="000367C8">
        <w:rPr>
          <w:szCs w:val="24"/>
        </w:rPr>
        <w:t>The social democratic characteristics do not show very strong or clear patterns, a scenario which mimics the lack of consensus in the literature about whether they should be considered essential to democracy or not. Both have much more evenly distributed results across the scale, and demographic examinations of patter</w:t>
      </w:r>
      <w:r>
        <w:rPr>
          <w:szCs w:val="24"/>
        </w:rPr>
        <w:t xml:space="preserve">ns according to education and </w:t>
      </w:r>
      <w:r w:rsidRPr="000367C8">
        <w:rPr>
          <w:szCs w:val="24"/>
        </w:rPr>
        <w:t>media use did little to illuminate the picture much further. At the national level, these results also had the weakest correlations with HDI.</w:t>
      </w:r>
      <w:r>
        <w:rPr>
          <w:szCs w:val="24"/>
        </w:rPr>
        <w:t xml:space="preserve"> These are then perhaps characteristics more strongly influenced b</w:t>
      </w:r>
      <w:r w:rsidR="006274AF">
        <w:rPr>
          <w:szCs w:val="24"/>
        </w:rPr>
        <w:t>y political attitudes then by a</w:t>
      </w:r>
      <w:r>
        <w:rPr>
          <w:szCs w:val="24"/>
        </w:rPr>
        <w:t xml:space="preserve"> demographic or country-specific measurement.</w:t>
      </w:r>
    </w:p>
    <w:bookmarkEnd w:id="168"/>
    <w:p w14:paraId="130873BE" w14:textId="44378021" w:rsidR="00B77E5A" w:rsidRPr="000367C8" w:rsidRDefault="00B77E5A" w:rsidP="00B77E5A">
      <w:pPr>
        <w:rPr>
          <w:szCs w:val="24"/>
        </w:rPr>
      </w:pPr>
      <w:r w:rsidRPr="000367C8">
        <w:rPr>
          <w:szCs w:val="24"/>
        </w:rPr>
        <w:t xml:space="preserve">The populist characteristics present results that deviate most from </w:t>
      </w:r>
      <w:r w:rsidR="00EA5568">
        <w:rPr>
          <w:szCs w:val="24"/>
        </w:rPr>
        <w:t xml:space="preserve">the findings of </w:t>
      </w:r>
      <w:r w:rsidRPr="000367C8">
        <w:rPr>
          <w:szCs w:val="24"/>
        </w:rPr>
        <w:t xml:space="preserve">Dalton </w:t>
      </w:r>
      <w:r w:rsidR="00803848" w:rsidRPr="00EA5568">
        <w:rPr>
          <w:szCs w:val="24"/>
        </w:rPr>
        <w:t>et al</w:t>
      </w:r>
      <w:r w:rsidR="00EA5568" w:rsidRPr="00EA5568">
        <w:rPr>
          <w:szCs w:val="24"/>
        </w:rPr>
        <w:t>.</w:t>
      </w:r>
      <w:r w:rsidRPr="000367C8">
        <w:rPr>
          <w:szCs w:val="24"/>
        </w:rPr>
        <w:t xml:space="preserve"> </w:t>
      </w:r>
      <w:r w:rsidR="0072347C">
        <w:rPr>
          <w:szCs w:val="24"/>
        </w:rPr>
        <w:t xml:space="preserve">(2008) </w:t>
      </w:r>
      <w:r w:rsidRPr="000367C8">
        <w:rPr>
          <w:szCs w:val="24"/>
        </w:rPr>
        <w:t xml:space="preserve">and so from </w:t>
      </w:r>
      <w:r>
        <w:rPr>
          <w:szCs w:val="24"/>
        </w:rPr>
        <w:t xml:space="preserve">the expectations outlined by </w:t>
      </w:r>
      <w:r w:rsidRPr="000367C8">
        <w:rPr>
          <w:szCs w:val="24"/>
        </w:rPr>
        <w:t>liberal democratic theory. These results score very high averages that are almost comparable with the procedural elements. There is a widespread understanding that a prospering economy and severe punishment of criminals are essential de</w:t>
      </w:r>
      <w:r w:rsidR="00EA5568">
        <w:rPr>
          <w:szCs w:val="24"/>
        </w:rPr>
        <w:t>mocratic characteristics. There i</w:t>
      </w:r>
      <w:r w:rsidRPr="000367C8">
        <w:rPr>
          <w:szCs w:val="24"/>
        </w:rPr>
        <w:t xml:space="preserve">s a lot of variance in this finding however. The more media you use the </w:t>
      </w:r>
      <w:r>
        <w:rPr>
          <w:szCs w:val="24"/>
        </w:rPr>
        <w:t>lower you score these elements</w:t>
      </w:r>
      <w:r w:rsidRPr="000367C8">
        <w:rPr>
          <w:szCs w:val="24"/>
        </w:rPr>
        <w:t xml:space="preserve">. Countries classed as not free or communist have higher average scores. At the national level, HDI makes a difference to the populist results and there is a strong negative result for both: in more developed countries, citizens score them </w:t>
      </w:r>
      <w:r w:rsidR="00323D14">
        <w:rPr>
          <w:szCs w:val="24"/>
        </w:rPr>
        <w:t xml:space="preserve">as </w:t>
      </w:r>
      <w:r w:rsidRPr="000367C8">
        <w:rPr>
          <w:szCs w:val="24"/>
        </w:rPr>
        <w:t xml:space="preserve">less </w:t>
      </w:r>
      <w:r w:rsidR="00323D14">
        <w:rPr>
          <w:szCs w:val="24"/>
        </w:rPr>
        <w:t xml:space="preserve">central to democracy, </w:t>
      </w:r>
      <w:r w:rsidRPr="000367C8">
        <w:rPr>
          <w:szCs w:val="24"/>
        </w:rPr>
        <w:t>on average</w:t>
      </w:r>
      <w:r w:rsidR="00323D14">
        <w:rPr>
          <w:szCs w:val="24"/>
        </w:rPr>
        <w:t>, than do citizens in less developed countries</w:t>
      </w:r>
      <w:r w:rsidRPr="000367C8">
        <w:rPr>
          <w:szCs w:val="24"/>
        </w:rPr>
        <w:t xml:space="preserve">. </w:t>
      </w:r>
    </w:p>
    <w:p w14:paraId="464CE8B6" w14:textId="0AEB8407" w:rsidR="00B77E5A" w:rsidRPr="000367C8" w:rsidRDefault="00B77E5A" w:rsidP="00B77E5A">
      <w:pPr>
        <w:rPr>
          <w:szCs w:val="24"/>
        </w:rPr>
      </w:pPr>
      <w:r w:rsidRPr="000367C8">
        <w:rPr>
          <w:szCs w:val="24"/>
        </w:rPr>
        <w:t xml:space="preserve">Finally, the authoritarian characteristics match the theory by scoring the lowest of all elements, but perhaps not as low as could be expected; they are not rejected with the same strength that say, elections, are accepted. These results vary considerably between media users in the same way as the populist characteristics. There are very strong differences between free and </w:t>
      </w:r>
      <w:r w:rsidR="00323D14">
        <w:rPr>
          <w:szCs w:val="24"/>
        </w:rPr>
        <w:t>un</w:t>
      </w:r>
      <w:r w:rsidRPr="000367C8">
        <w:rPr>
          <w:szCs w:val="24"/>
        </w:rPr>
        <w:t xml:space="preserve">free countries, as citizens in </w:t>
      </w:r>
      <w:r w:rsidR="00323D14">
        <w:rPr>
          <w:szCs w:val="24"/>
        </w:rPr>
        <w:t>un</w:t>
      </w:r>
      <w:r w:rsidRPr="000367C8">
        <w:rPr>
          <w:szCs w:val="24"/>
        </w:rPr>
        <w:t xml:space="preserve">free countries score much higher on average </w:t>
      </w:r>
      <w:r w:rsidR="00323D14">
        <w:rPr>
          <w:szCs w:val="24"/>
        </w:rPr>
        <w:t xml:space="preserve">(suggesting they tend to see this as a more central feature of democracy than do people in freer regimes) </w:t>
      </w:r>
      <w:r w:rsidRPr="000367C8">
        <w:rPr>
          <w:szCs w:val="24"/>
        </w:rPr>
        <w:t>and when it comes to HDI the pattern is negative and much stronger than with other characteristics</w:t>
      </w:r>
      <w:r w:rsidR="00F94DA5">
        <w:rPr>
          <w:szCs w:val="24"/>
        </w:rPr>
        <w:t xml:space="preserve"> (showing that the more developed the society, the less central people think this dimension is to democracy)</w:t>
      </w:r>
      <w:r w:rsidRPr="000367C8">
        <w:rPr>
          <w:szCs w:val="24"/>
        </w:rPr>
        <w:t xml:space="preserve">. </w:t>
      </w:r>
    </w:p>
    <w:p w14:paraId="0F8859CC" w14:textId="2C11A243" w:rsidR="00B77E5A" w:rsidRPr="000367C8" w:rsidRDefault="00B77E5A" w:rsidP="00B77E5A">
      <w:pPr>
        <w:rPr>
          <w:szCs w:val="24"/>
        </w:rPr>
      </w:pPr>
      <w:r w:rsidRPr="000367C8">
        <w:rPr>
          <w:szCs w:val="24"/>
        </w:rPr>
        <w:t>This chapter has demonstrated that there is some alignment between theory and citizen understandings of democracy when it comes to procedural elements. However, there is variance when it come</w:t>
      </w:r>
      <w:r w:rsidR="006E31A9">
        <w:rPr>
          <w:szCs w:val="24"/>
        </w:rPr>
        <w:t>s to issues of gender equality and t</w:t>
      </w:r>
      <w:r w:rsidRPr="000367C8">
        <w:rPr>
          <w:szCs w:val="24"/>
        </w:rPr>
        <w:t xml:space="preserve">here is considerable disjuncture between theory and citizen understandings when it comes to populist ideals. Further, </w:t>
      </w:r>
      <w:r w:rsidR="007331B1">
        <w:rPr>
          <w:szCs w:val="24"/>
        </w:rPr>
        <w:t>there were substantial differ</w:t>
      </w:r>
      <w:r w:rsidR="000E1EFB">
        <w:rPr>
          <w:szCs w:val="24"/>
        </w:rPr>
        <w:t>e</w:t>
      </w:r>
      <w:r w:rsidR="007331B1">
        <w:rPr>
          <w:szCs w:val="24"/>
        </w:rPr>
        <w:t>n</w:t>
      </w:r>
      <w:r w:rsidR="000E1EFB">
        <w:rPr>
          <w:szCs w:val="24"/>
        </w:rPr>
        <w:t>c</w:t>
      </w:r>
      <w:r w:rsidR="007331B1">
        <w:rPr>
          <w:szCs w:val="24"/>
        </w:rPr>
        <w:t xml:space="preserve">es between countries in how central people though the </w:t>
      </w:r>
      <w:r w:rsidRPr="000367C8">
        <w:rPr>
          <w:szCs w:val="24"/>
        </w:rPr>
        <w:t xml:space="preserve">authoritarian concepts </w:t>
      </w:r>
      <w:r w:rsidR="007331B1">
        <w:rPr>
          <w:szCs w:val="24"/>
        </w:rPr>
        <w:t xml:space="preserve">were for </w:t>
      </w:r>
      <w:r w:rsidRPr="000367C8">
        <w:rPr>
          <w:szCs w:val="24"/>
        </w:rPr>
        <w:t xml:space="preserve">democracy. </w:t>
      </w:r>
    </w:p>
    <w:p w14:paraId="5DED36DA" w14:textId="7D49515C" w:rsidR="00EA5568" w:rsidRDefault="00B77E5A" w:rsidP="00EA5568">
      <w:r w:rsidRPr="000367C8">
        <w:rPr>
          <w:szCs w:val="24"/>
        </w:rPr>
        <w:t>These issues h</w:t>
      </w:r>
      <w:r>
        <w:rPr>
          <w:szCs w:val="24"/>
        </w:rPr>
        <w:t xml:space="preserve">ave been looked at individually </w:t>
      </w:r>
      <w:r w:rsidRPr="000367C8">
        <w:rPr>
          <w:szCs w:val="24"/>
        </w:rPr>
        <w:t xml:space="preserve">in this chapter to examine the shape and patterns or results across individuals and across countries. </w:t>
      </w:r>
      <w:r>
        <w:rPr>
          <w:szCs w:val="24"/>
        </w:rPr>
        <w:t>In doing so, I h</w:t>
      </w:r>
      <w:r w:rsidR="00EA5568">
        <w:rPr>
          <w:szCs w:val="24"/>
        </w:rPr>
        <w:t xml:space="preserve">ave addressed aims 1.4 and 1.5 as outlined in Chapter 1, that is to build from the </w:t>
      </w:r>
      <w:r w:rsidR="00EA5568" w:rsidRPr="00DB2734">
        <w:t xml:space="preserve">literature </w:t>
      </w:r>
      <w:r w:rsidR="00EA5568">
        <w:t xml:space="preserve">review </w:t>
      </w:r>
      <w:r w:rsidR="00EA5568" w:rsidRPr="00DB2734">
        <w:t>to ide</w:t>
      </w:r>
      <w:r w:rsidR="00EA5568">
        <w:t>ntify the most appropriate data and e</w:t>
      </w:r>
      <w:r w:rsidR="00EA5568" w:rsidRPr="00DB2734">
        <w:t xml:space="preserve">xamine what theoretical expectations are borne out in the descriptive </w:t>
      </w:r>
      <w:r w:rsidR="00EA5568">
        <w:t>results.</w:t>
      </w:r>
    </w:p>
    <w:p w14:paraId="0A081E1C" w14:textId="00C31ECD" w:rsidR="008814DE" w:rsidRDefault="00B77E5A" w:rsidP="00B77E5A">
      <w:pPr>
        <w:rPr>
          <w:szCs w:val="24"/>
        </w:rPr>
      </w:pPr>
      <w:r w:rsidRPr="000367C8">
        <w:rPr>
          <w:szCs w:val="24"/>
        </w:rPr>
        <w:t xml:space="preserve">In the next step of </w:t>
      </w:r>
      <w:r w:rsidR="007331B1">
        <w:rPr>
          <w:szCs w:val="24"/>
        </w:rPr>
        <w:t xml:space="preserve">the </w:t>
      </w:r>
      <w:r w:rsidRPr="000367C8">
        <w:rPr>
          <w:szCs w:val="24"/>
        </w:rPr>
        <w:t>analysis, these disparate elements need bringing together in a dimensional approach. We may know how each element is answered separately, but how are they answered together? Are there clear combinations o</w:t>
      </w:r>
      <w:r w:rsidR="000E1EFB">
        <w:rPr>
          <w:szCs w:val="24"/>
        </w:rPr>
        <w:t xml:space="preserve">f answers that set out distinct </w:t>
      </w:r>
      <w:r w:rsidRPr="000367C8">
        <w:rPr>
          <w:szCs w:val="24"/>
        </w:rPr>
        <w:t xml:space="preserve">understandings of democracy? </w:t>
      </w:r>
      <w:r>
        <w:rPr>
          <w:szCs w:val="24"/>
        </w:rPr>
        <w:t>This is the focus of aim 1.6, and the next chapter.</w:t>
      </w:r>
      <w:r w:rsidR="00CE2A30">
        <w:rPr>
          <w:szCs w:val="24"/>
        </w:rPr>
        <w:br w:type="page"/>
      </w:r>
    </w:p>
    <w:p w14:paraId="70A6750F" w14:textId="19FF5137" w:rsidR="00976DD5" w:rsidRPr="0021364D" w:rsidRDefault="00976DD5" w:rsidP="0021364D">
      <w:pPr>
        <w:pStyle w:val="Heading1"/>
        <w:rPr>
          <w:rFonts w:eastAsiaTheme="minorHAnsi"/>
        </w:rPr>
      </w:pPr>
      <w:bookmarkStart w:id="206" w:name="_Toc439171456"/>
      <w:bookmarkStart w:id="207" w:name="_Toc441069026"/>
      <w:bookmarkStart w:id="208" w:name="_Toc441069216"/>
      <w:bookmarkStart w:id="209" w:name="_Toc310607097"/>
      <w:bookmarkStart w:id="210" w:name="_Toc494034219"/>
      <w:r>
        <w:t>Dimensions of Democratic Understanding</w:t>
      </w:r>
      <w:bookmarkStart w:id="211" w:name="_Toc308607150"/>
      <w:bookmarkEnd w:id="206"/>
      <w:bookmarkEnd w:id="207"/>
      <w:bookmarkEnd w:id="208"/>
      <w:bookmarkEnd w:id="209"/>
      <w:bookmarkEnd w:id="210"/>
      <w:bookmarkEnd w:id="211"/>
    </w:p>
    <w:p w14:paraId="64BAE090" w14:textId="77777777" w:rsidR="0021364D" w:rsidRDefault="0021364D" w:rsidP="0021364D">
      <w:pPr>
        <w:pStyle w:val="Quote"/>
        <w:rPr>
          <w:b/>
          <w:sz w:val="20"/>
          <w:szCs w:val="20"/>
        </w:rPr>
      </w:pPr>
    </w:p>
    <w:p w14:paraId="5AA115FB" w14:textId="13BC4CEE" w:rsidR="00977B89" w:rsidRPr="0021364D" w:rsidRDefault="000E1EFB" w:rsidP="0021364D">
      <w:pPr>
        <w:pStyle w:val="Quote"/>
        <w:rPr>
          <w:b/>
          <w:sz w:val="20"/>
          <w:szCs w:val="20"/>
        </w:rPr>
      </w:pPr>
      <w:r w:rsidRPr="0021364D">
        <w:rPr>
          <w:b/>
          <w:sz w:val="20"/>
          <w:szCs w:val="20"/>
        </w:rPr>
        <w:t>“</w:t>
      </w:r>
      <w:r w:rsidR="00976DD5" w:rsidRPr="0021364D">
        <w:rPr>
          <w:b/>
          <w:sz w:val="20"/>
          <w:szCs w:val="20"/>
        </w:rPr>
        <w:t xml:space="preserve">What we have then is a composition, a compound.” </w:t>
      </w:r>
      <w:r w:rsidR="00AB6DA4" w:rsidRPr="0021364D">
        <w:rPr>
          <w:b/>
          <w:sz w:val="20"/>
          <w:szCs w:val="20"/>
        </w:rPr>
        <w:fldChar w:fldCharType="begin" w:fldLock="1"/>
      </w:r>
      <w:r w:rsidR="00E63CC6">
        <w:rPr>
          <w:b/>
          <w:sz w:val="20"/>
          <w:szCs w:val="20"/>
        </w:rPr>
        <w:instrText>ADDIN CSL_CITATION { "citationItems" : [ { "id" : "ITEM-1", "itemData" : { "author" : [ { "dropping-particle" : "", "family" : "Satori", "given" : "Giovanni", "non-dropping-particle" : "", "parse-names" : false, "suffix" : "" } ], "id" : "ITEM-1", "issued" : { "date-parts" : [ [ "1987" ] ] }, "number-of-pages" : "257-542", "publisher" : "Chatham House Publishers", "publisher-place" : "New Jersey", "title" : "Theory of Democracy Revisited (Part Two)", "type" : "book" }, "uris" : [ "http://www.mendeley.com/documents/?uuid=1d898ac6-959c-429c-933e-81491cc3a1c9" ] } ], "mendeley" : { "formattedCitation" : "(Satori, 1987b)", "manualFormatting" : "(Satori 1987b, p.386)", "plainTextFormattedCitation" : "(Satori, 1987b)", "previouslyFormattedCitation" : "(Satori, 1987b)" }, "properties" : { "noteIndex" : 0 }, "schema" : "https://github.com/citation-style-language/schema/raw/master/csl-citation.json" }</w:instrText>
      </w:r>
      <w:r w:rsidR="00AB6DA4" w:rsidRPr="0021364D">
        <w:rPr>
          <w:b/>
          <w:sz w:val="20"/>
          <w:szCs w:val="20"/>
        </w:rPr>
        <w:fldChar w:fldCharType="separate"/>
      </w:r>
      <w:r w:rsidR="00AB6DA4" w:rsidRPr="0021364D">
        <w:rPr>
          <w:b/>
          <w:noProof/>
          <w:sz w:val="20"/>
          <w:szCs w:val="20"/>
        </w:rPr>
        <w:t>(Satori 1987b, p.386)</w:t>
      </w:r>
      <w:r w:rsidR="00AB6DA4" w:rsidRPr="0021364D">
        <w:rPr>
          <w:b/>
          <w:sz w:val="20"/>
          <w:szCs w:val="20"/>
        </w:rPr>
        <w:fldChar w:fldCharType="end"/>
      </w:r>
    </w:p>
    <w:p w14:paraId="7045DA23" w14:textId="77777777" w:rsidR="0021364D" w:rsidRDefault="0021364D" w:rsidP="00976DD5">
      <w:pPr>
        <w:rPr>
          <w:rFonts w:cstheme="majorBidi"/>
          <w:szCs w:val="24"/>
        </w:rPr>
      </w:pPr>
    </w:p>
    <w:p w14:paraId="649921B8" w14:textId="31133DDE" w:rsidR="00976DD5" w:rsidRDefault="00976DD5" w:rsidP="00976DD5">
      <w:pPr>
        <w:rPr>
          <w:rFonts w:cstheme="majorBidi"/>
          <w:szCs w:val="24"/>
        </w:rPr>
      </w:pPr>
      <w:r>
        <w:rPr>
          <w:rFonts w:cstheme="majorBidi"/>
          <w:szCs w:val="24"/>
        </w:rPr>
        <w:t xml:space="preserve">The previous chapter outlined what characteristics were thought of by individuals as essential to democracy, and how these characteristics linked to theories of democracy and democratization. It examined the patterns for each of these characteristics separately, looking at their relationship with some </w:t>
      </w:r>
      <w:r w:rsidR="00B63C1F">
        <w:rPr>
          <w:rFonts w:cstheme="majorBidi"/>
          <w:szCs w:val="24"/>
        </w:rPr>
        <w:t>sociodemographic traits</w:t>
      </w:r>
      <w:r>
        <w:rPr>
          <w:rFonts w:cstheme="majorBidi"/>
          <w:szCs w:val="24"/>
        </w:rPr>
        <w:t>, and also how these results played out across different countries. At the national level it looked at results across countries classed by their level of freedom, as Islamic or not, as currently or formerly communist, and</w:t>
      </w:r>
      <w:r w:rsidR="009B6E5B">
        <w:rPr>
          <w:rFonts w:cstheme="majorBidi"/>
          <w:szCs w:val="24"/>
        </w:rPr>
        <w:t xml:space="preserve"> by their level of development.</w:t>
      </w:r>
    </w:p>
    <w:p w14:paraId="61AF78D1" w14:textId="7B2C18A5" w:rsidR="00976DD5" w:rsidRDefault="00976DD5" w:rsidP="00976DD5">
      <w:pPr>
        <w:rPr>
          <w:rFonts w:cstheme="majorBidi"/>
          <w:szCs w:val="24"/>
        </w:rPr>
      </w:pPr>
      <w:r>
        <w:rPr>
          <w:rFonts w:cstheme="majorBidi"/>
          <w:szCs w:val="24"/>
        </w:rPr>
        <w:t xml:space="preserve">These initial results demonstrated that a wide diversity of opinions exists on what characteristics are essential to a democracy, and that national context appears to play a part in shaping these opinions. Procedural and institutional characteristics, central to the liberal model of democracy, were generally </w:t>
      </w:r>
      <w:r w:rsidR="00B6614E">
        <w:rPr>
          <w:rFonts w:cstheme="majorBidi"/>
          <w:szCs w:val="24"/>
        </w:rPr>
        <w:t xml:space="preserve">also </w:t>
      </w:r>
      <w:r>
        <w:rPr>
          <w:rFonts w:cstheme="majorBidi"/>
          <w:szCs w:val="24"/>
        </w:rPr>
        <w:t>central to citizens’ understandings; elections, equal gender rights, the protection of civil rights and law-making via referendum were regarded by most citizens as highly essential, wherever the survey response was from.</w:t>
      </w:r>
    </w:p>
    <w:p w14:paraId="23BAD620" w14:textId="37EE9E59" w:rsidR="00976DD5" w:rsidRDefault="00976DD5" w:rsidP="00976DD5">
      <w:pPr>
        <w:rPr>
          <w:rFonts w:cstheme="majorBidi"/>
          <w:szCs w:val="24"/>
        </w:rPr>
      </w:pPr>
      <w:r>
        <w:rPr>
          <w:rFonts w:cstheme="majorBidi"/>
          <w:szCs w:val="24"/>
        </w:rPr>
        <w:t xml:space="preserve">In contrast, opinions on the </w:t>
      </w:r>
      <w:r w:rsidR="000E1EFB">
        <w:rPr>
          <w:rFonts w:cstheme="majorBidi"/>
          <w:szCs w:val="24"/>
        </w:rPr>
        <w:t>desirability</w:t>
      </w:r>
      <w:r>
        <w:rPr>
          <w:rFonts w:cstheme="majorBidi"/>
          <w:szCs w:val="24"/>
        </w:rPr>
        <w:t xml:space="preserve"> of the army to take over in times of government incompetence, and the role of religious authorities in interpreting the law, were far more place-specific. While the majority of survey respondents rejected these </w:t>
      </w:r>
      <w:r w:rsidR="00B635BE">
        <w:rPr>
          <w:rFonts w:cstheme="majorBidi"/>
          <w:szCs w:val="24"/>
        </w:rPr>
        <w:t xml:space="preserve">as </w:t>
      </w:r>
      <w:r>
        <w:rPr>
          <w:rFonts w:cstheme="majorBidi"/>
          <w:szCs w:val="24"/>
        </w:rPr>
        <w:t>characteristics</w:t>
      </w:r>
      <w:r w:rsidR="00B635BE">
        <w:rPr>
          <w:rFonts w:cstheme="majorBidi"/>
          <w:szCs w:val="24"/>
        </w:rPr>
        <w:t xml:space="preserve"> of democracy</w:t>
      </w:r>
      <w:r>
        <w:rPr>
          <w:rFonts w:cstheme="majorBidi"/>
          <w:szCs w:val="24"/>
        </w:rPr>
        <w:t>, not everyone did, and those who saw these characteristics as essential tended to be clustered by country; these characteristics scored, on average, significantly higher in countries such as Egypt, Vietnam and Jordan, compared to Sweden, Switzerland and Norway. These characteristics are argued to be authoritarian in terms in democratic theory.</w:t>
      </w:r>
    </w:p>
    <w:p w14:paraId="51B54830" w14:textId="20CBB189" w:rsidR="00976DD5" w:rsidRDefault="00976DD5" w:rsidP="00976DD5">
      <w:pPr>
        <w:rPr>
          <w:rFonts w:cstheme="majorBidi"/>
          <w:szCs w:val="24"/>
        </w:rPr>
      </w:pPr>
      <w:r>
        <w:rPr>
          <w:rFonts w:cstheme="majorBidi"/>
          <w:szCs w:val="24"/>
        </w:rPr>
        <w:t xml:space="preserve">Aid to the unemployed was generally considered more essential to democracy than state redistribution of wealth, but attitudes to these characteristics were much more varied both within and across countries. The role </w:t>
      </w:r>
      <w:r w:rsidR="005501B0">
        <w:rPr>
          <w:rFonts w:cstheme="majorBidi"/>
          <w:szCs w:val="24"/>
        </w:rPr>
        <w:t>that</w:t>
      </w:r>
      <w:r>
        <w:rPr>
          <w:rFonts w:cstheme="majorBidi"/>
          <w:szCs w:val="24"/>
        </w:rPr>
        <w:t xml:space="preserve"> these social-security characteristics are expected to play within the liberal model of democracy is by no means settled in the literature, either. Finally, the remaining two characteristics scored highly, and these tapped into populist sentiments more concerned with desirable policy outcomes than the inherent values of democracy. Having a prospering economy and having criminals severely punished were considered essential characteristics of democracy by large swathes of citizenry across many countries.</w:t>
      </w:r>
    </w:p>
    <w:p w14:paraId="329F4CFA" w14:textId="034D8717" w:rsidR="00976DD5" w:rsidRDefault="00976DD5" w:rsidP="00976DD5">
      <w:pPr>
        <w:rPr>
          <w:rFonts w:cstheme="majorBidi"/>
          <w:szCs w:val="24"/>
        </w:rPr>
      </w:pPr>
      <w:r>
        <w:rPr>
          <w:rFonts w:cstheme="majorBidi"/>
          <w:szCs w:val="24"/>
        </w:rPr>
        <w:t xml:space="preserve">From this initial exploration of the survey results, it is clear the procedural characteristics most </w:t>
      </w:r>
      <w:r w:rsidR="009B6E5B">
        <w:rPr>
          <w:rFonts w:cstheme="majorBidi"/>
          <w:szCs w:val="24"/>
        </w:rPr>
        <w:t>aligned with</w:t>
      </w:r>
      <w:r>
        <w:rPr>
          <w:rFonts w:cstheme="majorBidi"/>
          <w:szCs w:val="24"/>
        </w:rPr>
        <w:t xml:space="preserve"> liberal theory – voting, referendum</w:t>
      </w:r>
      <w:r w:rsidR="00B635BE">
        <w:rPr>
          <w:rFonts w:cstheme="majorBidi"/>
          <w:szCs w:val="24"/>
        </w:rPr>
        <w:t>s</w:t>
      </w:r>
      <w:r>
        <w:rPr>
          <w:rFonts w:cstheme="majorBidi"/>
          <w:szCs w:val="24"/>
        </w:rPr>
        <w:t>, civil rights and gender rights – are indeed understood by most citizens as essential to democracy. However, from this alone we cannot say that citizens understand democracy in a</w:t>
      </w:r>
      <w:r w:rsidR="001B7CB6">
        <w:rPr>
          <w:rFonts w:cstheme="majorBidi"/>
          <w:szCs w:val="24"/>
        </w:rPr>
        <w:t xml:space="preserve"> purely</w:t>
      </w:r>
      <w:r>
        <w:rPr>
          <w:rFonts w:cstheme="majorBidi"/>
          <w:szCs w:val="24"/>
        </w:rPr>
        <w:t xml:space="preserve"> liberal manner. Other elements score highly too, and at this stage we do not know how citizens combine these different views of what matters for democracy in their thinking about the nature of democracy.</w:t>
      </w:r>
    </w:p>
    <w:p w14:paraId="229628D2" w14:textId="077976C0" w:rsidR="00064826" w:rsidRDefault="00064826" w:rsidP="00064826">
      <w:pPr>
        <w:rPr>
          <w:rFonts w:cstheme="majorBidi"/>
          <w:szCs w:val="24"/>
        </w:rPr>
      </w:pPr>
      <w:r>
        <w:rPr>
          <w:rFonts w:cstheme="majorBidi"/>
          <w:szCs w:val="24"/>
        </w:rPr>
        <w:t>Moving forward from here, I take an exploratory approach towards these characteristics and in this chapter I look at their dimensional qualities. In taking this kind of approach, I assign to an analytical approach similar to that outlined by Almond and Verba in their classic work on civic culture. In their discussion in the role of the citizen in a democracy, and the gap between theory and reality, they outline the following:</w:t>
      </w:r>
    </w:p>
    <w:p w14:paraId="75A8D7E1" w14:textId="6DF17346" w:rsidR="00064826" w:rsidRDefault="00064826" w:rsidP="00064826">
      <w:pPr>
        <w:pStyle w:val="Quote"/>
      </w:pPr>
      <w:r>
        <w:t xml:space="preserve">“The fact that ordinary man does not live up to the ideal set by the normative theory of democracy has led to much criticism of passivity and indifference. Our goal is describe and analyse, however, and not to assign praise or blame. “ </w:t>
      </w:r>
      <w:r>
        <w:fldChar w:fldCharType="begin" w:fldLock="1"/>
      </w:r>
      <w:r w:rsidR="00E63CC6">
        <w:instrText>ADDIN CSL_CITATION { "citationItems" : [ { "id" : "ITEM-1", "itemData" : { "author" : [ { "dropping-particle" : "", "family" : "Almond", "given" : "Gabriel A", "non-dropping-particle" : "", "parse-names" : false, "suffix" : "" }, { "dropping-particle" : "", "family" : "Verba", "given" : "S", "non-dropping-particle" : "", "parse-names" : false, "suffix" : "" } ], "id" : "ITEM-1", "issued" : { "date-parts" : [ [ "1963" ] ] }, "publisher" : "Princeton University Press", "publisher-place" : "New Jersey", "title" : "The Civic Culture - Political Attitudes and Democracy in Five Nations", "type" : "book" }, "uris" : [ "http://www.mendeley.com/documents/?uuid=3bd45123-33c5-46f4-95ea-c38f4a823591" ] } ], "mendeley" : { "formattedCitation" : "(Almond and Verba, 1963)", "manualFormatting" : "(Almond &amp; Verba 1963, p.162)", "plainTextFormattedCitation" : "(Almond and Verba, 1963)", "previouslyFormattedCitation" : "(Almond and Verba, 1963)" }, "properties" : { "noteIndex" : 0 }, "schema" : "https://github.com/citation-style-language/schema/raw/master/csl-citation.json" }</w:instrText>
      </w:r>
      <w:r>
        <w:fldChar w:fldCharType="separate"/>
      </w:r>
      <w:r w:rsidRPr="00064826">
        <w:rPr>
          <w:noProof/>
        </w:rPr>
        <w:t>(Almond &amp; Verba 1963</w:t>
      </w:r>
      <w:r>
        <w:rPr>
          <w:noProof/>
        </w:rPr>
        <w:t>, p.162</w:t>
      </w:r>
      <w:r w:rsidRPr="00064826">
        <w:rPr>
          <w:noProof/>
        </w:rPr>
        <w:t>)</w:t>
      </w:r>
      <w:r>
        <w:fldChar w:fldCharType="end"/>
      </w:r>
    </w:p>
    <w:p w14:paraId="2458F01C" w14:textId="16080E0C" w:rsidR="00976DD5" w:rsidRDefault="00064826" w:rsidP="00976DD5">
      <w:pPr>
        <w:rPr>
          <w:rFonts w:cstheme="majorBidi"/>
          <w:szCs w:val="24"/>
        </w:rPr>
      </w:pPr>
      <w:r>
        <w:rPr>
          <w:rFonts w:cstheme="majorBidi"/>
          <w:szCs w:val="24"/>
        </w:rPr>
        <w:t xml:space="preserve">In this chapter I focus on </w:t>
      </w:r>
      <w:r w:rsidR="007A4486">
        <w:rPr>
          <w:rFonts w:cstheme="majorBidi"/>
          <w:szCs w:val="24"/>
        </w:rPr>
        <w:t xml:space="preserve">identifying and </w:t>
      </w:r>
      <w:r>
        <w:rPr>
          <w:rFonts w:cstheme="majorBidi"/>
          <w:szCs w:val="24"/>
        </w:rPr>
        <w:t xml:space="preserve">exploring </w:t>
      </w:r>
      <w:r w:rsidR="007A4486">
        <w:rPr>
          <w:rFonts w:cstheme="majorBidi"/>
          <w:szCs w:val="24"/>
        </w:rPr>
        <w:t>different understandings of democracy, as opposed to testing and critiquing them</w:t>
      </w:r>
      <w:r w:rsidR="00976DD5">
        <w:rPr>
          <w:rFonts w:cstheme="majorBidi"/>
          <w:szCs w:val="24"/>
        </w:rPr>
        <w:t xml:space="preserve">. The focus then is on the </w:t>
      </w:r>
      <w:r w:rsidR="00976DD5">
        <w:rPr>
          <w:rFonts w:cstheme="majorBidi"/>
          <w:i/>
          <w:iCs/>
          <w:szCs w:val="24"/>
        </w:rPr>
        <w:t>underlying dimensions</w:t>
      </w:r>
      <w:r w:rsidR="00976DD5">
        <w:rPr>
          <w:rFonts w:cstheme="majorBidi"/>
          <w:szCs w:val="24"/>
        </w:rPr>
        <w:t xml:space="preserve"> of democratic understanding, with an aim to assess the global picture of how individuals think about democracy. This dimensional analysis then is not formed from aggregated country averages, but from </w:t>
      </w:r>
      <w:r w:rsidR="00B635BE">
        <w:rPr>
          <w:rFonts w:cstheme="majorBidi"/>
          <w:szCs w:val="24"/>
        </w:rPr>
        <w:t xml:space="preserve">individual </w:t>
      </w:r>
      <w:r w:rsidR="00976DD5">
        <w:rPr>
          <w:rFonts w:cstheme="majorBidi"/>
          <w:szCs w:val="24"/>
        </w:rPr>
        <w:t>respondents</w:t>
      </w:r>
      <w:r w:rsidR="00B635BE">
        <w:rPr>
          <w:rFonts w:cstheme="majorBidi"/>
          <w:szCs w:val="24"/>
        </w:rPr>
        <w:t>’ views</w:t>
      </w:r>
      <w:r w:rsidR="00976DD5">
        <w:rPr>
          <w:rFonts w:cstheme="majorBidi"/>
          <w:szCs w:val="24"/>
        </w:rPr>
        <w:t xml:space="preserve">. It asks, do these procedural characteristics hold together, forming a latent </w:t>
      </w:r>
      <w:r w:rsidR="00976DD5">
        <w:rPr>
          <w:rFonts w:cstheme="majorBidi"/>
          <w:i/>
          <w:iCs/>
          <w:szCs w:val="24"/>
        </w:rPr>
        <w:t>liberal</w:t>
      </w:r>
      <w:r w:rsidR="00976DD5">
        <w:rPr>
          <w:rFonts w:cstheme="majorBidi"/>
          <w:szCs w:val="24"/>
        </w:rPr>
        <w:t xml:space="preserve"> dimension of democratic understanding? Are they mixed in with the </w:t>
      </w:r>
      <w:r w:rsidR="0067681A">
        <w:rPr>
          <w:rFonts w:cstheme="majorBidi"/>
          <w:szCs w:val="24"/>
        </w:rPr>
        <w:t>other characteristics</w:t>
      </w:r>
      <w:r w:rsidR="00976DD5">
        <w:rPr>
          <w:rFonts w:cstheme="majorBidi"/>
          <w:szCs w:val="24"/>
        </w:rPr>
        <w:t>, particularly the high-scoring populist ones? Or are citizens’ understandings less clear-cut, and a messy or ad-hoc combination of characteristics?</w:t>
      </w:r>
    </w:p>
    <w:p w14:paraId="03001B1F" w14:textId="2CBED014" w:rsidR="001242A4" w:rsidRDefault="00976DD5" w:rsidP="00976DD5">
      <w:pPr>
        <w:rPr>
          <w:rFonts w:cstheme="majorBidi"/>
          <w:szCs w:val="24"/>
        </w:rPr>
      </w:pPr>
      <w:r>
        <w:rPr>
          <w:rFonts w:cstheme="majorBidi"/>
          <w:szCs w:val="24"/>
        </w:rPr>
        <w:t xml:space="preserve">In order to address these questions this chapter is </w:t>
      </w:r>
      <w:r w:rsidR="001242A4">
        <w:rPr>
          <w:rFonts w:cstheme="majorBidi"/>
          <w:szCs w:val="24"/>
        </w:rPr>
        <w:t xml:space="preserve">structured as follows. Section 4.1 introduces and elaborates on a dimensional approach to examining how people understand democracy. It focuses on the work undertaken by Welzel </w:t>
      </w:r>
      <w:r w:rsidR="007A4486">
        <w:rPr>
          <w:rFonts w:cstheme="majorBidi"/>
          <w:szCs w:val="24"/>
        </w:rPr>
        <w:fldChar w:fldCharType="begin" w:fldLock="1"/>
      </w:r>
      <w:r w:rsidR="00E63CC6">
        <w:rPr>
          <w:rFonts w:cstheme="majorBidi"/>
          <w:szCs w:val="24"/>
        </w:rPr>
        <w:instrText>ADDIN CSL_CITATION { "citationItems" : [ { "id" : "ITEM-1", "itemData" : { "ISBN" : "9781107034709", "author" : [ { "dropping-particle" : "", "family" : "Welzel", "given" : "Christian", "non-dropping-particle" : "", "parse-names" : false, "suffix" : "" } ], "id" : "ITEM-1", "issued" : { "date-parts" : [ [ "2013" ] ] }, "publisher" : "Cambridge University Press", "publisher-place" : "Cambridge", "title" : "Freedom Rising Human Empowerment and the Quest for Emancipation", "type" : "book" }, "uris" : [ "http://www.mendeley.com/documents/?uuid=a04e4a97-3944-4d8e-ba77-b044563d9c7e" ] } ], "mendeley" : { "formattedCitation" : "(Welzel, 2013)", "manualFormatting" : "(2013)", "plainTextFormattedCitation" : "(Welzel, 2013)", "previouslyFormattedCitation" : "(Welzel, 2013)" }, "properties" : { "noteIndex" : 0 }, "schema" : "https://github.com/citation-style-language/schema/raw/master/csl-citation.json" }</w:instrText>
      </w:r>
      <w:r w:rsidR="007A4486">
        <w:rPr>
          <w:rFonts w:cstheme="majorBidi"/>
          <w:szCs w:val="24"/>
        </w:rPr>
        <w:fldChar w:fldCharType="separate"/>
      </w:r>
      <w:r w:rsidR="007A4486" w:rsidRPr="007A4486">
        <w:rPr>
          <w:rFonts w:cstheme="majorBidi"/>
          <w:noProof/>
          <w:szCs w:val="24"/>
        </w:rPr>
        <w:t>(2013)</w:t>
      </w:r>
      <w:r w:rsidR="007A4486">
        <w:rPr>
          <w:rFonts w:cstheme="majorBidi"/>
          <w:szCs w:val="24"/>
        </w:rPr>
        <w:fldChar w:fldCharType="end"/>
      </w:r>
      <w:r w:rsidR="007A4486">
        <w:rPr>
          <w:rFonts w:cstheme="majorBidi"/>
          <w:szCs w:val="24"/>
        </w:rPr>
        <w:t>,</w:t>
      </w:r>
      <w:r w:rsidR="001242A4">
        <w:rPr>
          <w:rFonts w:cstheme="majorBidi"/>
          <w:szCs w:val="24"/>
        </w:rPr>
        <w:t xml:space="preserve"> outlining his approach (</w:t>
      </w:r>
      <w:r w:rsidR="001B7CB6">
        <w:rPr>
          <w:rFonts w:cstheme="majorBidi"/>
          <w:szCs w:val="24"/>
        </w:rPr>
        <w:t xml:space="preserve">confirmatory </w:t>
      </w:r>
      <w:r w:rsidR="001242A4">
        <w:rPr>
          <w:rFonts w:cstheme="majorBidi"/>
          <w:szCs w:val="24"/>
        </w:rPr>
        <w:t xml:space="preserve">factor analysis) and </w:t>
      </w:r>
      <w:r w:rsidR="007A4486">
        <w:rPr>
          <w:rFonts w:cstheme="majorBidi"/>
          <w:szCs w:val="24"/>
        </w:rPr>
        <w:t>his designing of a ‘test’ of democratic understanding</w:t>
      </w:r>
      <w:r w:rsidR="001242A4">
        <w:rPr>
          <w:rFonts w:cstheme="majorBidi"/>
          <w:szCs w:val="24"/>
        </w:rPr>
        <w:t>.</w:t>
      </w:r>
      <w:r w:rsidR="007A4486">
        <w:rPr>
          <w:rFonts w:cstheme="majorBidi"/>
          <w:szCs w:val="24"/>
        </w:rPr>
        <w:t xml:space="preserve"> I also draw on the similar approach taken by Norris </w:t>
      </w:r>
      <w:r w:rsidR="007A4486">
        <w:rPr>
          <w:rFonts w:cstheme="majorBidi"/>
          <w:szCs w:val="24"/>
        </w:rPr>
        <w:fldChar w:fldCharType="begin" w:fldLock="1"/>
      </w:r>
      <w:r w:rsidR="00E63CC6">
        <w:rPr>
          <w:rFonts w:cstheme="majorBidi"/>
          <w:szCs w:val="24"/>
        </w:rPr>
        <w:instrText>ADDIN CSL_CITATION { "citationItems" : [ { "id" : "ITEM-1", "itemData" : { "author" : [ { "dropping-particle" : "", "family" : "Norris", "given" : "P", "non-dropping-particle" : "", "parse-names" : false, "suffix" : "" } ], "id" : "ITEM-1", "issued" : { "date-parts" : [ [ "2011" ] ] }, "publisher" : "Cambridge University Press", "publisher-place" : "Cambridge", "title" : "Democratic Deficit - Critical Citizens Revisited", "type" : "book" }, "uris" : [ "http://www.mendeley.com/documents/?uuid=767d7bfd-72a9-4ffe-ba7a-ed7860204ebd" ] } ], "mendeley" : { "formattedCitation" : "(Norris, 2011)", "manualFormatting" : "(2011)", "plainTextFormattedCitation" : "(Norris, 2011)", "previouslyFormattedCitation" : "(Norris, 2011)" }, "properties" : { "noteIndex" : 0 }, "schema" : "https://github.com/citation-style-language/schema/raw/master/csl-citation.json" }</w:instrText>
      </w:r>
      <w:r w:rsidR="007A4486">
        <w:rPr>
          <w:rFonts w:cstheme="majorBidi"/>
          <w:szCs w:val="24"/>
        </w:rPr>
        <w:fldChar w:fldCharType="separate"/>
      </w:r>
      <w:r w:rsidR="007A4486" w:rsidRPr="007A4486">
        <w:rPr>
          <w:rFonts w:cstheme="majorBidi"/>
          <w:noProof/>
          <w:szCs w:val="24"/>
        </w:rPr>
        <w:t>(2011)</w:t>
      </w:r>
      <w:r w:rsidR="007A4486">
        <w:rPr>
          <w:rFonts w:cstheme="majorBidi"/>
          <w:szCs w:val="24"/>
        </w:rPr>
        <w:fldChar w:fldCharType="end"/>
      </w:r>
      <w:r w:rsidR="007A4486">
        <w:rPr>
          <w:rFonts w:cstheme="majorBidi"/>
          <w:szCs w:val="24"/>
        </w:rPr>
        <w:t xml:space="preserve">: the details of </w:t>
      </w:r>
      <w:r w:rsidR="00B65E00">
        <w:rPr>
          <w:rFonts w:cstheme="majorBidi"/>
          <w:szCs w:val="24"/>
        </w:rPr>
        <w:t xml:space="preserve">these </w:t>
      </w:r>
      <w:r w:rsidR="007A4486">
        <w:rPr>
          <w:rFonts w:cstheme="majorBidi"/>
          <w:szCs w:val="24"/>
        </w:rPr>
        <w:t>studies were previously outlined in Chapter 2, Section 2.4 and Figure 2.3</w:t>
      </w:r>
      <w:r w:rsidR="005501B0">
        <w:rPr>
          <w:rFonts w:cstheme="majorBidi"/>
          <w:szCs w:val="24"/>
        </w:rPr>
        <w:t xml:space="preserve"> and 2.4</w:t>
      </w:r>
      <w:r w:rsidR="007A4486">
        <w:rPr>
          <w:rFonts w:cstheme="majorBidi"/>
          <w:szCs w:val="24"/>
        </w:rPr>
        <w:t>. However, i</w:t>
      </w:r>
      <w:r w:rsidR="001242A4">
        <w:rPr>
          <w:rFonts w:cstheme="majorBidi"/>
          <w:szCs w:val="24"/>
        </w:rPr>
        <w:t xml:space="preserve">n this section </w:t>
      </w:r>
      <w:r w:rsidR="007A4486">
        <w:rPr>
          <w:rFonts w:cstheme="majorBidi"/>
          <w:szCs w:val="24"/>
        </w:rPr>
        <w:t>I</w:t>
      </w:r>
      <w:r w:rsidR="001242A4">
        <w:rPr>
          <w:rFonts w:cstheme="majorBidi"/>
          <w:szCs w:val="24"/>
        </w:rPr>
        <w:t xml:space="preserve"> critique this approach, and argue for a different approach: principal components analysis (PCA). In Section 4.2 I outline how PCA works, and why it is the most appropriate technique to use in this study. Section 4.3 presents the results of PCA on the ten question</w:t>
      </w:r>
      <w:r w:rsidR="009B6E5B">
        <w:rPr>
          <w:rFonts w:cstheme="majorBidi"/>
          <w:szCs w:val="24"/>
        </w:rPr>
        <w:t>s</w:t>
      </w:r>
      <w:r w:rsidR="001242A4">
        <w:rPr>
          <w:rFonts w:cstheme="majorBidi"/>
          <w:szCs w:val="24"/>
        </w:rPr>
        <w:t xml:space="preserve"> on democratic analysis which were discussed and described in detail in Chapter 3. </w:t>
      </w:r>
    </w:p>
    <w:p w14:paraId="47B04D07" w14:textId="2A71120E" w:rsidR="00AB6DA4" w:rsidRPr="00252673" w:rsidRDefault="001242A4" w:rsidP="00976DD5">
      <w:pPr>
        <w:rPr>
          <w:rFonts w:cstheme="majorBidi"/>
          <w:szCs w:val="24"/>
        </w:rPr>
      </w:pPr>
      <w:r>
        <w:rPr>
          <w:rFonts w:cstheme="majorBidi"/>
          <w:szCs w:val="24"/>
        </w:rPr>
        <w:t>Next, Section 4.4 discusses the results in detail. It outlines the two components der</w:t>
      </w:r>
      <w:r w:rsidR="009B6E5B">
        <w:rPr>
          <w:rFonts w:cstheme="majorBidi"/>
          <w:szCs w:val="24"/>
        </w:rPr>
        <w:t>ived from the PCA. After this, S</w:t>
      </w:r>
      <w:r>
        <w:rPr>
          <w:rFonts w:cstheme="majorBidi"/>
          <w:szCs w:val="24"/>
        </w:rPr>
        <w:t>ection 4.5 discusses how these dimensions can be combined and how combinations of them can be understood, with a focus on the advantages that this provides us with for our understanding of democracy, compared to the other techniques which have been discussed here, and in the Literature Review (Chapter 2). Finally, Section 4.</w:t>
      </w:r>
      <w:r w:rsidR="009B6E5B">
        <w:rPr>
          <w:rFonts w:cstheme="majorBidi"/>
          <w:szCs w:val="24"/>
        </w:rPr>
        <w:t>6 concludes</w:t>
      </w:r>
      <w:r>
        <w:rPr>
          <w:rFonts w:cstheme="majorBidi"/>
          <w:szCs w:val="24"/>
        </w:rPr>
        <w:t xml:space="preserve">, </w:t>
      </w:r>
      <w:r w:rsidR="009B6E5B">
        <w:rPr>
          <w:rFonts w:cstheme="majorBidi"/>
          <w:szCs w:val="24"/>
        </w:rPr>
        <w:t>drawing</w:t>
      </w:r>
      <w:r>
        <w:rPr>
          <w:rFonts w:cstheme="majorBidi"/>
          <w:szCs w:val="24"/>
        </w:rPr>
        <w:t xml:space="preserve"> together the findings of this chapter, and shows how they inform and are moved forward into the next stage of analysis.</w:t>
      </w:r>
    </w:p>
    <w:p w14:paraId="06AC4DA7" w14:textId="7B5A8E81" w:rsidR="00976DD5" w:rsidRPr="00577217" w:rsidRDefault="00976DD5" w:rsidP="00577217">
      <w:pPr>
        <w:pStyle w:val="Heading2"/>
      </w:pPr>
      <w:bookmarkStart w:id="212" w:name="_Toc439171457"/>
      <w:bookmarkStart w:id="213" w:name="_Toc385498304"/>
      <w:bookmarkStart w:id="214" w:name="_Toc441069027"/>
      <w:bookmarkStart w:id="215" w:name="_Toc441069217"/>
      <w:bookmarkStart w:id="216" w:name="_Toc494034220"/>
      <w:r w:rsidRPr="00577217">
        <w:t>4.1 Exploring Underlying Dimensions of Understanding</w:t>
      </w:r>
      <w:bookmarkEnd w:id="212"/>
      <w:bookmarkEnd w:id="213"/>
      <w:bookmarkEnd w:id="214"/>
      <w:bookmarkEnd w:id="215"/>
      <w:r w:rsidR="008733BE">
        <w:t xml:space="preserve"> – confirmatory and exploratory approaches</w:t>
      </w:r>
      <w:bookmarkEnd w:id="216"/>
    </w:p>
    <w:p w14:paraId="1B2BA775" w14:textId="5E5C56A4" w:rsidR="00976DD5" w:rsidRDefault="00976DD5" w:rsidP="00976DD5">
      <w:pPr>
        <w:rPr>
          <w:rFonts w:cstheme="majorBidi"/>
          <w:szCs w:val="24"/>
        </w:rPr>
      </w:pPr>
      <w:r>
        <w:rPr>
          <w:rFonts w:cstheme="majorBidi"/>
          <w:szCs w:val="24"/>
        </w:rPr>
        <w:t xml:space="preserve">Researchers interested in </w:t>
      </w:r>
      <w:r w:rsidR="00CD61B4">
        <w:rPr>
          <w:rFonts w:cstheme="majorBidi"/>
          <w:szCs w:val="24"/>
        </w:rPr>
        <w:t>the</w:t>
      </w:r>
      <w:r w:rsidR="001C2B28">
        <w:rPr>
          <w:rFonts w:cstheme="majorBidi"/>
          <w:szCs w:val="24"/>
        </w:rPr>
        <w:t xml:space="preserve"> </w:t>
      </w:r>
      <w:r>
        <w:rPr>
          <w:rFonts w:cstheme="majorBidi"/>
          <w:szCs w:val="24"/>
        </w:rPr>
        <w:t>opinions and values</w:t>
      </w:r>
      <w:r w:rsidR="00CD61B4">
        <w:rPr>
          <w:rFonts w:cstheme="majorBidi"/>
          <w:szCs w:val="24"/>
        </w:rPr>
        <w:t xml:space="preserve"> of people</w:t>
      </w:r>
      <w:r>
        <w:rPr>
          <w:rFonts w:cstheme="majorBidi"/>
          <w:szCs w:val="24"/>
        </w:rPr>
        <w:t xml:space="preserve"> rarely want just one answer to one specific question. Large questionnaires such as the WVS and the Barometer series, as well as more frequently collected polls such as those conducted by YouGov, often feature groups of questions designed to address numerous facets within a particular topic, say, crime, the economy or health. These are not simple topics in which a single question and answer could accurately paint a picture of what a respondent thinks. Not only that, but combining indicators from multiple questions is useful when examining complex issues because it lessens the considerable measurement error found in individual questions </w:t>
      </w:r>
      <w:r w:rsidR="00AB6DA4">
        <w:rPr>
          <w:rFonts w:cstheme="majorBidi"/>
          <w:szCs w:val="24"/>
        </w:rPr>
        <w:fldChar w:fldCharType="begin" w:fldLock="1"/>
      </w:r>
      <w:r w:rsidR="00E63CC6">
        <w:rPr>
          <w:rFonts w:cstheme="majorBidi"/>
          <w:szCs w:val="24"/>
        </w:rPr>
        <w:instrText>ADDIN CSL_CITATION { "citationItems" : [ { "id" : "ITEM-1", "itemData" : { "DOI" : "10.1017/S0003055408080210", "ISSN" : "0003-0554", "author" : [ { "dropping-particle" : "", "family" : "Ansolabehere", "given" : "Stephen", "non-dropping-particle" : "", "parse-names" : false, "suffix" : "" }, { "dropping-particle" : "", "family" : "Rodden", "given" : "Jonathan", "non-dropping-particle" : "", "parse-names" : false, "suffix" : "" }, { "dropping-particle" : "", "family" : "Snyder", "given" : "James M.", "non-dropping-particle" : "", "parse-names" : false, "suffix" : "" } ], "container-title" : "American Political Science Review", "id" : "ITEM-1", "issue" : "02", "issued" : { "date-parts" : [ [ "2008", "6", "4" ] ] }, "page" : "215-232", "title" : "The Strength of Issues: Using Multiple Measures to Gauge Preference Stability, Ideological Constraint, and Issue Voting", "type" : "article-journal", "volume" : "102" }, "uris" : [ "http://www.mendeley.com/documents/?uuid=bbab5177-8dca-4ea9-9538-d4952cbd45ed" ] } ], "mendeley" : { "formattedCitation" : "(Ansolabehere, Rodden and Snyder, 2008)", "plainTextFormattedCitation" : "(Ansolabehere, Rodden and Snyder, 2008)", "previouslyFormattedCitation" : "(Ansolabehere, Rodden and Snyder, 2008)" }, "properties" : { "noteIndex" : 0 }, "schema" : "https://github.com/citation-style-language/schema/raw/master/csl-citation.json" }</w:instrText>
      </w:r>
      <w:r w:rsidR="00AB6DA4">
        <w:rPr>
          <w:rFonts w:cstheme="majorBidi"/>
          <w:szCs w:val="24"/>
        </w:rPr>
        <w:fldChar w:fldCharType="separate"/>
      </w:r>
      <w:r w:rsidR="00E63CC6" w:rsidRPr="00E63CC6">
        <w:rPr>
          <w:rFonts w:cstheme="majorBidi"/>
          <w:noProof/>
          <w:szCs w:val="24"/>
        </w:rPr>
        <w:t>(Ansolabehere, Rodden and Snyder, 2008)</w:t>
      </w:r>
      <w:r w:rsidR="00AB6DA4">
        <w:rPr>
          <w:rFonts w:cstheme="majorBidi"/>
          <w:szCs w:val="24"/>
        </w:rPr>
        <w:fldChar w:fldCharType="end"/>
      </w:r>
      <w:r>
        <w:rPr>
          <w:rFonts w:cstheme="majorBidi"/>
          <w:szCs w:val="24"/>
        </w:rPr>
        <w:t>.</w:t>
      </w:r>
    </w:p>
    <w:p w14:paraId="74C3F849" w14:textId="60763C69" w:rsidR="00976DD5" w:rsidRDefault="00976DD5" w:rsidP="00976DD5">
      <w:pPr>
        <w:rPr>
          <w:rFonts w:cstheme="majorBidi"/>
          <w:szCs w:val="24"/>
        </w:rPr>
      </w:pPr>
      <w:r>
        <w:rPr>
          <w:rFonts w:cstheme="majorBidi"/>
          <w:szCs w:val="24"/>
        </w:rPr>
        <w:t xml:space="preserve">This means researchers are often interested in </w:t>
      </w:r>
      <w:r>
        <w:rPr>
          <w:rFonts w:cstheme="majorBidi"/>
          <w:i/>
          <w:iCs/>
          <w:szCs w:val="24"/>
        </w:rPr>
        <w:t>underlying dimensions</w:t>
      </w:r>
      <w:r>
        <w:rPr>
          <w:rFonts w:cstheme="majorBidi"/>
          <w:szCs w:val="24"/>
        </w:rPr>
        <w:t xml:space="preserve">, that is, whether any </w:t>
      </w:r>
      <w:r w:rsidR="00450268">
        <w:rPr>
          <w:rFonts w:cstheme="majorBidi"/>
          <w:szCs w:val="24"/>
        </w:rPr>
        <w:t xml:space="preserve">latent </w:t>
      </w:r>
      <w:r>
        <w:rPr>
          <w:rFonts w:cstheme="majorBidi"/>
          <w:szCs w:val="24"/>
        </w:rPr>
        <w:t>attitudinal structures can be identified from the inter-correlation of results across the range of respondents. This is of interest to political scientists particularly when it comes to exploring the extent of ideological thinking among citizens; as a well-known example, how frequently do politicians or media commentators discuss policy ideas in terms of the ‘Left’ or the ‘Right’? What are ‘Left’ and ‘Right’ presumed to be, if not attitudes towards a number of topics that hang together in a predictable fashion, however loosely?</w:t>
      </w:r>
    </w:p>
    <w:p w14:paraId="147B9EBF" w14:textId="503AC0C3" w:rsidR="00976DD5" w:rsidRDefault="00976DD5" w:rsidP="008733BE">
      <w:pPr>
        <w:rPr>
          <w:rFonts w:cstheme="majorBidi"/>
          <w:szCs w:val="24"/>
        </w:rPr>
      </w:pPr>
      <w:r>
        <w:rPr>
          <w:rFonts w:cstheme="majorBidi"/>
          <w:szCs w:val="24"/>
        </w:rPr>
        <w:t xml:space="preserve">There are a number of statistical techniques available to undertake the exploration of underlying dimensions of opinion and attitudes. Often the umbrella term used for these techniques is </w:t>
      </w:r>
      <w:r>
        <w:rPr>
          <w:rFonts w:cstheme="majorBidi"/>
          <w:i/>
          <w:iCs/>
          <w:szCs w:val="24"/>
        </w:rPr>
        <w:t xml:space="preserve">factor analysis </w:t>
      </w:r>
      <w:r>
        <w:rPr>
          <w:rFonts w:cstheme="majorBidi"/>
          <w:szCs w:val="24"/>
        </w:rPr>
        <w:t xml:space="preserve">(FA), which can be summed up as, “a variety of statistical techniques whose common objective is to represent a set of variables in terms of a smaller number of hypothetical variables” </w:t>
      </w:r>
      <w:r w:rsidR="00182ADD">
        <w:rPr>
          <w:rFonts w:cstheme="majorBidi"/>
          <w:szCs w:val="24"/>
        </w:rPr>
        <w:fldChar w:fldCharType="begin" w:fldLock="1"/>
      </w:r>
      <w:r w:rsidR="00E63CC6">
        <w:rPr>
          <w:rFonts w:cstheme="majorBidi"/>
          <w:szCs w:val="24"/>
        </w:rPr>
        <w:instrText>ADDIN CSL_CITATION { "citationItems" : [ { "id" : "ITEM-1", "itemData" : { "author" : [ { "dropping-particle" : "", "family" : "Kim", "given" : "OJ", "non-dropping-particle" : "", "parse-names" : false, "suffix" : "" }, { "dropping-particle" : "", "family" : "Mueller", "given" : "CW", "non-dropping-particle" : "", "parse-names" : false, "suffix" : "" } ], "id" : "ITEM-1", "issued" : { "date-parts" : [ [ "1978" ] ] }, "publisher" : "Sage", "publisher-place" : "Beverly Hills", "title" : "Introduction to factor analysis: What it is and how to do it", "type" : "book" }, "uris" : [ "http://www.mendeley.com/documents/?uuid=90da460c-193e-43a7-81f5-1985011d4963" ] } ], "mendeley" : { "formattedCitation" : "(Kim and Mueller, 1978)", "manualFormatting" : "(Kim &amp; Mueller 1978, p.9)", "plainTextFormattedCitation" : "(Kim and Mueller, 1978)", "previouslyFormattedCitation" : "(Kim and Mueller, 1978)" }, "properties" : { "noteIndex" : 0 }, "schema" : "https://github.com/citation-style-language/schema/raw/master/csl-citation.json" }</w:instrText>
      </w:r>
      <w:r w:rsidR="00182ADD">
        <w:rPr>
          <w:rFonts w:cstheme="majorBidi"/>
          <w:szCs w:val="24"/>
        </w:rPr>
        <w:fldChar w:fldCharType="separate"/>
      </w:r>
      <w:r w:rsidR="00182ADD" w:rsidRPr="00182ADD">
        <w:rPr>
          <w:rFonts w:cstheme="majorBidi"/>
          <w:noProof/>
          <w:szCs w:val="24"/>
        </w:rPr>
        <w:t>(Kim &amp; Mueller 1978</w:t>
      </w:r>
      <w:r w:rsidR="00182ADD">
        <w:rPr>
          <w:rFonts w:cstheme="majorBidi"/>
          <w:noProof/>
          <w:szCs w:val="24"/>
        </w:rPr>
        <w:t>, p.9</w:t>
      </w:r>
      <w:r w:rsidR="00182ADD" w:rsidRPr="00182ADD">
        <w:rPr>
          <w:rFonts w:cstheme="majorBidi"/>
          <w:noProof/>
          <w:szCs w:val="24"/>
        </w:rPr>
        <w:t>)</w:t>
      </w:r>
      <w:r w:rsidR="00182ADD">
        <w:rPr>
          <w:rFonts w:cstheme="majorBidi"/>
          <w:szCs w:val="24"/>
        </w:rPr>
        <w:fldChar w:fldCharType="end"/>
      </w:r>
      <w:r>
        <w:rPr>
          <w:rFonts w:cstheme="majorBidi"/>
          <w:szCs w:val="24"/>
        </w:rPr>
        <w:t>. Confusingly</w:t>
      </w:r>
      <w:r w:rsidR="00EB05F2">
        <w:rPr>
          <w:rFonts w:cstheme="majorBidi"/>
          <w:szCs w:val="24"/>
        </w:rPr>
        <w:t>,</w:t>
      </w:r>
      <w:r>
        <w:rPr>
          <w:rFonts w:cstheme="majorBidi"/>
          <w:szCs w:val="24"/>
        </w:rPr>
        <w:t xml:space="preserve"> however, terms in this field are not always used consistently. Factor Analysis</w:t>
      </w:r>
      <w:r w:rsidR="00601E05">
        <w:rPr>
          <w:rFonts w:cstheme="majorBidi"/>
          <w:szCs w:val="24"/>
        </w:rPr>
        <w:t xml:space="preserve"> (FA)</w:t>
      </w:r>
      <w:r>
        <w:rPr>
          <w:rFonts w:cstheme="majorBidi"/>
          <w:szCs w:val="24"/>
        </w:rPr>
        <w:t xml:space="preserve"> is often used in the same breath as Principal Components Analysis (PCA), yet PCA is not strictly a true method of FA, whilst FA itself comes in many different variations </w:t>
      </w:r>
      <w:r w:rsidR="00182ADD">
        <w:rPr>
          <w:rFonts w:cstheme="majorBidi"/>
          <w:szCs w:val="24"/>
        </w:rPr>
        <w:fldChar w:fldCharType="begin" w:fldLock="1"/>
      </w:r>
      <w:r w:rsidR="00E63CC6">
        <w:rPr>
          <w:rFonts w:cstheme="majorBidi"/>
          <w:szCs w:val="24"/>
        </w:rPr>
        <w:instrText>ADDIN CSL_CITATION { "citationItems" : [ { "id" : "ITEM-1", "itemData" : { "author" : [ { "dropping-particle" : "", "family" : "Costello", "given" : "AB", "non-dropping-particle" : "", "parse-names" : false, "suffix" : "" }, { "dropping-particle" : "", "family" : "Osborne", "given" : "JW", "non-dropping-particle" : "", "parse-names" : false, "suffix" : "" } ], "container-title" : "Practical Assessment, Research &amp; Evaluation", "id" : "ITEM-1", "issue" : "7", "issued" : { "date-parts" : [ [ "2005" ] ] }, "page" : "1-9", "title" : "Best practices in exploratory factor analysis: Four recommendations for getting the most from your analysis", "type" : "article-journal", "volume" : "10" }, "uris" : [ "http://www.mendeley.com/documents/?uuid=8428a3f0-3343-495e-9ac1-19fbbf762cfc" ] } ], "mendeley" : { "formattedCitation" : "(Costello and Osborne, 2005)", "manualFormatting" : "(Costello &amp; Osborne 2005, p.1-2)", "plainTextFormattedCitation" : "(Costello and Osborne, 2005)", "previouslyFormattedCitation" : "(Costello and Osborne, 2005)" }, "properties" : { "noteIndex" : 0 }, "schema" : "https://github.com/citation-style-language/schema/raw/master/csl-citation.json" }</w:instrText>
      </w:r>
      <w:r w:rsidR="00182ADD">
        <w:rPr>
          <w:rFonts w:cstheme="majorBidi"/>
          <w:szCs w:val="24"/>
        </w:rPr>
        <w:fldChar w:fldCharType="separate"/>
      </w:r>
      <w:r w:rsidR="00182ADD" w:rsidRPr="00182ADD">
        <w:rPr>
          <w:rFonts w:cstheme="majorBidi"/>
          <w:noProof/>
          <w:szCs w:val="24"/>
        </w:rPr>
        <w:t>(Costello &amp; Osborne 2005</w:t>
      </w:r>
      <w:r w:rsidR="00182ADD">
        <w:rPr>
          <w:rFonts w:cstheme="majorBidi"/>
          <w:noProof/>
          <w:szCs w:val="24"/>
        </w:rPr>
        <w:t>, p.1-2</w:t>
      </w:r>
      <w:r w:rsidR="00182ADD" w:rsidRPr="00182ADD">
        <w:rPr>
          <w:rFonts w:cstheme="majorBidi"/>
          <w:noProof/>
          <w:szCs w:val="24"/>
        </w:rPr>
        <w:t>)</w:t>
      </w:r>
      <w:r w:rsidR="00182ADD">
        <w:rPr>
          <w:rFonts w:cstheme="majorBidi"/>
          <w:szCs w:val="24"/>
        </w:rPr>
        <w:fldChar w:fldCharType="end"/>
      </w:r>
      <w:r>
        <w:rPr>
          <w:rFonts w:cstheme="majorBidi"/>
          <w:szCs w:val="24"/>
        </w:rPr>
        <w:t>.</w:t>
      </w:r>
      <w:r w:rsidR="008A0BEC">
        <w:rPr>
          <w:rFonts w:cstheme="majorBidi"/>
          <w:szCs w:val="24"/>
        </w:rPr>
        <w:t xml:space="preserve"> There are also two broad approaches within FA, the confirmatory approach</w:t>
      </w:r>
      <w:r w:rsidR="00E63CC6">
        <w:rPr>
          <w:rFonts w:cstheme="majorBidi"/>
          <w:szCs w:val="24"/>
        </w:rPr>
        <w:t xml:space="preserve"> (CFA)</w:t>
      </w:r>
      <w:r w:rsidR="008A0BEC">
        <w:rPr>
          <w:rFonts w:cstheme="majorBidi"/>
          <w:szCs w:val="24"/>
        </w:rPr>
        <w:t>, and the exploratory</w:t>
      </w:r>
      <w:r w:rsidR="00E63CC6">
        <w:rPr>
          <w:rFonts w:cstheme="majorBidi"/>
          <w:szCs w:val="24"/>
        </w:rPr>
        <w:t xml:space="preserve"> (EFA)</w:t>
      </w:r>
      <w:r w:rsidR="008A0BEC">
        <w:rPr>
          <w:rFonts w:cstheme="majorBidi"/>
          <w:szCs w:val="24"/>
        </w:rPr>
        <w:t>.</w:t>
      </w:r>
      <w:r w:rsidR="008733BE">
        <w:rPr>
          <w:rFonts w:cstheme="majorBidi"/>
          <w:szCs w:val="24"/>
        </w:rPr>
        <w:t xml:space="preserve"> This discussion first focuses on CFA, before dismissing it and then outlining the choice taken of PCA over EFA.</w:t>
      </w:r>
    </w:p>
    <w:p w14:paraId="7901D320" w14:textId="02C38C99" w:rsidR="00601E05" w:rsidRPr="00B63C1F" w:rsidRDefault="00601E05" w:rsidP="00601E05">
      <w:pPr>
        <w:pStyle w:val="Heading3"/>
        <w:rPr>
          <w:highlight w:val="lightGray"/>
        </w:rPr>
      </w:pPr>
      <w:r w:rsidRPr="00B63C1F">
        <w:rPr>
          <w:highlight w:val="lightGray"/>
        </w:rPr>
        <w:t>Confirmatory Factor Analysis</w:t>
      </w:r>
    </w:p>
    <w:p w14:paraId="0B3F9FB2" w14:textId="35CCD34B" w:rsidR="008F4B0E" w:rsidRPr="00B63C1F" w:rsidRDefault="008733BE" w:rsidP="00976DD5">
      <w:pPr>
        <w:rPr>
          <w:rFonts w:cstheme="majorBidi"/>
          <w:szCs w:val="24"/>
          <w:highlight w:val="lightGray"/>
        </w:rPr>
      </w:pPr>
      <w:r w:rsidRPr="00B63C1F">
        <w:rPr>
          <w:rFonts w:cstheme="majorBidi"/>
          <w:szCs w:val="24"/>
          <w:highlight w:val="lightGray"/>
        </w:rPr>
        <w:t>C</w:t>
      </w:r>
      <w:r w:rsidR="00976DD5" w:rsidRPr="00B63C1F">
        <w:rPr>
          <w:rFonts w:cstheme="majorBidi"/>
          <w:szCs w:val="24"/>
          <w:highlight w:val="lightGray"/>
        </w:rPr>
        <w:t xml:space="preserve">FA is an approach carried out with theoretical expectations of the data </w:t>
      </w:r>
      <w:r w:rsidR="008A0BEC" w:rsidRPr="00B63C1F">
        <w:rPr>
          <w:rFonts w:cstheme="majorBidi"/>
          <w:szCs w:val="24"/>
          <w:highlight w:val="lightGray"/>
        </w:rPr>
        <w:t>(the expected shared variance)</w:t>
      </w:r>
      <w:r w:rsidR="008F4B0E" w:rsidRPr="00B63C1F">
        <w:rPr>
          <w:rFonts w:cstheme="majorBidi"/>
          <w:szCs w:val="24"/>
          <w:highlight w:val="lightGray"/>
        </w:rPr>
        <w:t>. In its confirmatory form:</w:t>
      </w:r>
    </w:p>
    <w:p w14:paraId="65F3E9A1" w14:textId="040F8A90" w:rsidR="001C6940" w:rsidRPr="00B63C1F" w:rsidRDefault="008F4B0E" w:rsidP="00976DD5">
      <w:pPr>
        <w:rPr>
          <w:rFonts w:cstheme="majorBidi"/>
          <w:i/>
          <w:szCs w:val="24"/>
          <w:highlight w:val="lightGray"/>
        </w:rPr>
      </w:pPr>
      <w:r w:rsidRPr="00B63C1F">
        <w:rPr>
          <w:i/>
          <w:highlight w:val="lightGray"/>
        </w:rPr>
        <w:t>“ …the researcher imposes substantively motivated constraints. These constraints determine (1) which pairs of common factors are correlated, (2) which observed variables are affected by which common factors, (3) which observed variables are affected by a unique factor, and (4) which pairs of unique factors are correlated.</w:t>
      </w:r>
      <w:r w:rsidRPr="00B63C1F">
        <w:rPr>
          <w:rFonts w:cstheme="majorBidi"/>
          <w:i/>
          <w:szCs w:val="24"/>
          <w:highlight w:val="lightGray"/>
        </w:rPr>
        <w:t xml:space="preserve"> </w:t>
      </w:r>
      <w:r w:rsidR="00E63CC6" w:rsidRPr="00B63C1F">
        <w:rPr>
          <w:rFonts w:cstheme="majorBidi"/>
          <w:i/>
          <w:szCs w:val="24"/>
          <w:highlight w:val="lightGray"/>
        </w:rPr>
        <w:fldChar w:fldCharType="begin" w:fldLock="1"/>
      </w:r>
      <w:r w:rsidR="00E63CC6" w:rsidRPr="00B63C1F">
        <w:rPr>
          <w:rFonts w:cstheme="majorBidi"/>
          <w:i/>
          <w:szCs w:val="24"/>
          <w:highlight w:val="lightGray"/>
        </w:rPr>
        <w:instrText>ADDIN CSL_CITATION { "citationItems" : [ { "id" : "ITEM-1", "itemData" : { "author" : [ { "dropping-particle" : "", "family" : "Scott Long", "given" : "J", "non-dropping-particle" : "", "parse-names" : false, "suffix" : "" } ], "id" : "ITEM-1", "issued" : { "date-parts" : [ [ "1983" ] ] }, "publisher" : "SAGE Publications", "title" : "Confirmatory Factor Analysis", "type" : "book" }, "uris" : [ "http://www.mendeley.com/documents/?uuid=b282a588-ab06-46d7-83f0-773f56d8312e" ] } ], "mendeley" : { "formattedCitation" : "(Scott Long, 1983)", "manualFormatting" : "(Scott Long 1983, p.12)", "plainTextFormattedCitation" : "(Scott Long, 1983)", "previouslyFormattedCitation" : "(Scott Long, 1983)" }, "properties" : { "noteIndex" : 0 }, "schema" : "https://github.com/citation-style-language/schema/raw/master/csl-citation.json" }</w:instrText>
      </w:r>
      <w:r w:rsidR="00E63CC6" w:rsidRPr="00B63C1F">
        <w:rPr>
          <w:rFonts w:cstheme="majorBidi"/>
          <w:i/>
          <w:szCs w:val="24"/>
          <w:highlight w:val="lightGray"/>
        </w:rPr>
        <w:fldChar w:fldCharType="separate"/>
      </w:r>
      <w:r w:rsidR="00E63CC6" w:rsidRPr="00B63C1F">
        <w:rPr>
          <w:rFonts w:cstheme="majorBidi"/>
          <w:i/>
          <w:noProof/>
          <w:szCs w:val="24"/>
          <w:highlight w:val="lightGray"/>
        </w:rPr>
        <w:t>(Scott Long 1983, p.12)</w:t>
      </w:r>
      <w:r w:rsidR="00E63CC6" w:rsidRPr="00B63C1F">
        <w:rPr>
          <w:rFonts w:cstheme="majorBidi"/>
          <w:i/>
          <w:szCs w:val="24"/>
          <w:highlight w:val="lightGray"/>
        </w:rPr>
        <w:fldChar w:fldCharType="end"/>
      </w:r>
    </w:p>
    <w:p w14:paraId="41933938" w14:textId="356FB97E" w:rsidR="00601E05" w:rsidRPr="00B63C1F" w:rsidRDefault="008733BE" w:rsidP="00976DD5">
      <w:pPr>
        <w:rPr>
          <w:rFonts w:cstheme="majorBidi"/>
          <w:szCs w:val="24"/>
          <w:highlight w:val="lightGray"/>
        </w:rPr>
      </w:pPr>
      <w:r w:rsidRPr="00B63C1F">
        <w:rPr>
          <w:rFonts w:cstheme="majorBidi"/>
          <w:szCs w:val="24"/>
          <w:highlight w:val="lightGray"/>
        </w:rPr>
        <w:t>Therefore,</w:t>
      </w:r>
      <w:r w:rsidR="00E63CC6" w:rsidRPr="00B63C1F">
        <w:rPr>
          <w:rFonts w:cstheme="majorBidi"/>
          <w:szCs w:val="24"/>
          <w:highlight w:val="lightGray"/>
        </w:rPr>
        <w:t xml:space="preserve"> confirmatory looks to </w:t>
      </w:r>
      <w:r w:rsidR="00E63CC6" w:rsidRPr="00B63C1F">
        <w:rPr>
          <w:rFonts w:cstheme="majorBidi"/>
          <w:i/>
          <w:szCs w:val="24"/>
          <w:highlight w:val="lightGray"/>
        </w:rPr>
        <w:t>confirm</w:t>
      </w:r>
      <w:r w:rsidR="00E63CC6" w:rsidRPr="00B63C1F">
        <w:rPr>
          <w:rFonts w:cstheme="majorBidi"/>
          <w:szCs w:val="24"/>
          <w:highlight w:val="lightGray"/>
        </w:rPr>
        <w:t xml:space="preserve"> whether the data fits the model imposed upon it by the researcher. </w:t>
      </w:r>
      <w:r w:rsidR="00601E05" w:rsidRPr="00B63C1F">
        <w:rPr>
          <w:rFonts w:cstheme="majorBidi"/>
          <w:szCs w:val="24"/>
          <w:highlight w:val="lightGray"/>
        </w:rPr>
        <w:t xml:space="preserve">As such the researcher assumes that certain variables within the set are uncorrelated and so there is an expectant existing structure presupposed of the data. </w:t>
      </w:r>
      <w:r w:rsidR="00944A0F" w:rsidRPr="00B63C1F">
        <w:rPr>
          <w:rFonts w:cstheme="majorBidi"/>
          <w:szCs w:val="24"/>
          <w:highlight w:val="lightGray"/>
        </w:rPr>
        <w:t>Following Scott Long (1983, pp.12-16) this is show</w:t>
      </w:r>
      <w:r w:rsidR="00B63C1F" w:rsidRPr="00B63C1F">
        <w:rPr>
          <w:rFonts w:cstheme="majorBidi"/>
          <w:szCs w:val="24"/>
          <w:highlight w:val="lightGray"/>
        </w:rPr>
        <w:t>n</w:t>
      </w:r>
      <w:r w:rsidR="005501B0">
        <w:rPr>
          <w:rFonts w:cstheme="majorBidi"/>
          <w:szCs w:val="24"/>
          <w:highlight w:val="lightGray"/>
        </w:rPr>
        <w:t xml:space="preserve"> in a diagrammatic form in Figure 4.1</w:t>
      </w:r>
      <w:r w:rsidR="00944A0F" w:rsidRPr="00B63C1F">
        <w:rPr>
          <w:rFonts w:cstheme="majorBidi"/>
          <w:szCs w:val="24"/>
          <w:highlight w:val="lightGray"/>
        </w:rPr>
        <w:t xml:space="preserve">, whereas the </w:t>
      </w:r>
      <w:r w:rsidR="005E22E5" w:rsidRPr="00B63C1F">
        <w:rPr>
          <w:rFonts w:cstheme="majorBidi"/>
          <w:szCs w:val="24"/>
          <w:highlight w:val="lightGray"/>
        </w:rPr>
        <w:t xml:space="preserve">three expected </w:t>
      </w:r>
      <w:r w:rsidR="00944A0F" w:rsidRPr="00B63C1F">
        <w:rPr>
          <w:rFonts w:cstheme="majorBidi"/>
          <w:szCs w:val="24"/>
          <w:highlight w:val="lightGray"/>
        </w:rPr>
        <w:t xml:space="preserve">latent variables, or common factors, are demonstrated by </w:t>
      </w:r>
      <w:r w:rsidR="00944A0F" w:rsidRPr="00B63C1F">
        <w:rPr>
          <w:rFonts w:cs="Segoe UI"/>
          <w:szCs w:val="24"/>
          <w:highlight w:val="lightGray"/>
        </w:rPr>
        <w:t xml:space="preserve">ᶓ1- ᶓ3 in the circles at the top, x1 to x7 in squares represent the observed variables, and </w:t>
      </w:r>
      <w:r w:rsidR="00944A0F" w:rsidRPr="00B63C1F">
        <w:rPr>
          <w:rFonts w:cs="Segoe UI"/>
          <w:szCs w:val="21"/>
          <w:highlight w:val="lightGray"/>
          <w:shd w:val="clear" w:color="auto" w:fill="FFFFFF"/>
        </w:rPr>
        <w:t>δ1- δ7 at the bottom are unique factor, or errors in the variables.</w:t>
      </w:r>
    </w:p>
    <w:p w14:paraId="1DB43F00" w14:textId="6D66392B" w:rsidR="00601E05" w:rsidRPr="003A5664" w:rsidRDefault="00601E05" w:rsidP="00601E05">
      <w:pPr>
        <w:pStyle w:val="Caption"/>
        <w:rPr>
          <w:rFonts w:ascii="Segoe UI" w:hAnsi="Segoe UI" w:cs="Segoe UI"/>
          <w:i w:val="0"/>
          <w:highlight w:val="lightGray"/>
        </w:rPr>
      </w:pPr>
      <w:bookmarkStart w:id="217" w:name="_Toc494687156"/>
      <w:r w:rsidRPr="003A5664">
        <w:rPr>
          <w:rFonts w:ascii="Segoe UI" w:hAnsi="Segoe UI" w:cs="Segoe UI"/>
          <w:i w:val="0"/>
          <w:highlight w:val="lightGray"/>
        </w:rPr>
        <w:t xml:space="preserve">Figure </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STYLEREF 1 \s </w:instrText>
      </w:r>
      <w:r w:rsidR="00B63C1F" w:rsidRPr="003A5664">
        <w:rPr>
          <w:rFonts w:ascii="Segoe UI" w:hAnsi="Segoe UI" w:cs="Segoe UI"/>
          <w:i w:val="0"/>
          <w:highlight w:val="lightGray"/>
        </w:rPr>
        <w:fldChar w:fldCharType="separate"/>
      </w:r>
      <w:r w:rsidRPr="003A5664">
        <w:rPr>
          <w:rFonts w:ascii="Segoe UI" w:hAnsi="Segoe UI" w:cs="Segoe UI"/>
          <w:i w:val="0"/>
          <w:noProof/>
          <w:highlight w:val="lightGray"/>
        </w:rPr>
        <w:t>4</w:t>
      </w:r>
      <w:r w:rsidR="00B63C1F" w:rsidRPr="003A5664">
        <w:rPr>
          <w:rFonts w:ascii="Segoe UI" w:hAnsi="Segoe UI" w:cs="Segoe UI"/>
          <w:i w:val="0"/>
          <w:noProof/>
          <w:highlight w:val="lightGray"/>
        </w:rPr>
        <w:fldChar w:fldCharType="end"/>
      </w:r>
      <w:r w:rsidRPr="003A5664">
        <w:rPr>
          <w:rFonts w:ascii="Segoe UI" w:hAnsi="Segoe UI" w:cs="Segoe UI"/>
          <w:i w:val="0"/>
          <w:highlight w:val="lightGray"/>
        </w:rPr>
        <w:t>:</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SEQ Figure \* ARABIC \s 1 </w:instrText>
      </w:r>
      <w:r w:rsidR="00B63C1F" w:rsidRPr="003A5664">
        <w:rPr>
          <w:rFonts w:ascii="Segoe UI" w:hAnsi="Segoe UI" w:cs="Segoe UI"/>
          <w:i w:val="0"/>
          <w:highlight w:val="lightGray"/>
        </w:rPr>
        <w:fldChar w:fldCharType="separate"/>
      </w:r>
      <w:r w:rsidR="005501B0" w:rsidRPr="003A5664">
        <w:rPr>
          <w:rFonts w:ascii="Segoe UI" w:hAnsi="Segoe UI" w:cs="Segoe UI"/>
          <w:i w:val="0"/>
          <w:noProof/>
          <w:highlight w:val="lightGray"/>
        </w:rPr>
        <w:t>1</w:t>
      </w:r>
      <w:r w:rsidR="00B63C1F" w:rsidRPr="003A5664">
        <w:rPr>
          <w:rFonts w:ascii="Segoe UI" w:hAnsi="Segoe UI" w:cs="Segoe UI"/>
          <w:i w:val="0"/>
          <w:noProof/>
          <w:highlight w:val="lightGray"/>
        </w:rPr>
        <w:fldChar w:fldCharType="end"/>
      </w:r>
      <w:r w:rsidRPr="003A5664">
        <w:rPr>
          <w:rFonts w:ascii="Segoe UI" w:hAnsi="Segoe UI" w:cs="Segoe UI"/>
          <w:i w:val="0"/>
          <w:highlight w:val="lightGray"/>
        </w:rPr>
        <w:t xml:space="preserve"> Hypothetical Expected Structural Relations in a Confirmatory Factor Analysis (Scott Long 1983, p.15)</w:t>
      </w:r>
      <w:bookmarkEnd w:id="217"/>
    </w:p>
    <w:p w14:paraId="58644515" w14:textId="0DBBB707" w:rsidR="00601E05" w:rsidRPr="00B63C1F" w:rsidRDefault="00601E05" w:rsidP="00083E96">
      <w:pPr>
        <w:jc w:val="center"/>
        <w:rPr>
          <w:rFonts w:cstheme="majorBidi"/>
          <w:szCs w:val="24"/>
          <w:highlight w:val="lightGray"/>
        </w:rPr>
      </w:pPr>
      <w:r w:rsidRPr="00B63C1F">
        <w:rPr>
          <w:rFonts w:cstheme="majorBidi"/>
          <w:noProof/>
          <w:szCs w:val="24"/>
          <w:highlight w:val="lightGray"/>
          <w:lang w:eastAsia="zh-CN"/>
        </w:rPr>
        <w:drawing>
          <wp:inline distT="0" distB="0" distL="0" distR="0" wp14:anchorId="6F8EF8C4" wp14:editId="5835F090">
            <wp:extent cx="4496190" cy="25910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7-06-21 (2).png"/>
                    <pic:cNvPicPr/>
                  </pic:nvPicPr>
                  <pic:blipFill>
                    <a:blip r:embed="rId28">
                      <a:extLst>
                        <a:ext uri="{28A0092B-C50C-407E-A947-70E740481C1C}">
                          <a14:useLocalDpi xmlns:a14="http://schemas.microsoft.com/office/drawing/2010/main" val="0"/>
                        </a:ext>
                      </a:extLst>
                    </a:blip>
                    <a:stretch>
                      <a:fillRect/>
                    </a:stretch>
                  </pic:blipFill>
                  <pic:spPr>
                    <a:xfrm>
                      <a:off x="0" y="0"/>
                      <a:ext cx="4496190" cy="2591025"/>
                    </a:xfrm>
                    <a:prstGeom prst="rect">
                      <a:avLst/>
                    </a:prstGeom>
                  </pic:spPr>
                </pic:pic>
              </a:graphicData>
            </a:graphic>
          </wp:inline>
        </w:drawing>
      </w:r>
    </w:p>
    <w:p w14:paraId="5961C1CE" w14:textId="4700E3C0" w:rsidR="00976DD5" w:rsidRPr="00B63C1F" w:rsidRDefault="00B63C1F" w:rsidP="00976DD5">
      <w:pPr>
        <w:rPr>
          <w:rFonts w:cstheme="majorBidi"/>
          <w:szCs w:val="24"/>
          <w:highlight w:val="lightGray"/>
        </w:rPr>
      </w:pPr>
      <w:r w:rsidRPr="00B63C1F">
        <w:rPr>
          <w:rFonts w:cstheme="majorBidi"/>
          <w:szCs w:val="24"/>
          <w:highlight w:val="lightGray"/>
        </w:rPr>
        <w:t>To consider an</w:t>
      </w:r>
      <w:r w:rsidR="00E63CC6" w:rsidRPr="00B63C1F">
        <w:rPr>
          <w:rFonts w:cstheme="majorBidi"/>
          <w:szCs w:val="24"/>
          <w:highlight w:val="lightGray"/>
        </w:rPr>
        <w:t xml:space="preserve"> example of a CFA approach</w:t>
      </w:r>
      <w:r w:rsidR="00083E96" w:rsidRPr="00B63C1F">
        <w:rPr>
          <w:rFonts w:cstheme="majorBidi"/>
          <w:szCs w:val="24"/>
          <w:highlight w:val="lightGray"/>
        </w:rPr>
        <w:t xml:space="preserve"> </w:t>
      </w:r>
      <w:r w:rsidR="00E63CC6" w:rsidRPr="00B63C1F">
        <w:rPr>
          <w:rFonts w:cstheme="majorBidi"/>
          <w:szCs w:val="24"/>
          <w:highlight w:val="lightGray"/>
        </w:rPr>
        <w:t xml:space="preserve">we can turn to Welzel (2011; 2013), who uses it on the </w:t>
      </w:r>
      <w:r w:rsidR="00083E96" w:rsidRPr="00B63C1F">
        <w:rPr>
          <w:rFonts w:cstheme="majorBidi"/>
          <w:szCs w:val="24"/>
          <w:highlight w:val="lightGray"/>
        </w:rPr>
        <w:t xml:space="preserve">same </w:t>
      </w:r>
      <w:r w:rsidR="00E63CC6" w:rsidRPr="00B63C1F">
        <w:rPr>
          <w:rFonts w:cstheme="majorBidi"/>
          <w:szCs w:val="24"/>
          <w:highlight w:val="lightGray"/>
        </w:rPr>
        <w:t>data that is the focus of this thesis.</w:t>
      </w:r>
      <w:r w:rsidR="008733BE" w:rsidRPr="00B63C1F">
        <w:rPr>
          <w:rFonts w:cstheme="majorBidi"/>
          <w:szCs w:val="24"/>
          <w:highlight w:val="lightGray"/>
        </w:rPr>
        <w:t xml:space="preserve"> </w:t>
      </w:r>
      <w:r w:rsidR="00976DD5" w:rsidRPr="00B63C1F">
        <w:rPr>
          <w:rFonts w:cstheme="majorBidi"/>
          <w:szCs w:val="24"/>
          <w:highlight w:val="lightGray"/>
        </w:rPr>
        <w:t>Using the ten democratic characteristics expl</w:t>
      </w:r>
      <w:r w:rsidR="00182ADD" w:rsidRPr="00B63C1F">
        <w:rPr>
          <w:rFonts w:cstheme="majorBidi"/>
          <w:szCs w:val="24"/>
          <w:highlight w:val="lightGray"/>
        </w:rPr>
        <w:t>ored in Chapter 3, Welzel (2011;</w:t>
      </w:r>
      <w:r w:rsidR="00976DD5" w:rsidRPr="00B63C1F">
        <w:rPr>
          <w:rFonts w:cstheme="majorBidi"/>
          <w:szCs w:val="24"/>
          <w:highlight w:val="lightGray"/>
        </w:rPr>
        <w:t xml:space="preserve"> 2013) undertakes two studies, one examining Asian values of democracy, and the other looking more broadly at a global level. In both analyses he takes the </w:t>
      </w:r>
      <w:r w:rsidR="00E63CC6" w:rsidRPr="00B63C1F">
        <w:rPr>
          <w:rFonts w:cstheme="majorBidi"/>
          <w:szCs w:val="24"/>
          <w:highlight w:val="lightGray"/>
        </w:rPr>
        <w:t>C</w:t>
      </w:r>
      <w:r w:rsidR="00976DD5" w:rsidRPr="00B63C1F">
        <w:rPr>
          <w:rFonts w:cstheme="majorBidi"/>
          <w:szCs w:val="24"/>
          <w:highlight w:val="lightGray"/>
        </w:rPr>
        <w:t>FA approach. His reasons for this are as follows:</w:t>
      </w:r>
    </w:p>
    <w:p w14:paraId="1654E124" w14:textId="76124D11" w:rsidR="00976DD5" w:rsidRPr="00B63C1F" w:rsidRDefault="00976DD5" w:rsidP="00182ADD">
      <w:pPr>
        <w:pStyle w:val="Quote"/>
        <w:rPr>
          <w:highlight w:val="lightGray"/>
        </w:rPr>
      </w:pPr>
      <w:r w:rsidRPr="00B63C1F">
        <w:rPr>
          <w:highlight w:val="lightGray"/>
        </w:rPr>
        <w:t>“…I abstain from dimensional logic and follow instead the logic of compository index construction…That is, I measure people’s notions of democracy against a theoretically predefined norm. If some people’s notions differ from what the norm prescribes, these people’s notions will score low when measured against the norm. If other people’s notions are in accordance with the norm, their notions will score high when measured against the norm. Should the world be like this, then this is exactly what I want to measure.” (Welzel 2</w:t>
      </w:r>
      <w:r w:rsidR="00182ADD" w:rsidRPr="00B63C1F">
        <w:rPr>
          <w:highlight w:val="lightGray"/>
        </w:rPr>
        <w:t>013, p.</w:t>
      </w:r>
      <w:r w:rsidRPr="00B63C1F">
        <w:rPr>
          <w:highlight w:val="lightGray"/>
        </w:rPr>
        <w:t>313)</w:t>
      </w:r>
    </w:p>
    <w:p w14:paraId="514DEBBB" w14:textId="77777777" w:rsidR="00976DD5" w:rsidRPr="00B63C1F" w:rsidRDefault="00976DD5" w:rsidP="00976DD5">
      <w:pPr>
        <w:spacing w:line="240" w:lineRule="auto"/>
        <w:ind w:left="567" w:right="522"/>
        <w:rPr>
          <w:rFonts w:cstheme="majorBidi"/>
          <w:szCs w:val="24"/>
          <w:highlight w:val="lightGray"/>
        </w:rPr>
      </w:pPr>
    </w:p>
    <w:p w14:paraId="4C5F6481" w14:textId="719E6B04" w:rsidR="008733BE" w:rsidRPr="00B63C1F" w:rsidRDefault="00976DD5" w:rsidP="00944A0F">
      <w:pPr>
        <w:rPr>
          <w:rFonts w:cstheme="majorBidi"/>
          <w:szCs w:val="24"/>
          <w:highlight w:val="lightGray"/>
        </w:rPr>
      </w:pPr>
      <w:r w:rsidRPr="00B63C1F">
        <w:rPr>
          <w:rFonts w:cstheme="majorBidi"/>
          <w:szCs w:val="24"/>
          <w:highlight w:val="lightGray"/>
        </w:rPr>
        <w:t xml:space="preserve">Welzel </w:t>
      </w:r>
      <w:r w:rsidR="001031F3" w:rsidRPr="00B63C1F">
        <w:rPr>
          <w:rFonts w:cstheme="majorBidi"/>
          <w:szCs w:val="24"/>
          <w:highlight w:val="lightGray"/>
        </w:rPr>
        <w:t>(</w:t>
      </w:r>
      <w:r w:rsidR="001031F3" w:rsidRPr="00B63C1F">
        <w:rPr>
          <w:rFonts w:cstheme="majorBidi"/>
          <w:szCs w:val="24"/>
          <w:highlight w:val="lightGray"/>
        </w:rPr>
        <w:fldChar w:fldCharType="begin" w:fldLock="1"/>
      </w:r>
      <w:r w:rsidR="00E63CC6" w:rsidRPr="00B63C1F">
        <w:rPr>
          <w:rFonts w:cstheme="majorBidi"/>
          <w:szCs w:val="24"/>
          <w:highlight w:val="lightGray"/>
        </w:rPr>
        <w:instrText>ADDIN CSL_CITATION { "citationItems" : [ { "id" : "ITEM-1", "itemData" : { "ISBN" : "9781107034709", "author" : [ { "dropping-particle" : "", "family" : "Welzel", "given" : "Christian", "non-dropping-particle" : "", "parse-names" : false, "suffix" : "" } ], "id" : "ITEM-1", "issued" : { "date-parts" : [ [ "2013" ] ] }, "publisher" : "Cambridge University Press", "publisher-place" : "Cambridge", "title" : "Freedom Rising Human Empowerment and the Quest for Emancipation", "type" : "book" }, "locator" : "313", "uris" : [ "http://www.mendeley.com/documents/?uuid=a04e4a97-3944-4d8e-ba77-b044563d9c7e" ] } ], "mendeley" : { "formattedCitation" : "(Welzel, 2013, p. 313)", "manualFormatting" : "2013, pp.313-315)", "plainTextFormattedCitation" : "(Welzel, 2013, p. 313)", "previouslyFormattedCitation" : "(Welzel, 2013, p. 313)" }, "properties" : { "noteIndex" : 0 }, "schema" : "https://github.com/citation-style-language/schema/raw/master/csl-citation.json" }</w:instrText>
      </w:r>
      <w:r w:rsidR="001031F3" w:rsidRPr="00B63C1F">
        <w:rPr>
          <w:rFonts w:cstheme="majorBidi"/>
          <w:szCs w:val="24"/>
          <w:highlight w:val="lightGray"/>
        </w:rPr>
        <w:fldChar w:fldCharType="separate"/>
      </w:r>
      <w:r w:rsidR="001031F3" w:rsidRPr="00B63C1F">
        <w:rPr>
          <w:rFonts w:cstheme="majorBidi"/>
          <w:noProof/>
          <w:szCs w:val="24"/>
          <w:highlight w:val="lightGray"/>
        </w:rPr>
        <w:t>2013, p</w:t>
      </w:r>
      <w:r w:rsidR="00182ADD" w:rsidRPr="00B63C1F">
        <w:rPr>
          <w:rFonts w:cstheme="majorBidi"/>
          <w:noProof/>
          <w:szCs w:val="24"/>
          <w:highlight w:val="lightGray"/>
        </w:rPr>
        <w:t>p</w:t>
      </w:r>
      <w:r w:rsidR="001031F3" w:rsidRPr="00B63C1F">
        <w:rPr>
          <w:rFonts w:cstheme="majorBidi"/>
          <w:noProof/>
          <w:szCs w:val="24"/>
          <w:highlight w:val="lightGray"/>
        </w:rPr>
        <w:t>.313-315)</w:t>
      </w:r>
      <w:r w:rsidR="001031F3" w:rsidRPr="00B63C1F">
        <w:rPr>
          <w:rFonts w:cstheme="majorBidi"/>
          <w:szCs w:val="24"/>
          <w:highlight w:val="lightGray"/>
        </w:rPr>
        <w:fldChar w:fldCharType="end"/>
      </w:r>
      <w:r w:rsidR="00EB05F2" w:rsidRPr="00B63C1F">
        <w:rPr>
          <w:rFonts w:cstheme="majorBidi"/>
          <w:szCs w:val="24"/>
          <w:highlight w:val="lightGray"/>
        </w:rPr>
        <w:t xml:space="preserve"> </w:t>
      </w:r>
      <w:r w:rsidRPr="00B63C1F">
        <w:rPr>
          <w:rFonts w:cstheme="majorBidi"/>
          <w:szCs w:val="24"/>
          <w:highlight w:val="lightGray"/>
        </w:rPr>
        <w:t xml:space="preserve">then uses </w:t>
      </w:r>
      <w:r w:rsidR="00E63CC6" w:rsidRPr="00B63C1F">
        <w:rPr>
          <w:rFonts w:cstheme="majorBidi"/>
          <w:szCs w:val="24"/>
          <w:highlight w:val="lightGray"/>
        </w:rPr>
        <w:t>C</w:t>
      </w:r>
      <w:r w:rsidRPr="00B63C1F">
        <w:rPr>
          <w:rFonts w:cstheme="majorBidi"/>
          <w:szCs w:val="24"/>
          <w:highlight w:val="lightGray"/>
        </w:rPr>
        <w:t xml:space="preserve">FA to </w:t>
      </w:r>
      <w:r w:rsidR="008733BE" w:rsidRPr="00B63C1F">
        <w:rPr>
          <w:rFonts w:cstheme="majorBidi"/>
          <w:szCs w:val="24"/>
          <w:highlight w:val="lightGray"/>
        </w:rPr>
        <w:t>confirm</w:t>
      </w:r>
      <w:r w:rsidRPr="00B63C1F">
        <w:rPr>
          <w:rFonts w:cstheme="majorBidi"/>
          <w:szCs w:val="24"/>
          <w:highlight w:val="lightGray"/>
        </w:rPr>
        <w:t xml:space="preserve"> three notions of democracy</w:t>
      </w:r>
      <w:r w:rsidR="00EB05F2" w:rsidRPr="00B63C1F">
        <w:rPr>
          <w:rFonts w:cstheme="majorBidi"/>
          <w:szCs w:val="24"/>
          <w:highlight w:val="lightGray"/>
        </w:rPr>
        <w:t>:</w:t>
      </w:r>
      <w:r w:rsidRPr="00B63C1F">
        <w:rPr>
          <w:rFonts w:cstheme="majorBidi"/>
          <w:szCs w:val="24"/>
          <w:highlight w:val="lightGray"/>
        </w:rPr>
        <w:t xml:space="preserve"> 1) a liberal definition with an anti-authoritarian element</w:t>
      </w:r>
      <w:r w:rsidR="00EB05F2" w:rsidRPr="00B63C1F">
        <w:rPr>
          <w:rFonts w:cstheme="majorBidi"/>
          <w:szCs w:val="24"/>
          <w:highlight w:val="lightGray"/>
        </w:rPr>
        <w:t>;</w:t>
      </w:r>
      <w:r w:rsidRPr="00B63C1F">
        <w:rPr>
          <w:rFonts w:cstheme="majorBidi"/>
          <w:szCs w:val="24"/>
          <w:highlight w:val="lightGray"/>
        </w:rPr>
        <w:t xml:space="preserve"> 2) a populist definition</w:t>
      </w:r>
      <w:r w:rsidR="00EB05F2" w:rsidRPr="00B63C1F">
        <w:rPr>
          <w:rFonts w:cstheme="majorBidi"/>
          <w:szCs w:val="24"/>
          <w:highlight w:val="lightGray"/>
        </w:rPr>
        <w:t>; and</w:t>
      </w:r>
      <w:r w:rsidRPr="00B63C1F">
        <w:rPr>
          <w:rFonts w:cstheme="majorBidi"/>
          <w:szCs w:val="24"/>
          <w:highlight w:val="lightGray"/>
        </w:rPr>
        <w:t xml:space="preserve"> 3) a s</w:t>
      </w:r>
      <w:r w:rsidR="005501B0">
        <w:rPr>
          <w:rFonts w:cstheme="majorBidi"/>
          <w:szCs w:val="24"/>
          <w:highlight w:val="lightGray"/>
        </w:rPr>
        <w:t>ocial definition (see Figure 4.2</w:t>
      </w:r>
      <w:r w:rsidRPr="00B63C1F">
        <w:rPr>
          <w:rFonts w:cstheme="majorBidi"/>
          <w:szCs w:val="24"/>
          <w:highlight w:val="lightGray"/>
        </w:rPr>
        <w:t xml:space="preserve">). Guided by liberal democratic theory, </w:t>
      </w:r>
      <w:r w:rsidR="00EB05F2" w:rsidRPr="00B63C1F">
        <w:rPr>
          <w:rFonts w:cstheme="majorBidi"/>
          <w:szCs w:val="24"/>
          <w:highlight w:val="lightGray"/>
        </w:rPr>
        <w:t xml:space="preserve">he </w:t>
      </w:r>
      <w:r w:rsidRPr="00B63C1F">
        <w:rPr>
          <w:rFonts w:cstheme="majorBidi"/>
          <w:szCs w:val="24"/>
          <w:highlight w:val="lightGray"/>
        </w:rPr>
        <w:t>generates an index of liberal understanding by subtracting each individual’s score on the two authoritarian and two populist variables from the four liberal variables</w:t>
      </w:r>
      <w:r w:rsidR="005501B0">
        <w:rPr>
          <w:rFonts w:cstheme="majorBidi"/>
          <w:szCs w:val="24"/>
          <w:highlight w:val="lightGray"/>
        </w:rPr>
        <w:t xml:space="preserve"> (see Figure 2.4)</w:t>
      </w:r>
      <w:r w:rsidRPr="00B63C1F">
        <w:rPr>
          <w:rFonts w:cstheme="majorBidi"/>
          <w:szCs w:val="24"/>
          <w:highlight w:val="lightGray"/>
        </w:rPr>
        <w:t xml:space="preserve">. The two social variables are argued to constitute a type of liberal democracy (social-liberal, as opposed to market-liberal), and are not included in the scale. </w:t>
      </w:r>
    </w:p>
    <w:p w14:paraId="3EF77F01" w14:textId="589C18E3" w:rsidR="008E350B" w:rsidRPr="003A5664" w:rsidRDefault="008E350B" w:rsidP="008E350B">
      <w:pPr>
        <w:pStyle w:val="Caption"/>
        <w:rPr>
          <w:rFonts w:ascii="Segoe UI" w:hAnsi="Segoe UI" w:cs="Segoe UI"/>
          <w:i w:val="0"/>
          <w:highlight w:val="lightGray"/>
        </w:rPr>
      </w:pPr>
      <w:bookmarkStart w:id="218" w:name="_Toc494687157"/>
      <w:r w:rsidRPr="003A5664">
        <w:rPr>
          <w:rFonts w:ascii="Segoe UI" w:hAnsi="Segoe UI" w:cs="Segoe UI"/>
          <w:i w:val="0"/>
          <w:highlight w:val="lightGray"/>
        </w:rPr>
        <w:t xml:space="preserve">Figure </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STYLEREF 1 \s </w:instrText>
      </w:r>
      <w:r w:rsidR="00B63C1F" w:rsidRPr="003A5664">
        <w:rPr>
          <w:rFonts w:ascii="Segoe UI" w:hAnsi="Segoe UI" w:cs="Segoe UI"/>
          <w:i w:val="0"/>
          <w:highlight w:val="lightGray"/>
        </w:rPr>
        <w:fldChar w:fldCharType="separate"/>
      </w:r>
      <w:r w:rsidR="00306E67" w:rsidRPr="003A5664">
        <w:rPr>
          <w:rFonts w:ascii="Segoe UI" w:hAnsi="Segoe UI" w:cs="Segoe UI"/>
          <w:i w:val="0"/>
          <w:noProof/>
          <w:highlight w:val="lightGray"/>
        </w:rPr>
        <w:t>4</w:t>
      </w:r>
      <w:r w:rsidR="00B63C1F" w:rsidRPr="003A5664">
        <w:rPr>
          <w:rFonts w:ascii="Segoe UI" w:hAnsi="Segoe UI" w:cs="Segoe UI"/>
          <w:i w:val="0"/>
          <w:noProof/>
          <w:highlight w:val="lightGray"/>
        </w:rPr>
        <w:fldChar w:fldCharType="end"/>
      </w:r>
      <w:r w:rsidR="00D9151E" w:rsidRPr="003A5664">
        <w:rPr>
          <w:rFonts w:ascii="Segoe UI" w:hAnsi="Segoe UI" w:cs="Segoe UI"/>
          <w:i w:val="0"/>
          <w:highlight w:val="lightGray"/>
        </w:rPr>
        <w:t>:</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SEQ Figure \* ARABIC \s 1 </w:instrText>
      </w:r>
      <w:r w:rsidR="00B63C1F" w:rsidRPr="003A5664">
        <w:rPr>
          <w:rFonts w:ascii="Segoe UI" w:hAnsi="Segoe UI" w:cs="Segoe UI"/>
          <w:i w:val="0"/>
          <w:highlight w:val="lightGray"/>
        </w:rPr>
        <w:fldChar w:fldCharType="separate"/>
      </w:r>
      <w:r w:rsidR="005501B0" w:rsidRPr="003A5664">
        <w:rPr>
          <w:rFonts w:ascii="Segoe UI" w:hAnsi="Segoe UI" w:cs="Segoe UI"/>
          <w:i w:val="0"/>
          <w:noProof/>
          <w:highlight w:val="lightGray"/>
        </w:rPr>
        <w:t>2</w:t>
      </w:r>
      <w:r w:rsidR="00B63C1F" w:rsidRPr="003A5664">
        <w:rPr>
          <w:rFonts w:ascii="Segoe UI" w:hAnsi="Segoe UI" w:cs="Segoe UI"/>
          <w:i w:val="0"/>
          <w:noProof/>
          <w:highlight w:val="lightGray"/>
        </w:rPr>
        <w:fldChar w:fldCharType="end"/>
      </w:r>
      <w:r w:rsidRPr="003A5664">
        <w:rPr>
          <w:rFonts w:ascii="Segoe UI" w:hAnsi="Segoe UI" w:cs="Segoe UI"/>
          <w:i w:val="0"/>
          <w:highlight w:val="lightGray"/>
        </w:rPr>
        <w:t xml:space="preserve"> Factor Analysis on Democratic Characteristics (adapted </w:t>
      </w:r>
      <w:r w:rsidR="00EB05F2" w:rsidRPr="003A5664">
        <w:rPr>
          <w:rFonts w:ascii="Segoe UI" w:hAnsi="Segoe UI" w:cs="Segoe UI"/>
          <w:i w:val="0"/>
          <w:highlight w:val="lightGray"/>
        </w:rPr>
        <w:t xml:space="preserve">from </w:t>
      </w:r>
      <w:r w:rsidR="00182ADD" w:rsidRPr="003A5664">
        <w:rPr>
          <w:rFonts w:ascii="Segoe UI" w:hAnsi="Segoe UI" w:cs="Segoe UI"/>
          <w:i w:val="0"/>
          <w:highlight w:val="lightGray"/>
        </w:rPr>
        <w:t>Welzel 2013, p.</w:t>
      </w:r>
      <w:r w:rsidR="00006DFE" w:rsidRPr="003A5664">
        <w:rPr>
          <w:rFonts w:ascii="Segoe UI" w:hAnsi="Segoe UI" w:cs="Segoe UI"/>
          <w:i w:val="0"/>
          <w:highlight w:val="lightGray"/>
        </w:rPr>
        <w:t>313</w:t>
      </w:r>
      <w:r w:rsidRPr="003A5664">
        <w:rPr>
          <w:rFonts w:ascii="Segoe UI" w:hAnsi="Segoe UI" w:cs="Segoe UI"/>
          <w:i w:val="0"/>
          <w:highlight w:val="lightGray"/>
        </w:rPr>
        <w:t>)</w:t>
      </w:r>
      <w:bookmarkEnd w:id="218"/>
    </w:p>
    <w:tbl>
      <w:tblPr>
        <w:tblW w:w="0" w:type="auto"/>
        <w:tblLook w:val="04A0" w:firstRow="1" w:lastRow="0" w:firstColumn="1" w:lastColumn="0" w:noHBand="0" w:noVBand="1"/>
      </w:tblPr>
      <w:tblGrid>
        <w:gridCol w:w="2290"/>
        <w:gridCol w:w="3001"/>
        <w:gridCol w:w="1958"/>
        <w:gridCol w:w="1420"/>
      </w:tblGrid>
      <w:tr w:rsidR="00976DD5" w:rsidRPr="00B63C1F" w14:paraId="36004DC6" w14:textId="77777777" w:rsidTr="008E350B">
        <w:tc>
          <w:tcPr>
            <w:tcW w:w="2310" w:type="dxa"/>
          </w:tcPr>
          <w:p w14:paraId="37D01365" w14:textId="77777777" w:rsidR="00976DD5" w:rsidRPr="00B63C1F" w:rsidRDefault="00976DD5" w:rsidP="000E1EFB">
            <w:pPr>
              <w:spacing w:line="240" w:lineRule="auto"/>
              <w:jc w:val="center"/>
              <w:rPr>
                <w:rFonts w:cstheme="majorBidi"/>
                <w:sz w:val="20"/>
                <w:szCs w:val="20"/>
                <w:highlight w:val="lightGray"/>
              </w:rPr>
            </w:pPr>
          </w:p>
        </w:tc>
        <w:tc>
          <w:tcPr>
            <w:tcW w:w="6466" w:type="dxa"/>
            <w:gridSpan w:val="3"/>
            <w:tcBorders>
              <w:bottom w:val="single" w:sz="4" w:space="0" w:color="auto"/>
            </w:tcBorders>
            <w:hideMark/>
          </w:tcPr>
          <w:p w14:paraId="4484CEDA" w14:textId="77777777" w:rsidR="00976DD5" w:rsidRPr="00B63C1F" w:rsidRDefault="00976DD5" w:rsidP="000E1EFB">
            <w:pPr>
              <w:spacing w:line="240" w:lineRule="auto"/>
              <w:jc w:val="center"/>
              <w:rPr>
                <w:rFonts w:cstheme="majorBidi"/>
                <w:b/>
                <w:sz w:val="20"/>
                <w:szCs w:val="20"/>
                <w:highlight w:val="lightGray"/>
              </w:rPr>
            </w:pPr>
            <w:r w:rsidRPr="00B63C1F">
              <w:rPr>
                <w:rFonts w:cstheme="majorBidi"/>
                <w:b/>
                <w:sz w:val="20"/>
                <w:szCs w:val="20"/>
                <w:highlight w:val="lightGray"/>
              </w:rPr>
              <w:t>Dimensions</w:t>
            </w:r>
          </w:p>
        </w:tc>
      </w:tr>
      <w:tr w:rsidR="00976DD5" w:rsidRPr="00B63C1F" w14:paraId="38F495E6" w14:textId="77777777" w:rsidTr="008E350B">
        <w:tc>
          <w:tcPr>
            <w:tcW w:w="2310" w:type="dxa"/>
          </w:tcPr>
          <w:p w14:paraId="44B470D5" w14:textId="77777777" w:rsidR="00976DD5" w:rsidRPr="00B63C1F" w:rsidRDefault="00976DD5" w:rsidP="000E1EFB">
            <w:pPr>
              <w:spacing w:line="240" w:lineRule="auto"/>
              <w:rPr>
                <w:rFonts w:cstheme="majorBidi"/>
                <w:sz w:val="20"/>
                <w:szCs w:val="20"/>
                <w:highlight w:val="lightGray"/>
              </w:rPr>
            </w:pPr>
          </w:p>
        </w:tc>
        <w:tc>
          <w:tcPr>
            <w:tcW w:w="3043" w:type="dxa"/>
            <w:tcBorders>
              <w:top w:val="single" w:sz="4" w:space="0" w:color="auto"/>
            </w:tcBorders>
            <w:hideMark/>
          </w:tcPr>
          <w:p w14:paraId="5959754B" w14:textId="77777777" w:rsidR="00976DD5" w:rsidRPr="00B63C1F" w:rsidRDefault="00976DD5" w:rsidP="000E1EFB">
            <w:pPr>
              <w:spacing w:line="240" w:lineRule="auto"/>
              <w:rPr>
                <w:rFonts w:cstheme="majorBidi"/>
                <w:b/>
                <w:sz w:val="20"/>
                <w:szCs w:val="20"/>
                <w:highlight w:val="lightGray"/>
              </w:rPr>
            </w:pPr>
            <w:r w:rsidRPr="00B63C1F">
              <w:rPr>
                <w:rFonts w:cstheme="majorBidi"/>
                <w:b/>
                <w:sz w:val="20"/>
                <w:szCs w:val="20"/>
                <w:highlight w:val="lightGray"/>
              </w:rPr>
              <w:t>Liberal vs Authoritarian</w:t>
            </w:r>
          </w:p>
        </w:tc>
        <w:tc>
          <w:tcPr>
            <w:tcW w:w="1985" w:type="dxa"/>
            <w:tcBorders>
              <w:top w:val="single" w:sz="4" w:space="0" w:color="auto"/>
            </w:tcBorders>
            <w:hideMark/>
          </w:tcPr>
          <w:p w14:paraId="57F596E3" w14:textId="77777777" w:rsidR="00976DD5" w:rsidRPr="00B63C1F" w:rsidRDefault="00976DD5" w:rsidP="000E1EFB">
            <w:pPr>
              <w:spacing w:line="240" w:lineRule="auto"/>
              <w:rPr>
                <w:rFonts w:cstheme="majorBidi"/>
                <w:b/>
                <w:sz w:val="20"/>
                <w:szCs w:val="20"/>
                <w:highlight w:val="lightGray"/>
              </w:rPr>
            </w:pPr>
            <w:r w:rsidRPr="00B63C1F">
              <w:rPr>
                <w:rFonts w:cstheme="majorBidi"/>
                <w:b/>
                <w:sz w:val="20"/>
                <w:szCs w:val="20"/>
                <w:highlight w:val="lightGray"/>
              </w:rPr>
              <w:t>Populist</w:t>
            </w:r>
          </w:p>
        </w:tc>
        <w:tc>
          <w:tcPr>
            <w:tcW w:w="1438" w:type="dxa"/>
            <w:tcBorders>
              <w:top w:val="single" w:sz="4" w:space="0" w:color="auto"/>
            </w:tcBorders>
            <w:hideMark/>
          </w:tcPr>
          <w:p w14:paraId="03AA57BD" w14:textId="77777777" w:rsidR="00976DD5" w:rsidRPr="00B63C1F" w:rsidRDefault="00976DD5" w:rsidP="000E1EFB">
            <w:pPr>
              <w:spacing w:line="240" w:lineRule="auto"/>
              <w:rPr>
                <w:rFonts w:cstheme="majorBidi"/>
                <w:b/>
                <w:sz w:val="20"/>
                <w:szCs w:val="20"/>
                <w:highlight w:val="lightGray"/>
              </w:rPr>
            </w:pPr>
            <w:r w:rsidRPr="00B63C1F">
              <w:rPr>
                <w:rFonts w:cstheme="majorBidi"/>
                <w:b/>
                <w:sz w:val="20"/>
                <w:szCs w:val="20"/>
                <w:highlight w:val="lightGray"/>
              </w:rPr>
              <w:t>Social</w:t>
            </w:r>
          </w:p>
        </w:tc>
      </w:tr>
      <w:tr w:rsidR="00976DD5" w:rsidRPr="00B63C1F" w14:paraId="3B0F622F" w14:textId="77777777" w:rsidTr="008E350B">
        <w:tc>
          <w:tcPr>
            <w:tcW w:w="2310" w:type="dxa"/>
            <w:hideMark/>
          </w:tcPr>
          <w:p w14:paraId="1A2760CA"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Free Elections</w:t>
            </w:r>
          </w:p>
        </w:tc>
        <w:tc>
          <w:tcPr>
            <w:tcW w:w="3043" w:type="dxa"/>
            <w:hideMark/>
          </w:tcPr>
          <w:p w14:paraId="73B8DCC1"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0.63</w:t>
            </w:r>
          </w:p>
        </w:tc>
        <w:tc>
          <w:tcPr>
            <w:tcW w:w="1985" w:type="dxa"/>
          </w:tcPr>
          <w:p w14:paraId="15F9BADF" w14:textId="77777777" w:rsidR="00976DD5" w:rsidRPr="00B63C1F" w:rsidRDefault="00976DD5" w:rsidP="000E1EFB">
            <w:pPr>
              <w:spacing w:line="240" w:lineRule="auto"/>
              <w:rPr>
                <w:rFonts w:cstheme="majorBidi"/>
                <w:sz w:val="20"/>
                <w:szCs w:val="20"/>
                <w:highlight w:val="lightGray"/>
              </w:rPr>
            </w:pPr>
          </w:p>
        </w:tc>
        <w:tc>
          <w:tcPr>
            <w:tcW w:w="1438" w:type="dxa"/>
          </w:tcPr>
          <w:p w14:paraId="2882C013" w14:textId="77777777" w:rsidR="00976DD5" w:rsidRPr="00B63C1F" w:rsidRDefault="00976DD5" w:rsidP="000E1EFB">
            <w:pPr>
              <w:spacing w:line="240" w:lineRule="auto"/>
              <w:rPr>
                <w:rFonts w:cstheme="majorBidi"/>
                <w:sz w:val="20"/>
                <w:szCs w:val="20"/>
                <w:highlight w:val="lightGray"/>
              </w:rPr>
            </w:pPr>
          </w:p>
        </w:tc>
      </w:tr>
      <w:tr w:rsidR="00976DD5" w:rsidRPr="00B63C1F" w14:paraId="1DC8F495" w14:textId="77777777" w:rsidTr="008E350B">
        <w:tc>
          <w:tcPr>
            <w:tcW w:w="2310" w:type="dxa"/>
            <w:hideMark/>
          </w:tcPr>
          <w:p w14:paraId="58367146"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Equal Rights</w:t>
            </w:r>
          </w:p>
        </w:tc>
        <w:tc>
          <w:tcPr>
            <w:tcW w:w="3043" w:type="dxa"/>
            <w:hideMark/>
          </w:tcPr>
          <w:p w14:paraId="3BA48038"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0.60</w:t>
            </w:r>
          </w:p>
        </w:tc>
        <w:tc>
          <w:tcPr>
            <w:tcW w:w="1985" w:type="dxa"/>
          </w:tcPr>
          <w:p w14:paraId="30D7AC80" w14:textId="77777777" w:rsidR="00976DD5" w:rsidRPr="00B63C1F" w:rsidRDefault="00976DD5" w:rsidP="000E1EFB">
            <w:pPr>
              <w:spacing w:line="240" w:lineRule="auto"/>
              <w:rPr>
                <w:rFonts w:cstheme="majorBidi"/>
                <w:sz w:val="20"/>
                <w:szCs w:val="20"/>
                <w:highlight w:val="lightGray"/>
              </w:rPr>
            </w:pPr>
          </w:p>
        </w:tc>
        <w:tc>
          <w:tcPr>
            <w:tcW w:w="1438" w:type="dxa"/>
          </w:tcPr>
          <w:p w14:paraId="5D018144" w14:textId="77777777" w:rsidR="00976DD5" w:rsidRPr="00B63C1F" w:rsidRDefault="00976DD5" w:rsidP="000E1EFB">
            <w:pPr>
              <w:spacing w:line="240" w:lineRule="auto"/>
              <w:rPr>
                <w:rFonts w:cstheme="majorBidi"/>
                <w:sz w:val="20"/>
                <w:szCs w:val="20"/>
                <w:highlight w:val="lightGray"/>
              </w:rPr>
            </w:pPr>
          </w:p>
        </w:tc>
      </w:tr>
      <w:tr w:rsidR="00976DD5" w:rsidRPr="00B63C1F" w14:paraId="5B659E39" w14:textId="77777777" w:rsidTr="008E350B">
        <w:tc>
          <w:tcPr>
            <w:tcW w:w="2310" w:type="dxa"/>
            <w:hideMark/>
          </w:tcPr>
          <w:p w14:paraId="415BBAAA"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Civil Liberties</w:t>
            </w:r>
          </w:p>
        </w:tc>
        <w:tc>
          <w:tcPr>
            <w:tcW w:w="3043" w:type="dxa"/>
            <w:hideMark/>
          </w:tcPr>
          <w:p w14:paraId="7714F0FC"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0.53</w:t>
            </w:r>
          </w:p>
        </w:tc>
        <w:tc>
          <w:tcPr>
            <w:tcW w:w="1985" w:type="dxa"/>
          </w:tcPr>
          <w:p w14:paraId="796DDC98" w14:textId="77777777" w:rsidR="00976DD5" w:rsidRPr="00B63C1F" w:rsidRDefault="00976DD5" w:rsidP="000E1EFB">
            <w:pPr>
              <w:spacing w:line="240" w:lineRule="auto"/>
              <w:rPr>
                <w:rFonts w:cstheme="majorBidi"/>
                <w:sz w:val="20"/>
                <w:szCs w:val="20"/>
                <w:highlight w:val="lightGray"/>
              </w:rPr>
            </w:pPr>
          </w:p>
        </w:tc>
        <w:tc>
          <w:tcPr>
            <w:tcW w:w="1438" w:type="dxa"/>
          </w:tcPr>
          <w:p w14:paraId="06B4A68A" w14:textId="77777777" w:rsidR="00976DD5" w:rsidRPr="00B63C1F" w:rsidRDefault="00976DD5" w:rsidP="000E1EFB">
            <w:pPr>
              <w:spacing w:line="240" w:lineRule="auto"/>
              <w:rPr>
                <w:rFonts w:cstheme="majorBidi"/>
                <w:sz w:val="20"/>
                <w:szCs w:val="20"/>
                <w:highlight w:val="lightGray"/>
              </w:rPr>
            </w:pPr>
          </w:p>
        </w:tc>
      </w:tr>
      <w:tr w:rsidR="00976DD5" w:rsidRPr="00B63C1F" w14:paraId="02D17623" w14:textId="77777777" w:rsidTr="008E350B">
        <w:tc>
          <w:tcPr>
            <w:tcW w:w="2310" w:type="dxa"/>
            <w:hideMark/>
          </w:tcPr>
          <w:p w14:paraId="6473E358"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Referendum</w:t>
            </w:r>
          </w:p>
        </w:tc>
        <w:tc>
          <w:tcPr>
            <w:tcW w:w="3043" w:type="dxa"/>
            <w:hideMark/>
          </w:tcPr>
          <w:p w14:paraId="4CE5A3B9"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0.50</w:t>
            </w:r>
          </w:p>
        </w:tc>
        <w:tc>
          <w:tcPr>
            <w:tcW w:w="1985" w:type="dxa"/>
          </w:tcPr>
          <w:p w14:paraId="20C6DA9C" w14:textId="77777777" w:rsidR="00976DD5" w:rsidRPr="00B63C1F" w:rsidRDefault="00976DD5" w:rsidP="000E1EFB">
            <w:pPr>
              <w:spacing w:line="240" w:lineRule="auto"/>
              <w:rPr>
                <w:rFonts w:cstheme="majorBidi"/>
                <w:sz w:val="20"/>
                <w:szCs w:val="20"/>
                <w:highlight w:val="lightGray"/>
              </w:rPr>
            </w:pPr>
          </w:p>
        </w:tc>
        <w:tc>
          <w:tcPr>
            <w:tcW w:w="1438" w:type="dxa"/>
          </w:tcPr>
          <w:p w14:paraId="07BD4374" w14:textId="77777777" w:rsidR="00976DD5" w:rsidRPr="00B63C1F" w:rsidRDefault="00976DD5" w:rsidP="000E1EFB">
            <w:pPr>
              <w:spacing w:line="240" w:lineRule="auto"/>
              <w:rPr>
                <w:rFonts w:cstheme="majorBidi"/>
                <w:sz w:val="20"/>
                <w:szCs w:val="20"/>
                <w:highlight w:val="lightGray"/>
              </w:rPr>
            </w:pPr>
          </w:p>
        </w:tc>
      </w:tr>
      <w:tr w:rsidR="00976DD5" w:rsidRPr="00B63C1F" w14:paraId="5F977892" w14:textId="77777777" w:rsidTr="008E350B">
        <w:tc>
          <w:tcPr>
            <w:tcW w:w="2310" w:type="dxa"/>
            <w:hideMark/>
          </w:tcPr>
          <w:p w14:paraId="38ADCAA6"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Army Takeover</w:t>
            </w:r>
          </w:p>
        </w:tc>
        <w:tc>
          <w:tcPr>
            <w:tcW w:w="3043" w:type="dxa"/>
            <w:hideMark/>
          </w:tcPr>
          <w:p w14:paraId="7E44030B"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-0.70</w:t>
            </w:r>
          </w:p>
        </w:tc>
        <w:tc>
          <w:tcPr>
            <w:tcW w:w="1985" w:type="dxa"/>
          </w:tcPr>
          <w:p w14:paraId="1235AB72" w14:textId="77777777" w:rsidR="00976DD5" w:rsidRPr="00B63C1F" w:rsidRDefault="00976DD5" w:rsidP="000E1EFB">
            <w:pPr>
              <w:spacing w:line="240" w:lineRule="auto"/>
              <w:rPr>
                <w:rFonts w:cstheme="majorBidi"/>
                <w:sz w:val="20"/>
                <w:szCs w:val="20"/>
                <w:highlight w:val="lightGray"/>
              </w:rPr>
            </w:pPr>
          </w:p>
        </w:tc>
        <w:tc>
          <w:tcPr>
            <w:tcW w:w="1438" w:type="dxa"/>
          </w:tcPr>
          <w:p w14:paraId="2FFEDE00" w14:textId="77777777" w:rsidR="00976DD5" w:rsidRPr="00B63C1F" w:rsidRDefault="00976DD5" w:rsidP="000E1EFB">
            <w:pPr>
              <w:spacing w:line="240" w:lineRule="auto"/>
              <w:rPr>
                <w:rFonts w:cstheme="majorBidi"/>
                <w:sz w:val="20"/>
                <w:szCs w:val="20"/>
                <w:highlight w:val="lightGray"/>
              </w:rPr>
            </w:pPr>
          </w:p>
        </w:tc>
      </w:tr>
      <w:tr w:rsidR="00976DD5" w:rsidRPr="00B63C1F" w14:paraId="2AE1D920" w14:textId="77777777" w:rsidTr="008E350B">
        <w:tc>
          <w:tcPr>
            <w:tcW w:w="2310" w:type="dxa"/>
            <w:hideMark/>
          </w:tcPr>
          <w:p w14:paraId="50F95952"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Religious Authority</w:t>
            </w:r>
          </w:p>
        </w:tc>
        <w:tc>
          <w:tcPr>
            <w:tcW w:w="3043" w:type="dxa"/>
            <w:hideMark/>
          </w:tcPr>
          <w:p w14:paraId="08E4884B"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-0.73</w:t>
            </w:r>
          </w:p>
        </w:tc>
        <w:tc>
          <w:tcPr>
            <w:tcW w:w="1985" w:type="dxa"/>
          </w:tcPr>
          <w:p w14:paraId="424D4F22" w14:textId="77777777" w:rsidR="00976DD5" w:rsidRPr="00B63C1F" w:rsidRDefault="00976DD5" w:rsidP="000E1EFB">
            <w:pPr>
              <w:spacing w:line="240" w:lineRule="auto"/>
              <w:rPr>
                <w:rFonts w:cstheme="majorBidi"/>
                <w:sz w:val="20"/>
                <w:szCs w:val="20"/>
                <w:highlight w:val="lightGray"/>
              </w:rPr>
            </w:pPr>
          </w:p>
        </w:tc>
        <w:tc>
          <w:tcPr>
            <w:tcW w:w="1438" w:type="dxa"/>
          </w:tcPr>
          <w:p w14:paraId="2AE1936F" w14:textId="77777777" w:rsidR="00976DD5" w:rsidRPr="00B63C1F" w:rsidRDefault="00976DD5" w:rsidP="000E1EFB">
            <w:pPr>
              <w:spacing w:line="240" w:lineRule="auto"/>
              <w:rPr>
                <w:rFonts w:cstheme="majorBidi"/>
                <w:sz w:val="20"/>
                <w:szCs w:val="20"/>
                <w:highlight w:val="lightGray"/>
              </w:rPr>
            </w:pPr>
          </w:p>
        </w:tc>
      </w:tr>
      <w:tr w:rsidR="00976DD5" w:rsidRPr="00B63C1F" w14:paraId="1E53156D" w14:textId="77777777" w:rsidTr="00AB3E2B">
        <w:tc>
          <w:tcPr>
            <w:tcW w:w="2310" w:type="dxa"/>
            <w:shd w:val="clear" w:color="auto" w:fill="F2F2F2" w:themeFill="background1" w:themeFillShade="F2"/>
            <w:hideMark/>
          </w:tcPr>
          <w:p w14:paraId="35536543"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Prospering Economy</w:t>
            </w:r>
          </w:p>
        </w:tc>
        <w:tc>
          <w:tcPr>
            <w:tcW w:w="3043" w:type="dxa"/>
            <w:shd w:val="clear" w:color="auto" w:fill="F2F2F2" w:themeFill="background1" w:themeFillShade="F2"/>
          </w:tcPr>
          <w:p w14:paraId="5B607D80" w14:textId="77777777" w:rsidR="00976DD5" w:rsidRPr="00B63C1F" w:rsidRDefault="00976DD5" w:rsidP="000E1EFB">
            <w:pPr>
              <w:spacing w:line="240" w:lineRule="auto"/>
              <w:rPr>
                <w:rFonts w:cstheme="majorBidi"/>
                <w:sz w:val="20"/>
                <w:szCs w:val="20"/>
                <w:highlight w:val="lightGray"/>
              </w:rPr>
            </w:pPr>
          </w:p>
        </w:tc>
        <w:tc>
          <w:tcPr>
            <w:tcW w:w="1985" w:type="dxa"/>
            <w:shd w:val="clear" w:color="auto" w:fill="F2F2F2" w:themeFill="background1" w:themeFillShade="F2"/>
            <w:hideMark/>
          </w:tcPr>
          <w:p w14:paraId="1FBB8041"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0.76</w:t>
            </w:r>
          </w:p>
        </w:tc>
        <w:tc>
          <w:tcPr>
            <w:tcW w:w="1438" w:type="dxa"/>
            <w:shd w:val="clear" w:color="auto" w:fill="F2F2F2" w:themeFill="background1" w:themeFillShade="F2"/>
          </w:tcPr>
          <w:p w14:paraId="7733EE8A" w14:textId="77777777" w:rsidR="00976DD5" w:rsidRPr="00B63C1F" w:rsidRDefault="00976DD5" w:rsidP="000E1EFB">
            <w:pPr>
              <w:spacing w:line="240" w:lineRule="auto"/>
              <w:rPr>
                <w:rFonts w:cstheme="majorBidi"/>
                <w:sz w:val="20"/>
                <w:szCs w:val="20"/>
                <w:highlight w:val="lightGray"/>
              </w:rPr>
            </w:pPr>
          </w:p>
        </w:tc>
      </w:tr>
      <w:tr w:rsidR="00976DD5" w:rsidRPr="00B63C1F" w14:paraId="1C869206" w14:textId="77777777" w:rsidTr="00AB3E2B">
        <w:tc>
          <w:tcPr>
            <w:tcW w:w="2310" w:type="dxa"/>
            <w:shd w:val="clear" w:color="auto" w:fill="F2F2F2" w:themeFill="background1" w:themeFillShade="F2"/>
            <w:hideMark/>
          </w:tcPr>
          <w:p w14:paraId="7469C2A6"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Criminal Punishment</w:t>
            </w:r>
          </w:p>
        </w:tc>
        <w:tc>
          <w:tcPr>
            <w:tcW w:w="3043" w:type="dxa"/>
            <w:shd w:val="clear" w:color="auto" w:fill="F2F2F2" w:themeFill="background1" w:themeFillShade="F2"/>
          </w:tcPr>
          <w:p w14:paraId="185D4228" w14:textId="77777777" w:rsidR="00976DD5" w:rsidRPr="00B63C1F" w:rsidRDefault="00976DD5" w:rsidP="000E1EFB">
            <w:pPr>
              <w:spacing w:line="240" w:lineRule="auto"/>
              <w:rPr>
                <w:rFonts w:cstheme="majorBidi"/>
                <w:sz w:val="20"/>
                <w:szCs w:val="20"/>
                <w:highlight w:val="lightGray"/>
              </w:rPr>
            </w:pPr>
          </w:p>
        </w:tc>
        <w:tc>
          <w:tcPr>
            <w:tcW w:w="1985" w:type="dxa"/>
            <w:shd w:val="clear" w:color="auto" w:fill="F2F2F2" w:themeFill="background1" w:themeFillShade="F2"/>
            <w:hideMark/>
          </w:tcPr>
          <w:p w14:paraId="4CBFC914"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0.73</w:t>
            </w:r>
          </w:p>
        </w:tc>
        <w:tc>
          <w:tcPr>
            <w:tcW w:w="1438" w:type="dxa"/>
            <w:shd w:val="clear" w:color="auto" w:fill="F2F2F2" w:themeFill="background1" w:themeFillShade="F2"/>
          </w:tcPr>
          <w:p w14:paraId="7491E838" w14:textId="77777777" w:rsidR="00976DD5" w:rsidRPr="00B63C1F" w:rsidRDefault="00976DD5" w:rsidP="000E1EFB">
            <w:pPr>
              <w:spacing w:line="240" w:lineRule="auto"/>
              <w:rPr>
                <w:rFonts w:cstheme="majorBidi"/>
                <w:sz w:val="20"/>
                <w:szCs w:val="20"/>
                <w:highlight w:val="lightGray"/>
              </w:rPr>
            </w:pPr>
          </w:p>
        </w:tc>
      </w:tr>
      <w:tr w:rsidR="00976DD5" w:rsidRPr="00B63C1F" w14:paraId="6920D51A" w14:textId="77777777" w:rsidTr="008E350B">
        <w:tc>
          <w:tcPr>
            <w:tcW w:w="2310" w:type="dxa"/>
            <w:hideMark/>
          </w:tcPr>
          <w:p w14:paraId="719CB663"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Tax</w:t>
            </w:r>
          </w:p>
        </w:tc>
        <w:tc>
          <w:tcPr>
            <w:tcW w:w="3043" w:type="dxa"/>
          </w:tcPr>
          <w:p w14:paraId="240DD560" w14:textId="77777777" w:rsidR="00976DD5" w:rsidRPr="00B63C1F" w:rsidRDefault="00976DD5" w:rsidP="000E1EFB">
            <w:pPr>
              <w:spacing w:line="240" w:lineRule="auto"/>
              <w:rPr>
                <w:rFonts w:cstheme="majorBidi"/>
                <w:sz w:val="20"/>
                <w:szCs w:val="20"/>
                <w:highlight w:val="lightGray"/>
              </w:rPr>
            </w:pPr>
          </w:p>
        </w:tc>
        <w:tc>
          <w:tcPr>
            <w:tcW w:w="1985" w:type="dxa"/>
          </w:tcPr>
          <w:p w14:paraId="41BF7C72" w14:textId="77777777" w:rsidR="00976DD5" w:rsidRPr="00B63C1F" w:rsidRDefault="00976DD5" w:rsidP="000E1EFB">
            <w:pPr>
              <w:spacing w:line="240" w:lineRule="auto"/>
              <w:rPr>
                <w:rFonts w:cstheme="majorBidi"/>
                <w:sz w:val="20"/>
                <w:szCs w:val="20"/>
                <w:highlight w:val="lightGray"/>
              </w:rPr>
            </w:pPr>
          </w:p>
        </w:tc>
        <w:tc>
          <w:tcPr>
            <w:tcW w:w="1438" w:type="dxa"/>
            <w:hideMark/>
          </w:tcPr>
          <w:p w14:paraId="6A160092"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0.68</w:t>
            </w:r>
          </w:p>
        </w:tc>
      </w:tr>
      <w:tr w:rsidR="00976DD5" w:rsidRPr="00B63C1F" w14:paraId="5BA3AC8F" w14:textId="77777777" w:rsidTr="008E350B">
        <w:tc>
          <w:tcPr>
            <w:tcW w:w="2310" w:type="dxa"/>
            <w:tcBorders>
              <w:bottom w:val="single" w:sz="4" w:space="0" w:color="auto"/>
            </w:tcBorders>
            <w:hideMark/>
          </w:tcPr>
          <w:p w14:paraId="2B9C2E26"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Unemployment Aid</w:t>
            </w:r>
          </w:p>
        </w:tc>
        <w:tc>
          <w:tcPr>
            <w:tcW w:w="3043" w:type="dxa"/>
            <w:tcBorders>
              <w:bottom w:val="single" w:sz="4" w:space="0" w:color="auto"/>
            </w:tcBorders>
          </w:tcPr>
          <w:p w14:paraId="21A32A45" w14:textId="77777777" w:rsidR="00976DD5" w:rsidRPr="00B63C1F" w:rsidRDefault="00976DD5" w:rsidP="000E1EFB">
            <w:pPr>
              <w:spacing w:line="240" w:lineRule="auto"/>
              <w:rPr>
                <w:rFonts w:cstheme="majorBidi"/>
                <w:sz w:val="20"/>
                <w:szCs w:val="20"/>
                <w:highlight w:val="lightGray"/>
              </w:rPr>
            </w:pPr>
          </w:p>
        </w:tc>
        <w:tc>
          <w:tcPr>
            <w:tcW w:w="1985" w:type="dxa"/>
            <w:tcBorders>
              <w:bottom w:val="single" w:sz="4" w:space="0" w:color="auto"/>
            </w:tcBorders>
          </w:tcPr>
          <w:p w14:paraId="0B9950F7" w14:textId="77777777" w:rsidR="00976DD5" w:rsidRPr="00B63C1F" w:rsidRDefault="00976DD5" w:rsidP="000E1EFB">
            <w:pPr>
              <w:spacing w:line="240" w:lineRule="auto"/>
              <w:rPr>
                <w:rFonts w:cstheme="majorBidi"/>
                <w:sz w:val="20"/>
                <w:szCs w:val="20"/>
                <w:highlight w:val="lightGray"/>
              </w:rPr>
            </w:pPr>
          </w:p>
        </w:tc>
        <w:tc>
          <w:tcPr>
            <w:tcW w:w="1438" w:type="dxa"/>
            <w:tcBorders>
              <w:bottom w:val="single" w:sz="4" w:space="0" w:color="auto"/>
            </w:tcBorders>
            <w:hideMark/>
          </w:tcPr>
          <w:p w14:paraId="13C3DA8A"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0.62</w:t>
            </w:r>
          </w:p>
        </w:tc>
      </w:tr>
      <w:tr w:rsidR="00976DD5" w:rsidRPr="00B63C1F" w14:paraId="713F3445" w14:textId="77777777" w:rsidTr="008E350B">
        <w:tc>
          <w:tcPr>
            <w:tcW w:w="2310" w:type="dxa"/>
            <w:tcBorders>
              <w:top w:val="single" w:sz="4" w:space="0" w:color="auto"/>
            </w:tcBorders>
            <w:hideMark/>
          </w:tcPr>
          <w:p w14:paraId="311FCE48"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Explained variance</w:t>
            </w:r>
          </w:p>
        </w:tc>
        <w:tc>
          <w:tcPr>
            <w:tcW w:w="3043" w:type="dxa"/>
            <w:tcBorders>
              <w:top w:val="single" w:sz="4" w:space="0" w:color="auto"/>
            </w:tcBorders>
            <w:hideMark/>
          </w:tcPr>
          <w:p w14:paraId="2C395BF3"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24%</w:t>
            </w:r>
          </w:p>
        </w:tc>
        <w:tc>
          <w:tcPr>
            <w:tcW w:w="1985" w:type="dxa"/>
            <w:tcBorders>
              <w:top w:val="single" w:sz="4" w:space="0" w:color="auto"/>
            </w:tcBorders>
            <w:hideMark/>
          </w:tcPr>
          <w:p w14:paraId="2F89512B"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14%</w:t>
            </w:r>
          </w:p>
        </w:tc>
        <w:tc>
          <w:tcPr>
            <w:tcW w:w="1438" w:type="dxa"/>
            <w:tcBorders>
              <w:top w:val="single" w:sz="4" w:space="0" w:color="auto"/>
            </w:tcBorders>
            <w:hideMark/>
          </w:tcPr>
          <w:p w14:paraId="41FBBAEF"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12%</w:t>
            </w:r>
          </w:p>
        </w:tc>
      </w:tr>
      <w:tr w:rsidR="00976DD5" w:rsidRPr="00B63C1F" w14:paraId="7A8EE3F3" w14:textId="77777777" w:rsidTr="008E350B">
        <w:tc>
          <w:tcPr>
            <w:tcW w:w="2310" w:type="dxa"/>
            <w:tcBorders>
              <w:bottom w:val="single" w:sz="4" w:space="0" w:color="auto"/>
            </w:tcBorders>
            <w:hideMark/>
          </w:tcPr>
          <w:p w14:paraId="20C525EB" w14:textId="77777777" w:rsidR="00976DD5" w:rsidRPr="00B63C1F" w:rsidRDefault="00976DD5" w:rsidP="000E1EFB">
            <w:pPr>
              <w:spacing w:line="240" w:lineRule="auto"/>
              <w:rPr>
                <w:rFonts w:cstheme="majorBidi"/>
                <w:i/>
                <w:sz w:val="20"/>
                <w:szCs w:val="20"/>
                <w:highlight w:val="lightGray"/>
              </w:rPr>
            </w:pPr>
            <w:r w:rsidRPr="00B63C1F">
              <w:rPr>
                <w:rFonts w:cstheme="majorBidi"/>
                <w:i/>
                <w:sz w:val="20"/>
                <w:szCs w:val="20"/>
                <w:highlight w:val="lightGray"/>
              </w:rPr>
              <w:t>N</w:t>
            </w:r>
          </w:p>
        </w:tc>
        <w:tc>
          <w:tcPr>
            <w:tcW w:w="6466" w:type="dxa"/>
            <w:gridSpan w:val="3"/>
            <w:tcBorders>
              <w:bottom w:val="single" w:sz="4" w:space="0" w:color="auto"/>
            </w:tcBorders>
            <w:hideMark/>
          </w:tcPr>
          <w:p w14:paraId="464C5CBF" w14:textId="77777777" w:rsidR="00976DD5" w:rsidRPr="00B63C1F" w:rsidRDefault="00976DD5" w:rsidP="000E1EFB">
            <w:pPr>
              <w:spacing w:line="240" w:lineRule="auto"/>
              <w:rPr>
                <w:rFonts w:cstheme="majorBidi"/>
                <w:sz w:val="20"/>
                <w:szCs w:val="20"/>
                <w:highlight w:val="lightGray"/>
              </w:rPr>
            </w:pPr>
            <w:r w:rsidRPr="00B63C1F">
              <w:rPr>
                <w:rFonts w:cstheme="majorBidi"/>
                <w:sz w:val="20"/>
                <w:szCs w:val="20"/>
                <w:highlight w:val="lightGray"/>
              </w:rPr>
              <w:t>58, 524 respondents from 50 societies</w:t>
            </w:r>
          </w:p>
        </w:tc>
      </w:tr>
    </w:tbl>
    <w:p w14:paraId="38381AFA" w14:textId="77777777" w:rsidR="00364B6B" w:rsidRPr="00B63C1F" w:rsidRDefault="00364B6B" w:rsidP="00976DD5">
      <w:pPr>
        <w:rPr>
          <w:rFonts w:cstheme="majorBidi"/>
          <w:szCs w:val="24"/>
          <w:highlight w:val="lightGray"/>
        </w:rPr>
      </w:pPr>
    </w:p>
    <w:p w14:paraId="40857109" w14:textId="5AF4FD84" w:rsidR="00E63CC6" w:rsidRPr="00B63C1F" w:rsidRDefault="00E63CC6" w:rsidP="00E63CC6">
      <w:pPr>
        <w:rPr>
          <w:rFonts w:cstheme="majorBidi"/>
          <w:szCs w:val="24"/>
          <w:highlight w:val="lightGray"/>
        </w:rPr>
      </w:pPr>
      <w:r w:rsidRPr="00B63C1F">
        <w:rPr>
          <w:rFonts w:cstheme="majorBidi"/>
          <w:szCs w:val="24"/>
          <w:highlight w:val="lightGray"/>
        </w:rPr>
        <w:t xml:space="preserve">Without using any kind of </w:t>
      </w:r>
      <w:r w:rsidR="005E22E5" w:rsidRPr="00B63C1F">
        <w:rPr>
          <w:rFonts w:cstheme="majorBidi"/>
          <w:szCs w:val="24"/>
          <w:highlight w:val="lightGray"/>
        </w:rPr>
        <w:t>factor</w:t>
      </w:r>
      <w:r w:rsidRPr="00B63C1F">
        <w:rPr>
          <w:rFonts w:cstheme="majorBidi"/>
          <w:szCs w:val="24"/>
          <w:highlight w:val="lightGray"/>
        </w:rPr>
        <w:t xml:space="preserve"> analysis, Norris (2011, p.159) takes a similar index approach by creating a scale of ‘enlightened understanding’, but her index is stricter; she classes the populist and social variables together as ‘instrumental’ understandings and subtracts scores from these and the authoritarian variables from the liberal ones.</w:t>
      </w:r>
    </w:p>
    <w:p w14:paraId="072A9712" w14:textId="119B70BB" w:rsidR="00E63CC6" w:rsidRPr="00B63C1F" w:rsidRDefault="00E63CC6" w:rsidP="00E63CC6">
      <w:pPr>
        <w:rPr>
          <w:rFonts w:cstheme="majorBidi"/>
          <w:szCs w:val="24"/>
          <w:highlight w:val="lightGray"/>
        </w:rPr>
      </w:pPr>
      <w:r w:rsidRPr="00B63C1F">
        <w:rPr>
          <w:rFonts w:cstheme="majorBidi"/>
          <w:szCs w:val="24"/>
          <w:highlight w:val="lightGray"/>
        </w:rPr>
        <w:t xml:space="preserve">Although using different calculations, Welzel and Norris share a similar aim in their research; to examine </w:t>
      </w:r>
      <w:r w:rsidRPr="00B63C1F">
        <w:rPr>
          <w:rFonts w:cstheme="majorBidi"/>
          <w:i/>
          <w:iCs/>
          <w:szCs w:val="24"/>
          <w:highlight w:val="lightGray"/>
        </w:rPr>
        <w:t>how well</w:t>
      </w:r>
      <w:r w:rsidRPr="00B63C1F">
        <w:rPr>
          <w:rFonts w:cstheme="majorBidi"/>
          <w:szCs w:val="24"/>
          <w:highlight w:val="lightGray"/>
        </w:rPr>
        <w:t xml:space="preserve"> citizens understand liberal democracy. They </w:t>
      </w:r>
      <w:r w:rsidR="005E22E5" w:rsidRPr="00B63C1F">
        <w:rPr>
          <w:rFonts w:cstheme="majorBidi"/>
          <w:szCs w:val="24"/>
          <w:highlight w:val="lightGray"/>
        </w:rPr>
        <w:t>both work</w:t>
      </w:r>
      <w:r w:rsidR="00A0276F">
        <w:rPr>
          <w:rFonts w:cstheme="majorBidi"/>
          <w:szCs w:val="24"/>
          <w:highlight w:val="lightGray"/>
        </w:rPr>
        <w:t xml:space="preserve"> on a</w:t>
      </w:r>
      <w:r w:rsidRPr="00B63C1F">
        <w:rPr>
          <w:rFonts w:cstheme="majorBidi"/>
          <w:szCs w:val="24"/>
          <w:highlight w:val="lightGray"/>
        </w:rPr>
        <w:t xml:space="preserve"> confirmatory approach. In this sense they both produce scales of understanding which act as ‘civic tests’ in order to see how many people ‘get it right’. This is clear in Welzel’s (2013, p.313) description of a ‘theoretically predefined norm’ and in Norris’ (2011, p.159) subtraction of ‘incorrect’ authoritarian democracy answers from ‘correct’ liberal ones. My approach is different. This thesis explores potential underlying dimensions of understandings, without prescriptions from liberal democratic theory. For discussion purposes, I compare the results </w:t>
      </w:r>
      <w:r w:rsidRPr="00A0276F">
        <w:rPr>
          <w:rFonts w:cstheme="majorBidi"/>
          <w:i/>
          <w:szCs w:val="24"/>
          <w:highlight w:val="lightGray"/>
        </w:rPr>
        <w:t>to</w:t>
      </w:r>
      <w:r w:rsidRPr="00B63C1F">
        <w:rPr>
          <w:rFonts w:cstheme="majorBidi"/>
          <w:szCs w:val="24"/>
          <w:highlight w:val="lightGray"/>
        </w:rPr>
        <w:t xml:space="preserve"> theoretical expectations, to examine the disjuncture between the two, but this is a very different approach compared to building the dimensions up </w:t>
      </w:r>
      <w:r w:rsidRPr="00B63C1F">
        <w:rPr>
          <w:rFonts w:cstheme="majorBidi"/>
          <w:i/>
          <w:iCs/>
          <w:szCs w:val="24"/>
          <w:highlight w:val="lightGray"/>
        </w:rPr>
        <w:t>from</w:t>
      </w:r>
      <w:r w:rsidRPr="00B63C1F">
        <w:rPr>
          <w:rFonts w:cstheme="majorBidi"/>
          <w:szCs w:val="24"/>
          <w:highlight w:val="lightGray"/>
        </w:rPr>
        <w:t xml:space="preserve"> theoretical expectations.</w:t>
      </w:r>
    </w:p>
    <w:p w14:paraId="07F254BA" w14:textId="6E531FA9" w:rsidR="00E63CC6" w:rsidRPr="00B63C1F" w:rsidRDefault="00E63CC6" w:rsidP="00E63CC6">
      <w:pPr>
        <w:rPr>
          <w:rFonts w:cstheme="majorBidi"/>
          <w:szCs w:val="24"/>
          <w:highlight w:val="lightGray"/>
        </w:rPr>
      </w:pPr>
      <w:r w:rsidRPr="00B63C1F">
        <w:rPr>
          <w:rFonts w:cstheme="majorBidi"/>
          <w:szCs w:val="24"/>
          <w:highlight w:val="lightGray"/>
        </w:rPr>
        <w:t>Essentially, when Welzel concludes in the quote above, ‘</w:t>
      </w:r>
      <w:r w:rsidRPr="00B63C1F">
        <w:rPr>
          <w:rFonts w:cstheme="majorBidi"/>
          <w:i/>
          <w:szCs w:val="24"/>
          <w:highlight w:val="lightGray"/>
        </w:rPr>
        <w:t>should the world be like this</w:t>
      </w:r>
      <w:r w:rsidRPr="00B63C1F">
        <w:rPr>
          <w:rFonts w:cstheme="majorBidi"/>
          <w:szCs w:val="24"/>
          <w:highlight w:val="lightGray"/>
        </w:rPr>
        <w:t>’, my thesis asks what is essentially the prior question: ‘</w:t>
      </w:r>
      <w:r w:rsidRPr="00B63C1F">
        <w:rPr>
          <w:rFonts w:cstheme="majorBidi"/>
          <w:i/>
          <w:szCs w:val="24"/>
          <w:highlight w:val="lightGray"/>
        </w:rPr>
        <w:t>what is the world like?</w:t>
      </w:r>
      <w:r w:rsidRPr="00B63C1F">
        <w:rPr>
          <w:rFonts w:cstheme="majorBidi"/>
          <w:szCs w:val="24"/>
          <w:highlight w:val="lightGray"/>
        </w:rPr>
        <w:t>’ And in fact, Welzel’s (2013, p.313) justification for</w:t>
      </w:r>
      <w:r w:rsidRPr="00B63C1F">
        <w:rPr>
          <w:rFonts w:cstheme="majorBidi"/>
          <w:i/>
          <w:szCs w:val="24"/>
          <w:highlight w:val="lightGray"/>
        </w:rPr>
        <w:t xml:space="preserve"> not</w:t>
      </w:r>
      <w:r w:rsidRPr="00B63C1F">
        <w:rPr>
          <w:rFonts w:cstheme="majorBidi"/>
          <w:szCs w:val="24"/>
          <w:highlight w:val="lightGray"/>
        </w:rPr>
        <w:t xml:space="preserve"> using a</w:t>
      </w:r>
      <w:r w:rsidR="005E22E5" w:rsidRPr="00B63C1F">
        <w:rPr>
          <w:rFonts w:cstheme="majorBidi"/>
          <w:szCs w:val="24"/>
          <w:highlight w:val="lightGray"/>
        </w:rPr>
        <w:t>n exploratory</w:t>
      </w:r>
      <w:r w:rsidRPr="00B63C1F">
        <w:rPr>
          <w:rFonts w:cstheme="majorBidi"/>
          <w:szCs w:val="24"/>
          <w:highlight w:val="lightGray"/>
        </w:rPr>
        <w:t xml:space="preserve"> approach justifies nicely why I </w:t>
      </w:r>
      <w:r w:rsidRPr="00B63C1F">
        <w:rPr>
          <w:rFonts w:cstheme="majorBidi"/>
          <w:i/>
          <w:szCs w:val="24"/>
          <w:highlight w:val="lightGray"/>
        </w:rPr>
        <w:t>do</w:t>
      </w:r>
      <w:r w:rsidRPr="00B63C1F">
        <w:rPr>
          <w:rFonts w:cstheme="majorBidi"/>
          <w:szCs w:val="24"/>
          <w:highlight w:val="lightGray"/>
        </w:rPr>
        <w:t xml:space="preserve"> want to use it:</w:t>
      </w:r>
    </w:p>
    <w:p w14:paraId="229ED5AA" w14:textId="54325E8E" w:rsidR="00E63CC6" w:rsidRPr="00B63C1F" w:rsidRDefault="00E63CC6" w:rsidP="00E63CC6">
      <w:pPr>
        <w:pStyle w:val="Quote"/>
        <w:rPr>
          <w:highlight w:val="lightGray"/>
        </w:rPr>
      </w:pPr>
      <w:r w:rsidRPr="00B63C1F">
        <w:rPr>
          <w:highlight w:val="lightGray"/>
        </w:rPr>
        <w:t>“One way to group people’s notions of democracy into a smaller number of summary measures is to rely on the dimensional analysis. On this basis, one can assign each respondent a factor score on each extracted dimension, indicating this respondent’s position on the respective continuum. If we do so, we follow the dimensional logic and measure people’s notions of democracy as they are organized in people’s minds – regardless of theoretical definitions of democracy.”</w:t>
      </w:r>
    </w:p>
    <w:p w14:paraId="67689FA7" w14:textId="59EA0258" w:rsidR="00976DD5" w:rsidRPr="00944A0F" w:rsidRDefault="00E63CC6" w:rsidP="00944A0F">
      <w:pPr>
        <w:rPr>
          <w:rFonts w:cstheme="majorBidi"/>
          <w:szCs w:val="24"/>
        </w:rPr>
      </w:pPr>
      <w:r w:rsidRPr="00B63C1F">
        <w:rPr>
          <w:rFonts w:cstheme="majorBidi"/>
          <w:szCs w:val="24"/>
          <w:highlight w:val="lightGray"/>
        </w:rPr>
        <w:t xml:space="preserve">Welzel (2013, p.313) argues this is not appropriate for his study as he is “not interested in how notions of democracy are organized in people’s minds without reference to a theoretical norm” because this approach is “inappropriate for a concept as inherently normative as democracy”. Regarding this justification, firstly and simply, I </w:t>
      </w:r>
      <w:r w:rsidRPr="00B63C1F">
        <w:rPr>
          <w:rFonts w:cstheme="majorBidi"/>
          <w:i/>
          <w:iCs/>
          <w:szCs w:val="24"/>
          <w:highlight w:val="lightGray"/>
        </w:rPr>
        <w:t>am</w:t>
      </w:r>
      <w:r w:rsidRPr="00B63C1F">
        <w:rPr>
          <w:rFonts w:cstheme="majorBidi"/>
          <w:szCs w:val="24"/>
          <w:highlight w:val="lightGray"/>
        </w:rPr>
        <w:t xml:space="preserve"> interested in an initial examination of how people understand democracy without reference to theory. Secondly, there is no doubt that the concept of democracy is normative. However, the norms of the theory</w:t>
      </w:r>
      <w:r w:rsidR="00A0276F">
        <w:rPr>
          <w:rFonts w:cstheme="majorBidi"/>
          <w:szCs w:val="24"/>
          <w:highlight w:val="lightGray"/>
        </w:rPr>
        <w:t xml:space="preserve"> in Welzel’s approach</w:t>
      </w:r>
      <w:r w:rsidRPr="00B63C1F">
        <w:rPr>
          <w:rFonts w:cstheme="majorBidi"/>
          <w:szCs w:val="24"/>
          <w:highlight w:val="lightGray"/>
        </w:rPr>
        <w:t xml:space="preserve"> stem from academic and elite interpretations and arguments. By taking a confirmatory approach and creating indices of how correctly citizens understand liberal democracy, or structuring the data analysis by theoretical expectations, we are still ‘putting the cart before the horse’ by setting up a theoretical benchmark to run a test, without allowing the trends in the data to first be identified in a more exploratory manner. </w:t>
      </w:r>
      <w:r w:rsidR="008733BE" w:rsidRPr="00B63C1F">
        <w:rPr>
          <w:rFonts w:cstheme="majorBidi"/>
          <w:szCs w:val="24"/>
          <w:highlight w:val="lightGray"/>
        </w:rPr>
        <w:t>This leaves me with examining the characteristics through an EFA or a PCA</w:t>
      </w:r>
      <w:r w:rsidR="0091388F">
        <w:rPr>
          <w:rFonts w:cstheme="majorBidi"/>
          <w:szCs w:val="24"/>
          <w:highlight w:val="lightGray"/>
        </w:rPr>
        <w:t xml:space="preserve">, </w:t>
      </w:r>
      <w:r w:rsidR="00A0276F">
        <w:rPr>
          <w:rFonts w:cstheme="majorBidi"/>
          <w:szCs w:val="24"/>
          <w:highlight w:val="lightGray"/>
        </w:rPr>
        <w:t>but then able to use</w:t>
      </w:r>
      <w:r w:rsidR="0091388F">
        <w:rPr>
          <w:rFonts w:cstheme="majorBidi"/>
          <w:szCs w:val="24"/>
          <w:highlight w:val="lightGray"/>
        </w:rPr>
        <w:t xml:space="preserve"> CFA as a way of confirming the results </w:t>
      </w:r>
      <w:r w:rsidR="00A0276F">
        <w:rPr>
          <w:rFonts w:cstheme="majorBidi"/>
          <w:szCs w:val="24"/>
          <w:highlight w:val="lightGray"/>
        </w:rPr>
        <w:t xml:space="preserve">that are </w:t>
      </w:r>
      <w:r w:rsidR="0091388F">
        <w:rPr>
          <w:rFonts w:cstheme="majorBidi"/>
          <w:szCs w:val="24"/>
          <w:highlight w:val="lightGray"/>
        </w:rPr>
        <w:t>suggested by the exploratory approach</w:t>
      </w:r>
      <w:r w:rsidR="008733BE" w:rsidRPr="00B63C1F">
        <w:rPr>
          <w:rFonts w:cstheme="majorBidi"/>
          <w:szCs w:val="24"/>
          <w:highlight w:val="lightGray"/>
        </w:rPr>
        <w:t>.</w:t>
      </w:r>
    </w:p>
    <w:p w14:paraId="27683B5D" w14:textId="3060E95D" w:rsidR="00976DD5" w:rsidRPr="00B63C1F" w:rsidRDefault="00976DD5" w:rsidP="00577217">
      <w:pPr>
        <w:pStyle w:val="Heading2"/>
        <w:rPr>
          <w:highlight w:val="lightGray"/>
        </w:rPr>
      </w:pPr>
      <w:bookmarkStart w:id="219" w:name="_Toc439171458"/>
      <w:bookmarkStart w:id="220" w:name="_Toc385498305"/>
      <w:bookmarkStart w:id="221" w:name="_Toc441069028"/>
      <w:bookmarkStart w:id="222" w:name="_Toc441069218"/>
      <w:bookmarkStart w:id="223" w:name="_Toc494034221"/>
      <w:r w:rsidRPr="00B63C1F">
        <w:rPr>
          <w:highlight w:val="lightGray"/>
        </w:rPr>
        <w:t>4.2 Method: Principal Components Analysis</w:t>
      </w:r>
      <w:bookmarkEnd w:id="219"/>
      <w:bookmarkEnd w:id="220"/>
      <w:bookmarkEnd w:id="221"/>
      <w:bookmarkEnd w:id="222"/>
      <w:r w:rsidR="00944A0F" w:rsidRPr="00B63C1F">
        <w:rPr>
          <w:highlight w:val="lightGray"/>
        </w:rPr>
        <w:t xml:space="preserve"> and Exploratory Factor Analysis</w:t>
      </w:r>
      <w:bookmarkEnd w:id="223"/>
    </w:p>
    <w:p w14:paraId="178C39A6" w14:textId="16BFBBAD" w:rsidR="00A527D8" w:rsidRDefault="00F025FE" w:rsidP="00944A0F">
      <w:pPr>
        <w:rPr>
          <w:rFonts w:cstheme="majorBidi"/>
          <w:szCs w:val="24"/>
        </w:rPr>
      </w:pPr>
      <w:r w:rsidRPr="00B63C1F">
        <w:rPr>
          <w:rFonts w:cstheme="majorBidi"/>
          <w:szCs w:val="24"/>
          <w:highlight w:val="lightGray"/>
        </w:rPr>
        <w:t xml:space="preserve">It </w:t>
      </w:r>
      <w:r w:rsidR="005E22E5" w:rsidRPr="00B63C1F">
        <w:rPr>
          <w:rFonts w:cstheme="majorBidi"/>
          <w:szCs w:val="24"/>
          <w:highlight w:val="lightGray"/>
        </w:rPr>
        <w:t>has been noted</w:t>
      </w:r>
      <w:r w:rsidRPr="00B63C1F">
        <w:rPr>
          <w:rFonts w:cstheme="majorBidi"/>
          <w:szCs w:val="24"/>
          <w:highlight w:val="lightGray"/>
        </w:rPr>
        <w:t xml:space="preserve"> that </w:t>
      </w:r>
      <w:r w:rsidR="00944A0F" w:rsidRPr="00B63C1F">
        <w:rPr>
          <w:rFonts w:cstheme="majorBidi"/>
          <w:szCs w:val="24"/>
          <w:highlight w:val="lightGray"/>
        </w:rPr>
        <w:t xml:space="preserve">“the steps followed when conducting a principal component analysis are virtually identical to those followed when conducting an exploratory factor analysis” </w:t>
      </w:r>
      <w:r w:rsidR="00944A0F" w:rsidRPr="00B63C1F">
        <w:rPr>
          <w:rFonts w:cstheme="majorBidi"/>
          <w:szCs w:val="24"/>
          <w:highlight w:val="lightGray"/>
        </w:rPr>
        <w:fldChar w:fldCharType="begin" w:fldLock="1"/>
      </w:r>
      <w:r w:rsidR="00944A0F" w:rsidRPr="00B63C1F">
        <w:rPr>
          <w:rFonts w:cstheme="majorBidi"/>
          <w:szCs w:val="24"/>
          <w:highlight w:val="lightGray"/>
        </w:rPr>
        <w:instrText>ADDIN CSL_CITATION { "citationItems" : [ { "id" : "ITEM-1", "itemData" : { "author" : [ { "dropping-particle" : "", "family" : "O'Rourke", "given" : "N", "non-dropping-particle" : "", "parse-names" : false, "suffix" : "" }, { "dropping-particle" : "", "family" : "Hatcher", "given" : "L", "non-dropping-particle" : "", "parse-names" : false, "suffix" : "" } ], "edition" : "Second Ed.", "id" : "ITEM-1", "issued" : { "date-parts" : [ [ "2013" ] ] }, "publisher" : "SAS Institute", "publisher-place" : "Carey", "title" : "A Step-by-Step Approach to Using SAS for Factor Analysis and Structural Equation Modeling", "type" : "book" }, "uris" : [ "http://www.mendeley.com/documents/?uuid=22bf095b-7e5b-46a5-9984-582823260a64" ] } ], "mendeley" : { "formattedCitation" : "(O\u2019Rourke and Hatcher, 2013)", "manualFormatting" : "(O\u2019Rourke &amp; Hatcher 2013, p.2)", "plainTextFormattedCitation" : "(O\u2019Rourke and Hatcher, 2013)", "previouslyFormattedCitation" : "(O\u2019Rourke and Hatcher, 2013)" }, "properties" : { "noteIndex" : 0 }, "schema" : "https://github.com/citation-style-language/schema/raw/master/csl-citation.json" }</w:instrText>
      </w:r>
      <w:r w:rsidR="00944A0F" w:rsidRPr="00B63C1F">
        <w:rPr>
          <w:rFonts w:cstheme="majorBidi"/>
          <w:szCs w:val="24"/>
          <w:highlight w:val="lightGray"/>
        </w:rPr>
        <w:fldChar w:fldCharType="separate"/>
      </w:r>
      <w:r w:rsidR="00944A0F" w:rsidRPr="00B63C1F">
        <w:rPr>
          <w:rFonts w:cstheme="majorBidi"/>
          <w:noProof/>
          <w:szCs w:val="24"/>
          <w:highlight w:val="lightGray"/>
        </w:rPr>
        <w:t>(O’Rourke &amp; Hatcher 2013, p.2)</w:t>
      </w:r>
      <w:r w:rsidR="00944A0F" w:rsidRPr="00B63C1F">
        <w:rPr>
          <w:rFonts w:cstheme="majorBidi"/>
          <w:szCs w:val="24"/>
          <w:highlight w:val="lightGray"/>
        </w:rPr>
        <w:fldChar w:fldCharType="end"/>
      </w:r>
      <w:r w:rsidR="00944A0F" w:rsidRPr="00B63C1F">
        <w:rPr>
          <w:rFonts w:cstheme="majorBidi"/>
          <w:szCs w:val="24"/>
          <w:highlight w:val="lightGray"/>
        </w:rPr>
        <w:t xml:space="preserve">. Further, the difference between them is subtle enough that often textbooks acknowledge the differences but then brush them aside to focus on the similarities (for instance, see Field 2011, p.638). </w:t>
      </w:r>
      <w:r w:rsidR="00A527D8" w:rsidRPr="00B63C1F">
        <w:rPr>
          <w:rFonts w:cstheme="majorBidi"/>
          <w:szCs w:val="24"/>
          <w:highlight w:val="lightGray"/>
        </w:rPr>
        <w:t>Indeed, many journal articles do not identify what approach was specifically utilised</w:t>
      </w:r>
      <w:r w:rsidRPr="00B63C1F">
        <w:rPr>
          <w:rFonts w:cstheme="majorBidi"/>
          <w:szCs w:val="24"/>
          <w:highlight w:val="lightGray"/>
        </w:rPr>
        <w:t xml:space="preserve"> and some software, such as SPSS, offer PCA as the default form of extraction under the factor procedure, despite </w:t>
      </w:r>
      <w:r w:rsidR="00AE00BE" w:rsidRPr="00B63C1F">
        <w:rPr>
          <w:rFonts w:cstheme="majorBidi"/>
          <w:szCs w:val="24"/>
          <w:highlight w:val="lightGray"/>
        </w:rPr>
        <w:t xml:space="preserve">it </w:t>
      </w:r>
      <w:r w:rsidRPr="00B63C1F">
        <w:rPr>
          <w:rFonts w:cstheme="majorBidi"/>
          <w:szCs w:val="24"/>
          <w:highlight w:val="lightGray"/>
        </w:rPr>
        <w:t>not being an FA approach</w:t>
      </w:r>
      <w:r w:rsidR="00A527D8" w:rsidRPr="00B63C1F">
        <w:rPr>
          <w:rFonts w:cstheme="majorBidi"/>
          <w:szCs w:val="24"/>
          <w:highlight w:val="lightGray"/>
        </w:rPr>
        <w:t xml:space="preserve"> </w:t>
      </w:r>
      <w:r w:rsidR="00A527D8" w:rsidRPr="00B63C1F">
        <w:rPr>
          <w:rFonts w:cstheme="majorBidi"/>
          <w:szCs w:val="24"/>
          <w:highlight w:val="lightGray"/>
        </w:rPr>
        <w:fldChar w:fldCharType="begin" w:fldLock="1"/>
      </w:r>
      <w:r w:rsidRPr="00B63C1F">
        <w:rPr>
          <w:rFonts w:cstheme="majorBidi"/>
          <w:szCs w:val="24"/>
          <w:highlight w:val="lightGray"/>
        </w:rPr>
        <w:instrText>ADDIN CSL_CITATION { "citationItems" : [ { "id" : "ITEM-1", "itemData" : { "author" : [ { "dropping-particle" : "", "family" : "Harrington", "given" : "D", "non-dropping-particle" : "", "parse-names" : false, "suffix" : "" } ], "id" : "ITEM-1", "issued" : { "date-parts" : [ [ "2008" ] ] }, "publisher" : "Oxford Scholarship Online", "title" : "Confirmatory Factor Analysis", "type" : "book" }, "uris" : [ "http://www.mendeley.com/documents/?uuid=5a4b6ee2-a00c-4ff8-9464-9f3bc71c1d0e" ] } ], "mendeley" : { "formattedCitation" : "(Harrington, 2008)", "manualFormatting" : "(Harrington, 2008, pp.11-12)", "plainTextFormattedCitation" : "(Harrington, 2008)", "previouslyFormattedCitation" : "(Harrington, 2008)" }, "properties" : { "noteIndex" : 0 }, "schema" : "https://github.com/citation-style-language/schema/raw/master/csl-citation.json" }</w:instrText>
      </w:r>
      <w:r w:rsidR="00A527D8" w:rsidRPr="00B63C1F">
        <w:rPr>
          <w:rFonts w:cstheme="majorBidi"/>
          <w:szCs w:val="24"/>
          <w:highlight w:val="lightGray"/>
        </w:rPr>
        <w:fldChar w:fldCharType="separate"/>
      </w:r>
      <w:r w:rsidR="00A527D8" w:rsidRPr="00B63C1F">
        <w:rPr>
          <w:rFonts w:cstheme="majorBidi"/>
          <w:noProof/>
          <w:szCs w:val="24"/>
          <w:highlight w:val="lightGray"/>
        </w:rPr>
        <w:t>(Harrington, 2008, p</w:t>
      </w:r>
      <w:r w:rsidRPr="00B63C1F">
        <w:rPr>
          <w:rFonts w:cstheme="majorBidi"/>
          <w:noProof/>
          <w:szCs w:val="24"/>
          <w:highlight w:val="lightGray"/>
        </w:rPr>
        <w:t>p</w:t>
      </w:r>
      <w:r w:rsidR="00A527D8" w:rsidRPr="00B63C1F">
        <w:rPr>
          <w:rFonts w:cstheme="majorBidi"/>
          <w:noProof/>
          <w:szCs w:val="24"/>
          <w:highlight w:val="lightGray"/>
        </w:rPr>
        <w:t>.</w:t>
      </w:r>
      <w:r w:rsidRPr="00B63C1F">
        <w:rPr>
          <w:rFonts w:cstheme="majorBidi"/>
          <w:noProof/>
          <w:szCs w:val="24"/>
          <w:highlight w:val="lightGray"/>
        </w:rPr>
        <w:t>11-</w:t>
      </w:r>
      <w:r w:rsidR="00A527D8" w:rsidRPr="00B63C1F">
        <w:rPr>
          <w:rFonts w:cstheme="majorBidi"/>
          <w:noProof/>
          <w:szCs w:val="24"/>
          <w:highlight w:val="lightGray"/>
        </w:rPr>
        <w:t>12)</w:t>
      </w:r>
      <w:r w:rsidR="00A527D8" w:rsidRPr="00B63C1F">
        <w:rPr>
          <w:rFonts w:cstheme="majorBidi"/>
          <w:szCs w:val="24"/>
          <w:highlight w:val="lightGray"/>
        </w:rPr>
        <w:fldChar w:fldCharType="end"/>
      </w:r>
      <w:r w:rsidRPr="00B63C1F">
        <w:rPr>
          <w:rFonts w:cstheme="majorBidi"/>
          <w:szCs w:val="24"/>
          <w:highlight w:val="lightGray"/>
        </w:rPr>
        <w:t>.</w:t>
      </w:r>
      <w:r w:rsidR="005E22E5" w:rsidRPr="00B63C1F">
        <w:rPr>
          <w:rFonts w:cstheme="majorBidi"/>
          <w:szCs w:val="24"/>
          <w:highlight w:val="lightGray"/>
        </w:rPr>
        <w:t xml:space="preserve"> </w:t>
      </w:r>
      <w:r w:rsidR="00AD1243" w:rsidRPr="00B63C1F">
        <w:rPr>
          <w:rFonts w:cstheme="majorBidi"/>
          <w:szCs w:val="24"/>
          <w:highlight w:val="lightGray"/>
        </w:rPr>
        <w:t xml:space="preserve">There is unresolved debate surrounded </w:t>
      </w:r>
      <w:r w:rsidR="0038587A" w:rsidRPr="00B63C1F">
        <w:rPr>
          <w:rFonts w:cstheme="majorBidi"/>
          <w:szCs w:val="24"/>
          <w:highlight w:val="lightGray"/>
        </w:rPr>
        <w:t>the use of FA versus PCA (</w:t>
      </w:r>
      <w:r w:rsidR="0038587A" w:rsidRPr="00B63C1F">
        <w:rPr>
          <w:rFonts w:cstheme="majorBidi"/>
          <w:i/>
          <w:szCs w:val="24"/>
          <w:highlight w:val="lightGray"/>
        </w:rPr>
        <w:t>Ibid</w:t>
      </w:r>
      <w:r w:rsidR="0038587A" w:rsidRPr="00B63C1F">
        <w:rPr>
          <w:rFonts w:cstheme="majorBidi"/>
          <w:szCs w:val="24"/>
          <w:highlight w:val="lightGray"/>
        </w:rPr>
        <w:t>, p.10) and i</w:t>
      </w:r>
      <w:r w:rsidR="005E37BE" w:rsidRPr="00B63C1F">
        <w:rPr>
          <w:rFonts w:cstheme="majorBidi"/>
          <w:szCs w:val="24"/>
          <w:highlight w:val="lightGray"/>
        </w:rPr>
        <w:t xml:space="preserve">t has also been suggested that </w:t>
      </w:r>
      <w:r w:rsidR="002F42FA" w:rsidRPr="00B63C1F">
        <w:rPr>
          <w:rFonts w:cstheme="majorBidi"/>
          <w:szCs w:val="24"/>
          <w:highlight w:val="lightGray"/>
        </w:rPr>
        <w:t>“</w:t>
      </w:r>
      <w:r w:rsidR="005E37BE" w:rsidRPr="00B63C1F">
        <w:rPr>
          <w:rFonts w:cstheme="majorBidi"/>
          <w:szCs w:val="24"/>
          <w:highlight w:val="lightGray"/>
        </w:rPr>
        <w:t xml:space="preserve">the practical difference between the methods is </w:t>
      </w:r>
      <w:r w:rsidR="002F42FA" w:rsidRPr="00B63C1F">
        <w:rPr>
          <w:rFonts w:cstheme="majorBidi"/>
          <w:szCs w:val="24"/>
          <w:highlight w:val="lightGray"/>
        </w:rPr>
        <w:t>often negligible in terms of interpretation”</w:t>
      </w:r>
      <w:r w:rsidR="005E37BE" w:rsidRPr="00B63C1F">
        <w:rPr>
          <w:rFonts w:cstheme="majorBidi"/>
          <w:szCs w:val="24"/>
          <w:highlight w:val="lightGray"/>
        </w:rPr>
        <w:t xml:space="preserve"> </w:t>
      </w:r>
      <w:r w:rsidR="002F42FA" w:rsidRPr="00B63C1F">
        <w:rPr>
          <w:rFonts w:cstheme="majorBidi"/>
          <w:szCs w:val="24"/>
          <w:highlight w:val="lightGray"/>
        </w:rPr>
        <w:fldChar w:fldCharType="begin" w:fldLock="1"/>
      </w:r>
      <w:r w:rsidR="002F42FA" w:rsidRPr="00B63C1F">
        <w:rPr>
          <w:rFonts w:cstheme="majorBidi"/>
          <w:szCs w:val="24"/>
          <w:highlight w:val="lightGray"/>
        </w:rPr>
        <w:instrText>ADDIN CSL_CITATION { "citationItems" : [ { "id" : "ITEM-1", "itemData" : { "author" : [ { "dropping-particle" : "", "family" : "Thompson", "given" : "B", "non-dropping-particle" : "", "parse-names" : false, "suffix" : "" }, { "dropping-particle" : "", "family" : "Vidal-Brown", "given" : "S", "non-dropping-particle" : "", "parse-names" : false, "suffix" : "" } ], "container-title" : "Paper presented at the annual meeting of the Southwest Educational Research Association, New Orleans", "id" : "ITEM-1", "issued" : { "date-parts" : [ [ "2001" ] ] }, "title" : "Principal Components versus Principle Axis Factors: When Will We Ever Learn?", "type" : "paper-conference" }, "uris" : [ "http://www.mendeley.com/documents/?uuid=1806f369-72c8-4106-95d5-aef8e24b9f0d" ] } ], "mendeley" : { "formattedCitation" : "(Thompson and Vidal-Brown, 2001)", "manualFormatting" : "(Thompson and Vidal-Brown 2001, p.3)", "plainTextFormattedCitation" : "(Thompson and Vidal-Brown, 2001)", "previouslyFormattedCitation" : "(Thompson and Vidal-Brown, 2001)" }, "properties" : { "noteIndex" : 0 }, "schema" : "https://github.com/citation-style-language/schema/raw/master/csl-citation.json" }</w:instrText>
      </w:r>
      <w:r w:rsidR="002F42FA" w:rsidRPr="00B63C1F">
        <w:rPr>
          <w:rFonts w:cstheme="majorBidi"/>
          <w:szCs w:val="24"/>
          <w:highlight w:val="lightGray"/>
        </w:rPr>
        <w:fldChar w:fldCharType="separate"/>
      </w:r>
      <w:r w:rsidR="002F42FA" w:rsidRPr="00B63C1F">
        <w:rPr>
          <w:rFonts w:cstheme="majorBidi"/>
          <w:noProof/>
          <w:szCs w:val="24"/>
          <w:highlight w:val="lightGray"/>
        </w:rPr>
        <w:t>(Thompson and Vidal-Brown 2001, p.3)</w:t>
      </w:r>
      <w:r w:rsidR="002F42FA" w:rsidRPr="00B63C1F">
        <w:rPr>
          <w:rFonts w:cstheme="majorBidi"/>
          <w:szCs w:val="24"/>
          <w:highlight w:val="lightGray"/>
        </w:rPr>
        <w:fldChar w:fldCharType="end"/>
      </w:r>
      <w:r w:rsidR="002F42FA" w:rsidRPr="00B63C1F">
        <w:rPr>
          <w:rFonts w:cstheme="majorBidi"/>
          <w:szCs w:val="24"/>
          <w:highlight w:val="lightGray"/>
        </w:rPr>
        <w:t>. For that reason</w:t>
      </w:r>
      <w:r w:rsidR="00AE00BE" w:rsidRPr="00B63C1F">
        <w:rPr>
          <w:rFonts w:cstheme="majorBidi"/>
          <w:szCs w:val="24"/>
          <w:highlight w:val="lightGray"/>
        </w:rPr>
        <w:t>, I outline the utility of both approaches. I also report the results of both approaches, and demonstrate that the difference between the two outcomes</w:t>
      </w:r>
      <w:r w:rsidR="006C0490">
        <w:rPr>
          <w:rFonts w:cstheme="majorBidi"/>
          <w:szCs w:val="24"/>
          <w:highlight w:val="lightGray"/>
        </w:rPr>
        <w:t xml:space="preserve"> in my analysis</w:t>
      </w:r>
      <w:r w:rsidR="00AE00BE" w:rsidRPr="00B63C1F">
        <w:rPr>
          <w:rFonts w:cstheme="majorBidi"/>
          <w:szCs w:val="24"/>
          <w:highlight w:val="lightGray"/>
        </w:rPr>
        <w:t xml:space="preserve"> are </w:t>
      </w:r>
      <w:r w:rsidR="00A670CD" w:rsidRPr="00B63C1F">
        <w:rPr>
          <w:rFonts w:cstheme="majorBidi"/>
          <w:szCs w:val="24"/>
          <w:highlight w:val="lightGray"/>
        </w:rPr>
        <w:t>minor.</w:t>
      </w:r>
    </w:p>
    <w:p w14:paraId="5A490718" w14:textId="77777777" w:rsidR="003419C8" w:rsidRPr="00477D77" w:rsidRDefault="003419C8" w:rsidP="003419C8">
      <w:pPr>
        <w:pStyle w:val="Heading3"/>
        <w:rPr>
          <w:highlight w:val="lightGray"/>
        </w:rPr>
      </w:pPr>
      <w:bookmarkStart w:id="224" w:name="_Hlk491166516"/>
      <w:r w:rsidRPr="00477D77">
        <w:rPr>
          <w:highlight w:val="lightGray"/>
        </w:rPr>
        <w:t>How PCA and EFA Work</w:t>
      </w:r>
    </w:p>
    <w:p w14:paraId="68DCF330" w14:textId="75D7B3AC" w:rsidR="00A0276F" w:rsidRDefault="003419C8" w:rsidP="003419C8">
      <w:pPr>
        <w:rPr>
          <w:rFonts w:cstheme="majorBidi"/>
          <w:szCs w:val="24"/>
          <w:highlight w:val="lightGray"/>
        </w:rPr>
      </w:pPr>
      <w:r w:rsidRPr="00477D77">
        <w:rPr>
          <w:rFonts w:cstheme="majorBidi"/>
          <w:szCs w:val="24"/>
          <w:highlight w:val="lightGray"/>
        </w:rPr>
        <w:t xml:space="preserve">Following the </w:t>
      </w:r>
      <w:r w:rsidR="00A0276F">
        <w:rPr>
          <w:rFonts w:cstheme="majorBidi"/>
          <w:szCs w:val="24"/>
          <w:highlight w:val="lightGray"/>
        </w:rPr>
        <w:t>same labelling logic as Figure 4.1, Figure 4.3</w:t>
      </w:r>
      <w:r w:rsidRPr="00477D77">
        <w:rPr>
          <w:rFonts w:cstheme="majorBidi"/>
          <w:szCs w:val="24"/>
          <w:highlight w:val="lightGray"/>
        </w:rPr>
        <w:t xml:space="preserve"> outlines the difference in mathematical approach between EFA and CFA. The EFA approach assumes correlation across all observed variables and the latent variables, with unique variance across all observed variables. </w:t>
      </w:r>
    </w:p>
    <w:p w14:paraId="67EDAA70" w14:textId="77777777" w:rsidR="00A0276F" w:rsidRPr="00477D77" w:rsidRDefault="00A0276F" w:rsidP="00A0276F">
      <w:pPr>
        <w:rPr>
          <w:rFonts w:cstheme="majorBidi"/>
          <w:szCs w:val="24"/>
          <w:highlight w:val="lightGray"/>
        </w:rPr>
      </w:pPr>
      <w:r w:rsidRPr="00477D77">
        <w:rPr>
          <w:rFonts w:cstheme="majorBidi"/>
          <w:szCs w:val="24"/>
          <w:highlight w:val="lightGray"/>
        </w:rPr>
        <w:t xml:space="preserve">By examining all the shared variance, the technique is different to confirmatory factor analysis. The approach is however still built around the assumption of latent variables. In contrast, PCA examines all the variance – diagrammatically trickier to represent, it examines the variance between all xs (the square boxes) with </w:t>
      </w:r>
      <w:r w:rsidRPr="00477D77">
        <w:rPr>
          <w:rFonts w:cstheme="majorBidi"/>
          <w:i/>
          <w:szCs w:val="24"/>
          <w:highlight w:val="lightGray"/>
        </w:rPr>
        <w:t>each other</w:t>
      </w:r>
      <w:r w:rsidRPr="00477D77">
        <w:rPr>
          <w:rFonts w:cstheme="majorBidi"/>
          <w:szCs w:val="24"/>
          <w:highlight w:val="lightGray"/>
        </w:rPr>
        <w:t xml:space="preserve"> in order to “reduce the dimensionality of a data set consisting of a large number of interrelated variables, while retaining as much as possible of the variation present in the data set”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"author" : [ { "dropping-particle" : "", "family" : "Jolliffe", "given" : "I T.", "non-dropping-particle" : "", "parse-names" : false, "suffix" : "" } ], "edition" : "Second Ed.", "id" : "ITEM-1", "issued" : { "date-parts" : [ [ "2002" ] ] }, "publisher" : "Springer", "publisher-place" : "New York", "title" : "Principal Components Analysis", "type" : "book" }, "uris" : [ "http://www.mendeley.com/documents/?uuid=54c5e5a2-2433-4096-b44f-69c431c10d52" ] } ], "mendeley" : { "formattedCitation" : "(Jolliffe, 2002)", "manualFormatting" : "(Jolliffe 2002, p.1)", "plainTextFormattedCitation" : "(Jolliffe, 2002)", "previouslyFormattedCitation" : "(Jolliffe, 2002)"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(Jolliffe 2002, p.1)</w:t>
      </w:r>
      <w:r w:rsidRPr="00477D77">
        <w:rPr>
          <w:rFonts w:cstheme="majorBidi"/>
          <w:szCs w:val="24"/>
          <w:highlight w:val="lightGray"/>
        </w:rPr>
        <w:fldChar w:fldCharType="end"/>
      </w:r>
      <w:r w:rsidRPr="00477D77">
        <w:rPr>
          <w:rFonts w:cstheme="majorBidi"/>
          <w:szCs w:val="24"/>
          <w:highlight w:val="lightGray"/>
        </w:rPr>
        <w:t xml:space="preserve">. This difference is broadly outlined by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"2007" ] ] }, "publisher" : "Pearson Allyn &amp; Bacon", "publisher-place" : "New Jersey", "title" : "Using Multivariate Statistics", "type" : "book" }, "uris" : [ "http://www.mendeley.com/documents/?uuid=760d9dd4-4046-437c-9155-377c64b3e948" ] } ], "mendeley" : { "formattedCitation" : "(Tabachnick and Fidell, 2007)", "manualFormatting" : "Tabachnick and Fidell (2007, p.609)", "plainTextFormattedCitation" : "(Tabachnick and Fidell, 2007)", "previouslyFormattedCitation" : "(Tabachnick and Fidell, 2007)"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Tabachnick and Fidell (2007, p.609)</w:t>
      </w:r>
      <w:r w:rsidRPr="00477D77">
        <w:rPr>
          <w:rFonts w:cstheme="majorBidi"/>
          <w:szCs w:val="24"/>
          <w:highlight w:val="lightGray"/>
        </w:rPr>
        <w:fldChar w:fldCharType="end"/>
      </w:r>
      <w:r w:rsidRPr="00477D77">
        <w:rPr>
          <w:rFonts w:cstheme="majorBidi"/>
          <w:szCs w:val="24"/>
          <w:highlight w:val="lightGray"/>
        </w:rPr>
        <w:t>:</w:t>
      </w:r>
    </w:p>
    <w:p w14:paraId="7D72AE0E" w14:textId="6BAC960A" w:rsidR="003419C8" w:rsidRPr="00A0276F" w:rsidRDefault="003419C8" w:rsidP="00A0276F">
      <w:pPr>
        <w:pStyle w:val="Quote"/>
        <w:rPr>
          <w:highlight w:val="lightGray"/>
        </w:rPr>
      </w:pPr>
      <w:r w:rsidRPr="00A0276F">
        <w:rPr>
          <w:highlight w:val="lightGray"/>
        </w:rPr>
        <w:t xml:space="preserve">“Mathematically, the difference between FA and PCA is in the variance that is analysed. In PCA, all the variance in the observed variables is analysed. In FA, only shared variance is analysed; attempts are made to estimate and eliminate variance due to error and variance that is unique to each variable.” </w:t>
      </w:r>
    </w:p>
    <w:p w14:paraId="338C440D" w14:textId="6B1C64A0" w:rsidR="003419C8" w:rsidRDefault="003419C8" w:rsidP="003419C8">
      <w:pPr>
        <w:rPr>
          <w:rFonts w:cstheme="majorBidi"/>
          <w:szCs w:val="24"/>
          <w:highlight w:val="lightGray"/>
        </w:rPr>
      </w:pPr>
      <w:r w:rsidRPr="00477D77">
        <w:rPr>
          <w:rFonts w:cstheme="majorBidi"/>
          <w:szCs w:val="24"/>
          <w:highlight w:val="lightGray"/>
        </w:rPr>
        <w:t>PCA does not account for the uniq</w:t>
      </w:r>
      <w:r w:rsidR="001A3BA0">
        <w:rPr>
          <w:rFonts w:cstheme="majorBidi"/>
          <w:szCs w:val="24"/>
          <w:highlight w:val="lightGray"/>
        </w:rPr>
        <w:t>ue errors (returning to Figure 4.1</w:t>
      </w:r>
      <w:r w:rsidRPr="00477D77">
        <w:rPr>
          <w:rFonts w:cstheme="majorBidi"/>
          <w:szCs w:val="24"/>
          <w:highlight w:val="lightGray"/>
        </w:rPr>
        <w:t xml:space="preserve">, that would mean there is no consideration of the error as symbolised by the circles at the bottom </w:t>
      </w:r>
      <w:r w:rsidRPr="00477D77">
        <w:rPr>
          <w:rFonts w:cs="Segoe UI"/>
          <w:color w:val="333333"/>
          <w:szCs w:val="21"/>
          <w:highlight w:val="lightGray"/>
          <w:shd w:val="clear" w:color="auto" w:fill="FFFFFF"/>
        </w:rPr>
        <w:t xml:space="preserve">δ1- δ7). </w:t>
      </w:r>
      <w:r w:rsidRPr="00477D77">
        <w:rPr>
          <w:rFonts w:cstheme="majorBidi"/>
          <w:szCs w:val="24"/>
          <w:highlight w:val="lightGray"/>
        </w:rPr>
        <w:t>The objective of PCA is to “…take p variables X</w:t>
      </w:r>
      <w:r w:rsidRPr="00477D77">
        <w:rPr>
          <w:rFonts w:cstheme="majorBidi"/>
          <w:szCs w:val="24"/>
          <w:highlight w:val="lightGray"/>
          <w:vertAlign w:val="subscript"/>
        </w:rPr>
        <w:t xml:space="preserve">1, </w:t>
      </w:r>
      <w:r w:rsidRPr="00477D77">
        <w:rPr>
          <w:rFonts w:cstheme="majorBidi"/>
          <w:szCs w:val="24"/>
          <w:highlight w:val="lightGray"/>
        </w:rPr>
        <w:t>X</w:t>
      </w:r>
      <w:r w:rsidRPr="00477D77">
        <w:rPr>
          <w:rFonts w:cstheme="majorBidi"/>
          <w:szCs w:val="24"/>
          <w:highlight w:val="lightGray"/>
          <w:vertAlign w:val="subscript"/>
        </w:rPr>
        <w:t>2</w:t>
      </w:r>
      <w:r w:rsidRPr="00477D77">
        <w:rPr>
          <w:rFonts w:cstheme="majorBidi"/>
          <w:szCs w:val="24"/>
          <w:highlight w:val="lightGray"/>
        </w:rPr>
        <w:t>,…,X</w:t>
      </w:r>
      <w:r w:rsidRPr="00477D77">
        <w:rPr>
          <w:rFonts w:cstheme="majorBidi"/>
          <w:szCs w:val="24"/>
          <w:highlight w:val="lightGray"/>
          <w:vertAlign w:val="subscript"/>
        </w:rPr>
        <w:t xml:space="preserve">p </w:t>
      </w:r>
      <w:r w:rsidRPr="00477D77">
        <w:rPr>
          <w:rFonts w:cstheme="majorBidi"/>
          <w:szCs w:val="24"/>
          <w:highlight w:val="lightGray"/>
        </w:rPr>
        <w:t>and find combinations of these to produce indices Z</w:t>
      </w:r>
      <w:r w:rsidRPr="00477D77">
        <w:rPr>
          <w:rFonts w:cstheme="majorBidi"/>
          <w:szCs w:val="24"/>
          <w:highlight w:val="lightGray"/>
          <w:vertAlign w:val="subscript"/>
        </w:rPr>
        <w:t xml:space="preserve">1, </w:t>
      </w:r>
      <w:r w:rsidRPr="00477D77">
        <w:rPr>
          <w:rFonts w:cstheme="majorBidi"/>
          <w:szCs w:val="24"/>
          <w:highlight w:val="lightGray"/>
        </w:rPr>
        <w:t>Z</w:t>
      </w:r>
      <w:r w:rsidRPr="00477D77">
        <w:rPr>
          <w:rFonts w:cstheme="majorBidi"/>
          <w:szCs w:val="24"/>
          <w:highlight w:val="lightGray"/>
          <w:vertAlign w:val="subscript"/>
        </w:rPr>
        <w:t>2</w:t>
      </w:r>
      <w:r w:rsidRPr="00477D77">
        <w:rPr>
          <w:rFonts w:cstheme="majorBidi"/>
          <w:szCs w:val="24"/>
          <w:highlight w:val="lightGray"/>
        </w:rPr>
        <w:t>,…,Z</w:t>
      </w:r>
      <w:r w:rsidRPr="00477D77">
        <w:rPr>
          <w:rFonts w:cstheme="majorBidi"/>
          <w:szCs w:val="24"/>
          <w:highlight w:val="lightGray"/>
          <w:vertAlign w:val="subscript"/>
        </w:rPr>
        <w:t xml:space="preserve">p </w:t>
      </w:r>
      <w:r w:rsidRPr="00477D77">
        <w:rPr>
          <w:rFonts w:cstheme="majorBidi"/>
          <w:szCs w:val="24"/>
          <w:highlight w:val="lightGray"/>
        </w:rPr>
        <w:t xml:space="preserve">that are uncorrelated, and that describe the variation in the data”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"author" : [ { "dropping-particle" : "", "family" : "Manly", "given" : "BFJ", "non-dropping-particle" : "", "parse-names" : false, "suffix" : "" } ], "edition" : "Third Ed.", "id" : "ITEM-1", "issued" : { "date-parts" : [ [ "2005" ] ] }, "publisher" : "Chapman &amp; Hall/CRC", "publisher-place" : "New York", "title" : "Multivariate Statistical Methods: A Primer", "type" : "book" }, "uris" : [ "http://www.mendeley.com/documents/?uuid=b3489825-3ff1-46ec-8c58-d842761fcd29" ] } ], "mendeley" : { "formattedCitation" : "(Manly, 2005)", "manualFormatting" : "(Manly 2005, p.75)", "plainTextFormattedCitation" : "(Manly, 2005)", "previouslyFormattedCitation" : "(Manly, 2005)"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(Manly 2005, p.75)</w:t>
      </w:r>
      <w:r w:rsidRPr="00477D77">
        <w:rPr>
          <w:rFonts w:cstheme="majorBidi"/>
          <w:szCs w:val="24"/>
          <w:highlight w:val="lightGray"/>
        </w:rPr>
        <w:fldChar w:fldCharType="end"/>
      </w:r>
      <w:r w:rsidRPr="00477D77">
        <w:rPr>
          <w:rFonts w:cstheme="majorBidi"/>
          <w:szCs w:val="24"/>
          <w:highlight w:val="lightGray"/>
        </w:rPr>
        <w:t>. The mathematical guts of the technique revolve around correlation matrixes.</w:t>
      </w:r>
    </w:p>
    <w:p w14:paraId="46CBFBBC" w14:textId="31CC8E94" w:rsidR="00A0276F" w:rsidRPr="003A5664" w:rsidRDefault="00A0276F" w:rsidP="00A0276F">
      <w:pPr>
        <w:pStyle w:val="Caption"/>
        <w:rPr>
          <w:rFonts w:ascii="Segoe UI" w:hAnsi="Segoe UI" w:cs="Segoe UI"/>
          <w:i w:val="0"/>
          <w:highlight w:val="lightGray"/>
        </w:rPr>
      </w:pPr>
      <w:bookmarkStart w:id="225" w:name="_Toc494687158"/>
      <w:r w:rsidRPr="003A5664">
        <w:rPr>
          <w:rFonts w:ascii="Segoe UI" w:hAnsi="Segoe UI" w:cs="Segoe UI"/>
          <w:i w:val="0"/>
          <w:highlight w:val="lightGray"/>
        </w:rPr>
        <w:t xml:space="preserve">Figure </w:t>
      </w:r>
      <w:r w:rsidRPr="003A5664">
        <w:rPr>
          <w:rFonts w:ascii="Segoe UI" w:hAnsi="Segoe UI" w:cs="Segoe UI"/>
          <w:i w:val="0"/>
          <w:highlight w:val="lightGray"/>
        </w:rPr>
        <w:fldChar w:fldCharType="begin"/>
      </w:r>
      <w:r w:rsidRPr="003A5664">
        <w:rPr>
          <w:rFonts w:ascii="Segoe UI" w:hAnsi="Segoe UI" w:cs="Segoe UI"/>
          <w:i w:val="0"/>
          <w:highlight w:val="lightGray"/>
        </w:rPr>
        <w:instrText xml:space="preserve"> STYLEREF 1 \s </w:instrText>
      </w:r>
      <w:r w:rsidRPr="003A5664">
        <w:rPr>
          <w:rFonts w:ascii="Segoe UI" w:hAnsi="Segoe UI" w:cs="Segoe UI"/>
          <w:i w:val="0"/>
          <w:highlight w:val="lightGray"/>
        </w:rPr>
        <w:fldChar w:fldCharType="separate"/>
      </w:r>
      <w:r w:rsidR="001A3BA0" w:rsidRPr="003A5664">
        <w:rPr>
          <w:rFonts w:ascii="Segoe UI" w:hAnsi="Segoe UI" w:cs="Segoe UI"/>
          <w:i w:val="0"/>
          <w:noProof/>
          <w:highlight w:val="lightGray"/>
        </w:rPr>
        <w:t>4</w:t>
      </w:r>
      <w:r w:rsidRPr="003A5664">
        <w:rPr>
          <w:rFonts w:ascii="Segoe UI" w:hAnsi="Segoe UI" w:cs="Segoe UI"/>
          <w:i w:val="0"/>
          <w:noProof/>
          <w:highlight w:val="lightGray"/>
        </w:rPr>
        <w:fldChar w:fldCharType="end"/>
      </w:r>
      <w:r w:rsidR="001A3BA0" w:rsidRPr="003A5664">
        <w:rPr>
          <w:rFonts w:ascii="Segoe UI" w:hAnsi="Segoe UI" w:cs="Segoe UI"/>
          <w:i w:val="0"/>
          <w:highlight w:val="lightGray"/>
        </w:rPr>
        <w:t>.</w:t>
      </w:r>
      <w:r w:rsidRPr="003A5664">
        <w:rPr>
          <w:rFonts w:ascii="Segoe UI" w:hAnsi="Segoe UI" w:cs="Segoe UI"/>
          <w:i w:val="0"/>
          <w:highlight w:val="lightGray"/>
        </w:rPr>
        <w:fldChar w:fldCharType="begin"/>
      </w:r>
      <w:r w:rsidRPr="003A5664">
        <w:rPr>
          <w:rFonts w:ascii="Segoe UI" w:hAnsi="Segoe UI" w:cs="Segoe UI"/>
          <w:i w:val="0"/>
          <w:highlight w:val="lightGray"/>
        </w:rPr>
        <w:instrText xml:space="preserve"> SEQ Figure \* ARABIC \s 1 </w:instrText>
      </w:r>
      <w:r w:rsidRPr="003A5664">
        <w:rPr>
          <w:rFonts w:ascii="Segoe UI" w:hAnsi="Segoe UI" w:cs="Segoe UI"/>
          <w:i w:val="0"/>
          <w:highlight w:val="lightGray"/>
        </w:rPr>
        <w:fldChar w:fldCharType="separate"/>
      </w:r>
      <w:r w:rsidR="001A3BA0" w:rsidRPr="003A5664">
        <w:rPr>
          <w:rFonts w:ascii="Segoe UI" w:hAnsi="Segoe UI" w:cs="Segoe UI"/>
          <w:i w:val="0"/>
          <w:noProof/>
          <w:highlight w:val="lightGray"/>
        </w:rPr>
        <w:t>3</w:t>
      </w:r>
      <w:r w:rsidRPr="003A5664">
        <w:rPr>
          <w:rFonts w:ascii="Segoe UI" w:hAnsi="Segoe UI" w:cs="Segoe UI"/>
          <w:i w:val="0"/>
          <w:noProof/>
          <w:highlight w:val="lightGray"/>
        </w:rPr>
        <w:fldChar w:fldCharType="end"/>
      </w:r>
      <w:r w:rsidRPr="003A5664">
        <w:rPr>
          <w:rFonts w:ascii="Segoe UI" w:hAnsi="Segoe UI" w:cs="Segoe UI"/>
          <w:i w:val="0"/>
          <w:highlight w:val="lightGray"/>
        </w:rPr>
        <w:t xml:space="preserve"> Hypothetical Expected Structural Relations in an Exploratory Factor Analysis (Scott Long 1983, p.15)</w:t>
      </w:r>
      <w:bookmarkEnd w:id="225"/>
    </w:p>
    <w:p w14:paraId="0780A05D" w14:textId="3618BAF9" w:rsidR="00A0276F" w:rsidRPr="00477D77" w:rsidRDefault="00A0276F" w:rsidP="00A0276F">
      <w:pPr>
        <w:jc w:val="center"/>
        <w:rPr>
          <w:rFonts w:cstheme="majorBidi"/>
          <w:szCs w:val="24"/>
          <w:highlight w:val="lightGray"/>
        </w:rPr>
      </w:pPr>
      <w:r w:rsidRPr="00477D77">
        <w:rPr>
          <w:rFonts w:cstheme="majorBidi"/>
          <w:noProof/>
          <w:szCs w:val="24"/>
          <w:highlight w:val="lightGray"/>
          <w:lang w:eastAsia="zh-CN"/>
        </w:rPr>
        <w:drawing>
          <wp:inline distT="0" distB="0" distL="0" distR="0" wp14:anchorId="026E5BBD" wp14:editId="5EC2051A">
            <wp:extent cx="5321061" cy="31318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2017-06-21 (3).png"/>
                    <pic:cNvPicPr/>
                  </pic:nvPicPr>
                  <pic:blipFill>
                    <a:blip r:embed="rId29">
                      <a:extLst>
                        <a:ext uri="{28A0092B-C50C-407E-A947-70E740481C1C}">
                          <a14:useLocalDpi xmlns:a14="http://schemas.microsoft.com/office/drawing/2010/main" val="0"/>
                        </a:ext>
                      </a:extLst>
                    </a:blip>
                    <a:stretch>
                      <a:fillRect/>
                    </a:stretch>
                  </pic:blipFill>
                  <pic:spPr>
                    <a:xfrm>
                      <a:off x="0" y="0"/>
                      <a:ext cx="5359463" cy="3154422"/>
                    </a:xfrm>
                    <a:prstGeom prst="rect">
                      <a:avLst/>
                    </a:prstGeom>
                  </pic:spPr>
                </pic:pic>
              </a:graphicData>
            </a:graphic>
          </wp:inline>
        </w:drawing>
      </w:r>
    </w:p>
    <w:p w14:paraId="271B6F08" w14:textId="77777777" w:rsidR="003419C8" w:rsidRPr="00477D77" w:rsidRDefault="003419C8" w:rsidP="003419C8">
      <w:pPr>
        <w:rPr>
          <w:rFonts w:cstheme="majorBidi"/>
          <w:szCs w:val="24"/>
          <w:highlight w:val="lightGray"/>
        </w:rPr>
      </w:pPr>
      <w:r w:rsidRPr="00477D77">
        <w:rPr>
          <w:rFonts w:cstheme="majorBidi"/>
          <w:szCs w:val="24"/>
          <w:highlight w:val="lightGray"/>
        </w:rPr>
        <w:t xml:space="preserve">To compare across different variable measurements, the variables are standardised to have a mean of 0 and then input into a correlation matrix. Within the matrix, PCA identifies combinations of eigenvectors; variables which correlate strongly with others in the same group, but not with variables in the other groups being produced. These groups are the components which pick up any underlying latent variables. For each component an eigenvalue is calculated, which provides us with a “single indicator of the substantive importance of each variant (or component)” (Field 2011, p.639).  </w:t>
      </w:r>
    </w:p>
    <w:p w14:paraId="627F443F" w14:textId="77777777" w:rsidR="003419C8" w:rsidRPr="00477D77" w:rsidRDefault="003419C8" w:rsidP="003419C8">
      <w:pPr>
        <w:rPr>
          <w:rFonts w:cstheme="majorBidi"/>
          <w:szCs w:val="24"/>
          <w:highlight w:val="lightGray"/>
        </w:rPr>
      </w:pPr>
      <w:r w:rsidRPr="00477D77">
        <w:rPr>
          <w:rFonts w:cstheme="majorBidi"/>
          <w:szCs w:val="24"/>
          <w:highlight w:val="lightGray"/>
        </w:rPr>
        <w:t xml:space="preserve">The PCA process explains all the variance in the dataset by producing as many components as there are initial variables. This means that using all components would not reduce the complexity of the dataset. But not all the components are of equal value and the researcher needs to make a decision on how many components to retain. Indeed, in general, exploratory data techniques require a considerable amount of decisions to be made by the researcher, perhaps more than any other commonly used statistical technique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"DOI" : "10.1037//1082-989X.4.3.272", "ISSN" : "1082-989X", "author" : [ { "dropping-particle" : "", "family" : "Fabrigar", "given" : "Leandre R.", "non-dropping-particle" : "", "parse-names" : false, "suffix" : "" }, { "dropping-particle" : "", "family" : "Wegener", "given" : "Duane T.", "non-dropping-particle" : "", "parse-names" : false, "suffix" : "" }, { "dropping-particle" : "", "family" : "MacCallum", "given" : "Robert C.", "non-dropping-particle" : "", "parse-names" : false, "suffix" : "" }, { "dropping-particle" : "", "family" : "Strahan", "given" : "Erin J.", "non-dropping-particle" : "", "parse-names" : false, "suffix" : "" } ], "container-title" : "Psychological Methods", "id" : "ITEM-1", "issue" : "3", "issued" : { "date-parts" : [ [ "1999" ] ] }, "page" : "272-299", "title" : "Evaluating the use of exploratory factor analysis in psychological research.", "type" : "article-journal", "volume" : "4" }, "uris" : [ "http://www.mendeley.com/documents/?uuid=90d4d09b-d1cd-4d18-9654-b90f325486f3" ] } ], "mendeley" : { "formattedCitation" : "(Fabrigar &lt;i&gt;et al.&lt;/i&gt;, 1999)", "manualFormatting" : "(Fabrigar et al. 1999, p.273)", "plainTextFormattedCitation" : "(Fabrigar et al., 1999)", "previouslyFormattedCitation" : "(Fabrigar &lt;i&gt;et al.&lt;/i&gt;, 1999)"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(Fabrigar et al. 1999, p.273)</w:t>
      </w:r>
      <w:r w:rsidRPr="00477D77">
        <w:rPr>
          <w:rFonts w:cstheme="majorBidi"/>
          <w:szCs w:val="24"/>
          <w:highlight w:val="lightGray"/>
        </w:rPr>
        <w:fldChar w:fldCharType="end"/>
      </w:r>
      <w:r w:rsidRPr="00477D77">
        <w:rPr>
          <w:rFonts w:cstheme="majorBidi"/>
          <w:szCs w:val="24"/>
          <w:highlight w:val="lightGray"/>
        </w:rPr>
        <w:t xml:space="preserve">. When applied to a dataset of multiple, disparate variables as a manner purely attempting to reduce dimensionality, it might be noted that the components in a PCA are “uninterpretable”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"URL" : "http://www2.sas.com/proceedings/sugi30/203-30.pdf", "accessed" : { "date-parts" : [ [ "2017", "6", "22" ] ] }, "author" : [ { "dropping-particle" : "", "family" : "Suhr", "given" : "D", "non-dropping-particle" : "", "parse-names" : false, "suffix" : "" } ], "container-title" : "SUGI 30 Statistics and Data Analysis Paper 203-30", "id" : "ITEM-1", "issued" : { "date-parts" : [ [ "1994" ] ] }, "title" : "Principal Component Analysis vs. Exploratory Factor Analysis", "type" : "webpage" }, "uris" : [ "http://www.mendeley.com/documents/?uuid=40a543ea-cdbc-4d4c-b051-2551df0dceba" ] } ], "mendeley" : { "formattedCitation" : "(Suhr, 1994)", "manualFormatting" : "(Suhr, 1994, p.3)", "plainTextFormattedCitation" : "(Suhr, 1994)", "previouslyFormattedCitation" : "(Suhr, 1994)"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(Suhr, 1994, p.3)</w:t>
      </w:r>
      <w:r w:rsidRPr="00477D77">
        <w:rPr>
          <w:rFonts w:cstheme="majorBidi"/>
          <w:szCs w:val="24"/>
          <w:highlight w:val="lightGray"/>
        </w:rPr>
        <w:fldChar w:fldCharType="end"/>
      </w:r>
      <w:r w:rsidRPr="00477D77">
        <w:rPr>
          <w:rFonts w:cstheme="majorBidi"/>
          <w:szCs w:val="24"/>
          <w:highlight w:val="lightGray"/>
        </w:rPr>
        <w:t>. However, when using attitudinal data, the components are often perceived to potentially demonstrate an attitudinal structure. For instance, in Fieldhouse’s (1995) study of political attitudes, PCA was run on data from the British Electoral Study in order to examine underlining attitudinal structures from a range of questions on topics such as redistribution, schooling, immigration and welfare benefits. Fieldhouse (1995, p.7) further outlines the role of PCA in this kind of study:</w:t>
      </w:r>
    </w:p>
    <w:p w14:paraId="476A0385" w14:textId="77777777" w:rsidR="003419C8" w:rsidRPr="00477D77" w:rsidRDefault="003419C8" w:rsidP="003419C8">
      <w:pPr>
        <w:pStyle w:val="Quote"/>
        <w:rPr>
          <w:highlight w:val="lightGray"/>
        </w:rPr>
      </w:pPr>
      <w:r w:rsidRPr="00477D77">
        <w:rPr>
          <w:highlight w:val="lightGray"/>
        </w:rPr>
        <w:t>“The selected variables were used to identify attitudinal structures by employing principal components analysis. The extracted components are composite variables (or issue dimensions) which are highly correlated with as many of the original variables as possible and unrelated to all the other new variables. If there is an underlying ideological structure in political attitudes then different individuals are likely to hold similar combinations of beliefs or groups of attitudes and it should therefore be possible to represent these attitudinal positions on a reduced number of dimensions, as represented by components.”</w:t>
      </w:r>
    </w:p>
    <w:p w14:paraId="4915EEF7" w14:textId="77777777" w:rsidR="003419C8" w:rsidRPr="00477D77" w:rsidRDefault="003419C8" w:rsidP="003419C8">
      <w:pPr>
        <w:rPr>
          <w:rFonts w:cstheme="majorBidi"/>
          <w:szCs w:val="24"/>
          <w:highlight w:val="lightGray"/>
        </w:rPr>
      </w:pPr>
      <w:r w:rsidRPr="00477D77">
        <w:rPr>
          <w:rFonts w:cstheme="majorBidi"/>
          <w:szCs w:val="24"/>
          <w:highlight w:val="lightGray"/>
        </w:rPr>
        <w:t xml:space="preserve">From 13 variables, the PCA generated four components representing four distinct dimensions of voter attitudes: economic ownership and distribution, social democratic issues, racial issues and a mix of popular concerns (Fieldhouse 1995, p.10). </w:t>
      </w:r>
    </w:p>
    <w:p w14:paraId="697D57EA" w14:textId="11A85FC5" w:rsidR="003419C8" w:rsidRPr="00477D77" w:rsidRDefault="003419C8" w:rsidP="003419C8">
      <w:pPr>
        <w:rPr>
          <w:rFonts w:cstheme="majorBidi"/>
          <w:b/>
          <w:bCs/>
          <w:szCs w:val="24"/>
          <w:highlight w:val="lightGray"/>
        </w:rPr>
      </w:pPr>
      <w:r w:rsidRPr="00477D77">
        <w:rPr>
          <w:rFonts w:cstheme="majorBidi"/>
          <w:szCs w:val="24"/>
          <w:highlight w:val="lightGray"/>
        </w:rPr>
        <w:t xml:space="preserve">In political science the use of PCA is widespread, for instance to explore dimensions of political attitudes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"DOI" : "10.1016/0962-6298(94)P4049-D", "ISSN" : "09626298", "author" : [ { "dropping-particle" : "", "family" : "Fieldhouse", "given" : "E", "non-dropping-particle" : "", "parse-names" : false, "suffix" : "" } ], "container-title" : "Political Geography", "id" : "ITEM-1", "issue" : "1", "issued" : { "date-parts" : [ [ "1995", "1" ] ] }, "page" : "3-30", "title" : "Thatcherism and the changing geography of political attitudes, 1964\u20131987", "type" : "article-journal", "volume" : "14" }, "uris" : [ "http://www.mendeley.com/documents/?uuid=da2d0e14-cf7e-477c-8f27-a20bc2092297" ] } ], "mendeley" : { "formattedCitation" : "(Fieldhouse, 1995)", "manualFormatting" : "(Fieldhouse 1995", "plainTextFormattedCitation" : "(Fieldhouse, 1995)", "previouslyFormattedCitation" : "(Fieldhouse, 1995)"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(Fieldhouse 1995</w:t>
      </w:r>
      <w:r w:rsidRPr="00477D77">
        <w:rPr>
          <w:rFonts w:cstheme="majorBidi"/>
          <w:szCs w:val="24"/>
          <w:highlight w:val="lightGray"/>
        </w:rPr>
        <w:fldChar w:fldCharType="end"/>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"author" : [ { "dropping-particle" : "", "family" : "Evans", "given" : "Geoffrey", "non-dropping-particle" : "", "parse-names" : false, "suffix" : "" }, { "dropping-particle" : "", "family" : "Heath", "given" : "Anthony", "non-dropping-particle" : "", "parse-names" : false, "suffix" : "" }, { "dropping-particle" : "", "family" : "Lalljee", "given" : "Mansur", "non-dropping-particle" : "", "parse-names" : false, "suffix" : "" } ], "container-title" : "The British Journal of Sociology", "id" : "ITEM-1", "issue" : "1", "issued" : { "date-parts" : [ [ "1996" ] ] }, "page" : "93-112", "title" : "Measuring Left-Right and Libertarian-Authoritarian Values in the British Electorate", "type" : "article-journal", "volume" : "47" }, "uris" : [ "http://www.mendeley.com/documents/?uuid=5a212bb5-225c-49c0-bf5d-f49a61339678" ] } ], "mendeley" : { "formattedCitation" : "(Evans, Heath and Lalljee, 1996)", "manualFormatting" : "; Evans et al. 1996)", "plainTextFormattedCitation" : "(Evans, Heath and Lalljee, 1996)", "previouslyFormattedCitation" : "(Evans, Heath and Lalljee, 1996)"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 Evans et al. 1996)</w:t>
      </w:r>
      <w:r w:rsidRPr="00477D77">
        <w:rPr>
          <w:rFonts w:cstheme="majorBidi"/>
          <w:szCs w:val="24"/>
          <w:highlight w:val="lightGray"/>
        </w:rPr>
        <w:fldChar w:fldCharType="end"/>
      </w:r>
      <w:r w:rsidRPr="00477D77">
        <w:rPr>
          <w:rFonts w:cstheme="majorBidi"/>
          <w:szCs w:val="24"/>
          <w:highlight w:val="lightGray"/>
        </w:rPr>
        <w:t xml:space="preserve">, human values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"DOI" : "10.1348/014466602321149849", "ISSN" : "0144-6665", "abstract" : "Institutions contribute to maintaining social order and stability in society. At the same time, they restrain the freedom of individuals. Based on the theory of value structure and content (Schwartz, 1992), we hypothesized about the relations of people's trust in institutions to their value priorities. More precisely, we predicted and found that the level of trust in various institutions correlated positively with values that stress stability, protection, and preservation of traditional practices, and negatively with values that emphasize independent thought and action and favour change. In addition, we demonstrated that groups defined on the basis of religious affiliation or political orientation exhibited contrasting value priorities on the same bipolar dimension. Moreover, differences in value priorities accounted for the fact that religious individuals and right-wing supporters expressed more trust in institutions than non-religious individuals and left-wing supporters.", "author" : [ { "dropping-particle" : "", "family" : "Devos", "given" : "Thierry", "non-dropping-particle" : "", "parse-names" : false, "suffix" : "" }, { "dropping-particle" : "", "family" : "Spini", "given" : "Dario", "non-dropping-particle" : "", "parse-names" : false, "suffix" : "" }, { "dropping-particle" : "", "family" : "Schwartz", "given" : "Shalom H", "non-dropping-particle" : "", "parse-names" : false, "suffix" : "" } ], "container-title" : "British Journal of Social Psychology", "id" : "ITEM-1", "issue" : "4", "issued" : { "date-parts" : [ [ "2002", "12" ] ] }, "page" : "481-494", "publisher" : "Blackwell Publishing Ltd", "title" : "Conflicts among human values and trust in institutions", "type" : "article-journal", "volume" : "41" }, "uris" : [ "http://www.mendeley.com/documents/?uuid=982769e5-a6fe-4546-8daa-6cc38b4325ef" ] } ], "mendeley" : { "formattedCitation" : "(Devos, Spini and Schwartz, 2002)", "plainTextFormattedCitation" : "(Devos, Spini and Schwartz, 2002)", "previouslyFormattedCitation" : "(Devos, Spini and Schwartz, 2002)"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(Devos, Spini and Schwartz, 2002)</w:t>
      </w:r>
      <w:r w:rsidRPr="00477D77">
        <w:rPr>
          <w:rFonts w:cstheme="majorBidi"/>
          <w:szCs w:val="24"/>
          <w:highlight w:val="lightGray"/>
        </w:rPr>
        <w:fldChar w:fldCharType="end"/>
      </w:r>
      <w:r w:rsidRPr="00477D77">
        <w:rPr>
          <w:rFonts w:cstheme="majorBidi"/>
          <w:szCs w:val="24"/>
          <w:highlight w:val="lightGray"/>
        </w:rPr>
        <w:t xml:space="preserve">, social capital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"DOI" : "10.1016/j.ejpoleco.2005.05.006", "ISSN" : "01762680", "author" : [ { "dropping-particle" : "", "family" : "Bj\u00f8rnskov", "given" : "Christian", "non-dropping-particle" : "", "parse-names" : false, "suffix" : "" } ], "container-title" : "European Journal of Political Economy", "id" : "ITEM-1", "issue" : "1", "issued" : { "date-parts" : [ [ "2006", "3" ] ] }, "page" : "22-40", "title" : "The multiple facets of social capital", "type" : "article-journal", "volume" : "22" }, "uris" : [ "http://www.mendeley.com/documents/?uuid=99365f32-8b2c-4b9a-8d07-e7e7400b8c1a" ] } ], "mendeley" : { "formattedCitation" : "(Bj\u00f8rnskov, 2006)", "plainTextFormattedCitation" : "(Bj\u00f8rnskov, 2006)", "previouslyFormattedCitation" : "(Bj\u00f8rnskov, 2006)"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(Bjørnskov, 2006)</w:t>
      </w:r>
      <w:r w:rsidRPr="00477D77">
        <w:rPr>
          <w:rFonts w:cstheme="majorBidi"/>
          <w:szCs w:val="24"/>
          <w:highlight w:val="lightGray"/>
        </w:rPr>
        <w:fldChar w:fldCharType="end"/>
      </w:r>
      <w:r w:rsidRPr="00477D77">
        <w:rPr>
          <w:rFonts w:cstheme="majorBidi"/>
          <w:szCs w:val="24"/>
          <w:highlight w:val="lightGray"/>
        </w:rPr>
        <w:t xml:space="preserve">, and protest activism (Norris 2002; </w:t>
      </w:r>
      <w:r w:rsidRPr="00477D77">
        <w:rPr>
          <w:rFonts w:cstheme="majorBidi"/>
          <w:szCs w:val="24"/>
          <w:highlight w:val="lightGray"/>
        </w:rPr>
        <w:fldChar w:fldCharType="begin" w:fldLock="1"/>
      </w:r>
      <w:r w:rsidRPr="00477D77">
        <w:rPr>
          <w:rFonts w:cstheme="majorBidi"/>
          <w:szCs w:val="24"/>
          <w:highlight w:val="lightGray"/>
        </w:rPr>
        <w:instrText>ADDIN CSL_CITATION { "citationItems" : [ { "id" : "ITEM-1", "itemData" : { "DOI" : "10.1007/s11109-008-9071-z", "ISSN" : "0190-9320", "author" : [ { "dropping-particle" : "", "family" : "Pattie", "given" : "C. J.", "non-dropping-particle" : "", "parse-names" : false, "suffix" : "" }, { "dropping-particle" : "", "family" : "Johnston", "given" : "R. J.", "non-dropping-particle" : "", "parse-names" : false, "suffix" : "" } ], "container-title" : "Political Behavior", "id" : "ITEM-1", "issue" : "2", "issued" : { "date-parts" : [ [ "2009", "9", "30" ] ] }, "page" : "261-285", "title" : "Conversation, Disagreement and Political Participation", "type" : "article-journal", "volume" : "31" }, "uris" : [ "http://www.mendeley.com/documents/?uuid=aeae8e34-192a-4357-8a16-aa63a718edb9" ] } ], "mendeley" : { "formattedCitation" : "(Pattie and Johnston, 2009)", "manualFormatting" : "Pattie &amp; Johnston 2009)", "plainTextFormattedCitation" : "(Pattie and Johnston, 2009)", "previouslyFormattedCitation" : "(Pattie and Johnston, 2009)"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Pattie &amp; Johnston 2009)</w:t>
      </w:r>
      <w:r w:rsidRPr="00477D77">
        <w:rPr>
          <w:rFonts w:cstheme="majorBidi"/>
          <w:szCs w:val="24"/>
          <w:highlight w:val="lightGray"/>
        </w:rPr>
        <w:fldChar w:fldCharType="end"/>
      </w:r>
      <w:r w:rsidR="003F66B1">
        <w:rPr>
          <w:rFonts w:cstheme="majorBidi"/>
          <w:szCs w:val="24"/>
          <w:highlight w:val="lightGray"/>
        </w:rPr>
        <w:t>. It</w:t>
      </w:r>
      <w:r w:rsidRPr="00477D77">
        <w:rPr>
          <w:rFonts w:cstheme="majorBidi"/>
          <w:szCs w:val="24"/>
          <w:highlight w:val="lightGray"/>
        </w:rPr>
        <w:t>s popularity can be demonstrated from a 2005 survey of behavioural science and mental health journals which reported that, over a two-year period, more than 1,700 published studies used some form of exploratory statistical analysis, and well over half of these were PCA (Costello &amp; Osborne 2005, p.1).</w:t>
      </w:r>
      <w:r w:rsidRPr="00477D77">
        <w:rPr>
          <w:rStyle w:val="FootnoteReference"/>
          <w:highlight w:val="lightGray"/>
        </w:rPr>
        <w:footnoteReference w:id="12"/>
      </w:r>
      <w:r w:rsidRPr="00477D77">
        <w:rPr>
          <w:rFonts w:cstheme="majorBidi"/>
          <w:szCs w:val="24"/>
          <w:highlight w:val="lightGray"/>
        </w:rPr>
        <w:t xml:space="preserve"> </w:t>
      </w:r>
    </w:p>
    <w:p w14:paraId="08A29237" w14:textId="5557BBA4" w:rsidR="003419C8" w:rsidRPr="00477D77" w:rsidRDefault="003419C8" w:rsidP="003419C8">
      <w:pPr>
        <w:rPr>
          <w:rFonts w:cstheme="majorBidi"/>
          <w:szCs w:val="24"/>
          <w:highlight w:val="lightGray"/>
        </w:rPr>
      </w:pPr>
      <w:r w:rsidRPr="00477D77">
        <w:rPr>
          <w:rFonts w:cstheme="majorBidi"/>
          <w:szCs w:val="24"/>
          <w:highlight w:val="lightGray"/>
        </w:rPr>
        <w:t xml:space="preserve">Therefore the difference between PCA and EFA concerns the assumptions of latent variables underlying the data, with PCA not making any assumptions </w:t>
      </w:r>
      <w:r w:rsidRPr="00477D77">
        <w:rPr>
          <w:rFonts w:cstheme="majorBidi"/>
          <w:szCs w:val="24"/>
          <w:highlight w:val="lightGray"/>
        </w:rPr>
        <w:fldChar w:fldCharType="begin" w:fldLock="1"/>
      </w:r>
      <w:r w:rsidR="001B407A">
        <w:rPr>
          <w:rFonts w:cstheme="majorBidi"/>
          <w:szCs w:val="24"/>
          <w:highlight w:val="lightGray"/>
        </w:rPr>
        <w:instrText>ADDIN CSL_CITATION { "citationItems" : [ { "id" : "ITEM-1", "itemData" : { "DOI" : "10.1037/0033-2909.110.2.305", "ISBN" : "0033-2909", "ISSN" : "0033-2909", "PMID" : "4643943456", "abstract" : "The applicability of 5 conventional guidelines for construct measurement is critically examined: (a) Construct indicators should be internally consistent for valid measures, (b) there are optimal magnitudes of correlations between items, (c) the validity of measures depends on the adequacy with which a specified domain is sampled, (d) within-construct correlations must be greater than between-construct correlations, and (e) linear composites of indicators can replace latent variables. A structural equation perspective is used, showing that without an explicit measurement model relating indicators to latent variables and measurement errors, none of these conventional beliefs hold without qualifications. Moreover, a \"causal\" indicator model is presented that sometimes better corresponds to the relation of indicators to a construct than does the classical test theory \"effect\" indicator model. Factor analysis (Spearman, 1904) and classical test theory (Lord &amp; Novick, 1968; Spearman, 1910) have influenced per-spectives on measurement not only in psychology but in most of the social sciences. These traditions have given rise to criteria to select \"good\" measures and to a number of beliefs about the way valid and reliable indicators' should behave. For instance, Nunnally (1978, p. 102) warned that if correlations among mea-sures are near zero, they measure different things. Some have argued that high correlations are better than low ones (e.g, Horst, 1966, p. 147), whereas others have claimed that moder-ate correlations are best (Cattell, 1965, p. 88). As the preceding example illustrates, the guidelines to indicator selection are sometimes contradictory. The result is that one can justify keeping or discarding an indicator depending on whose advice is followed. Obviously, this is an undesirable state of affairs that suggests that the conventional beliefs on measurement and in-dicator selection require clarification. We contend that these contradictions can largely be traced to two sources. One is that some items do not conform to the classical test theory or factor analysis models that treat indica-tors as effects of a construct. We present an alternative model in which indicators influence a construct. Second is the failure to present a measurement model that explicitly shows the as-sumed relation between constructs, measures, and errors of measurement. We are grateful to Jane Scott-Lennox for her suggestions on several versions of the manuscript and for her\u2026", "author" : [ { "dropping-particle" : "", "family" : "Bollen", "given" : "Kenneth", "non-dropping-particle" : "", "parse-names" : false, "suffix" : "" }, { "dropping-particle" : "", "family" : "Lennox", "given" : "Richard", "non-dropping-particle" : "", "parse-names" : false, "suffix" : "" } ], "container-title" : "Psychological Bulletin", "id" : "ITEM-1", "issue" : "2", "issued" : { "date-parts" : [ [ "1991" ] ] }, "page" : "305-314", "title" : "Conventional Wisdom on Measurement: A Structural Equation Perspective", "type" : "article-journal", "volume" : "110" }, "uris" : [ "http://www.mendeley.com/documents/?uuid=c224f765-7c77-473c-bfdc-4d9088d8769d" ] } ], "mendeley" : { "formattedCitation" : "(Bollen and Lennox, 1991)", "plainTextFormattedCitation" : "(Bollen and Lennox, 1991)", "previouslyFormattedCitation" : "(Bollen and Lennox, 1991)" }, "properties" : { "noteIndex" : 0 }, "schema" : "https://github.com/citation-style-language/schema/raw/master/csl-citation.json" }</w:instrText>
      </w:r>
      <w:r w:rsidRPr="00477D77">
        <w:rPr>
          <w:rFonts w:cstheme="majorBidi"/>
          <w:szCs w:val="24"/>
          <w:highlight w:val="lightGray"/>
        </w:rPr>
        <w:fldChar w:fldCharType="separate"/>
      </w:r>
      <w:r w:rsidRPr="00477D77">
        <w:rPr>
          <w:rFonts w:cstheme="majorBidi"/>
          <w:noProof/>
          <w:szCs w:val="24"/>
          <w:highlight w:val="lightGray"/>
        </w:rPr>
        <w:t>(Bollen and Lennox, 1991)</w:t>
      </w:r>
      <w:r w:rsidRPr="00477D77">
        <w:rPr>
          <w:rFonts w:cstheme="majorBidi"/>
          <w:szCs w:val="24"/>
          <w:highlight w:val="lightGray"/>
        </w:rPr>
        <w:fldChar w:fldCharType="end"/>
      </w:r>
      <w:r w:rsidRPr="00477D77">
        <w:rPr>
          <w:rFonts w:cstheme="majorBidi"/>
          <w:szCs w:val="24"/>
          <w:highlight w:val="lightGray"/>
        </w:rPr>
        <w:t xml:space="preserve">. It is difficult in this thesis to completely justify one method over another. For instance, the ten questions utilised in my analysis all ask the respondent about the how essential each one is to democracy, and so they are all linked (and presented together as a battery in the survey). My discussion so far has been to outline theoretically what the literature expects from these questions, and how they fit into procedural, instrumental and authoritarian categories. Yet this is not necessarily what I expect from respondents. We do not know if respondents think along the lines of these models or ideal types – for all we know citizens quite happily think elections are essential to democracy alongside a prospering economy, yet gender equality and civil rights and not. And so an assumption of underlying latent constructs should not necessarily be guided by the literature as existing studies have done. Therefore PCA, whilst mathematically only a dimension reduction technique, might be the ‘purest’ way to assess just how citizens are answering these questions. However, EFA does not presuppose what the factors might necessarily be either, but it does allow for the assessment of common variance which Suhr (1994, p.4) argues is better when it comes to interpreting a common conceptual meaning. </w:t>
      </w:r>
    </w:p>
    <w:p w14:paraId="131B5BAE" w14:textId="1EFDCF07" w:rsidR="007A4C40" w:rsidRDefault="003419C8" w:rsidP="00944A0F">
      <w:pPr>
        <w:rPr>
          <w:rFonts w:cstheme="majorBidi"/>
          <w:szCs w:val="24"/>
        </w:rPr>
      </w:pPr>
      <w:r w:rsidRPr="00477D77">
        <w:rPr>
          <w:rFonts w:cstheme="majorBidi"/>
          <w:szCs w:val="24"/>
          <w:highlight w:val="lightGray"/>
        </w:rPr>
        <w:t>In this study I decided to present the results of both PCA and EFA. As demonstrated below in Section 4.3, the results are in fact substantively very similar. However, before this analysis is undertaken I talk through the remaining considerations required when undertaking this type of analysis.</w:t>
      </w:r>
    </w:p>
    <w:bookmarkEnd w:id="224"/>
    <w:p w14:paraId="1EC0FF02" w14:textId="684848AA" w:rsidR="00A670CD" w:rsidRDefault="00A670CD" w:rsidP="00A670CD">
      <w:pPr>
        <w:pStyle w:val="Heading3"/>
      </w:pPr>
      <w:r>
        <w:t>Key Considerations</w:t>
      </w:r>
    </w:p>
    <w:p w14:paraId="2CE57215" w14:textId="42759DA4" w:rsidR="00976DD5" w:rsidRDefault="00976DD5" w:rsidP="00976DD5">
      <w:pPr>
        <w:rPr>
          <w:rFonts w:cstheme="majorBidi"/>
          <w:szCs w:val="24"/>
        </w:rPr>
      </w:pPr>
      <w:r>
        <w:rPr>
          <w:rFonts w:cstheme="majorBidi"/>
          <w:szCs w:val="24"/>
        </w:rPr>
        <w:t xml:space="preserve">Although there are no strict guidelines, a general consensus in the literature is that when using </w:t>
      </w:r>
      <w:r w:rsidR="00847021">
        <w:rPr>
          <w:rFonts w:cstheme="majorBidi"/>
          <w:szCs w:val="24"/>
        </w:rPr>
        <w:t>EFA</w:t>
      </w:r>
      <w:r>
        <w:rPr>
          <w:rFonts w:cstheme="majorBidi"/>
          <w:szCs w:val="24"/>
        </w:rPr>
        <w:t xml:space="preserve"> or PCA researchers need to make and justify decisions in the following </w:t>
      </w:r>
      <w:r w:rsidR="004055C6">
        <w:rPr>
          <w:rFonts w:cstheme="majorBidi"/>
          <w:szCs w:val="24"/>
        </w:rPr>
        <w:t xml:space="preserve">areas </w:t>
      </w:r>
      <w:r w:rsidR="004055C6">
        <w:rPr>
          <w:rFonts w:cstheme="majorBidi"/>
          <w:szCs w:val="24"/>
        </w:rPr>
        <w:fldChar w:fldCharType="begin" w:fldLock="1"/>
      </w:r>
      <w:r w:rsidR="00E63CC6">
        <w:rPr>
          <w:rFonts w:cstheme="majorBidi"/>
          <w:szCs w:val="24"/>
        </w:rPr>
        <w:instrText>ADDIN CSL_CITATION { "citationItems" : [ { "id" : "ITEM-1", "itemData" : { "author" : [ { "dropping-particle" : "", "family" : "Costello", "given" : "AB", "non-dropping-particle" : "", "parse-names" : false, "suffix" : "" }, { "dropping-particle" : "", "family" : "Osborne", "given" : "JW", "non-dropping-particle" : "", "parse-names" : false, "suffix" : "" } ], "container-title" : "Practical Assessment, Research &amp; Evaluation", "id" : "ITEM-1", "issue" : "7", "issued" : { "date-parts" : [ [ "2005" ] ] }, "page" : "1-9", "title" : "Best practices in exploratory factor analysis: Four recommendations for getting the most from your analysis", "type" : "article-journal", "volume" : "10" }, "uris" : [ "http://www.mendeley.com/documents/?uuid=8428a3f0-3343-495e-9ac1-19fbbf762cfc" ] }, { "id" : "ITEM-2", "itemData" : { "DOI" : "10.1177/1094428103251541", "ISBN" : "1094428103251", "ISSN" : "1094-4281", "author" : [ { "dropping-particle" : "", "family" : "Conway", "given" : "J. M.", "non-dropping-particle" : "", "parse-names" : false, "suffix" : "" }, { "dropping-particle" : "", "family" : "Huffcutt", "given" : "a. I.", "non-dropping-particle" : "", "parse-names" : false, "suffix" : "" } ], "container-title" : "Organizational Research Methods", "id" : "ITEM-2", "issue" : "2", "issued" : { "date-parts" : [ [ "2003", "4", "1" ] ] }, "page" : "147-168", "title" : "A Review and Evaluation of Exploratory Factor Analysis Practices in Organizational Research", "type" : "article-journal", "volume" : "6" }, "uris" : [ "http://www.mendeley.com/documents/?uuid=6398f1dc-d944-40e3-aec9-882794d8155d" ] }, { "id" : "ITEM-3", "itemData" : { "ISSN" : "0743-3808", "PMID" : "11029811", "abstract" : "Popular statistical software packages do not have the proper procedures for determining the number of components in factor and principal components analyses. Parallel analysis and Velicer's minimum average partial (MAP) test are validated procedures, recommended widely by statisticians. However, many researchers continue to use alternative, simpler, but flawed procedures, such as the eigenvalues-greater-than-one rule. Use of the proper procedures might be increased if these procedures could be conducted within familiar software environments. This paper describes brief and efficient programs for using SPSS and SAS to conduct parallel analyses and the MAP test.", "author" : [ { "dropping-particle" : "", "family" : "O'Connor", "given" : "B P", "non-dropping-particle" : "", "parse-names" : false, "suffix" : "" } ], "container-title" : "Behavior research methods, instruments, &amp; computers : a journal of the Psychonomic Society, Inc", "id" : "ITEM-3", "issue" : "3", "issued" : { "date-parts" : [ [ "2000", "8" ] ] }, "page" : "396-402", "title" : "SPSS and SAS programs for determining the number of components using parallel analysis and velicer's MAP test.", "type" : "article-journal", "volume" : "32" }, "uris" : [ "http://www.mendeley.com/documents/?uuid=a41b185c-8987-44a3-a544-ab8770509f34" ] }, { "id" : "ITEM-4", "itemData" : { "DOI" : "10.1037//1082-989X.4.3.272", "ISSN" : "1082-989X", "author" : [ { "dropping-particle" : "", "family" : "Fabrigar", "given" : "Leandre R.", "non-dropping-particle" : "", "parse-names" : false, "suffix" : "" }, { "dropping-particle" : "", "family" : "Wegener", "given" : "Duane T.", "non-dropping-particle" : "", "parse-names" : false, "suffix" : "" }, { "dropping-particle" : "", "family" : "MacCallum", "given" : "Robert C.", "non-dropping-particle" : "", "parse-names" : false, "suffix" : "" }, { "dropping-particle" : "", "family" : "Strahan", "given" : "Erin J.", "non-dropping-particle" : "", "parse-names" : false, "suffix" : "" } ], "container-title" : "Psychological Methods", "id" : "ITEM-4", "issue" : "3", "issued" : { "date-parts" : [ [ "1999" ] ] }, "page" : "272-299", "title" : "Evaluating the use of exploratory factor analysis in psychological research.", "type" : "article-journal", "volume" : "4" }, "uris" : [ "http://www.mendeley.com/documents/?uuid=90d4d09b-d1cd-4d18-9654-b90f325486f3" ] }, { "id" : "ITEM-5", "itemData" : { "DOI" : "10.1177/0013164488483012", "ISSN" : "0013-1644", "author" : [ { "dropping-particle" : "", "family" : "Coovert", "given" : "M. D.", "non-dropping-particle" : "", "parse-names" : false, "suffix" : "" }, { "dropping-particle" : "", "family" : "McNelis", "given" : "K.", "non-dropping-particle" : "", "parse-names" : false, "suffix" : "" } ], "container-title" : "Educational and Psychological Measurement", "id" : "ITEM-5", "issue" : "3", "issued" : { "date-parts" : [ [ "1988", "9", "1" ] ] }, "page" : "687-692", "title" : "Determining the Number of Common Factors in Factor Analysis: A Review and Program", "type" : "article-journal", "volume" : "48" }, "uris" : [ "http://www.mendeley.com/documents/?uuid=0898699b-9450-4982-808a-47b56c92ede7" ] }, { "id" : "ITEM-6", "itemData" : { "author" : [ { "dropping-particle" : "", "family" : "Tinsley", "given" : "Howard E A", "non-dropping-particle" : "", "parse-names" : false, "suffix" : "" }, { "dropping-particle" : "", "family" : "Tinsley", "given" : "Diane J", "non-dropping-particle" : "", "parse-names" : false, "suffix" : "" } ], "container-title" : "Journal of Psychology", "id" : "ITEM-6", "issue" : "4", "issued" : { "date-parts" : [ [ "1987" ] ] }, "page" : "414-424", "title" : "Uses of Factor Analysis in Counseling Psychology Research", "type" : "article-journal", "volume" : "34" }, "uris" : [ "http://www.mendeley.com/documents/?uuid=e20c5b9f-00aa-44d5-83d2-f4e386133473" ] }, { "id" : "ITEM-7", "itemData" : { "DOI" : "10.1037//0033-2909.99.3.432", "ISSN" : "0033-2909", "author" : [ { "dropping-particle" : "", "family" : "Zwick", "given" : "William R.", "non-dropping-particle" : "", "parse-names" : false, "suffix" : "" }, { "dropping-particle" : "", "family" : "Velicer", "given" : "Wayne F.", "non-dropping-particle" : "", "parse-names" : false, "suffix" : "" } ], "container-title" : "Psychological Bulletin", "id" : "ITEM-7", "issue" : "3", "issued" : { "date-parts" : [ [ "1986" ] ] }, "page" : "432-442", "title" : "Comparison of five rules for determining the number of components to retain", "type" : "article-journal", "volume" : "99" }, "uris" : [ "http://www.mendeley.com/documents/?uuid=ec98e434-a966-4538-9a95-5bd5f4ad231d" ] } ], "mendeley" : { "formattedCitation" : "(Zwick and Velicer, 1986; Tinsley and Tinsley, 1987; Coovert and McNelis, 1988; Fabrigar &lt;i&gt;et al.&lt;/i&gt;, 1999; O\u2019Connor, 2000; Conway and Huffcutt, 2003; Costello and Osborne, 2005)", "plainTextFormattedCitation" : "(Zwick and Velicer, 1986; Tinsley and Tinsley, 1987; Coovert and McNelis, 1988; Fabrigar et al., 1999; O\u2019Connor, 2000; Conway and Huffcutt, 2003; Costello and Osborne, 2005)", "previouslyFormattedCitation" : "(Zwick and Velicer, 1986; Tinsley and Tinsley, 1987; Coovert and McNelis, 1988; Fabrigar &lt;i&gt;et al.&lt;/i&gt;, 1999; O\u2019Connor, 2000; Conway and Huffcutt, 2003; Costello and Osborne, 2005)" }, "properties" : { "noteIndex" : 0 }, "schema" : "https://github.com/citation-style-language/schema/raw/master/csl-citation.json" }</w:instrText>
      </w:r>
      <w:r w:rsidR="004055C6">
        <w:rPr>
          <w:rFonts w:cstheme="majorBidi"/>
          <w:szCs w:val="24"/>
        </w:rPr>
        <w:fldChar w:fldCharType="separate"/>
      </w:r>
      <w:r w:rsidR="00E63CC6" w:rsidRPr="00E63CC6">
        <w:rPr>
          <w:rFonts w:cstheme="majorBidi"/>
          <w:noProof/>
          <w:szCs w:val="24"/>
        </w:rPr>
        <w:t xml:space="preserve">(Zwick and Velicer, 1986; Tinsley and Tinsley, 1987; Coovert and McNelis, 1988; Fabrigar </w:t>
      </w:r>
      <w:r w:rsidR="00E63CC6" w:rsidRPr="00E63CC6">
        <w:rPr>
          <w:rFonts w:cstheme="majorBidi"/>
          <w:i/>
          <w:noProof/>
          <w:szCs w:val="24"/>
        </w:rPr>
        <w:t>et al.</w:t>
      </w:r>
      <w:r w:rsidR="00E63CC6" w:rsidRPr="00E63CC6">
        <w:rPr>
          <w:rFonts w:cstheme="majorBidi"/>
          <w:noProof/>
          <w:szCs w:val="24"/>
        </w:rPr>
        <w:t>, 1999; O’Connor, 2000; Conway and Huffcutt, 2003; Costello and Osborne, 2005)</w:t>
      </w:r>
      <w:r w:rsidR="004055C6">
        <w:rPr>
          <w:rFonts w:cstheme="majorBidi"/>
          <w:szCs w:val="24"/>
        </w:rPr>
        <w:fldChar w:fldCharType="end"/>
      </w:r>
      <w:r w:rsidR="004055C6">
        <w:rPr>
          <w:rFonts w:cstheme="majorBidi"/>
          <w:szCs w:val="24"/>
        </w:rPr>
        <w:t>:</w:t>
      </w:r>
    </w:p>
    <w:p w14:paraId="79565024" w14:textId="77777777" w:rsidR="00976DD5" w:rsidRDefault="00976DD5" w:rsidP="002032DF">
      <w:pPr>
        <w:pStyle w:val="ListParagraph"/>
        <w:numPr>
          <w:ilvl w:val="0"/>
          <w:numId w:val="4"/>
        </w:numPr>
        <w:rPr>
          <w:szCs w:val="24"/>
        </w:rPr>
      </w:pPr>
      <w:r>
        <w:rPr>
          <w:szCs w:val="24"/>
        </w:rPr>
        <w:t>How many components to retain?</w:t>
      </w:r>
    </w:p>
    <w:p w14:paraId="7F4D5DF9" w14:textId="77777777" w:rsidR="00976DD5" w:rsidRDefault="00976DD5" w:rsidP="002032DF">
      <w:pPr>
        <w:pStyle w:val="ListParagraph"/>
        <w:numPr>
          <w:ilvl w:val="0"/>
          <w:numId w:val="4"/>
        </w:numPr>
        <w:rPr>
          <w:szCs w:val="24"/>
        </w:rPr>
      </w:pPr>
      <w:r>
        <w:rPr>
          <w:szCs w:val="24"/>
        </w:rPr>
        <w:t>What rotation method to use?</w:t>
      </w:r>
    </w:p>
    <w:p w14:paraId="561B250C" w14:textId="7D85CCF9" w:rsidR="00976DD5" w:rsidRDefault="003F66B1" w:rsidP="002032DF">
      <w:pPr>
        <w:pStyle w:val="ListParagraph"/>
        <w:numPr>
          <w:ilvl w:val="0"/>
          <w:numId w:val="4"/>
        </w:numPr>
        <w:rPr>
          <w:szCs w:val="24"/>
        </w:rPr>
      </w:pPr>
      <w:r>
        <w:rPr>
          <w:szCs w:val="24"/>
        </w:rPr>
        <w:t>Is the sample size sufficient?</w:t>
      </w:r>
    </w:p>
    <w:p w14:paraId="11156073" w14:textId="1AA62AC1" w:rsidR="00C90D8C" w:rsidRPr="00C90D8C" w:rsidRDefault="00C90D8C" w:rsidP="00C90D8C">
      <w:pPr>
        <w:rPr>
          <w:szCs w:val="24"/>
        </w:rPr>
      </w:pPr>
      <w:r>
        <w:rPr>
          <w:szCs w:val="24"/>
        </w:rPr>
        <w:t>Furthermore, in this analysis I also draw attention to the following:</w:t>
      </w:r>
    </w:p>
    <w:p w14:paraId="6A69267B" w14:textId="1EB71894" w:rsidR="00976DD5" w:rsidRDefault="00976DD5" w:rsidP="002032DF">
      <w:pPr>
        <w:pStyle w:val="ListParagraph"/>
        <w:numPr>
          <w:ilvl w:val="0"/>
          <w:numId w:val="4"/>
        </w:numPr>
        <w:rPr>
          <w:szCs w:val="24"/>
        </w:rPr>
      </w:pPr>
      <w:r>
        <w:rPr>
          <w:szCs w:val="24"/>
        </w:rPr>
        <w:t>Absolute vs priority values</w:t>
      </w:r>
      <w:r w:rsidR="003F66B1">
        <w:rPr>
          <w:szCs w:val="24"/>
        </w:rPr>
        <w:t>?</w:t>
      </w:r>
    </w:p>
    <w:p w14:paraId="78457769" w14:textId="5564EF54" w:rsidR="00684FF1" w:rsidRDefault="00684FF1" w:rsidP="002032DF">
      <w:pPr>
        <w:pStyle w:val="ListParagraph"/>
        <w:numPr>
          <w:ilvl w:val="0"/>
          <w:numId w:val="4"/>
        </w:numPr>
        <w:rPr>
          <w:szCs w:val="24"/>
        </w:rPr>
      </w:pPr>
      <w:r>
        <w:rPr>
          <w:szCs w:val="24"/>
        </w:rPr>
        <w:t>Missing values</w:t>
      </w:r>
    </w:p>
    <w:p w14:paraId="1C3E484D" w14:textId="1F91CBAF" w:rsidR="00C90D8C" w:rsidRDefault="00C90D8C" w:rsidP="002032DF">
      <w:pPr>
        <w:pStyle w:val="ListParagraph"/>
        <w:numPr>
          <w:ilvl w:val="0"/>
          <w:numId w:val="4"/>
        </w:numPr>
        <w:rPr>
          <w:szCs w:val="24"/>
        </w:rPr>
      </w:pPr>
      <w:r>
        <w:rPr>
          <w:szCs w:val="24"/>
        </w:rPr>
        <w:t>Limitations – global versus national-level approaches</w:t>
      </w:r>
    </w:p>
    <w:p w14:paraId="5EF636D1" w14:textId="3B98C4D6" w:rsidR="00976DD5" w:rsidRDefault="00976DD5" w:rsidP="00976DD5">
      <w:pPr>
        <w:rPr>
          <w:szCs w:val="24"/>
        </w:rPr>
      </w:pPr>
      <w:r>
        <w:rPr>
          <w:szCs w:val="24"/>
        </w:rPr>
        <w:t xml:space="preserve">The following sections </w:t>
      </w:r>
      <w:r w:rsidR="00A670CD">
        <w:rPr>
          <w:szCs w:val="24"/>
        </w:rPr>
        <w:t>discuss these in order</w:t>
      </w:r>
      <w:r>
        <w:rPr>
          <w:szCs w:val="24"/>
        </w:rPr>
        <w:t>.</w:t>
      </w:r>
    </w:p>
    <w:p w14:paraId="26A1CC9D" w14:textId="77777777" w:rsidR="00976DD5" w:rsidRDefault="00976DD5" w:rsidP="00E223A2">
      <w:pPr>
        <w:pStyle w:val="Heading4"/>
      </w:pPr>
      <w:bookmarkStart w:id="226" w:name="_Toc385498307"/>
      <w:bookmarkStart w:id="227" w:name="_Toc369970190"/>
      <w:bookmarkStart w:id="228" w:name="_Toc441069220"/>
      <w:r>
        <w:t>Retaining Components</w:t>
      </w:r>
      <w:bookmarkEnd w:id="226"/>
      <w:bookmarkEnd w:id="227"/>
      <w:bookmarkEnd w:id="228"/>
    </w:p>
    <w:p w14:paraId="283370F6" w14:textId="58CADB7D" w:rsidR="00976DD5" w:rsidRDefault="00976DD5" w:rsidP="00976DD5">
      <w:pPr>
        <w:rPr>
          <w:rFonts w:cstheme="majorBidi"/>
          <w:szCs w:val="24"/>
        </w:rPr>
      </w:pPr>
      <w:r>
        <w:rPr>
          <w:rFonts w:cstheme="majorBidi"/>
          <w:szCs w:val="24"/>
        </w:rPr>
        <w:t xml:space="preserve">The choice of which components to retain is a crucial part of the exploratory process since </w:t>
      </w:r>
      <w:r w:rsidR="00A670CD">
        <w:rPr>
          <w:rFonts w:cstheme="majorBidi"/>
          <w:szCs w:val="24"/>
        </w:rPr>
        <w:t>those</w:t>
      </w:r>
      <w:r>
        <w:rPr>
          <w:rFonts w:cstheme="majorBidi"/>
          <w:szCs w:val="24"/>
        </w:rPr>
        <w:t xml:space="preserve"> we keep are then examined in much more detail, and the ones which we drop play no further part in the analysis. However, there is no right or wrong answer when undertaking this analysis since there are “no readily available criteria against which to test the solution” </w:t>
      </w:r>
      <w:r w:rsidR="004055C6">
        <w:rPr>
          <w:rFonts w:cstheme="majorBidi"/>
          <w:szCs w:val="24"/>
        </w:rPr>
        <w:fldChar w:fldCharType="begin" w:fldLock="1"/>
      </w:r>
      <w:r w:rsidR="00E63CC6">
        <w:rPr>
          <w:rFonts w:cstheme="majorBidi"/>
          <w:szCs w:val="24"/>
        </w:rPr>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"2007" ] ] }, "publisher" : "Pearson Allyn &amp; Bacon", "publisher-place" : "New Jersey", "title" : "Using Multivariate Statistics", "type" : "book" }, "uris" : [ "http://www.mendeley.com/documents/?uuid=760d9dd4-4046-437c-9155-377c64b3e948" ] } ], "mendeley" : { "formattedCitation" : "(Tabachnick and Fidell, 2007)", "manualFormatting" : "(Tabachnick &amp; Fidell 2007, p.608)", "plainTextFormattedCitation" : "(Tabachnick and Fidell, 2007)", "previouslyFormattedCitation" : "(Tabachnick and Fidell, 2007)" }, "properties" : { "noteIndex" : 0 }, "schema" : "https://github.com/citation-style-language/schema/raw/master/csl-citation.json" }</w:instrText>
      </w:r>
      <w:r w:rsidR="004055C6">
        <w:rPr>
          <w:rFonts w:cstheme="majorBidi"/>
          <w:szCs w:val="24"/>
        </w:rPr>
        <w:fldChar w:fldCharType="separate"/>
      </w:r>
      <w:r w:rsidR="004055C6" w:rsidRPr="004055C6">
        <w:rPr>
          <w:rFonts w:cstheme="majorBidi"/>
          <w:noProof/>
          <w:szCs w:val="24"/>
        </w:rPr>
        <w:t>(Tabachnick &amp; Fidell 2007</w:t>
      </w:r>
      <w:r w:rsidR="004055C6">
        <w:rPr>
          <w:rFonts w:cstheme="majorBidi"/>
          <w:noProof/>
          <w:szCs w:val="24"/>
        </w:rPr>
        <w:t>, p.608</w:t>
      </w:r>
      <w:r w:rsidR="004055C6" w:rsidRPr="004055C6">
        <w:rPr>
          <w:rFonts w:cstheme="majorBidi"/>
          <w:noProof/>
          <w:szCs w:val="24"/>
        </w:rPr>
        <w:t>)</w:t>
      </w:r>
      <w:r w:rsidR="004055C6">
        <w:rPr>
          <w:rFonts w:cstheme="majorBidi"/>
          <w:szCs w:val="24"/>
        </w:rPr>
        <w:fldChar w:fldCharType="end"/>
      </w:r>
      <w:r>
        <w:rPr>
          <w:rFonts w:cstheme="majorBidi"/>
          <w:szCs w:val="24"/>
        </w:rPr>
        <w:t xml:space="preserve">. As O’Connor </w:t>
      </w:r>
      <w:r w:rsidR="004055C6">
        <w:rPr>
          <w:rFonts w:cstheme="majorBidi"/>
          <w:szCs w:val="24"/>
        </w:rPr>
        <w:fldChar w:fldCharType="begin" w:fldLock="1"/>
      </w:r>
      <w:r w:rsidR="00E63CC6">
        <w:rPr>
          <w:rFonts w:cstheme="majorBidi"/>
          <w:szCs w:val="24"/>
        </w:rPr>
        <w:instrText>ADDIN CSL_CITATION { "citationItems" : [ { "id" : "ITEM-1", "itemData" : { "ISSN" : "0743-3808", "PMID" : "11029811", "abstract" : "Popular statistical software packages do not have the proper procedures for determining the number of components in factor and principal components analyses. Parallel analysis and Velicer's minimum average partial (MAP) test are validated procedures, recommended widely by statisticians. However, many researchers continue to use alternative, simpler, but flawed procedures, such as the eigenvalues-greater-than-one rule. Use of the proper procedures might be increased if these procedures could be conducted within familiar software environments. This paper describes brief and efficient programs for using SPSS and SAS to conduct parallel analyses and the MAP test.", "author" : [ { "dropping-particle" : "", "family" : "O'Connor", "given" : "B P", "non-dropping-particle" : "", "parse-names" : false, "suffix" : "" } ], "container-title" : "Behavior research methods, instruments, &amp; computers : a journal of the Psychonomic Society, Inc", "id" : "ITEM-1", "issue" : "3", "issued" : { "date-parts" : [ [ "2000", "8" ] ] }, "page" : "396-402", "title" : "SPSS and SAS programs for determining the number of components using parallel analysis and velicer's MAP test.", "type" : "article-journal", "volume" : "32" }, "uris" : [ "http://www.mendeley.com/documents/?uuid=a41b185c-8987-44a3-a544-ab8770509f34" ] } ], "mendeley" : { "formattedCitation" : "(O\u2019Connor, 2000)", "manualFormatting" : "(2000, p.396)", "plainTextFormattedCitation" : "(O\u2019Connor, 2000)", "previouslyFormattedCitation" : "(O\u2019Connor, 2000)" }, "properties" : { "noteIndex" : 0 }, "schema" : "https://github.com/citation-style-language/schema/raw/master/csl-citation.json" }</w:instrText>
      </w:r>
      <w:r w:rsidR="004055C6">
        <w:rPr>
          <w:rFonts w:cstheme="majorBidi"/>
          <w:szCs w:val="24"/>
        </w:rPr>
        <w:fldChar w:fldCharType="separate"/>
      </w:r>
      <w:r w:rsidR="004055C6" w:rsidRPr="004055C6">
        <w:rPr>
          <w:rFonts w:cstheme="majorBidi"/>
          <w:noProof/>
          <w:szCs w:val="24"/>
        </w:rPr>
        <w:t>(2000</w:t>
      </w:r>
      <w:r w:rsidR="004055C6">
        <w:rPr>
          <w:rFonts w:cstheme="majorBidi"/>
          <w:noProof/>
          <w:szCs w:val="24"/>
        </w:rPr>
        <w:t>, p.396</w:t>
      </w:r>
      <w:r w:rsidR="004055C6" w:rsidRPr="004055C6">
        <w:rPr>
          <w:rFonts w:cstheme="majorBidi"/>
          <w:noProof/>
          <w:szCs w:val="24"/>
        </w:rPr>
        <w:t>)</w:t>
      </w:r>
      <w:r w:rsidR="004055C6">
        <w:rPr>
          <w:rFonts w:cstheme="majorBidi"/>
          <w:szCs w:val="24"/>
        </w:rPr>
        <w:fldChar w:fldCharType="end"/>
      </w:r>
      <w:r w:rsidR="004055C6">
        <w:rPr>
          <w:rFonts w:cstheme="majorBidi"/>
          <w:szCs w:val="24"/>
        </w:rPr>
        <w:t xml:space="preserve">, </w:t>
      </w:r>
      <w:r>
        <w:rPr>
          <w:rFonts w:cstheme="majorBidi"/>
          <w:szCs w:val="24"/>
        </w:rPr>
        <w:t>puts it:</w:t>
      </w:r>
    </w:p>
    <w:p w14:paraId="5881639C" w14:textId="77777777" w:rsidR="00976DD5" w:rsidRDefault="00976DD5" w:rsidP="004055C6">
      <w:pPr>
        <w:pStyle w:val="Quote"/>
      </w:pPr>
      <w:r>
        <w:t xml:space="preserve">“Under-extraction compresses variables into a small factor space, resulting in a loss of important information, a neglect of potentially important factors, a distorted fusing of two or more factors, and an increase in error in the loadings. Over-extraction diffuses variables across a large factor space, potentially resulting in factor splitting, in factors with few high loadings, and in researchers' attributing excessive substantive importance to trivial factors” </w:t>
      </w:r>
    </w:p>
    <w:p w14:paraId="76D73421" w14:textId="0898F66D" w:rsidR="00976DD5" w:rsidRDefault="00976DD5" w:rsidP="00976DD5">
      <w:pPr>
        <w:rPr>
          <w:rFonts w:cstheme="majorBidi"/>
          <w:szCs w:val="24"/>
        </w:rPr>
      </w:pPr>
      <w:r>
        <w:rPr>
          <w:rFonts w:cstheme="majorBidi"/>
          <w:szCs w:val="24"/>
        </w:rPr>
        <w:t xml:space="preserve">In other words, keep too many and it is possible to read too much into the importance and explanatory power of the smaller dimensions: keep too few and it is possible to overlook a valuable element of the story. The three most widely discussed methods for choosing are </w:t>
      </w:r>
      <w:r>
        <w:rPr>
          <w:rFonts w:cstheme="majorBidi"/>
          <w:i/>
          <w:iCs/>
          <w:szCs w:val="24"/>
        </w:rPr>
        <w:t>Kaiser’s criterion, scree plots</w:t>
      </w:r>
      <w:r>
        <w:rPr>
          <w:rFonts w:cstheme="majorBidi"/>
          <w:szCs w:val="24"/>
        </w:rPr>
        <w:t xml:space="preserve"> and </w:t>
      </w:r>
      <w:r>
        <w:rPr>
          <w:rFonts w:cstheme="majorBidi"/>
          <w:i/>
          <w:iCs/>
          <w:szCs w:val="24"/>
        </w:rPr>
        <w:t>Parallel Analysis (PA)</w:t>
      </w:r>
      <w:r>
        <w:rPr>
          <w:rFonts w:cstheme="majorBidi"/>
          <w:szCs w:val="24"/>
        </w:rPr>
        <w:t>.</w:t>
      </w:r>
    </w:p>
    <w:p w14:paraId="38F7DBBC" w14:textId="176BDB14" w:rsidR="00976DD5" w:rsidRDefault="00976DD5" w:rsidP="00976DD5">
      <w:pPr>
        <w:rPr>
          <w:rFonts w:cstheme="majorBidi"/>
          <w:szCs w:val="24"/>
        </w:rPr>
      </w:pPr>
      <w:r>
        <w:rPr>
          <w:rFonts w:cstheme="majorBidi"/>
          <w:i/>
          <w:iCs/>
          <w:szCs w:val="24"/>
        </w:rPr>
        <w:t>Kaiser’s criterion</w:t>
      </w:r>
      <w:r>
        <w:rPr>
          <w:rFonts w:cstheme="majorBidi"/>
          <w:szCs w:val="24"/>
        </w:rPr>
        <w:t xml:space="preserve"> retains any components with an eigenvalue of one or higher and is the most widespread rule of thumb used in the literature. This cut off point means only components with more summary power than the original variables are kept. However, there is considerable </w:t>
      </w:r>
      <w:r w:rsidR="006F02C3">
        <w:rPr>
          <w:rFonts w:cstheme="majorBidi"/>
          <w:szCs w:val="24"/>
        </w:rPr>
        <w:t xml:space="preserve">debate </w:t>
      </w:r>
      <w:r>
        <w:rPr>
          <w:rFonts w:cstheme="majorBidi"/>
          <w:szCs w:val="24"/>
        </w:rPr>
        <w:t xml:space="preserve">in the literature about how appropriate it is. For almost three decades now authors carrying out systematic reviews of components analysis have </w:t>
      </w:r>
      <w:r w:rsidR="003F66B1">
        <w:rPr>
          <w:rFonts w:cstheme="majorBidi"/>
          <w:szCs w:val="24"/>
        </w:rPr>
        <w:t>in fact</w:t>
      </w:r>
      <w:r>
        <w:rPr>
          <w:rFonts w:cstheme="majorBidi"/>
          <w:szCs w:val="24"/>
        </w:rPr>
        <w:t xml:space="preserve"> strongly </w:t>
      </w:r>
      <w:r w:rsidR="006F02C3">
        <w:rPr>
          <w:rFonts w:cstheme="majorBidi"/>
          <w:szCs w:val="24"/>
        </w:rPr>
        <w:t xml:space="preserve">warned </w:t>
      </w:r>
      <w:r>
        <w:rPr>
          <w:rFonts w:cstheme="majorBidi"/>
          <w:szCs w:val="24"/>
        </w:rPr>
        <w:t>against using Kaiser’s criterion, arguing it often overestimates the number of components to be</w:t>
      </w:r>
      <w:r w:rsidR="004055C6">
        <w:rPr>
          <w:rFonts w:cstheme="majorBidi"/>
          <w:szCs w:val="24"/>
        </w:rPr>
        <w:t xml:space="preserve"> retained (Zwick &amp; Velicer 1986, p.</w:t>
      </w:r>
      <w:r>
        <w:rPr>
          <w:rFonts w:cstheme="majorBidi"/>
          <w:szCs w:val="24"/>
        </w:rPr>
        <w:t xml:space="preserve">439). </w:t>
      </w:r>
    </w:p>
    <w:p w14:paraId="17B59DFB" w14:textId="2C439EC6" w:rsidR="00976DD5" w:rsidRDefault="00976DD5" w:rsidP="00976DD5">
      <w:pPr>
        <w:rPr>
          <w:rFonts w:cstheme="majorBidi"/>
          <w:szCs w:val="24"/>
        </w:rPr>
      </w:pPr>
      <w:r>
        <w:rPr>
          <w:rFonts w:cstheme="majorBidi"/>
          <w:szCs w:val="24"/>
        </w:rPr>
        <w:t xml:space="preserve">A </w:t>
      </w:r>
      <w:r>
        <w:rPr>
          <w:rFonts w:cstheme="majorBidi"/>
          <w:i/>
          <w:iCs/>
          <w:szCs w:val="24"/>
        </w:rPr>
        <w:t>scree plot</w:t>
      </w:r>
      <w:r>
        <w:rPr>
          <w:rFonts w:cstheme="majorBidi"/>
          <w:szCs w:val="24"/>
        </w:rPr>
        <w:t xml:space="preserve"> simply plots the eigenvalues against the components, providing a visual aid to judge the cut-off point in terms of the explanatory power of the components. </w:t>
      </w:r>
      <w:r>
        <w:rPr>
          <w:szCs w:val="24"/>
        </w:rPr>
        <w:t xml:space="preserve">The point of a scree plot is to identify the point of inflexion where the variance between components drops considerably (the plot often resembles a cliff face, hence the name). The researcher then keeps the components </w:t>
      </w:r>
      <w:r>
        <w:rPr>
          <w:i/>
          <w:iCs/>
          <w:szCs w:val="24"/>
        </w:rPr>
        <w:t>before</w:t>
      </w:r>
      <w:r>
        <w:rPr>
          <w:szCs w:val="24"/>
        </w:rPr>
        <w:t xml:space="preserve"> the point, and discards the component at the inflexion point and any after it.</w:t>
      </w:r>
      <w:r>
        <w:rPr>
          <w:rFonts w:cstheme="majorBidi"/>
          <w:szCs w:val="24"/>
        </w:rPr>
        <w:t xml:space="preserve"> </w:t>
      </w:r>
      <w:r>
        <w:rPr>
          <w:szCs w:val="24"/>
        </w:rPr>
        <w:t xml:space="preserve">An issue with this method is that the shape of the plot may not be clear-cut, and so determining the point of inflexion becomes much more of a subjective decision. Despite this, it has been argued that the scree test is helpful for initial estimates, and with good judgement can be used as a complementary method alongside other tests </w:t>
      </w:r>
      <w:r w:rsidR="004055C6">
        <w:rPr>
          <w:szCs w:val="24"/>
        </w:rPr>
        <w:fldChar w:fldCharType="begin" w:fldLock="1"/>
      </w:r>
      <w:r w:rsidR="00E63CC6">
        <w:rPr>
          <w:szCs w:val="24"/>
        </w:rPr>
        <w:instrText>ADDIN CSL_CITATION { "citationItems" : [ { "id" : "ITEM-1", "itemData" : { "author" : [ { "dropping-particle" : "", "family" : "Costello", "given" : "AB", "non-dropping-particle" : "", "parse-names" : false, "suffix" : "" }, { "dropping-particle" : "", "family" : "Osborne", "given" : "JW", "non-dropping-particle" : "", "parse-names" : false, "suffix" : "" } ], "container-title" : "Practical Assessment, Research &amp; Evaluation", "id" : "ITEM-1", "issue" : "7", "issued" : { "date-parts" : [ [ "2005" ] ] }, "page" : "1-9", "title" : "Best practices in exploratory factor analysis: Four recommendations for getting the most from your analysis", "type" : "article-journal", "volume" : "10" }, "uris" : [ "http://www.mendeley.com/documents/?uuid=8428a3f0-3343-495e-9ac1-19fbbf762cfc" ] } ], "mendeley" : { "formattedCitation" : "(Costello and Osborne, 2005)", "manualFormatting" : "(Costello &amp; Osborne 2005, pp.2-3", "plainTextFormattedCitation" : "(Costello and Osborne, 2005)", "previouslyFormattedCitation" : "(Costello and Osborne, 2005)" }, "properties" : { "noteIndex" : 0 }, "schema" : "https://github.com/citation-style-language/schema/raw/master/csl-citation.json" }</w:instrText>
      </w:r>
      <w:r w:rsidR="004055C6">
        <w:rPr>
          <w:szCs w:val="24"/>
        </w:rPr>
        <w:fldChar w:fldCharType="separate"/>
      </w:r>
      <w:r w:rsidR="004055C6" w:rsidRPr="004055C6">
        <w:rPr>
          <w:noProof/>
          <w:szCs w:val="24"/>
        </w:rPr>
        <w:t>(Costello &amp; Osborne 2005</w:t>
      </w:r>
      <w:r w:rsidR="004055C6">
        <w:rPr>
          <w:noProof/>
          <w:szCs w:val="24"/>
        </w:rPr>
        <w:t>, pp.2-3</w:t>
      </w:r>
      <w:r w:rsidR="004055C6">
        <w:rPr>
          <w:szCs w:val="24"/>
        </w:rPr>
        <w:fldChar w:fldCharType="end"/>
      </w:r>
      <w:r w:rsidR="004055C6">
        <w:rPr>
          <w:szCs w:val="24"/>
        </w:rPr>
        <w:t>;</w:t>
      </w:r>
      <w:r w:rsidR="004055C6">
        <w:rPr>
          <w:szCs w:val="24"/>
        </w:rPr>
        <w:fldChar w:fldCharType="begin" w:fldLock="1"/>
      </w:r>
      <w:r w:rsidR="00E63CC6">
        <w:rPr>
          <w:szCs w:val="24"/>
        </w:rPr>
        <w:instrText>ADDIN CSL_CITATION { "citationItems" : [ { "id" : "ITEM-1", "itemData" : { "DOI" : "10.1037//0033-2909.99.3.432", "ISSN" : "0033-2909", "author" : [ { "dropping-particle" : "", "family" : "Zwick", "given" : "William R.", "non-dropping-particle" : "", "parse-names" : false, "suffix" : "" }, { "dropping-particle" : "", "family" : "Velicer", "given" : "Wayne F.", "non-dropping-particle" : "", "parse-names" : false, "suffix" : "" } ], "container-title" : "Psychological Bulletin", "id" : "ITEM-1", "issue" : "3", "issued" : { "date-parts" : [ [ "1986" ] ] }, "page" : "432-442", "title" : "Comparison of five rules for determining the number of components to retain", "type" : "article-journal", "volume" : "99" }, "uris" : [ "http://www.mendeley.com/documents/?uuid=ec98e434-a966-4538-9a95-5bd5f4ad231d" ] } ], "mendeley" : { "formattedCitation" : "(Zwick and Velicer, 1986)", "manualFormatting" : "Zwick &amp; Velicer 1986, p.440-441)", "plainTextFormattedCitation" : "(Zwick and Velicer, 1986)", "previouslyFormattedCitation" : "(Zwick and Velicer, 1986)" }, "properties" : { "noteIndex" : 0 }, "schema" : "https://github.com/citation-style-language/schema/raw/master/csl-citation.json" }</w:instrText>
      </w:r>
      <w:r w:rsidR="004055C6">
        <w:rPr>
          <w:szCs w:val="24"/>
        </w:rPr>
        <w:fldChar w:fldCharType="separate"/>
      </w:r>
      <w:r w:rsidR="004055C6" w:rsidRPr="004055C6">
        <w:rPr>
          <w:noProof/>
          <w:szCs w:val="24"/>
        </w:rPr>
        <w:t>Zwick &amp; Velicer 1986</w:t>
      </w:r>
      <w:r w:rsidR="004055C6">
        <w:rPr>
          <w:noProof/>
          <w:szCs w:val="24"/>
        </w:rPr>
        <w:t>, p.440-441</w:t>
      </w:r>
      <w:r w:rsidR="004055C6" w:rsidRPr="004055C6">
        <w:rPr>
          <w:noProof/>
          <w:szCs w:val="24"/>
        </w:rPr>
        <w:t>)</w:t>
      </w:r>
      <w:r w:rsidR="004055C6">
        <w:rPr>
          <w:szCs w:val="24"/>
        </w:rPr>
        <w:fldChar w:fldCharType="end"/>
      </w:r>
      <w:r w:rsidR="004055C6">
        <w:rPr>
          <w:szCs w:val="24"/>
        </w:rPr>
        <w:t>.</w:t>
      </w:r>
    </w:p>
    <w:p w14:paraId="2D7A6221" w14:textId="5FCA4D00" w:rsidR="00976DD5" w:rsidRDefault="00976DD5" w:rsidP="00976DD5">
      <w:pPr>
        <w:rPr>
          <w:szCs w:val="24"/>
        </w:rPr>
      </w:pPr>
      <w:r>
        <w:rPr>
          <w:szCs w:val="24"/>
        </w:rPr>
        <w:t xml:space="preserve">The test most recommended from reviews of PCA is </w:t>
      </w:r>
      <w:r>
        <w:rPr>
          <w:i/>
          <w:iCs/>
          <w:szCs w:val="24"/>
        </w:rPr>
        <w:t>Parallel Analysis</w:t>
      </w:r>
      <w:r>
        <w:rPr>
          <w:szCs w:val="24"/>
        </w:rPr>
        <w:t xml:space="preserve"> </w:t>
      </w:r>
      <w:r w:rsidR="004055C6">
        <w:rPr>
          <w:rFonts w:cstheme="majorBidi"/>
          <w:szCs w:val="24"/>
        </w:rPr>
        <w:fldChar w:fldCharType="begin" w:fldLock="1"/>
      </w:r>
      <w:r w:rsidR="00396424">
        <w:rPr>
          <w:rFonts w:cstheme="majorBidi"/>
          <w:szCs w:val="24"/>
        </w:rPr>
        <w:instrText>ADDIN CSL_CITATION { "citationItems" : [ { "id" : "ITEM-1", "itemData" : { "DOI" : "10.1037//1082-989X.4.3.272", "ISSN" : "1082-989X", "author" : [ { "dropping-particle" : "", "family" : "Fabrigar", "given" : "Leandre R.", "non-dropping-particle" : "", "parse-names" : false, "suffix" : "" }, { "dropping-particle" : "", "family" : "Wegener", "given" : "Duane T.", "non-dropping-particle" : "", "parse-names" : false, "suffix" : "" }, { "dropping-particle" : "", "family" : "MacCallum", "given" : "Robert C.", "non-dropping-particle" : "", "parse-names" : false, "suffix" : "" }, { "dropping-particle" : "", "family" : "Strahan", "given" : "Erin J.", "non-dropping-particle" : "", "parse-names" : false, "suffix" : "" } ], "container-title" : "Psychological Methods", "id" : "ITEM-1", "issue" : "3", "issued" : { "date-parts" : [ [ "1999" ] ] }, "page" : "272-299", "title" : "Evaluating the use of exploratory factor analysis in psychological research.", "type" : "article-journal", "volume" : "4" }, "uris" : [ "http://www.mendeley.com/documents/?uuid=90d4d09b-d1cd-4d18-9654-b90f325486f3" ] } ], "mendeley" : { "formattedCitation" : "(Fabrigar &lt;i&gt;et al.&lt;/i&gt;, 1999)", "manualFormatting" : "(PA, see Fabrigar et al. 1999)", "plainTextFormattedCitation" : "(Fabrigar et al., 1999)", "previouslyFormattedCitation" : "(Fabrigar &lt;i&gt;et al.&lt;/i&gt;, 1999)" }, "properties" : { "noteIndex" : 0 }, "schema" : "https://github.com/citation-style-language/schema/raw/master/csl-citation.json" }</w:instrText>
      </w:r>
      <w:r w:rsidR="004055C6">
        <w:rPr>
          <w:rFonts w:cstheme="majorBidi"/>
          <w:szCs w:val="24"/>
        </w:rPr>
        <w:fldChar w:fldCharType="separate"/>
      </w:r>
      <w:r w:rsidR="004055C6" w:rsidRPr="004055C6">
        <w:rPr>
          <w:rFonts w:cstheme="majorBidi"/>
          <w:noProof/>
          <w:szCs w:val="24"/>
        </w:rPr>
        <w:t>(</w:t>
      </w:r>
      <w:r w:rsidR="00396424">
        <w:rPr>
          <w:rFonts w:cstheme="majorBidi"/>
          <w:noProof/>
          <w:szCs w:val="24"/>
        </w:rPr>
        <w:t xml:space="preserve">PA, </w:t>
      </w:r>
      <w:r w:rsidR="004055C6">
        <w:rPr>
          <w:rFonts w:cstheme="majorBidi"/>
          <w:noProof/>
          <w:szCs w:val="24"/>
        </w:rPr>
        <w:t xml:space="preserve">see </w:t>
      </w:r>
      <w:r w:rsidR="004055C6" w:rsidRPr="004055C6">
        <w:rPr>
          <w:rFonts w:cstheme="majorBidi"/>
          <w:noProof/>
          <w:szCs w:val="24"/>
        </w:rPr>
        <w:t xml:space="preserve">Fabrigar </w:t>
      </w:r>
      <w:r w:rsidR="00803848">
        <w:rPr>
          <w:rFonts w:cstheme="majorBidi"/>
          <w:noProof/>
          <w:szCs w:val="24"/>
        </w:rPr>
        <w:t>et al</w:t>
      </w:r>
      <w:r w:rsidR="004055C6" w:rsidRPr="004055C6">
        <w:rPr>
          <w:rFonts w:cstheme="majorBidi"/>
          <w:noProof/>
          <w:szCs w:val="24"/>
        </w:rPr>
        <w:t>. 1999)</w:t>
      </w:r>
      <w:r w:rsidR="004055C6">
        <w:rPr>
          <w:rFonts w:cstheme="majorBidi"/>
          <w:szCs w:val="24"/>
        </w:rPr>
        <w:fldChar w:fldCharType="end"/>
      </w:r>
      <w:r>
        <w:rPr>
          <w:szCs w:val="24"/>
        </w:rPr>
        <w:t xml:space="preserve">. The idea behind PA is relatively simple. First, a random dataset is generated with the same sample size as the one being used by the researcher. Then, PCA is run on this replicated dataset using the same number of variables as in the researcher’s PCA. Parallel components and eigenvalues are produced. This process is repeated hundreds – sometimes thousands – of times and an average is produced. This can then be compared to the results for each component from the real dataset. If the real dataset eigenvalue is higher for the component, it is retained. If it is lower, then the PCA in this case is not finding anything different to results from random data, and so that component should be binned. </w:t>
      </w:r>
      <w:r w:rsidR="004055C6">
        <w:rPr>
          <w:szCs w:val="24"/>
        </w:rPr>
        <w:fldChar w:fldCharType="begin" w:fldLock="1"/>
      </w:r>
      <w:r w:rsidR="00E63CC6">
        <w:rPr>
          <w:szCs w:val="24"/>
        </w:rPr>
        <w:instrText>ADDIN CSL_CITATION { "citationItems" : [ { "id" : "ITEM-1", "itemData" : { "DOI" : "10.1177/1094428104263675", "ISSN" : "10944281", "author" : [ { "dropping-particle" : "", "family" : "Hayton", "given" : "James C.", "non-dropping-particle" : "", "parse-names" : false, "suffix" : "" }, { "dropping-particle" : "", "family" : "Allen", "given" : "David G.", "non-dropping-particle" : "", "parse-names" : false, "suffix" : "" }, { "dropping-particle" : "", "family" : "Scarpello", "given" : "Vida", "non-dropping-particle" : "", "parse-names" : false, "suffix" : "" } ], "container-title" : "Organizational Research Methods", "id" : "ITEM-1", "issue" : "2", "issued" : { "date-parts" : [ [ "2004", "4", "1" ] ] }, "page" : "191-205", "title" : "Factor Retention Decisions in Exploratory Factor Analysis: a Tutorial on Parallel Analysis", "type" : "article-journal", "volume" : "7" }, "uris" : [ "http://www.mendeley.com/documents/?uuid=79941c1c-68ed-4f96-b628-3a6770f92e28" ] } ], "mendeley" : { "formattedCitation" : "(Hayton, Allen and Scarpello, 2004)", "manualFormatting" : "Hayton et al. (2004, p.194)", "plainTextFormattedCitation" : "(Hayton, Allen and Scarpello, 2004)", "previouslyFormattedCitation" : "(Hayton, Allen and Scarpello, 2004)" }, "properties" : { "noteIndex" : 0 }, "schema" : "https://github.com/citation-style-language/schema/raw/master/csl-citation.json" }</w:instrText>
      </w:r>
      <w:r w:rsidR="004055C6">
        <w:rPr>
          <w:szCs w:val="24"/>
        </w:rPr>
        <w:fldChar w:fldCharType="separate"/>
      </w:r>
      <w:r w:rsidR="004055C6" w:rsidRPr="004055C6">
        <w:rPr>
          <w:noProof/>
          <w:szCs w:val="24"/>
        </w:rPr>
        <w:t xml:space="preserve">Hayton </w:t>
      </w:r>
      <w:r w:rsidR="00803848">
        <w:rPr>
          <w:noProof/>
          <w:szCs w:val="24"/>
        </w:rPr>
        <w:t>et al</w:t>
      </w:r>
      <w:r w:rsidR="004055C6" w:rsidRPr="004055C6">
        <w:rPr>
          <w:noProof/>
          <w:szCs w:val="24"/>
        </w:rPr>
        <w:t xml:space="preserve">. </w:t>
      </w:r>
      <w:r w:rsidR="004055C6">
        <w:rPr>
          <w:noProof/>
          <w:szCs w:val="24"/>
        </w:rPr>
        <w:t>(</w:t>
      </w:r>
      <w:r w:rsidR="004055C6" w:rsidRPr="004055C6">
        <w:rPr>
          <w:noProof/>
          <w:szCs w:val="24"/>
        </w:rPr>
        <w:t>2004</w:t>
      </w:r>
      <w:r w:rsidR="004055C6">
        <w:rPr>
          <w:noProof/>
          <w:szCs w:val="24"/>
        </w:rPr>
        <w:t>, p.194</w:t>
      </w:r>
      <w:r w:rsidR="004055C6" w:rsidRPr="004055C6">
        <w:rPr>
          <w:noProof/>
          <w:szCs w:val="24"/>
        </w:rPr>
        <w:t>)</w:t>
      </w:r>
      <w:r w:rsidR="004055C6">
        <w:rPr>
          <w:szCs w:val="24"/>
        </w:rPr>
        <w:fldChar w:fldCharType="end"/>
      </w:r>
      <w:r>
        <w:rPr>
          <w:szCs w:val="24"/>
        </w:rPr>
        <w:t xml:space="preserve"> describe</w:t>
      </w:r>
      <w:r w:rsidR="004055C6">
        <w:rPr>
          <w:szCs w:val="24"/>
        </w:rPr>
        <w:t>d</w:t>
      </w:r>
      <w:r>
        <w:rPr>
          <w:szCs w:val="24"/>
        </w:rPr>
        <w:t xml:space="preserve"> this in statistical terms:</w:t>
      </w:r>
    </w:p>
    <w:p w14:paraId="4B134B74" w14:textId="77777777" w:rsidR="00976DD5" w:rsidRDefault="00976DD5" w:rsidP="000D0A01">
      <w:pPr>
        <w:pStyle w:val="Quote"/>
      </w:pPr>
      <w:r>
        <w:t xml:space="preserve"> “…PA involves the construction of a number of correlation matrices of random variables based on the same sample size and number of variables in the real data set. The average eigenvalues from the random correlation matrices are then compared to the eigenvalues from the real data correlation matrix, such that the first observed eigenvalue is compared to the first random eigenvalue, the second observed eigenvalue is compared to the second random eigenvalue, and so on. Factors corresponding to actual eigenvalues that are greater than the parallel average random eigenvalues should be retained.”</w:t>
      </w:r>
    </w:p>
    <w:p w14:paraId="3E427536" w14:textId="77777777" w:rsidR="00976DD5" w:rsidRDefault="00976DD5" w:rsidP="00976DD5">
      <w:pPr>
        <w:spacing w:line="240" w:lineRule="auto"/>
        <w:ind w:left="567" w:right="522"/>
        <w:rPr>
          <w:szCs w:val="24"/>
        </w:rPr>
      </w:pPr>
    </w:p>
    <w:p w14:paraId="16976AD1" w14:textId="77777777" w:rsidR="00976DD5" w:rsidRDefault="00976DD5" w:rsidP="00976DD5">
      <w:pPr>
        <w:rPr>
          <w:szCs w:val="24"/>
        </w:rPr>
      </w:pPr>
      <w:r>
        <w:rPr>
          <w:szCs w:val="24"/>
        </w:rPr>
        <w:t>The major drawback initially raised by the literature concerning the use of PA was that it requires a lot of computational power to run. However, this was a problem two decades ago, but it no longer provides a major difficulty – the test is now available in many popular software packages.</w:t>
      </w:r>
    </w:p>
    <w:p w14:paraId="4D34A0D8" w14:textId="5FCD5079" w:rsidR="00F54C85" w:rsidRPr="005F6D7A" w:rsidRDefault="00976DD5" w:rsidP="00F54C85">
      <w:pPr>
        <w:rPr>
          <w:rFonts w:cstheme="majorBidi"/>
          <w:b/>
          <w:bCs/>
          <w:szCs w:val="24"/>
        </w:rPr>
      </w:pPr>
      <w:r>
        <w:rPr>
          <w:szCs w:val="24"/>
        </w:rPr>
        <w:t>Since these tests are all available and straightforward to calculate or produce, the analysis in this chapter will use all three and compare them in order to make a robust and informed decision on what components to retain.</w:t>
      </w:r>
      <w:bookmarkStart w:id="229" w:name="_Toc385498308"/>
      <w:bookmarkStart w:id="230" w:name="_Toc369970194"/>
      <w:bookmarkStart w:id="231" w:name="_Toc441069221"/>
      <w:r w:rsidR="005F6D7A">
        <w:rPr>
          <w:rFonts w:cstheme="majorBidi"/>
          <w:b/>
          <w:bCs/>
          <w:szCs w:val="24"/>
        </w:rPr>
        <w:t xml:space="preserve"> </w:t>
      </w:r>
    </w:p>
    <w:p w14:paraId="207A9AE4" w14:textId="77777777" w:rsidR="00976DD5" w:rsidRDefault="00976DD5" w:rsidP="00E223A2">
      <w:pPr>
        <w:pStyle w:val="Heading4"/>
      </w:pPr>
      <w:r>
        <w:t>Rotation Method</w:t>
      </w:r>
      <w:bookmarkEnd w:id="229"/>
      <w:bookmarkEnd w:id="230"/>
      <w:bookmarkEnd w:id="231"/>
    </w:p>
    <w:p w14:paraId="1A94EB35" w14:textId="4D5D28AD" w:rsidR="00976DD5" w:rsidRDefault="00976DD5" w:rsidP="00976DD5">
      <w:pPr>
        <w:rPr>
          <w:rFonts w:cstheme="majorBidi"/>
          <w:szCs w:val="24"/>
        </w:rPr>
      </w:pPr>
      <w:r>
        <w:rPr>
          <w:rFonts w:cstheme="majorBidi"/>
          <w:szCs w:val="24"/>
        </w:rPr>
        <w:t xml:space="preserve">After the components have been chosen, the researcher can examine how much each variable loads upon them. This helps the interpretation of the underlying dimension which the component is picking up. By rotating the components the loading of each variable becomes easier to interpret whilst the underlying mathematical properties of the solution remain the same </w:t>
      </w:r>
      <w:r w:rsidR="00FB61EF">
        <w:rPr>
          <w:rFonts w:cstheme="majorBidi"/>
          <w:szCs w:val="24"/>
        </w:rPr>
        <w:fldChar w:fldCharType="begin" w:fldLock="1"/>
      </w:r>
      <w:r w:rsidR="00E63CC6">
        <w:rPr>
          <w:rFonts w:cstheme="majorBidi"/>
          <w:szCs w:val="24"/>
        </w:rPr>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"2007" ] ] }, "publisher" : "Pearson Allyn &amp; Bacon", "publisher-place" : "New Jersey", "title" : "Using Multivariate Statistics", "type" : "book" }, "uris" : [ "http://www.mendeley.com/documents/?uuid=760d9dd4-4046-437c-9155-377c64b3e948" ] } ], "mendeley" : { "formattedCitation" : "(Tabachnick and Fidell, 2007)", "manualFormatting" : "(Tabachnick &amp; Fidell 2007, p.609)", "plainTextFormattedCitation" : "(Tabachnick and Fidell, 2007)", "previouslyFormattedCitation" : "(Tabachnick and Fidell, 2007)" }, "properties" : { "noteIndex" : 0 }, "schema" : "https://github.com/citation-style-language/schema/raw/master/csl-citation.json" }</w:instrText>
      </w:r>
      <w:r w:rsidR="00FB61EF">
        <w:rPr>
          <w:rFonts w:cstheme="majorBidi"/>
          <w:szCs w:val="24"/>
        </w:rPr>
        <w:fldChar w:fldCharType="separate"/>
      </w:r>
      <w:r w:rsidR="00FB61EF" w:rsidRPr="00FB61EF">
        <w:rPr>
          <w:rFonts w:cstheme="majorBidi"/>
          <w:noProof/>
          <w:szCs w:val="24"/>
        </w:rPr>
        <w:t>(Tabachnick &amp; Fidell 2007</w:t>
      </w:r>
      <w:r w:rsidR="00FB61EF">
        <w:rPr>
          <w:rFonts w:cstheme="majorBidi"/>
          <w:noProof/>
          <w:szCs w:val="24"/>
        </w:rPr>
        <w:t>, p.609</w:t>
      </w:r>
      <w:r w:rsidR="00FB61EF" w:rsidRPr="00FB61EF">
        <w:rPr>
          <w:rFonts w:cstheme="majorBidi"/>
          <w:noProof/>
          <w:szCs w:val="24"/>
        </w:rPr>
        <w:t>)</w:t>
      </w:r>
      <w:r w:rsidR="00FB61EF">
        <w:rPr>
          <w:rFonts w:cstheme="majorBidi"/>
          <w:szCs w:val="24"/>
        </w:rPr>
        <w:fldChar w:fldCharType="end"/>
      </w:r>
      <w:r w:rsidR="00FB61EF">
        <w:rPr>
          <w:rFonts w:cstheme="majorBidi"/>
          <w:szCs w:val="24"/>
        </w:rPr>
        <w:t>.</w:t>
      </w:r>
    </w:p>
    <w:p w14:paraId="390668A0" w14:textId="09E1D73B" w:rsidR="003F66B1" w:rsidRPr="003F66B1" w:rsidRDefault="00976DD5" w:rsidP="003F66B1">
      <w:pPr>
        <w:rPr>
          <w:rFonts w:cstheme="majorBidi"/>
          <w:szCs w:val="24"/>
        </w:rPr>
      </w:pPr>
      <w:r>
        <w:rPr>
          <w:rFonts w:cstheme="majorBidi"/>
          <w:szCs w:val="24"/>
        </w:rPr>
        <w:t>There are two types of rotation that can be done: orthogonal and oblique. Orthogonal rotation retains the principle that the components produced should not correlate. This means that when the axes are turned to better align with the variable scores, the intersection of the axes remains perpendicular in a fixed cross-shape (in the case of a two component solution). With oblique rotation, this rule is relaxed and the components are allowed some correlation. The intersection of the axes can then move, like sciss</w:t>
      </w:r>
      <w:r w:rsidR="003F66B1">
        <w:rPr>
          <w:rFonts w:cstheme="majorBidi"/>
          <w:szCs w:val="24"/>
        </w:rPr>
        <w:t>ors. This is shown in Figure 4.4</w:t>
      </w:r>
      <w:r>
        <w:rPr>
          <w:rFonts w:cstheme="majorBidi"/>
          <w:szCs w:val="24"/>
        </w:rPr>
        <w:t xml:space="preserve"> (note in this diagram the componen</w:t>
      </w:r>
      <w:r w:rsidR="00BF0AD2">
        <w:rPr>
          <w:rFonts w:cstheme="majorBidi"/>
          <w:szCs w:val="24"/>
        </w:rPr>
        <w:t>ts are referred to as factors).</w:t>
      </w:r>
    </w:p>
    <w:p w14:paraId="3495396E" w14:textId="77777777" w:rsidR="003F66B1" w:rsidRDefault="003F66B1" w:rsidP="003F66B1">
      <w:pPr>
        <w:rPr>
          <w:rFonts w:cstheme="majorBidi"/>
          <w:szCs w:val="24"/>
        </w:rPr>
      </w:pPr>
      <w:r>
        <w:rPr>
          <w:rFonts w:cstheme="majorBidi"/>
          <w:szCs w:val="24"/>
        </w:rPr>
        <w:t>Orthogonal rotation is frequently carried out on PCA results as this helps produce the variable loading scores, which can then generate individual regression loadings for each case in the analysis:</w:t>
      </w:r>
    </w:p>
    <w:p w14:paraId="5BC913CA" w14:textId="77777777" w:rsidR="003F66B1" w:rsidRDefault="003F66B1" w:rsidP="003F66B1">
      <w:pPr>
        <w:pStyle w:val="Quote"/>
      </w:pPr>
      <w:r>
        <w:t>“If rotation is orthogonal (so that all factors are uncorrelated with each other), a loading matrix is produced. The loading matrix is a matrix of correlations between observed variables and factors. The sizes of the loadings reflect the extent of the relationship between each observed variable and each factor.” (Tabachnick &amp; Fidell 2007, p.609)</w:t>
      </w:r>
    </w:p>
    <w:p w14:paraId="27662EDE" w14:textId="1168146F" w:rsidR="00976DD5" w:rsidRPr="003A5664" w:rsidRDefault="008E350B" w:rsidP="008E350B">
      <w:pPr>
        <w:pStyle w:val="Caption"/>
        <w:rPr>
          <w:rFonts w:ascii="Segoe UI" w:hAnsi="Segoe UI" w:cs="Segoe UI"/>
          <w:b w:val="0"/>
          <w:i w:val="0"/>
          <w:szCs w:val="24"/>
        </w:rPr>
      </w:pPr>
      <w:bookmarkStart w:id="232" w:name="_Toc494687159"/>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4</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3F66B1" w:rsidRPr="003A5664">
        <w:rPr>
          <w:rFonts w:ascii="Segoe UI" w:hAnsi="Segoe UI" w:cs="Segoe UI"/>
          <w:i w:val="0"/>
          <w:noProof/>
        </w:rPr>
        <w:t>4</w:t>
      </w:r>
      <w:r w:rsidR="00994662" w:rsidRPr="003A5664">
        <w:rPr>
          <w:rFonts w:ascii="Segoe UI" w:hAnsi="Segoe UI" w:cs="Segoe UI"/>
          <w:i w:val="0"/>
          <w:noProof/>
        </w:rPr>
        <w:fldChar w:fldCharType="end"/>
      </w:r>
      <w:r w:rsidRPr="003A5664">
        <w:rPr>
          <w:rFonts w:ascii="Segoe UI" w:hAnsi="Segoe UI" w:cs="Segoe UI"/>
          <w:i w:val="0"/>
        </w:rPr>
        <w:t xml:space="preserve"> Oblique and Orthog</w:t>
      </w:r>
      <w:r w:rsidR="00FB61EF" w:rsidRPr="003A5664">
        <w:rPr>
          <w:rFonts w:ascii="Segoe UI" w:hAnsi="Segoe UI" w:cs="Segoe UI"/>
          <w:i w:val="0"/>
        </w:rPr>
        <w:t>onal rotations (from Field 2011, p.</w:t>
      </w:r>
      <w:r w:rsidRPr="003A5664">
        <w:rPr>
          <w:rFonts w:ascii="Segoe UI" w:hAnsi="Segoe UI" w:cs="Segoe UI"/>
          <w:i w:val="0"/>
        </w:rPr>
        <w:t>643)</w:t>
      </w:r>
      <w:bookmarkEnd w:id="232"/>
    </w:p>
    <w:p w14:paraId="1620B5EB" w14:textId="77777777" w:rsidR="00976DD5" w:rsidRDefault="00976DD5" w:rsidP="00976DD5">
      <w:pPr>
        <w:jc w:val="center"/>
        <w:rPr>
          <w:rFonts w:cstheme="majorBidi"/>
          <w:szCs w:val="24"/>
        </w:rPr>
      </w:pPr>
      <w:r>
        <w:rPr>
          <w:rFonts w:cstheme="majorBidi"/>
          <w:noProof/>
          <w:szCs w:val="24"/>
          <w:lang w:eastAsia="zh-CN"/>
        </w:rPr>
        <w:drawing>
          <wp:inline distT="0" distB="0" distL="0" distR="0" wp14:anchorId="4F3B061B" wp14:editId="26660BDB">
            <wp:extent cx="4733925" cy="3067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3067050"/>
                    </a:xfrm>
                    <a:prstGeom prst="rect">
                      <a:avLst/>
                    </a:prstGeom>
                    <a:noFill/>
                    <a:ln>
                      <a:noFill/>
                    </a:ln>
                  </pic:spPr>
                </pic:pic>
              </a:graphicData>
            </a:graphic>
          </wp:inline>
        </w:drawing>
      </w:r>
    </w:p>
    <w:p w14:paraId="283A3764" w14:textId="77777777" w:rsidR="00976DD5" w:rsidRDefault="00976DD5" w:rsidP="005F6D7A">
      <w:pPr>
        <w:spacing w:line="240" w:lineRule="auto"/>
        <w:ind w:right="522"/>
        <w:rPr>
          <w:rFonts w:cstheme="majorBidi"/>
          <w:szCs w:val="24"/>
        </w:rPr>
      </w:pPr>
    </w:p>
    <w:p w14:paraId="5C6BB511" w14:textId="04C48812" w:rsidR="00976DD5" w:rsidRDefault="00976DD5" w:rsidP="00976DD5">
      <w:pPr>
        <w:rPr>
          <w:rFonts w:cstheme="majorBidi"/>
          <w:szCs w:val="24"/>
        </w:rPr>
      </w:pPr>
      <w:r>
        <w:rPr>
          <w:rFonts w:cstheme="majorBidi"/>
          <w:szCs w:val="24"/>
        </w:rPr>
        <w:t xml:space="preserve">Oblique rotation is less common. In reality, whilst allowing components to correlate to some extent may paint a more nuanced and realistic picture, this rotation technique also makes interpretation of components much more difficult. </w:t>
      </w:r>
      <w:r w:rsidR="0083349F">
        <w:rPr>
          <w:rFonts w:cstheme="majorBidi"/>
          <w:szCs w:val="24"/>
        </w:rPr>
        <w:t>By prioritising the notion of distinct, uncorrelated components, this is also an advantage later when they are used as explanatory variables in Chapter 6.</w:t>
      </w:r>
    </w:p>
    <w:p w14:paraId="2B0E40CB" w14:textId="3599B0EE" w:rsidR="00976DD5" w:rsidRDefault="00976DD5" w:rsidP="00976DD5">
      <w:pPr>
        <w:rPr>
          <w:rFonts w:cstheme="majorBidi"/>
          <w:szCs w:val="24"/>
        </w:rPr>
      </w:pPr>
      <w:r>
        <w:rPr>
          <w:rFonts w:cstheme="majorBidi"/>
          <w:szCs w:val="24"/>
        </w:rPr>
        <w:t>The orthogonal method of varimax rotation is used in this study. This allows for improved interpretation of factor loadings</w:t>
      </w:r>
      <w:r w:rsidR="00A670CD">
        <w:rPr>
          <w:rFonts w:cstheme="majorBidi"/>
          <w:szCs w:val="24"/>
        </w:rPr>
        <w:t>, and generating two distinct dimensions. This is useful when later using these dimensions themselves as explanatory variables for political participation.</w:t>
      </w:r>
    </w:p>
    <w:p w14:paraId="5CD869A3" w14:textId="77777777" w:rsidR="00976DD5" w:rsidRDefault="00976DD5" w:rsidP="00E223A2">
      <w:pPr>
        <w:pStyle w:val="Heading4"/>
      </w:pPr>
      <w:bookmarkStart w:id="233" w:name="_Toc385498309"/>
      <w:bookmarkStart w:id="234" w:name="_Toc369970195"/>
      <w:bookmarkStart w:id="235" w:name="_Toc441069222"/>
      <w:r>
        <w:t>Sample Size</w:t>
      </w:r>
      <w:bookmarkEnd w:id="233"/>
      <w:bookmarkEnd w:id="234"/>
      <w:bookmarkEnd w:id="235"/>
    </w:p>
    <w:p w14:paraId="75596D66" w14:textId="44E7D50E" w:rsidR="00976DD5" w:rsidRDefault="00976DD5" w:rsidP="00976DD5">
      <w:pPr>
        <w:rPr>
          <w:rFonts w:cstheme="majorBidi"/>
          <w:szCs w:val="24"/>
        </w:rPr>
      </w:pPr>
      <w:r>
        <w:rPr>
          <w:rFonts w:cstheme="majorBidi"/>
          <w:szCs w:val="24"/>
        </w:rPr>
        <w:t xml:space="preserve">There are numerous rules of thumb for what sample size is necessary to carry out a robust exploratory analysis. </w:t>
      </w:r>
      <w:r w:rsidR="00FB61EF">
        <w:rPr>
          <w:rFonts w:cstheme="majorBidi"/>
          <w:szCs w:val="24"/>
        </w:rPr>
        <w:fldChar w:fldCharType="begin" w:fldLock="1"/>
      </w:r>
      <w:r w:rsidR="00E63CC6">
        <w:rPr>
          <w:rFonts w:cstheme="majorBidi"/>
          <w:szCs w:val="24"/>
        </w:rPr>
        <w:instrText>ADDIN CSL_CITATION { "citationItems" : [ { "id" : "ITEM-1", "itemData" : { "author" : [ { "dropping-particle" : "", "family" : "Comrey", "given" : "AL", "non-dropping-particle" : "", "parse-names" : false, "suffix" : "" }, { "dropping-particle" : "", "family" : "Lee", "given" : "HB", "non-dropping-particle" : "", "parse-names" : false, "suffix" : "" } ], "id" : "ITEM-1", "issued" : { "date-parts" : [ [ "1992" ] ] }, "publisher" : "Erlbaum", "publisher-place" : "New Jersey", "title" : "A first course in factor analysis", "type" : "book" }, "uris" : [ "http://www.mendeley.com/documents/?uuid=109dfd43-491b-4743-8dec-d1ed61950388" ] } ], "mendeley" : { "formattedCitation" : "(Comrey and Lee, 1992)", "manualFormatting" : "Comrey and Lee (1992)", "plainTextFormattedCitation" : "(Comrey and Lee, 1992)", "previouslyFormattedCitation" : "(Comrey and Lee, 1992)" }, "properties" : { "noteIndex" : 0 }, "schema" : "https://github.com/citation-style-language/schema/raw/master/csl-citation.json" }</w:instrText>
      </w:r>
      <w:r w:rsidR="00FB61EF">
        <w:rPr>
          <w:rFonts w:cstheme="majorBidi"/>
          <w:szCs w:val="24"/>
        </w:rPr>
        <w:fldChar w:fldCharType="separate"/>
      </w:r>
      <w:r w:rsidR="00FB61EF">
        <w:rPr>
          <w:rFonts w:cstheme="majorBidi"/>
          <w:noProof/>
          <w:szCs w:val="24"/>
        </w:rPr>
        <w:t>Comrey and</w:t>
      </w:r>
      <w:r w:rsidR="00FB61EF" w:rsidRPr="00FB61EF">
        <w:rPr>
          <w:rFonts w:cstheme="majorBidi"/>
          <w:noProof/>
          <w:szCs w:val="24"/>
        </w:rPr>
        <w:t xml:space="preserve"> Lee </w:t>
      </w:r>
      <w:r w:rsidR="00FB61EF">
        <w:rPr>
          <w:rFonts w:cstheme="majorBidi"/>
          <w:noProof/>
          <w:szCs w:val="24"/>
        </w:rPr>
        <w:t>(</w:t>
      </w:r>
      <w:r w:rsidR="00FB61EF" w:rsidRPr="00FB61EF">
        <w:rPr>
          <w:rFonts w:cstheme="majorBidi"/>
          <w:noProof/>
          <w:szCs w:val="24"/>
        </w:rPr>
        <w:t>1992)</w:t>
      </w:r>
      <w:r w:rsidR="00FB61EF">
        <w:rPr>
          <w:rFonts w:cstheme="majorBidi"/>
          <w:szCs w:val="24"/>
        </w:rPr>
        <w:fldChar w:fldCharType="end"/>
      </w:r>
      <w:r>
        <w:rPr>
          <w:rFonts w:cstheme="majorBidi"/>
          <w:szCs w:val="24"/>
        </w:rPr>
        <w:t xml:space="preserve"> </w:t>
      </w:r>
      <w:r w:rsidR="005F6D7A">
        <w:rPr>
          <w:rFonts w:cstheme="majorBidi"/>
          <w:szCs w:val="24"/>
        </w:rPr>
        <w:t xml:space="preserve">have </w:t>
      </w:r>
      <w:r>
        <w:rPr>
          <w:rFonts w:cstheme="majorBidi"/>
          <w:szCs w:val="24"/>
        </w:rPr>
        <w:t>suggest</w:t>
      </w:r>
      <w:r w:rsidR="005F6D7A">
        <w:rPr>
          <w:rFonts w:cstheme="majorBidi"/>
          <w:szCs w:val="24"/>
        </w:rPr>
        <w:t>ed</w:t>
      </w:r>
      <w:r>
        <w:rPr>
          <w:rFonts w:cstheme="majorBidi"/>
          <w:szCs w:val="24"/>
        </w:rPr>
        <w:t xml:space="preserve"> that over 500 cases in the dataset is good and over 1,000 is excellent for exploratory analysis of this kind.  Another approach to calculating acceptable sample size focuses on the ratio of cases to variables. There are a considerable number of conclusions across the literature as to what the minimum ratio might be for reliable results. Using data from a study by</w:t>
      </w:r>
      <w:r w:rsidR="00FB61EF">
        <w:rPr>
          <w:rFonts w:cstheme="majorBidi"/>
          <w:szCs w:val="24"/>
        </w:rPr>
        <w:t xml:space="preserve"> </w:t>
      </w:r>
      <w:r w:rsidR="00FB61EF">
        <w:rPr>
          <w:rFonts w:cstheme="majorBidi"/>
          <w:szCs w:val="24"/>
        </w:rPr>
        <w:fldChar w:fldCharType="begin" w:fldLock="1"/>
      </w:r>
      <w:r w:rsidR="00E63CC6">
        <w:rPr>
          <w:rFonts w:cstheme="majorBidi"/>
          <w:szCs w:val="24"/>
        </w:rPr>
        <w:instrText>ADDIN CSL_CITATION { "citationItems" : [ { "id" : "ITEM-1", "itemData" : { "ISSN" : "0033-2909", "PMID" : "3363047", "author" : [ { "dropping-particle" : "", "family" : "Guadagnoli", "given" : "E", "non-dropping-particle" : "", "parse-names" : false, "suffix" : "" }, { "dropping-particle" : "", "family" : "Velicer", "given" : "W F", "non-dropping-particle" : "", "parse-names" : false, "suffix" : "" } ], "container-title" : "Psychological bulletin", "id" : "ITEM-1", "issue" : "2", "issued" : { "date-parts" : [ [ "1988", "3" ] ] }, "page" : "265-75", "title" : "Relation of sample size to the stability of component patterns.", "type" : "article-journal", "volume" : "103" }, "uris" : [ "http://www.mendeley.com/documents/?uuid=55eddd63-4d52-415f-b486-46b33676ea43" ] } ], "mendeley" : { "formattedCitation" : "(Guadagnoli and Velicer, 1988)", "manualFormatting" : "Guadagnoli and Velicer (1988)", "plainTextFormattedCitation" : "(Guadagnoli and Velicer, 1988)", "previouslyFormattedCitation" : "(Guadagnoli and Velicer, 1988)" }, "properties" : { "noteIndex" : 0 }, "schema" : "https://github.com/citation-style-language/schema/raw/master/csl-citation.json" }</w:instrText>
      </w:r>
      <w:r w:rsidR="00FB61EF">
        <w:rPr>
          <w:rFonts w:cstheme="majorBidi"/>
          <w:szCs w:val="24"/>
        </w:rPr>
        <w:fldChar w:fldCharType="separate"/>
      </w:r>
      <w:r w:rsidR="00F54C85">
        <w:rPr>
          <w:rFonts w:cstheme="majorBidi"/>
          <w:noProof/>
          <w:szCs w:val="24"/>
        </w:rPr>
        <w:t>Guadagnoli and</w:t>
      </w:r>
      <w:r w:rsidR="00FB61EF" w:rsidRPr="00FB61EF">
        <w:rPr>
          <w:rFonts w:cstheme="majorBidi"/>
          <w:noProof/>
          <w:szCs w:val="24"/>
        </w:rPr>
        <w:t xml:space="preserve"> Velicer </w:t>
      </w:r>
      <w:r w:rsidR="00F54C85">
        <w:rPr>
          <w:rFonts w:cstheme="majorBidi"/>
          <w:noProof/>
          <w:szCs w:val="24"/>
        </w:rPr>
        <w:t>(</w:t>
      </w:r>
      <w:r w:rsidR="00FB61EF" w:rsidRPr="00FB61EF">
        <w:rPr>
          <w:rFonts w:cstheme="majorBidi"/>
          <w:noProof/>
          <w:szCs w:val="24"/>
        </w:rPr>
        <w:t>1988)</w:t>
      </w:r>
      <w:r w:rsidR="00FB61EF">
        <w:rPr>
          <w:rFonts w:cstheme="majorBidi"/>
          <w:szCs w:val="24"/>
        </w:rPr>
        <w:fldChar w:fldCharType="end"/>
      </w:r>
      <w:r w:rsidR="00FB61EF">
        <w:rPr>
          <w:rFonts w:cstheme="majorBidi"/>
          <w:szCs w:val="24"/>
        </w:rPr>
        <w:t xml:space="preserve">, </w:t>
      </w:r>
      <w:r w:rsidR="00FB61EF">
        <w:rPr>
          <w:rFonts w:cstheme="majorBidi"/>
          <w:szCs w:val="24"/>
        </w:rPr>
        <w:fldChar w:fldCharType="begin" w:fldLock="1"/>
      </w:r>
      <w:r w:rsidR="00E63CC6">
        <w:rPr>
          <w:rFonts w:cstheme="majorBidi"/>
          <w:szCs w:val="24"/>
        </w:rPr>
        <w:instrText>ADDIN CSL_CITATION { "citationItems" : [ { "id" : "ITEM-1", "itemData" : { "author" : [ { "dropping-particle" : "", "family" : "Costello", "given" : "AB", "non-dropping-particle" : "", "parse-names" : false, "suffix" : "" }, { "dropping-particle" : "", "family" : "Osborne", "given" : "JW", "non-dropping-particle" : "", "parse-names" : false, "suffix" : "" } ], "container-title" : "Practical Assessment, Research &amp; Evaluation", "id" : "ITEM-1", "issue" : "7", "issued" : { "date-parts" : [ [ "2005" ] ] }, "page" : "1-9", "title" : "Best practices in exploratory factor analysis: Four recommendations for getting the most from your analysis", "type" : "article-journal", "volume" : "10" }, "uris" : [ "http://www.mendeley.com/documents/?uuid=8428a3f0-3343-495e-9ac1-19fbbf762cfc" ] } ], "mendeley" : { "formattedCitation" : "(Costello and Osborne, 2005)", "manualFormatting" : "Costello and Osborne (2005)", "plainTextFormattedCitation" : "(Costello and Osborne, 2005)", "previouslyFormattedCitation" : "(Costello and Osborne, 2005)" }, "properties" : { "noteIndex" : 0 }, "schema" : "https://github.com/citation-style-language/schema/raw/master/csl-citation.json" }</w:instrText>
      </w:r>
      <w:r w:rsidR="00FB61EF">
        <w:rPr>
          <w:rFonts w:cstheme="majorBidi"/>
          <w:szCs w:val="24"/>
        </w:rPr>
        <w:fldChar w:fldCharType="separate"/>
      </w:r>
      <w:r w:rsidR="00FB61EF">
        <w:rPr>
          <w:rFonts w:cstheme="majorBidi"/>
          <w:noProof/>
          <w:szCs w:val="24"/>
        </w:rPr>
        <w:t>Costello and</w:t>
      </w:r>
      <w:r w:rsidR="00FB61EF" w:rsidRPr="00FB61EF">
        <w:rPr>
          <w:rFonts w:cstheme="majorBidi"/>
          <w:noProof/>
          <w:szCs w:val="24"/>
        </w:rPr>
        <w:t xml:space="preserve"> Osborne </w:t>
      </w:r>
      <w:r w:rsidR="00FB61EF">
        <w:rPr>
          <w:rFonts w:cstheme="majorBidi"/>
          <w:noProof/>
          <w:szCs w:val="24"/>
        </w:rPr>
        <w:t>(</w:t>
      </w:r>
      <w:r w:rsidR="00FB61EF" w:rsidRPr="00FB61EF">
        <w:rPr>
          <w:rFonts w:cstheme="majorBidi"/>
          <w:noProof/>
          <w:szCs w:val="24"/>
        </w:rPr>
        <w:t>2005)</w:t>
      </w:r>
      <w:r w:rsidR="00FB61EF">
        <w:rPr>
          <w:rFonts w:cstheme="majorBidi"/>
          <w:szCs w:val="24"/>
        </w:rPr>
        <w:fldChar w:fldCharType="end"/>
      </w:r>
      <w:r>
        <w:rPr>
          <w:rFonts w:cstheme="majorBidi"/>
          <w:szCs w:val="24"/>
        </w:rPr>
        <w:t xml:space="preserve"> examined whether</w:t>
      </w:r>
      <w:r w:rsidR="005F6D7A">
        <w:rPr>
          <w:rFonts w:cstheme="majorBidi"/>
          <w:szCs w:val="24"/>
        </w:rPr>
        <w:t xml:space="preserve"> it</w:t>
      </w:r>
      <w:r w:rsidR="00F54C85">
        <w:rPr>
          <w:rFonts w:cstheme="majorBidi"/>
          <w:szCs w:val="24"/>
        </w:rPr>
        <w:t xml:space="preserve"> was more important to consider absolute sample size or the ratio of</w:t>
      </w:r>
      <w:r>
        <w:rPr>
          <w:rFonts w:cstheme="majorBidi"/>
          <w:szCs w:val="24"/>
        </w:rPr>
        <w:t xml:space="preserve"> variable to cases. Their study compared sampled datasets taken from a population using a wide range of </w:t>
      </w:r>
      <w:r w:rsidR="00FB61EF">
        <w:rPr>
          <w:rFonts w:cstheme="majorBidi"/>
          <w:szCs w:val="24"/>
        </w:rPr>
        <w:t>exploratory</w:t>
      </w:r>
      <w:r>
        <w:rPr>
          <w:rFonts w:cstheme="majorBidi"/>
          <w:szCs w:val="24"/>
        </w:rPr>
        <w:t xml:space="preserve"> techniques. Their conclusion, ultimately, was very straightforward:</w:t>
      </w:r>
    </w:p>
    <w:p w14:paraId="02C6E46F" w14:textId="54E9B8E0" w:rsidR="00976DD5" w:rsidRDefault="00976DD5" w:rsidP="00FB61EF">
      <w:pPr>
        <w:pStyle w:val="Quote"/>
      </w:pPr>
      <w:r>
        <w:t xml:space="preserve">Thus, the most valid conclusion regarding sample size is that more is always better. Period. If subject to item ratios </w:t>
      </w:r>
      <w:r w:rsidR="008223CE">
        <w:t xml:space="preserve">appeal </w:t>
      </w:r>
      <w:r>
        <w:t xml:space="preserve">intuitively to some researchers, and if it leads researchers to utilize samples of a more appropriate size, it is useful. Why not encourage this way of thinking? </w:t>
      </w:r>
      <w:r w:rsidR="00FB61EF">
        <w:fldChar w:fldCharType="begin" w:fldLock="1"/>
      </w:r>
      <w:r w:rsidR="00E63CC6">
        <w:instrText>ADDIN CSL_CITATION { "citationItems" : [ { "id" : "ITEM-1", "itemData" : { "author" : [ { "dropping-particle" : "", "family" : "Osborne", "given" : "JW", "non-dropping-particle" : "", "parse-names" : false, "suffix" : "" }, { "dropping-particle" : "", "family" : "Costello", "given" : "A B", "non-dropping-particle" : "", "parse-names" : false, "suffix" : "" } ], "container-title" : "Practical Assessment, Research &amp; Evaluation", "id" : "ITEM-1", "issue" : "11", "issued" : { "date-parts" : [ [ "2004" ] ] }, "page" : "electronic", "title" : "Sample size and subject to item ratio in principal components analysis", "type" : "article-journal", "volume" : "9" }, "uris" : [ "http://www.mendeley.com/documents/?uuid=d3ebd606-5dcb-4c01-a5d4-46071d27d2c9" ] } ], "mendeley" : { "formattedCitation" : "(Osborne and Costello, 2004)", "manualFormatting" : "(Osborne &amp; Costello 2004, no page [electronic journal])", "plainTextFormattedCitation" : "(Osborne and Costello, 2004)", "previouslyFormattedCitation" : "(Osborne and Costello, 2004)" }, "properties" : { "noteIndex" : 0 }, "schema" : "https://github.com/citation-style-language/schema/raw/master/csl-citation.json" }</w:instrText>
      </w:r>
      <w:r w:rsidR="00FB61EF">
        <w:fldChar w:fldCharType="separate"/>
      </w:r>
      <w:r w:rsidR="00FB61EF" w:rsidRPr="00FB61EF">
        <w:rPr>
          <w:noProof/>
        </w:rPr>
        <w:t>(Osborne &amp; Costello 2004</w:t>
      </w:r>
      <w:r w:rsidR="00FB61EF">
        <w:rPr>
          <w:noProof/>
        </w:rPr>
        <w:t>, no page [electronic journal]</w:t>
      </w:r>
      <w:r w:rsidR="00FB61EF" w:rsidRPr="00FB61EF">
        <w:rPr>
          <w:noProof/>
        </w:rPr>
        <w:t>)</w:t>
      </w:r>
      <w:r w:rsidR="00FB61EF">
        <w:fldChar w:fldCharType="end"/>
      </w:r>
    </w:p>
    <w:p w14:paraId="23362BE6" w14:textId="1AEC2BD3" w:rsidR="00976DD5" w:rsidRDefault="00976DD5" w:rsidP="00976DD5">
      <w:pPr>
        <w:tabs>
          <w:tab w:val="left" w:pos="567"/>
        </w:tabs>
        <w:rPr>
          <w:szCs w:val="24"/>
        </w:rPr>
      </w:pPr>
      <w:r>
        <w:rPr>
          <w:szCs w:val="24"/>
        </w:rPr>
        <w:t>With a total sample size of over 70,000 and a case-variable ratio of 1:7,000</w:t>
      </w:r>
      <w:r w:rsidR="00BD5FE5">
        <w:rPr>
          <w:szCs w:val="24"/>
        </w:rPr>
        <w:t>, the WVS</w:t>
      </w:r>
      <w:r>
        <w:rPr>
          <w:szCs w:val="24"/>
        </w:rPr>
        <w:t xml:space="preserve"> dataset</w:t>
      </w:r>
      <w:r w:rsidR="00BD5FE5">
        <w:rPr>
          <w:szCs w:val="24"/>
        </w:rPr>
        <w:t xml:space="preserve"> used in this thesis</w:t>
      </w:r>
      <w:r>
        <w:rPr>
          <w:szCs w:val="24"/>
        </w:rPr>
        <w:t xml:space="preserve"> provides a more than adequate sample size.</w:t>
      </w:r>
    </w:p>
    <w:p w14:paraId="703EEB86" w14:textId="77777777" w:rsidR="00976DD5" w:rsidRDefault="00976DD5" w:rsidP="00E223A2">
      <w:pPr>
        <w:pStyle w:val="Heading4"/>
      </w:pPr>
      <w:bookmarkStart w:id="236" w:name="_Toc385498310"/>
      <w:bookmarkStart w:id="237" w:name="_Toc441069223"/>
      <w:r>
        <w:t>Absolute versus Priority Values</w:t>
      </w:r>
      <w:bookmarkEnd w:id="236"/>
      <w:bookmarkEnd w:id="237"/>
    </w:p>
    <w:p w14:paraId="38DE63C6" w14:textId="1B87A5B8" w:rsidR="00976DD5" w:rsidRDefault="00976DD5" w:rsidP="00976DD5">
      <w:pPr>
        <w:rPr>
          <w:rFonts w:cstheme="majorBidi"/>
          <w:szCs w:val="24"/>
        </w:rPr>
      </w:pPr>
      <w:r>
        <w:rPr>
          <w:rFonts w:cstheme="majorBidi"/>
          <w:szCs w:val="24"/>
        </w:rPr>
        <w:t xml:space="preserve">As seen in the previous chapter, each of the ten questions allows the respondent to choose how essential that characteristic is for democracy on a scale of one to ten. The results of these choices can be examined using the </w:t>
      </w:r>
      <w:r>
        <w:rPr>
          <w:rFonts w:cstheme="majorBidi"/>
          <w:i/>
          <w:szCs w:val="24"/>
        </w:rPr>
        <w:t>absolute</w:t>
      </w:r>
      <w:r>
        <w:rPr>
          <w:rFonts w:cstheme="majorBidi"/>
          <w:szCs w:val="24"/>
        </w:rPr>
        <w:t xml:space="preserve"> values or by looking at </w:t>
      </w:r>
      <w:r>
        <w:rPr>
          <w:rFonts w:cstheme="majorBidi"/>
          <w:i/>
          <w:szCs w:val="24"/>
        </w:rPr>
        <w:t>priorities</w:t>
      </w:r>
      <w:r>
        <w:rPr>
          <w:rFonts w:cstheme="majorBidi"/>
          <w:szCs w:val="24"/>
        </w:rPr>
        <w:t xml:space="preserve"> (following Welzel 2011, 2013). The priority approach centres each respondent’s item score by their mean rating across all ten items. This then examines the </w:t>
      </w:r>
      <w:r>
        <w:rPr>
          <w:rFonts w:cstheme="majorBidi"/>
          <w:i/>
          <w:szCs w:val="24"/>
        </w:rPr>
        <w:t>relative</w:t>
      </w:r>
      <w:r>
        <w:rPr>
          <w:rFonts w:cstheme="majorBidi"/>
          <w:szCs w:val="24"/>
        </w:rPr>
        <w:t xml:space="preserve"> priorities across the items. The idea behind this is that some respondents might score things relatively low in general (3 might be a low priority and 6 high), whereas others score high in general (6 might be low and 9 high). Here, the extent of prioritizing is the same – 3 scale points – and so mean-centring standardizes this away.</w:t>
      </w:r>
      <w:r w:rsidRPr="00AD1B56">
        <w:rPr>
          <w:rStyle w:val="FootnoteReference"/>
        </w:rPr>
        <w:footnoteReference w:id="13"/>
      </w:r>
    </w:p>
    <w:p w14:paraId="46A67294" w14:textId="77777777" w:rsidR="00976DD5" w:rsidRDefault="00976DD5" w:rsidP="00976DD5">
      <w:pPr>
        <w:rPr>
          <w:rFonts w:cstheme="majorBidi"/>
          <w:szCs w:val="24"/>
        </w:rPr>
      </w:pPr>
      <w:r>
        <w:rPr>
          <w:rFonts w:cstheme="majorBidi"/>
          <w:szCs w:val="24"/>
        </w:rPr>
        <w:t>This priorities approach is useful when building an index of ‘enlightened knowledge’ of liberal democracy. However, there is a case to be made that for this research the absolute values are more important. By using the absolute values, I am placing trust in respondents to use, and be aware of, the whole scale that has been made available to them. Whilst the questions are presented in a group in the WVS, they invite respondents to give individual consideration to each variable, not to rank them. Compare the two scenarios:</w:t>
      </w:r>
    </w:p>
    <w:p w14:paraId="7A8674D3" w14:textId="77777777" w:rsidR="00976DD5" w:rsidRDefault="00976DD5" w:rsidP="002032DF">
      <w:pPr>
        <w:pStyle w:val="ListParagraph"/>
        <w:numPr>
          <w:ilvl w:val="0"/>
          <w:numId w:val="5"/>
        </w:numPr>
        <w:rPr>
          <w:szCs w:val="24"/>
        </w:rPr>
      </w:pPr>
      <w:r>
        <w:rPr>
          <w:szCs w:val="24"/>
        </w:rPr>
        <w:t>A respondent scores all variables as six out of ten. They do this because they think that all the items are equal in how essential they are to democracy and the items provided are not highly essential but could be considered somewhere in the middle.</w:t>
      </w:r>
    </w:p>
    <w:p w14:paraId="133CB36C" w14:textId="77777777" w:rsidR="00976DD5" w:rsidRDefault="00976DD5" w:rsidP="002032DF">
      <w:pPr>
        <w:pStyle w:val="ListParagraph"/>
        <w:numPr>
          <w:ilvl w:val="0"/>
          <w:numId w:val="5"/>
        </w:numPr>
        <w:rPr>
          <w:szCs w:val="24"/>
        </w:rPr>
      </w:pPr>
      <w:r>
        <w:rPr>
          <w:szCs w:val="24"/>
        </w:rPr>
        <w:t xml:space="preserve"> Another respondent scores all variables as ten out of ten. Their logic is that all items are equal in how essential they are to democracy and all the items are absolutely essential. </w:t>
      </w:r>
    </w:p>
    <w:p w14:paraId="1ABBF7F3" w14:textId="2AEC2C75" w:rsidR="00976DD5" w:rsidRDefault="00976DD5" w:rsidP="00976DD5">
      <w:pPr>
        <w:rPr>
          <w:szCs w:val="24"/>
        </w:rPr>
      </w:pPr>
      <w:r>
        <w:rPr>
          <w:szCs w:val="24"/>
        </w:rPr>
        <w:t>Mean-centring these two scenarios gives both respondents a score of zero. If I was to do this, I would run the risk of interpreting what could be two very different signals in the same way. In any case, there is little sign that respondents do not make use of the entire range of possible answers: the bar ch</w:t>
      </w:r>
      <w:r w:rsidR="00FB61EF">
        <w:rPr>
          <w:szCs w:val="24"/>
        </w:rPr>
        <w:t xml:space="preserve">arts in Chapter 3 (Figure 3.5) </w:t>
      </w:r>
      <w:r>
        <w:rPr>
          <w:szCs w:val="24"/>
        </w:rPr>
        <w:t>demonstrate that respondents are not scared of using the extreme ends of the scales. For a PCA looking at underlying dimensionality w</w:t>
      </w:r>
      <w:r w:rsidR="00857090">
        <w:rPr>
          <w:szCs w:val="24"/>
        </w:rPr>
        <w:t>ithout a theoretical reference</w:t>
      </w:r>
      <w:r>
        <w:rPr>
          <w:szCs w:val="24"/>
        </w:rPr>
        <w:t xml:space="preserve"> I will use absolute values.</w:t>
      </w:r>
    </w:p>
    <w:p w14:paraId="47ADA829" w14:textId="77777777" w:rsidR="00684FF1" w:rsidRPr="008536B2" w:rsidRDefault="00684FF1" w:rsidP="00684FF1">
      <w:pPr>
        <w:pStyle w:val="Heading4"/>
        <w:rPr>
          <w:highlight w:val="yellow"/>
        </w:rPr>
      </w:pPr>
      <w:r w:rsidRPr="008536B2">
        <w:rPr>
          <w:highlight w:val="yellow"/>
        </w:rPr>
        <w:t>Missing Data</w:t>
      </w:r>
    </w:p>
    <w:p w14:paraId="6EDA1CB6" w14:textId="36462452" w:rsidR="001F4FA8" w:rsidRPr="008536B2" w:rsidRDefault="00684FF1" w:rsidP="00684FF1">
      <w:pPr>
        <w:rPr>
          <w:highlight w:val="yellow"/>
        </w:rPr>
      </w:pPr>
      <w:r w:rsidRPr="008536B2">
        <w:rPr>
          <w:highlight w:val="yellow"/>
        </w:rPr>
        <w:t xml:space="preserve">As with all surveys the WVS has respondents who do not necessarily answer all the questions. In this thesis this is a pertinent issue in particular when it comes to the ten democratic characteristics, as the analysis </w:t>
      </w:r>
      <w:r w:rsidR="00721909" w:rsidRPr="008536B2">
        <w:rPr>
          <w:highlight w:val="yellow"/>
        </w:rPr>
        <w:t xml:space="preserve">undertakes step-wise deletion and so </w:t>
      </w:r>
      <w:r w:rsidRPr="008536B2">
        <w:rPr>
          <w:highlight w:val="yellow"/>
        </w:rPr>
        <w:t>requires respondents to have answered all ten characteristic</w:t>
      </w:r>
      <w:r w:rsidR="001F4FA8" w:rsidRPr="008536B2">
        <w:rPr>
          <w:highlight w:val="yellow"/>
        </w:rPr>
        <w:t>s to be included in the sample. The detailed results for this examination is in the Appendix</w:t>
      </w:r>
      <w:r w:rsidR="003F66B1">
        <w:rPr>
          <w:highlight w:val="yellow"/>
        </w:rPr>
        <w:t xml:space="preserve"> Section B</w:t>
      </w:r>
      <w:r w:rsidR="001F4FA8" w:rsidRPr="008536B2">
        <w:rPr>
          <w:highlight w:val="yellow"/>
        </w:rPr>
        <w:t>, and the key findings are outlined here. Firstly, there is a difference across countries concerning overall levels of missings in total, however, the patterns across the characteristic</w:t>
      </w:r>
      <w:r w:rsidR="00721909" w:rsidRPr="008536B2">
        <w:rPr>
          <w:highlight w:val="yellow"/>
        </w:rPr>
        <w:t>s</w:t>
      </w:r>
      <w:r w:rsidR="001F4FA8" w:rsidRPr="008536B2">
        <w:rPr>
          <w:highlight w:val="yellow"/>
        </w:rPr>
        <w:t xml:space="preserve"> is similar – respondents were less likely to answer the questions on army intervention and religious authorities interpreting the law</w:t>
      </w:r>
      <w:r w:rsidR="003F66B1">
        <w:rPr>
          <w:highlight w:val="yellow"/>
        </w:rPr>
        <w:t xml:space="preserve"> (see Appendix Section B, Figure B1)</w:t>
      </w:r>
      <w:r w:rsidR="001F4FA8" w:rsidRPr="008536B2">
        <w:rPr>
          <w:highlight w:val="yellow"/>
        </w:rPr>
        <w:t>. The country-level average for missing answers on these questions was around 8%. The next highest number of missings was for the questions on referendum and civil rights, which had 6.7% and 6.4% missing respectively. The remaining variables had less than 5%. This perhaps suggests that these characteristics were considered the trickiest to answer</w:t>
      </w:r>
      <w:r w:rsidR="00721909" w:rsidRPr="008536B2">
        <w:rPr>
          <w:highlight w:val="yellow"/>
        </w:rPr>
        <w:t xml:space="preserve"> in general, and respondents were more likely to skip the question.</w:t>
      </w:r>
      <w:r w:rsidR="001F4FA8" w:rsidRPr="008536B2">
        <w:rPr>
          <w:highlight w:val="yellow"/>
        </w:rPr>
        <w:t xml:space="preserve"> </w:t>
      </w:r>
    </w:p>
    <w:p w14:paraId="41725B1F" w14:textId="78CAAD22" w:rsidR="00684FF1" w:rsidRDefault="00606C0C" w:rsidP="00976DD5">
      <w:r w:rsidRPr="008536B2">
        <w:rPr>
          <w:highlight w:val="yellow"/>
        </w:rPr>
        <w:t>For each characteristic I carried out exploratory logistical regression analysis examining those who made it into the sample against those who did</w:t>
      </w:r>
      <w:r w:rsidR="00071FA9" w:rsidRPr="008536B2">
        <w:rPr>
          <w:highlight w:val="yellow"/>
        </w:rPr>
        <w:t xml:space="preserve"> not</w:t>
      </w:r>
      <w:r w:rsidRPr="008536B2">
        <w:rPr>
          <w:highlight w:val="yellow"/>
        </w:rPr>
        <w:t>, looking to see if age, gender or education was systematically mak</w:t>
      </w:r>
      <w:r w:rsidR="003F66B1">
        <w:rPr>
          <w:highlight w:val="yellow"/>
        </w:rPr>
        <w:t>ing a difference to the missing</w:t>
      </w:r>
      <w:r w:rsidR="00721909" w:rsidRPr="008536B2">
        <w:rPr>
          <w:highlight w:val="yellow"/>
        </w:rPr>
        <w:t xml:space="preserve"> cases </w:t>
      </w:r>
      <w:r w:rsidR="00016522">
        <w:rPr>
          <w:highlight w:val="yellow"/>
        </w:rPr>
        <w:t>(see Appendix Figure B2</w:t>
      </w:r>
      <w:r w:rsidRPr="008536B2">
        <w:rPr>
          <w:highlight w:val="yellow"/>
        </w:rPr>
        <w:t>). None of the results were significant. However, there were two countries in the dataset with a high number of missings that were of concern</w:t>
      </w:r>
      <w:r w:rsidR="00016522">
        <w:rPr>
          <w:highlight w:val="yellow"/>
        </w:rPr>
        <w:t>; India and China (Appendix Figure B3 and B4).</w:t>
      </w:r>
      <w:r w:rsidR="001F4FA8" w:rsidRPr="008536B2">
        <w:rPr>
          <w:highlight w:val="yellow"/>
        </w:rPr>
        <w:t xml:space="preserve"> Once step-wise deletion of cases was carried out, for these countries only 64% and 54% of the sample remained, whereas other countries tended to be over 80% and closer to 95%. </w:t>
      </w:r>
      <w:r w:rsidRPr="008536B2">
        <w:rPr>
          <w:highlight w:val="yellow"/>
        </w:rPr>
        <w:t xml:space="preserve">I therefore looked at this countries in more detail and carried out exploratory analysis for each country and all ten characteristics. </w:t>
      </w:r>
      <w:r w:rsidR="00071FA9" w:rsidRPr="008536B2">
        <w:rPr>
          <w:highlight w:val="yellow"/>
        </w:rPr>
        <w:t xml:space="preserve">For both countries, the results showed that women were less likely to answer then men, and the lower the respondents’ education, the less likely they were to answer (and so the more likely they were to be classed as missing). This </w:t>
      </w:r>
      <w:r w:rsidR="00A356B8" w:rsidRPr="008536B2">
        <w:rPr>
          <w:highlight w:val="yellow"/>
        </w:rPr>
        <w:t>limitation of the data needs to be highlighted, however it is important to point out that this relationship held across all characteristics.</w:t>
      </w:r>
      <w:r w:rsidR="00016522">
        <w:rPr>
          <w:highlight w:val="yellow"/>
        </w:rPr>
        <w:t xml:space="preserve"> Furthermore, Appendix Figure B5</w:t>
      </w:r>
      <w:r w:rsidR="00A356B8" w:rsidRPr="008536B2">
        <w:rPr>
          <w:highlight w:val="yellow"/>
        </w:rPr>
        <w:t xml:space="preserve"> demonstrates that the PCA and FA carried out in the following section of this chapter is not substantively changed when India and China removed from the data: the conceptual mapping of democracy follows the same patterns, and so this pattern of missing data for these two countries does not skew the results overall.</w:t>
      </w:r>
    </w:p>
    <w:p w14:paraId="1260F800" w14:textId="66A3B457" w:rsidR="00C90D8C" w:rsidRDefault="00C90D8C" w:rsidP="00C90D8C">
      <w:pPr>
        <w:pStyle w:val="Heading4"/>
      </w:pPr>
      <w:r>
        <w:t>Limitations – Global versus national-level approaches</w:t>
      </w:r>
    </w:p>
    <w:p w14:paraId="1E773024" w14:textId="3FF152A0" w:rsidR="00C90D8C" w:rsidRDefault="00C90D8C" w:rsidP="00C90D8C">
      <w:pPr>
        <w:rPr>
          <w:lang w:eastAsia="en-GB"/>
        </w:rPr>
      </w:pPr>
      <w:r>
        <w:rPr>
          <w:highlight w:val="yellow"/>
          <w:lang w:eastAsia="en-GB"/>
        </w:rPr>
        <w:t>At this stage it is important to reiterate that t</w:t>
      </w:r>
      <w:r w:rsidRPr="00E70EB1">
        <w:rPr>
          <w:highlight w:val="yellow"/>
          <w:lang w:eastAsia="en-GB"/>
        </w:rPr>
        <w:t>his analysis follows the work of Cho (2015), Dalton</w:t>
      </w:r>
      <w:r>
        <w:rPr>
          <w:highlight w:val="yellow"/>
          <w:lang w:eastAsia="en-GB"/>
        </w:rPr>
        <w:t xml:space="preserve"> et al</w:t>
      </w:r>
      <w:r w:rsidRPr="00E70EB1">
        <w:rPr>
          <w:highlight w:val="yellow"/>
          <w:lang w:eastAsia="en-GB"/>
        </w:rPr>
        <w:t xml:space="preserve"> (2008), Norris (2011) and Welzel (2013) who similarly look to global-level understandings of democracy and attempt to explain them. </w:t>
      </w:r>
      <w:r w:rsidRPr="008D7756">
        <w:rPr>
          <w:highlight w:val="yellow"/>
          <w:lang w:eastAsia="en-GB"/>
        </w:rPr>
        <w:t>This body of work, taking the ‘civics test’ approach,</w:t>
      </w:r>
      <w:r>
        <w:rPr>
          <w:highlight w:val="yellow"/>
          <w:lang w:eastAsia="en-GB"/>
        </w:rPr>
        <w:t xml:space="preserve"> tests for an understanding of democracy from individuals across the world testing this understanding as emanating from a singular source: in many senses, humanity. My approach speaks to this but seeks to explore what understanding is generated from the data at this level, as opposed to testing it in some way.</w:t>
      </w:r>
      <w:r w:rsidRPr="008D7756">
        <w:rPr>
          <w:highlight w:val="yellow"/>
          <w:lang w:eastAsia="en-GB"/>
        </w:rPr>
        <w:t xml:space="preserve"> </w:t>
      </w:r>
      <w:r w:rsidRPr="00E70EB1">
        <w:rPr>
          <w:highlight w:val="yellow"/>
          <w:lang w:eastAsia="en-GB"/>
        </w:rPr>
        <w:t xml:space="preserve">As shown in the Introduction, there is a globalist notion associated with the idea of democracy with arguments that it is a ‘universal value’ (Sen 1999) with near-universal support (Diamond 2008). Therefore, it </w:t>
      </w:r>
      <w:r>
        <w:rPr>
          <w:highlight w:val="yellow"/>
          <w:lang w:eastAsia="en-GB"/>
        </w:rPr>
        <w:t>is helpful</w:t>
      </w:r>
      <w:r w:rsidRPr="00E70EB1">
        <w:rPr>
          <w:highlight w:val="yellow"/>
          <w:lang w:eastAsia="en-GB"/>
        </w:rPr>
        <w:t xml:space="preserve"> to interrogate the idea from this angle. Regarding democracy and globalisation, Welzel (2013, p. 16) notes how the “global pooling of human experiences and knowledge offers our species the opportunity to liberate intercultural learning from the confines of geography”. I do not go quite this far </w:t>
      </w:r>
      <w:r>
        <w:rPr>
          <w:highlight w:val="yellow"/>
          <w:lang w:eastAsia="en-GB"/>
        </w:rPr>
        <w:t>as</w:t>
      </w:r>
      <w:r w:rsidRPr="00E70EB1">
        <w:rPr>
          <w:highlight w:val="yellow"/>
          <w:lang w:eastAsia="en-GB"/>
        </w:rPr>
        <w:t xml:space="preserve"> I </w:t>
      </w:r>
      <w:r>
        <w:rPr>
          <w:highlight w:val="yellow"/>
          <w:lang w:eastAsia="en-GB"/>
        </w:rPr>
        <w:t>remain</w:t>
      </w:r>
      <w:r w:rsidRPr="00E70EB1">
        <w:rPr>
          <w:highlight w:val="yellow"/>
          <w:lang w:eastAsia="en-GB"/>
        </w:rPr>
        <w:t xml:space="preserve"> interested in how, alongside personal characteristics, geography and context might limit or promote cert</w:t>
      </w:r>
      <w:r>
        <w:rPr>
          <w:highlight w:val="yellow"/>
          <w:lang w:eastAsia="en-GB"/>
        </w:rPr>
        <w:t xml:space="preserve">ain understandings of </w:t>
      </w:r>
      <w:r w:rsidRPr="008D7756">
        <w:rPr>
          <w:highlight w:val="yellow"/>
          <w:lang w:eastAsia="en-GB"/>
        </w:rPr>
        <w:t>democracy, however, Welzel’s point is a useful one.</w:t>
      </w:r>
      <w:r>
        <w:rPr>
          <w:lang w:eastAsia="en-GB"/>
        </w:rPr>
        <w:t xml:space="preserve"> </w:t>
      </w:r>
      <w:r w:rsidRPr="008D7756">
        <w:rPr>
          <w:highlight w:val="yellow"/>
          <w:lang w:eastAsia="en-GB"/>
        </w:rPr>
        <w:t xml:space="preserve">This </w:t>
      </w:r>
      <w:r w:rsidRPr="00E70EB1">
        <w:rPr>
          <w:highlight w:val="yellow"/>
          <w:lang w:eastAsia="en-GB"/>
        </w:rPr>
        <w:t xml:space="preserve">globalised approach allows for a broad analysis to take place that generates these understandings across contexts, but </w:t>
      </w:r>
      <w:r>
        <w:rPr>
          <w:highlight w:val="yellow"/>
          <w:lang w:eastAsia="en-GB"/>
        </w:rPr>
        <w:t xml:space="preserve">then </w:t>
      </w:r>
      <w:r w:rsidRPr="00E70EB1">
        <w:rPr>
          <w:highlight w:val="yellow"/>
          <w:lang w:eastAsia="en-GB"/>
        </w:rPr>
        <w:t xml:space="preserve">also examines how context </w:t>
      </w:r>
      <w:r>
        <w:rPr>
          <w:highlight w:val="yellow"/>
          <w:lang w:eastAsia="en-GB"/>
        </w:rPr>
        <w:t>might influence adherence to such understandings</w:t>
      </w:r>
      <w:r w:rsidRPr="00E70EB1">
        <w:rPr>
          <w:highlight w:val="yellow"/>
          <w:lang w:eastAsia="en-GB"/>
        </w:rPr>
        <w:t xml:space="preserve"> in a co</w:t>
      </w:r>
      <w:r>
        <w:rPr>
          <w:highlight w:val="yellow"/>
          <w:lang w:eastAsia="en-GB"/>
        </w:rPr>
        <w:t>mparative way. And so at base this</w:t>
      </w:r>
      <w:r w:rsidRPr="00E70EB1">
        <w:rPr>
          <w:highlight w:val="yellow"/>
          <w:lang w:eastAsia="en-GB"/>
        </w:rPr>
        <w:t xml:space="preserve"> </w:t>
      </w:r>
      <w:r>
        <w:rPr>
          <w:highlight w:val="yellow"/>
          <w:lang w:eastAsia="en-GB"/>
        </w:rPr>
        <w:t>exploration concerns how</w:t>
      </w:r>
      <w:r w:rsidRPr="00E70EB1">
        <w:rPr>
          <w:highlight w:val="yellow"/>
          <w:lang w:eastAsia="en-GB"/>
        </w:rPr>
        <w:t xml:space="preserve"> individuals think</w:t>
      </w:r>
      <w:r>
        <w:rPr>
          <w:highlight w:val="yellow"/>
          <w:lang w:eastAsia="en-GB"/>
        </w:rPr>
        <w:t xml:space="preserve"> from a global perspective</w:t>
      </w:r>
      <w:r w:rsidRPr="00E70EB1">
        <w:rPr>
          <w:highlight w:val="yellow"/>
          <w:lang w:eastAsia="en-GB"/>
        </w:rPr>
        <w:t>, but also</w:t>
      </w:r>
      <w:r>
        <w:rPr>
          <w:highlight w:val="yellow"/>
          <w:lang w:eastAsia="en-GB"/>
        </w:rPr>
        <w:t xml:space="preserve"> considers</w:t>
      </w:r>
      <w:r w:rsidRPr="00E70EB1">
        <w:rPr>
          <w:highlight w:val="yellow"/>
          <w:lang w:eastAsia="en-GB"/>
        </w:rPr>
        <w:t xml:space="preserve"> </w:t>
      </w:r>
      <w:r>
        <w:rPr>
          <w:highlight w:val="yellow"/>
          <w:lang w:eastAsia="en-GB"/>
        </w:rPr>
        <w:t>such conceptualisations when</w:t>
      </w:r>
      <w:r w:rsidRPr="00E70EB1">
        <w:rPr>
          <w:highlight w:val="yellow"/>
          <w:lang w:eastAsia="en-GB"/>
        </w:rPr>
        <w:t xml:space="preserve"> aggregated to the country-level and compared.</w:t>
      </w:r>
    </w:p>
    <w:p w14:paraId="5D7EA360" w14:textId="4354F0F2" w:rsidR="00C90D8C" w:rsidRDefault="00C90D8C" w:rsidP="00C90D8C">
      <w:pPr>
        <w:rPr>
          <w:lang w:eastAsia="en-GB"/>
        </w:rPr>
      </w:pPr>
      <w:r w:rsidRPr="00C67725">
        <w:rPr>
          <w:highlight w:val="yellow"/>
          <w:lang w:eastAsia="en-GB"/>
        </w:rPr>
        <w:t>There is arguably an analytical ‘elephant in the room’ here as a clear coun</w:t>
      </w:r>
      <w:r>
        <w:rPr>
          <w:highlight w:val="yellow"/>
          <w:lang w:eastAsia="en-GB"/>
        </w:rPr>
        <w:t>ter-</w:t>
      </w:r>
      <w:r w:rsidRPr="00C67725">
        <w:rPr>
          <w:highlight w:val="yellow"/>
          <w:lang w:eastAsia="en-GB"/>
        </w:rPr>
        <w:t xml:space="preserve">argument to this approach would be that such exploratory analysis could be carried out at the country-level, to examine if PCA results are similar in each country, rather than taking the global-level approach. </w:t>
      </w:r>
      <w:r>
        <w:rPr>
          <w:highlight w:val="yellow"/>
        </w:rPr>
        <w:t>I</w:t>
      </w:r>
      <w:r w:rsidRPr="00AA7F4F">
        <w:rPr>
          <w:highlight w:val="yellow"/>
        </w:rPr>
        <w:t>n this thesis I can demonstrate how closely respondents from particular country align with a ‘global’ understanding of democracy, and look at the explanatory factors behind this</w:t>
      </w:r>
      <w:r>
        <w:rPr>
          <w:highlight w:val="yellow"/>
        </w:rPr>
        <w:t xml:space="preserve"> alignment, b</w:t>
      </w:r>
      <w:r w:rsidRPr="00AA7F4F">
        <w:rPr>
          <w:highlight w:val="yellow"/>
        </w:rPr>
        <w:t>ut I am not able to show if countries have in fact, at their national level, a different understanding of democracy completely. Different country conceptualisations are submerged within this framework.</w:t>
      </w:r>
      <w:r w:rsidRPr="00AA7F4F">
        <w:rPr>
          <w:highlight w:val="yellow"/>
          <w:lang w:eastAsia="en-GB"/>
        </w:rPr>
        <w:t xml:space="preserve"> In this thesis then there is a – large – assumption that the component structure that is derived from the analysis is the same across countries. This is a limiting factor, especially if one takes the importance of the country-as-container as a far more influential space; an important alternative way of looking at this topic would conceptualise the exploratory approach from a different scale. A counter-argument to the approach I have taken would be that such exploratory analysis could be carried out at the </w:t>
      </w:r>
      <w:r w:rsidRPr="00AA7F4F">
        <w:rPr>
          <w:i/>
          <w:highlight w:val="yellow"/>
          <w:lang w:eastAsia="en-GB"/>
        </w:rPr>
        <w:t>country-level</w:t>
      </w:r>
      <w:r w:rsidRPr="00AA7F4F">
        <w:rPr>
          <w:highlight w:val="yellow"/>
          <w:lang w:eastAsia="en-GB"/>
        </w:rPr>
        <w:t>, to examine if PCA results are similar in each country, rather than taking the globalist approach.</w:t>
      </w:r>
    </w:p>
    <w:p w14:paraId="314A63C5" w14:textId="2E6EF577" w:rsidR="00C90D8C" w:rsidRPr="00C90D8C" w:rsidRDefault="00C90D8C" w:rsidP="00C90D8C">
      <w:r w:rsidRPr="00C90D8C">
        <w:rPr>
          <w:highlight w:val="yellow"/>
          <w:lang w:eastAsia="en-GB"/>
        </w:rPr>
        <w:t>I believe there is enormous value in looking at this issue on a country-by-country basis, but wish to make the case that the approach taken in this thesis is the most appropriate in this instance. Firstly, the key point is the body of literature this work is seeking to contribute to.</w:t>
      </w:r>
      <w:r w:rsidRPr="00C90D8C">
        <w:rPr>
          <w:highlight w:val="yellow"/>
        </w:rPr>
        <w:t xml:space="preserve"> It is demonstrated in the literature review that studies undertaken at the global level of analysis present an important area to reconsider how conceptualisations could be examined and impacts examined from an exploratory angle, compared to the civics test approaches </w:t>
      </w:r>
      <w:r w:rsidRPr="00C90D8C">
        <w:rPr>
          <w:highlight w:val="yellow"/>
        </w:rPr>
        <w:fldChar w:fldCharType="begin" w:fldLock="1"/>
      </w:r>
      <w:r w:rsidRPr="00C90D8C">
        <w:rPr>
          <w:highlight w:val="yellow"/>
        </w:rPr>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"id" : "ITEM-2", "itemData" : { "ISBN" : "9781107034709", "author" : [ { "dropping-particle" : "", "family" : "Welzel", "given" : "Christian", "non-dropping-particle" : "", "parse-names" : false, "suffix" : "" } ], "id" : "ITEM-2", "issued" : { "date-parts" : [ [ "2013" ] ] }, "publisher" : "Cambridge University Press", "publisher-place" : "Cambridge", "title" : "Freedom Rising Human Empowerment and the Quest for Emancipation", "type" : "book" }, "uris" : [ "http://www.mendeley.com/documents/?uuid=a04e4a97-3944-4d8e-ba77-b044563d9c7e" ] }, { "id" : "ITEM-3", "itemData" : { "author" : [ { "dropping-particle" : "", "family" : "Norris", "given" : "P", "non-dropping-particle" : "", "parse-names" : false, "suffix" : "" } ], "id" : "ITEM-3", "issued" : { "date-parts" : [ [ "2011" ] ] }, "publisher" : "Cambridge University Press", "publisher-place" : "Cambridge", "title" : "Democratic Deficit - Critical Citizens Revisited", "type" : "book" }, "uris" : [ "http://www.mendeley.com/documents/?uuid=767d7bfd-72a9-4ffe-ba7a-ed7860204ebd" ] } ], "mendeley" : { "formattedCitation" : "(Norris, 2011; Welzel, 2013; Cho, 2015)", "manualFormatting" : "(Norris, 2011; Welzel, 2013; Cho, 2015; Dalton et al 2008)", "plainTextFormattedCitation" : "(Norris, 2011; Welzel, 2013; Cho, 2015)", "previouslyFormattedCitation" : "(Norris, 2011; Welzel, 2013; Cho, 2015)" }, "properties" : { "noteIndex" : 0 }, "schema" : "https://github.com/citation-style-language/schema/raw/master/csl-citation.json" }</w:instrText>
      </w:r>
      <w:r w:rsidRPr="00C90D8C">
        <w:rPr>
          <w:highlight w:val="yellow"/>
        </w:rPr>
        <w:fldChar w:fldCharType="separate"/>
      </w:r>
      <w:r w:rsidRPr="00C90D8C">
        <w:rPr>
          <w:noProof/>
          <w:highlight w:val="yellow"/>
        </w:rPr>
        <w:t>(Norris, 2011; Welzel, 2013; Cho, 2015; Dalton et al 2008)</w:t>
      </w:r>
      <w:r w:rsidRPr="00C90D8C">
        <w:rPr>
          <w:highlight w:val="yellow"/>
        </w:rPr>
        <w:fldChar w:fldCharType="end"/>
      </w:r>
      <w:r w:rsidRPr="00C90D8C">
        <w:rPr>
          <w:highlight w:val="yellow"/>
        </w:rPr>
        <w:t xml:space="preserve">. These studies, finding in particular that very small percentages of people could be considered ‘enlightened’ about democracy, were not necessarily able to show where, or how, the large majority of people were ‘failing’ to get it right according to the theoretical expectations. Therefore it is deemed important to contribute to this literature by examining in much more detail the precursory step, that is, </w:t>
      </w:r>
      <w:r w:rsidRPr="00C90D8C">
        <w:rPr>
          <w:i/>
          <w:highlight w:val="yellow"/>
        </w:rPr>
        <w:t>how</w:t>
      </w:r>
      <w:r w:rsidRPr="00C90D8C">
        <w:rPr>
          <w:highlight w:val="yellow"/>
        </w:rPr>
        <w:t xml:space="preserve"> are people understanding democracy, as opposed to </w:t>
      </w:r>
      <w:r w:rsidRPr="00C90D8C">
        <w:rPr>
          <w:i/>
          <w:highlight w:val="yellow"/>
        </w:rPr>
        <w:t>how well</w:t>
      </w:r>
      <w:r w:rsidRPr="00C90D8C">
        <w:rPr>
          <w:highlight w:val="yellow"/>
        </w:rPr>
        <w:t xml:space="preserve">? Following from this is an attempt to explain across broad contexts that this focus on how people understood democracy </w:t>
      </w:r>
      <w:r w:rsidRPr="00C90D8C">
        <w:rPr>
          <w:i/>
          <w:highlight w:val="yellow"/>
        </w:rPr>
        <w:t>matters</w:t>
      </w:r>
      <w:r w:rsidRPr="00C90D8C">
        <w:rPr>
          <w:highlight w:val="yellow"/>
        </w:rPr>
        <w:t xml:space="preserve">, in an attempt to considerably expand the conclusions made by </w:t>
      </w:r>
      <w:r w:rsidRPr="00C90D8C">
        <w:rPr>
          <w:highlight w:val="yellow"/>
        </w:rPr>
        <w:fldChar w:fldCharType="begin" w:fldLock="1"/>
      </w:r>
      <w:r w:rsidRPr="00C90D8C">
        <w:rPr>
          <w:highlight w:val="yellow"/>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&amp; Christensen (2014)", "plainTextFormattedCitation" : "(Bengtsson and Christensen, 2014)", "previouslyFormattedCitation" : "(Bengtsson and Christensen, 2014)" }, "properties" : { "noteIndex" : 0 }, "schema" : "https://github.com/citation-style-language/schema/raw/master/csl-citation.json" }</w:instrText>
      </w:r>
      <w:r w:rsidRPr="00C90D8C">
        <w:rPr>
          <w:highlight w:val="yellow"/>
        </w:rPr>
        <w:fldChar w:fldCharType="separate"/>
      </w:r>
      <w:r w:rsidRPr="00C90D8C">
        <w:rPr>
          <w:noProof/>
          <w:highlight w:val="yellow"/>
        </w:rPr>
        <w:t>Bengtsson &amp; Christensen (2014)</w:t>
      </w:r>
      <w:r w:rsidRPr="00C90D8C">
        <w:rPr>
          <w:highlight w:val="yellow"/>
        </w:rPr>
        <w:fldChar w:fldCharType="end"/>
      </w:r>
      <w:r w:rsidRPr="00C90D8C">
        <w:rPr>
          <w:highlight w:val="yellow"/>
        </w:rPr>
        <w:t xml:space="preserve"> in what remains a much smaller research area into whether conceptualisations of democracy might have an influence on political participation. Therefore if results could demonstrate at the broadest possible scale that conceptualisations of democracy effected political behaviour (as they do, see Chapter 6), then this forms an important argument for taking this approach seriously, and this also justifies future research at the national level. Secondly, an extensive comparative-exploratory approach undertaken at the national is felt to be too cumbersome and unwieldly in the space of this thesis (for instance by running 46 PCAs and then forming a classification system). It was considered that being able to explain any potentially divergent patterns of understanding using the detail required of multiple comparative case-studies was beyond such a project. However, this thesis does go onto note country cases – Egypt, Malaysia, Thailand – which will certainly be of interest to more detailed analyses. A jump-off point from this thesis could be to explore the way democracy is conceptualized in one of these countries with a comparison to the global-level results outlined here.</w:t>
      </w:r>
    </w:p>
    <w:p w14:paraId="53F701FF" w14:textId="73978A3A" w:rsidR="00976DD5" w:rsidRPr="008A78C2" w:rsidRDefault="00976DD5" w:rsidP="00976DD5">
      <w:pPr>
        <w:pStyle w:val="Heading2"/>
        <w:rPr>
          <w:highlight w:val="lightGray"/>
        </w:rPr>
      </w:pPr>
      <w:bookmarkStart w:id="238" w:name="_Toc439171459"/>
      <w:bookmarkStart w:id="239" w:name="_Toc385498311"/>
      <w:bookmarkStart w:id="240" w:name="_Toc376765758"/>
      <w:bookmarkStart w:id="241" w:name="_Toc441069029"/>
      <w:bookmarkStart w:id="242" w:name="_Toc441069224"/>
      <w:bookmarkStart w:id="243" w:name="_Toc494034222"/>
      <w:r w:rsidRPr="008A78C2">
        <w:rPr>
          <w:highlight w:val="lightGray"/>
        </w:rPr>
        <w:t>4.3 Results</w:t>
      </w:r>
      <w:bookmarkEnd w:id="238"/>
      <w:bookmarkEnd w:id="239"/>
      <w:bookmarkEnd w:id="240"/>
      <w:bookmarkEnd w:id="241"/>
      <w:bookmarkEnd w:id="242"/>
      <w:bookmarkEnd w:id="243"/>
    </w:p>
    <w:p w14:paraId="461482AE" w14:textId="0E85B218" w:rsidR="00976DD5" w:rsidRPr="008A78C2" w:rsidRDefault="00976DD5" w:rsidP="00976DD5">
      <w:pPr>
        <w:rPr>
          <w:szCs w:val="24"/>
          <w:highlight w:val="lightGray"/>
        </w:rPr>
      </w:pPr>
      <w:r w:rsidRPr="008A78C2">
        <w:rPr>
          <w:szCs w:val="24"/>
          <w:highlight w:val="lightGray"/>
        </w:rPr>
        <w:t xml:space="preserve">This section now addresses the core analytical question of this chapter: how do citizens combine these ten democratic characteristics together in their </w:t>
      </w:r>
      <w:r w:rsidR="001E3FD2" w:rsidRPr="008A78C2">
        <w:rPr>
          <w:szCs w:val="24"/>
          <w:highlight w:val="lightGray"/>
        </w:rPr>
        <w:t>conceptualis</w:t>
      </w:r>
      <w:r w:rsidRPr="008A78C2">
        <w:rPr>
          <w:szCs w:val="24"/>
          <w:highlight w:val="lightGray"/>
        </w:rPr>
        <w:t xml:space="preserve">ations of democracy? </w:t>
      </w:r>
      <w:r w:rsidR="00BD5DDF" w:rsidRPr="008A78C2">
        <w:rPr>
          <w:szCs w:val="24"/>
          <w:highlight w:val="lightGray"/>
        </w:rPr>
        <w:t>PCA and EFA</w:t>
      </w:r>
      <w:r w:rsidR="00AD1243" w:rsidRPr="008A78C2">
        <w:rPr>
          <w:rStyle w:val="FootnoteReference"/>
          <w:szCs w:val="24"/>
          <w:highlight w:val="lightGray"/>
        </w:rPr>
        <w:footnoteReference w:id="14"/>
      </w:r>
      <w:r w:rsidR="00BD5DDF" w:rsidRPr="008A78C2">
        <w:rPr>
          <w:szCs w:val="24"/>
          <w:highlight w:val="lightGray"/>
        </w:rPr>
        <w:t xml:space="preserve"> results are presented</w:t>
      </w:r>
      <w:r w:rsidR="001E48D1" w:rsidRPr="008A78C2">
        <w:rPr>
          <w:szCs w:val="24"/>
          <w:highlight w:val="lightGray"/>
        </w:rPr>
        <w:t xml:space="preserve"> in Figure 4.5</w:t>
      </w:r>
      <w:r w:rsidR="00BD5DDF" w:rsidRPr="008A78C2">
        <w:rPr>
          <w:szCs w:val="24"/>
          <w:highlight w:val="lightGray"/>
        </w:rPr>
        <w:t xml:space="preserve">. </w:t>
      </w:r>
      <w:r w:rsidR="00AD1243" w:rsidRPr="008A78C2">
        <w:rPr>
          <w:szCs w:val="24"/>
          <w:highlight w:val="lightGray"/>
        </w:rPr>
        <w:t>A</w:t>
      </w:r>
      <w:r w:rsidRPr="008A78C2">
        <w:rPr>
          <w:szCs w:val="24"/>
          <w:highlight w:val="lightGray"/>
        </w:rPr>
        <w:t>bsolute values</w:t>
      </w:r>
      <w:r w:rsidR="004B5896" w:rsidRPr="008A78C2">
        <w:rPr>
          <w:szCs w:val="24"/>
          <w:highlight w:val="lightGray"/>
        </w:rPr>
        <w:t xml:space="preserve"> on the individual-level data</w:t>
      </w:r>
      <w:r w:rsidRPr="008A78C2">
        <w:rPr>
          <w:szCs w:val="24"/>
          <w:highlight w:val="lightGray"/>
        </w:rPr>
        <w:t xml:space="preserve"> </w:t>
      </w:r>
      <w:r w:rsidR="00AD1243" w:rsidRPr="008A78C2">
        <w:rPr>
          <w:szCs w:val="24"/>
          <w:highlight w:val="lightGray"/>
        </w:rPr>
        <w:t>are used with</w:t>
      </w:r>
      <w:r w:rsidRPr="008A78C2">
        <w:rPr>
          <w:szCs w:val="24"/>
          <w:highlight w:val="lightGray"/>
        </w:rPr>
        <w:t xml:space="preserve"> varimax rotation</w:t>
      </w:r>
      <w:r w:rsidR="00397B22" w:rsidRPr="008A78C2">
        <w:rPr>
          <w:szCs w:val="24"/>
          <w:highlight w:val="lightGray"/>
        </w:rPr>
        <w:t xml:space="preserve"> and Kaiser normalisation</w:t>
      </w:r>
      <w:r w:rsidR="00AD1243" w:rsidRPr="008A78C2">
        <w:rPr>
          <w:szCs w:val="24"/>
          <w:highlight w:val="lightGray"/>
        </w:rPr>
        <w:t>.</w:t>
      </w:r>
      <w:r w:rsidRPr="008A78C2">
        <w:rPr>
          <w:szCs w:val="24"/>
          <w:highlight w:val="lightGray"/>
        </w:rPr>
        <w:t xml:space="preserve"> </w:t>
      </w:r>
      <w:r w:rsidR="00AD1243" w:rsidRPr="008A78C2">
        <w:rPr>
          <w:szCs w:val="24"/>
          <w:highlight w:val="lightGray"/>
        </w:rPr>
        <w:t>R</w:t>
      </w:r>
      <w:r w:rsidRPr="008A78C2">
        <w:rPr>
          <w:szCs w:val="24"/>
          <w:highlight w:val="lightGray"/>
        </w:rPr>
        <w:t>etention of components is discussed with reference to the Kaiser criter</w:t>
      </w:r>
      <w:r w:rsidR="001E48D1" w:rsidRPr="008A78C2">
        <w:rPr>
          <w:szCs w:val="24"/>
          <w:highlight w:val="lightGray"/>
        </w:rPr>
        <w:t>ion</w:t>
      </w:r>
      <w:r w:rsidRPr="008A78C2">
        <w:rPr>
          <w:szCs w:val="24"/>
          <w:highlight w:val="lightGray"/>
        </w:rPr>
        <w:t xml:space="preserve"> </w:t>
      </w:r>
      <w:r w:rsidR="001E48D1" w:rsidRPr="008A78C2">
        <w:rPr>
          <w:szCs w:val="24"/>
          <w:highlight w:val="lightGray"/>
        </w:rPr>
        <w:t>(</w:t>
      </w:r>
      <w:r w:rsidRPr="008A78C2">
        <w:rPr>
          <w:szCs w:val="24"/>
          <w:highlight w:val="lightGray"/>
        </w:rPr>
        <w:t>scree plots and PA</w:t>
      </w:r>
      <w:r w:rsidR="001A3BA0">
        <w:rPr>
          <w:szCs w:val="24"/>
          <w:highlight w:val="lightGray"/>
        </w:rPr>
        <w:t xml:space="preserve"> are in Appendix, Section B, Figures B6-B9</w:t>
      </w:r>
      <w:r w:rsidR="001E48D1" w:rsidRPr="008A78C2">
        <w:rPr>
          <w:szCs w:val="24"/>
          <w:highlight w:val="lightGray"/>
        </w:rPr>
        <w:t>)</w:t>
      </w:r>
      <w:r w:rsidRPr="008A78C2">
        <w:rPr>
          <w:szCs w:val="24"/>
          <w:highlight w:val="lightGray"/>
        </w:rPr>
        <w:t>.</w:t>
      </w:r>
      <w:r w:rsidR="00397B22" w:rsidRPr="008A78C2">
        <w:rPr>
          <w:szCs w:val="24"/>
          <w:highlight w:val="lightGray"/>
        </w:rPr>
        <w:t xml:space="preserve"> It is worth noting that loadings when produced in this way are typically smaller for FA results compared to PCA (Thompson &amp; Brown 2001, p7.)</w:t>
      </w:r>
    </w:p>
    <w:p w14:paraId="1BE62E65" w14:textId="0F907260" w:rsidR="00976DD5" w:rsidRPr="008A78C2" w:rsidRDefault="004B5896" w:rsidP="00976DD5">
      <w:pPr>
        <w:rPr>
          <w:rFonts w:cstheme="majorBidi"/>
          <w:szCs w:val="24"/>
          <w:highlight w:val="lightGray"/>
        </w:rPr>
      </w:pPr>
      <w:r w:rsidRPr="008A78C2">
        <w:rPr>
          <w:rFonts w:cstheme="majorBidi"/>
          <w:szCs w:val="24"/>
          <w:highlight w:val="lightGray"/>
        </w:rPr>
        <w:t>Both approaches suggest the retention of two components/factors according to the eigenvalue test. Scree plots and PA also confirm this cut-off point and therefore t</w:t>
      </w:r>
      <w:r w:rsidR="00976DD5" w:rsidRPr="008A78C2">
        <w:rPr>
          <w:rFonts w:cstheme="majorBidi"/>
          <w:szCs w:val="24"/>
          <w:highlight w:val="lightGray"/>
        </w:rPr>
        <w:t>wo components are retained</w:t>
      </w:r>
      <w:r w:rsidRPr="008A78C2">
        <w:rPr>
          <w:rFonts w:cstheme="majorBidi"/>
          <w:szCs w:val="24"/>
          <w:highlight w:val="lightGray"/>
        </w:rPr>
        <w:t>.</w:t>
      </w:r>
      <w:r w:rsidRPr="008A78C2">
        <w:rPr>
          <w:rStyle w:val="FootnoteReference"/>
          <w:highlight w:val="lightGray"/>
        </w:rPr>
        <w:footnoteReference w:id="15"/>
      </w:r>
      <w:r w:rsidRPr="008A78C2">
        <w:rPr>
          <w:rFonts w:cstheme="majorBidi"/>
          <w:szCs w:val="24"/>
          <w:highlight w:val="lightGray"/>
        </w:rPr>
        <w:t xml:space="preserve"> </w:t>
      </w:r>
      <w:r w:rsidR="00397B22" w:rsidRPr="008A78C2">
        <w:rPr>
          <w:rFonts w:cstheme="majorBidi"/>
          <w:szCs w:val="24"/>
          <w:highlight w:val="lightGray"/>
        </w:rPr>
        <w:t>In the following discussion I will focus on the PCA results, whilst reporting the FA results in brackets.</w:t>
      </w:r>
    </w:p>
    <w:p w14:paraId="01FD4FA6" w14:textId="563DE682" w:rsidR="00397B22" w:rsidRPr="003A5664" w:rsidRDefault="00397B22" w:rsidP="00397B22">
      <w:pPr>
        <w:pStyle w:val="Caption"/>
        <w:rPr>
          <w:rFonts w:ascii="Segoe UI" w:hAnsi="Segoe UI" w:cs="Segoe UI"/>
          <w:b w:val="0"/>
          <w:i w:val="0"/>
          <w:iCs/>
          <w:szCs w:val="24"/>
          <w:highlight w:val="lightGray"/>
        </w:rPr>
      </w:pPr>
      <w:bookmarkStart w:id="244" w:name="_Toc494687160"/>
      <w:r w:rsidRPr="003A5664">
        <w:rPr>
          <w:rFonts w:ascii="Segoe UI" w:hAnsi="Segoe UI" w:cs="Segoe UI"/>
          <w:i w:val="0"/>
          <w:highlight w:val="lightGray"/>
        </w:rPr>
        <w:t xml:space="preserve">Figure </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STYLEREF 1 \s </w:instrText>
      </w:r>
      <w:r w:rsidR="00B63C1F" w:rsidRPr="003A5664">
        <w:rPr>
          <w:rFonts w:ascii="Segoe UI" w:hAnsi="Segoe UI" w:cs="Segoe UI"/>
          <w:i w:val="0"/>
          <w:highlight w:val="lightGray"/>
        </w:rPr>
        <w:fldChar w:fldCharType="separate"/>
      </w:r>
      <w:r w:rsidRPr="003A5664">
        <w:rPr>
          <w:rFonts w:ascii="Segoe UI" w:hAnsi="Segoe UI" w:cs="Segoe UI"/>
          <w:i w:val="0"/>
          <w:noProof/>
          <w:highlight w:val="lightGray"/>
        </w:rPr>
        <w:t>4</w:t>
      </w:r>
      <w:r w:rsidR="00B63C1F" w:rsidRPr="003A5664">
        <w:rPr>
          <w:rFonts w:ascii="Segoe UI" w:hAnsi="Segoe UI" w:cs="Segoe UI"/>
          <w:i w:val="0"/>
          <w:noProof/>
          <w:highlight w:val="lightGray"/>
        </w:rPr>
        <w:fldChar w:fldCharType="end"/>
      </w:r>
      <w:r w:rsidRPr="003A5664">
        <w:rPr>
          <w:rFonts w:ascii="Segoe UI" w:hAnsi="Segoe UI" w:cs="Segoe UI"/>
          <w:i w:val="0"/>
          <w:highlight w:val="lightGray"/>
        </w:rPr>
        <w:t>:</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SEQ Figure \* ARABIC \s 1 </w:instrText>
      </w:r>
      <w:r w:rsidR="00B63C1F" w:rsidRPr="003A5664">
        <w:rPr>
          <w:rFonts w:ascii="Segoe UI" w:hAnsi="Segoe UI" w:cs="Segoe UI"/>
          <w:i w:val="0"/>
          <w:highlight w:val="lightGray"/>
        </w:rPr>
        <w:fldChar w:fldCharType="separate"/>
      </w:r>
      <w:r w:rsidR="00016522" w:rsidRPr="003A5664">
        <w:rPr>
          <w:rFonts w:ascii="Segoe UI" w:hAnsi="Segoe UI" w:cs="Segoe UI"/>
          <w:i w:val="0"/>
          <w:noProof/>
          <w:highlight w:val="lightGray"/>
        </w:rPr>
        <w:t>5</w:t>
      </w:r>
      <w:r w:rsidR="00B63C1F" w:rsidRPr="003A5664">
        <w:rPr>
          <w:rFonts w:ascii="Segoe UI" w:hAnsi="Segoe UI" w:cs="Segoe UI"/>
          <w:i w:val="0"/>
          <w:noProof/>
          <w:highlight w:val="lightGray"/>
        </w:rPr>
        <w:fldChar w:fldCharType="end"/>
      </w:r>
      <w:r w:rsidRPr="003A5664">
        <w:rPr>
          <w:rFonts w:ascii="Segoe UI" w:hAnsi="Segoe UI" w:cs="Segoe UI"/>
          <w:i w:val="0"/>
          <w:highlight w:val="lightGray"/>
        </w:rPr>
        <w:t xml:space="preserve"> PCA and FA results for Absolute Values on Democratic Characteristics</w:t>
      </w:r>
      <w:bookmarkEnd w:id="244"/>
    </w:p>
    <w:tbl>
      <w:tblPr>
        <w:tblW w:w="0" w:type="auto"/>
        <w:jc w:val="center"/>
        <w:tblCellMar>
          <w:left w:w="10" w:type="dxa"/>
          <w:right w:w="10" w:type="dxa"/>
        </w:tblCellMar>
        <w:tblLook w:val="04A0" w:firstRow="1" w:lastRow="0" w:firstColumn="1" w:lastColumn="0" w:noHBand="0" w:noVBand="1"/>
      </w:tblPr>
      <w:tblGrid>
        <w:gridCol w:w="2158"/>
        <w:gridCol w:w="1121"/>
        <w:gridCol w:w="1154"/>
        <w:gridCol w:w="1127"/>
        <w:gridCol w:w="1127"/>
      </w:tblGrid>
      <w:tr w:rsidR="001E48D1" w:rsidRPr="008A78C2" w14:paraId="37BABCA5" w14:textId="77777777" w:rsidTr="001E48D1">
        <w:trPr>
          <w:cantSplit/>
          <w:trHeight w:val="286"/>
          <w:tblHeader/>
          <w:jc w:val="center"/>
        </w:trPr>
        <w:tc>
          <w:tcPr>
            <w:tcW w:w="2158" w:type="dxa"/>
            <w:shd w:val="clear" w:color="auto" w:fill="FFFFFF"/>
          </w:tcPr>
          <w:p w14:paraId="6DE53791" w14:textId="77777777" w:rsidR="001E48D1" w:rsidRPr="008A78C2" w:rsidRDefault="001E48D1" w:rsidP="00E04DBD">
            <w:pPr>
              <w:spacing w:line="240" w:lineRule="auto"/>
              <w:ind w:left="57" w:right="60"/>
              <w:rPr>
                <w:rFonts w:cstheme="majorBidi"/>
                <w:i/>
                <w:iCs/>
                <w:color w:val="000000"/>
                <w:szCs w:val="24"/>
                <w:highlight w:val="lightGray"/>
              </w:rPr>
            </w:pPr>
          </w:p>
        </w:tc>
        <w:tc>
          <w:tcPr>
            <w:tcW w:w="2275" w:type="dxa"/>
            <w:gridSpan w:val="2"/>
            <w:shd w:val="clear" w:color="auto" w:fill="FFFFFF"/>
            <w:hideMark/>
          </w:tcPr>
          <w:p w14:paraId="0D91B296" w14:textId="77777777" w:rsidR="001E48D1" w:rsidRPr="008A78C2" w:rsidRDefault="001E48D1" w:rsidP="00E04DBD">
            <w:pPr>
              <w:autoSpaceDE w:val="0"/>
              <w:adjustRightInd w:val="0"/>
              <w:spacing w:line="240" w:lineRule="auto"/>
              <w:ind w:left="57" w:right="60"/>
              <w:jc w:val="center"/>
              <w:rPr>
                <w:rFonts w:cstheme="majorBidi"/>
                <w:i/>
                <w:iCs/>
                <w:color w:val="000000"/>
                <w:szCs w:val="24"/>
                <w:highlight w:val="lightGray"/>
              </w:rPr>
            </w:pPr>
            <w:r w:rsidRPr="008A78C2">
              <w:rPr>
                <w:rFonts w:cstheme="majorBidi"/>
                <w:i/>
                <w:iCs/>
                <w:color w:val="000000"/>
                <w:szCs w:val="24"/>
                <w:highlight w:val="lightGray"/>
              </w:rPr>
              <w:t>Components</w:t>
            </w:r>
          </w:p>
        </w:tc>
        <w:tc>
          <w:tcPr>
            <w:tcW w:w="2254" w:type="dxa"/>
            <w:gridSpan w:val="2"/>
            <w:shd w:val="clear" w:color="auto" w:fill="FFFFFF"/>
            <w:hideMark/>
          </w:tcPr>
          <w:p w14:paraId="297CE71B" w14:textId="45B3E917" w:rsidR="001E48D1" w:rsidRPr="008A78C2" w:rsidRDefault="001E48D1" w:rsidP="00E04DBD">
            <w:pPr>
              <w:autoSpaceDE w:val="0"/>
              <w:adjustRightInd w:val="0"/>
              <w:spacing w:line="240" w:lineRule="auto"/>
              <w:ind w:left="57" w:right="60"/>
              <w:jc w:val="center"/>
              <w:rPr>
                <w:rFonts w:cstheme="majorBidi"/>
                <w:i/>
                <w:iCs/>
                <w:color w:val="000000"/>
                <w:szCs w:val="24"/>
                <w:highlight w:val="lightGray"/>
              </w:rPr>
            </w:pPr>
            <w:r w:rsidRPr="008A78C2">
              <w:rPr>
                <w:rFonts w:cstheme="majorBidi"/>
                <w:i/>
                <w:iCs/>
                <w:color w:val="000000"/>
                <w:szCs w:val="24"/>
                <w:highlight w:val="lightGray"/>
              </w:rPr>
              <w:t>Factors</w:t>
            </w:r>
          </w:p>
        </w:tc>
      </w:tr>
      <w:tr w:rsidR="001E48D1" w:rsidRPr="008A78C2" w14:paraId="3631DF38" w14:textId="77777777" w:rsidTr="001E48D1">
        <w:trPr>
          <w:cantSplit/>
          <w:trHeight w:val="286"/>
          <w:tblHeader/>
          <w:jc w:val="center"/>
        </w:trPr>
        <w:tc>
          <w:tcPr>
            <w:tcW w:w="2158" w:type="dxa"/>
            <w:tcBorders>
              <w:top w:val="nil"/>
              <w:left w:val="nil"/>
              <w:bottom w:val="single" w:sz="4" w:space="0" w:color="auto"/>
              <w:right w:val="nil"/>
            </w:tcBorders>
            <w:shd w:val="clear" w:color="auto" w:fill="FFFFFF"/>
          </w:tcPr>
          <w:p w14:paraId="11E3C482" w14:textId="77777777" w:rsidR="001E48D1" w:rsidRPr="008A78C2" w:rsidRDefault="001E48D1" w:rsidP="00E04DBD">
            <w:pPr>
              <w:spacing w:line="240" w:lineRule="auto"/>
              <w:ind w:left="57" w:right="60"/>
              <w:rPr>
                <w:rFonts w:cstheme="majorBidi"/>
                <w:i/>
                <w:iCs/>
                <w:color w:val="000000"/>
                <w:szCs w:val="24"/>
                <w:highlight w:val="lightGray"/>
              </w:rPr>
            </w:pPr>
          </w:p>
        </w:tc>
        <w:tc>
          <w:tcPr>
            <w:tcW w:w="1121" w:type="dxa"/>
            <w:tcBorders>
              <w:top w:val="nil"/>
              <w:left w:val="nil"/>
              <w:bottom w:val="single" w:sz="4" w:space="0" w:color="auto"/>
              <w:right w:val="nil"/>
            </w:tcBorders>
            <w:shd w:val="clear" w:color="auto" w:fill="FFFFFF"/>
            <w:hideMark/>
          </w:tcPr>
          <w:p w14:paraId="69F67C67" w14:textId="77777777" w:rsidR="001E48D1" w:rsidRPr="008A78C2" w:rsidRDefault="001E48D1" w:rsidP="00E04DBD">
            <w:pPr>
              <w:autoSpaceDE w:val="0"/>
              <w:adjustRightInd w:val="0"/>
              <w:spacing w:line="240" w:lineRule="auto"/>
              <w:ind w:left="57" w:right="60"/>
              <w:jc w:val="center"/>
              <w:rPr>
                <w:rFonts w:cstheme="majorBidi"/>
                <w:color w:val="000000"/>
                <w:szCs w:val="24"/>
                <w:highlight w:val="lightGray"/>
              </w:rPr>
            </w:pPr>
            <w:r w:rsidRPr="008A78C2">
              <w:rPr>
                <w:rFonts w:cstheme="majorBidi"/>
                <w:i/>
                <w:iCs/>
                <w:color w:val="000000"/>
                <w:szCs w:val="24"/>
                <w:highlight w:val="lightGray"/>
              </w:rPr>
              <w:t>1</w:t>
            </w:r>
          </w:p>
        </w:tc>
        <w:tc>
          <w:tcPr>
            <w:tcW w:w="1154" w:type="dxa"/>
            <w:tcBorders>
              <w:top w:val="nil"/>
              <w:left w:val="nil"/>
              <w:bottom w:val="single" w:sz="4" w:space="0" w:color="auto"/>
              <w:right w:val="single" w:sz="4" w:space="0" w:color="auto"/>
            </w:tcBorders>
            <w:shd w:val="clear" w:color="auto" w:fill="FFFFFF"/>
            <w:hideMark/>
          </w:tcPr>
          <w:p w14:paraId="300F58B4" w14:textId="77777777" w:rsidR="001E48D1" w:rsidRPr="008A78C2" w:rsidRDefault="001E48D1" w:rsidP="00E04DBD">
            <w:pPr>
              <w:autoSpaceDE w:val="0"/>
              <w:adjustRightInd w:val="0"/>
              <w:spacing w:line="240" w:lineRule="auto"/>
              <w:ind w:left="57" w:right="60"/>
              <w:jc w:val="center"/>
              <w:rPr>
                <w:rFonts w:cstheme="majorBidi"/>
                <w:b/>
                <w:bCs/>
                <w:color w:val="000000"/>
                <w:szCs w:val="24"/>
                <w:highlight w:val="lightGray"/>
              </w:rPr>
            </w:pPr>
            <w:r w:rsidRPr="008A78C2">
              <w:rPr>
                <w:rFonts w:cstheme="majorBidi"/>
                <w:i/>
                <w:iCs/>
                <w:color w:val="000000"/>
                <w:szCs w:val="24"/>
                <w:highlight w:val="lightGray"/>
              </w:rPr>
              <w:t>2</w:t>
            </w:r>
          </w:p>
        </w:tc>
        <w:tc>
          <w:tcPr>
            <w:tcW w:w="1127" w:type="dxa"/>
            <w:tcBorders>
              <w:top w:val="nil"/>
              <w:left w:val="single" w:sz="4" w:space="0" w:color="auto"/>
              <w:bottom w:val="single" w:sz="4" w:space="0" w:color="auto"/>
              <w:right w:val="nil"/>
            </w:tcBorders>
            <w:shd w:val="clear" w:color="auto" w:fill="FFFFFF"/>
            <w:hideMark/>
          </w:tcPr>
          <w:p w14:paraId="57CAD0B3" w14:textId="3E52AB10" w:rsidR="001E48D1" w:rsidRPr="008A78C2" w:rsidRDefault="001E48D1" w:rsidP="00E04DBD">
            <w:pPr>
              <w:autoSpaceDE w:val="0"/>
              <w:adjustRightInd w:val="0"/>
              <w:spacing w:line="240" w:lineRule="auto"/>
              <w:ind w:left="57" w:right="60"/>
              <w:jc w:val="center"/>
              <w:rPr>
                <w:rFonts w:cstheme="majorBidi"/>
                <w:i/>
                <w:iCs/>
                <w:color w:val="000000"/>
                <w:szCs w:val="24"/>
                <w:highlight w:val="lightGray"/>
              </w:rPr>
            </w:pPr>
            <w:r w:rsidRPr="008A78C2">
              <w:rPr>
                <w:rFonts w:cstheme="majorBidi"/>
                <w:i/>
                <w:iCs/>
                <w:color w:val="000000"/>
                <w:szCs w:val="24"/>
                <w:highlight w:val="lightGray"/>
              </w:rPr>
              <w:t>1</w:t>
            </w:r>
          </w:p>
        </w:tc>
        <w:tc>
          <w:tcPr>
            <w:tcW w:w="1127" w:type="dxa"/>
            <w:tcBorders>
              <w:top w:val="nil"/>
              <w:left w:val="nil"/>
              <w:bottom w:val="single" w:sz="4" w:space="0" w:color="auto"/>
              <w:right w:val="nil"/>
            </w:tcBorders>
            <w:shd w:val="clear" w:color="auto" w:fill="FFFFFF"/>
            <w:hideMark/>
          </w:tcPr>
          <w:p w14:paraId="1AB53EAB" w14:textId="77777777" w:rsidR="001E48D1" w:rsidRPr="008A78C2" w:rsidRDefault="001E48D1" w:rsidP="00E04DBD">
            <w:pPr>
              <w:autoSpaceDE w:val="0"/>
              <w:adjustRightInd w:val="0"/>
              <w:spacing w:line="240" w:lineRule="auto"/>
              <w:ind w:left="57" w:right="60"/>
              <w:jc w:val="center"/>
              <w:rPr>
                <w:rFonts w:cstheme="majorBidi"/>
                <w:i/>
                <w:iCs/>
                <w:color w:val="000000"/>
                <w:szCs w:val="24"/>
                <w:highlight w:val="lightGray"/>
              </w:rPr>
            </w:pPr>
            <w:r w:rsidRPr="008A78C2">
              <w:rPr>
                <w:rFonts w:cstheme="majorBidi"/>
                <w:i/>
                <w:iCs/>
                <w:color w:val="000000"/>
                <w:szCs w:val="24"/>
                <w:highlight w:val="lightGray"/>
              </w:rPr>
              <w:t>2</w:t>
            </w:r>
          </w:p>
        </w:tc>
      </w:tr>
      <w:tr w:rsidR="00751CFE" w:rsidRPr="008A78C2" w14:paraId="7F0EE3C5" w14:textId="77777777" w:rsidTr="00751CFE">
        <w:trPr>
          <w:cantSplit/>
          <w:trHeight w:val="286"/>
          <w:tblHeader/>
          <w:jc w:val="center"/>
        </w:trPr>
        <w:tc>
          <w:tcPr>
            <w:tcW w:w="2158" w:type="dxa"/>
            <w:tcBorders>
              <w:top w:val="single" w:sz="4" w:space="0" w:color="auto"/>
              <w:left w:val="nil"/>
              <w:bottom w:val="nil"/>
              <w:right w:val="nil"/>
            </w:tcBorders>
            <w:shd w:val="clear" w:color="auto" w:fill="FFFFFF"/>
            <w:hideMark/>
          </w:tcPr>
          <w:p w14:paraId="324D2A8E" w14:textId="77777777" w:rsidR="00751CFE" w:rsidRPr="008A78C2" w:rsidRDefault="00751CFE" w:rsidP="00751CFE">
            <w:pPr>
              <w:spacing w:line="240" w:lineRule="auto"/>
              <w:ind w:left="57" w:right="60"/>
              <w:rPr>
                <w:rFonts w:cstheme="majorBidi"/>
                <w:szCs w:val="24"/>
                <w:highlight w:val="lightGray"/>
              </w:rPr>
            </w:pPr>
            <w:r w:rsidRPr="008A78C2">
              <w:rPr>
                <w:rFonts w:cstheme="majorBidi"/>
                <w:color w:val="000000"/>
                <w:szCs w:val="24"/>
                <w:highlight w:val="lightGray"/>
              </w:rPr>
              <w:t>Free Elections</w:t>
            </w:r>
          </w:p>
        </w:tc>
        <w:tc>
          <w:tcPr>
            <w:tcW w:w="1121" w:type="dxa"/>
            <w:tcBorders>
              <w:top w:val="single" w:sz="4" w:space="0" w:color="auto"/>
              <w:left w:val="nil"/>
              <w:bottom w:val="nil"/>
              <w:right w:val="nil"/>
            </w:tcBorders>
            <w:shd w:val="clear" w:color="auto" w:fill="FFFFFF"/>
            <w:hideMark/>
          </w:tcPr>
          <w:p w14:paraId="556660CD"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w:t>
            </w:r>
            <w:r w:rsidRPr="008A78C2">
              <w:rPr>
                <w:rFonts w:cstheme="majorBidi"/>
                <w:b/>
                <w:bCs/>
                <w:color w:val="000000"/>
                <w:szCs w:val="24"/>
                <w:highlight w:val="lightGray"/>
              </w:rPr>
              <w:t>716</w:t>
            </w:r>
          </w:p>
        </w:tc>
        <w:tc>
          <w:tcPr>
            <w:tcW w:w="1154" w:type="dxa"/>
            <w:tcBorders>
              <w:top w:val="single" w:sz="4" w:space="0" w:color="auto"/>
              <w:left w:val="nil"/>
              <w:bottom w:val="nil"/>
              <w:right w:val="single" w:sz="4" w:space="0" w:color="auto"/>
            </w:tcBorders>
            <w:shd w:val="clear" w:color="auto" w:fill="FFFFFF"/>
            <w:hideMark/>
          </w:tcPr>
          <w:p w14:paraId="539C82CC"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-.105</w:t>
            </w:r>
          </w:p>
        </w:tc>
        <w:tc>
          <w:tcPr>
            <w:tcW w:w="1127" w:type="dxa"/>
            <w:tcBorders>
              <w:top w:val="single" w:sz="4" w:space="0" w:color="auto"/>
              <w:left w:val="single" w:sz="4" w:space="0" w:color="auto"/>
              <w:bottom w:val="nil"/>
              <w:right w:val="nil"/>
            </w:tcBorders>
            <w:shd w:val="clear" w:color="auto" w:fill="FFFFFF"/>
          </w:tcPr>
          <w:p w14:paraId="36529C49" w14:textId="2987655B" w:rsidR="00751CFE" w:rsidRPr="008A78C2" w:rsidRDefault="00751CFE" w:rsidP="00751CFE">
            <w:pPr>
              <w:autoSpaceDE w:val="0"/>
              <w:adjustRightInd w:val="0"/>
              <w:spacing w:line="240" w:lineRule="auto"/>
              <w:ind w:left="57" w:right="60"/>
              <w:jc w:val="center"/>
              <w:rPr>
                <w:rFonts w:cstheme="majorBidi"/>
                <w:b/>
                <w:szCs w:val="24"/>
                <w:highlight w:val="lightGray"/>
              </w:rPr>
            </w:pPr>
            <w:r w:rsidRPr="008A78C2">
              <w:rPr>
                <w:rFonts w:cstheme="majorBidi"/>
                <w:b/>
                <w:sz w:val="20"/>
                <w:szCs w:val="24"/>
                <w:highlight w:val="lightGray"/>
              </w:rPr>
              <w:t>.617</w:t>
            </w:r>
          </w:p>
        </w:tc>
        <w:tc>
          <w:tcPr>
            <w:tcW w:w="1127" w:type="dxa"/>
            <w:tcBorders>
              <w:top w:val="single" w:sz="4" w:space="0" w:color="auto"/>
              <w:left w:val="nil"/>
              <w:bottom w:val="nil"/>
              <w:right w:val="nil"/>
            </w:tcBorders>
            <w:shd w:val="clear" w:color="auto" w:fill="FFFFFF"/>
            <w:hideMark/>
          </w:tcPr>
          <w:p w14:paraId="1A425DA3" w14:textId="588A0514"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 w:val="20"/>
                <w:szCs w:val="24"/>
                <w:highlight w:val="lightGray"/>
              </w:rPr>
              <w:t>-.247</w:t>
            </w:r>
          </w:p>
        </w:tc>
      </w:tr>
      <w:tr w:rsidR="00751CFE" w:rsidRPr="008A78C2" w14:paraId="35A285E7" w14:textId="77777777" w:rsidTr="00751CFE">
        <w:trPr>
          <w:cantSplit/>
          <w:trHeight w:val="286"/>
          <w:tblHeader/>
          <w:jc w:val="center"/>
        </w:trPr>
        <w:tc>
          <w:tcPr>
            <w:tcW w:w="2158" w:type="dxa"/>
            <w:shd w:val="clear" w:color="auto" w:fill="FFFFFF"/>
            <w:hideMark/>
          </w:tcPr>
          <w:p w14:paraId="7944E730" w14:textId="77777777" w:rsidR="00751CFE" w:rsidRPr="008A78C2" w:rsidRDefault="00751CFE" w:rsidP="00751CFE">
            <w:pPr>
              <w:spacing w:line="240" w:lineRule="auto"/>
              <w:ind w:left="57" w:right="60"/>
              <w:rPr>
                <w:rFonts w:cstheme="majorBidi"/>
                <w:szCs w:val="24"/>
                <w:highlight w:val="lightGray"/>
              </w:rPr>
            </w:pPr>
            <w:r w:rsidRPr="008A78C2">
              <w:rPr>
                <w:rFonts w:cstheme="majorBidi"/>
                <w:color w:val="000000"/>
                <w:szCs w:val="24"/>
                <w:highlight w:val="lightGray"/>
              </w:rPr>
              <w:t>Civil Rights</w:t>
            </w:r>
          </w:p>
        </w:tc>
        <w:tc>
          <w:tcPr>
            <w:tcW w:w="1121" w:type="dxa"/>
            <w:shd w:val="clear" w:color="auto" w:fill="FFFFFF"/>
            <w:hideMark/>
          </w:tcPr>
          <w:p w14:paraId="6366088F" w14:textId="77777777" w:rsidR="00751CFE" w:rsidRPr="008A78C2" w:rsidRDefault="00751CFE" w:rsidP="00751CFE">
            <w:pPr>
              <w:autoSpaceDE w:val="0"/>
              <w:adjustRightInd w:val="0"/>
              <w:spacing w:line="240" w:lineRule="auto"/>
              <w:ind w:left="57" w:right="60"/>
              <w:jc w:val="center"/>
              <w:rPr>
                <w:rFonts w:cstheme="majorBidi"/>
                <w:b/>
                <w:bCs/>
                <w:color w:val="000000"/>
                <w:szCs w:val="24"/>
                <w:highlight w:val="lightGray"/>
              </w:rPr>
            </w:pPr>
            <w:r w:rsidRPr="008A78C2">
              <w:rPr>
                <w:rFonts w:cstheme="majorBidi"/>
                <w:b/>
                <w:bCs/>
                <w:color w:val="000000"/>
                <w:szCs w:val="24"/>
                <w:highlight w:val="lightGray"/>
              </w:rPr>
              <w:t>.705</w:t>
            </w:r>
          </w:p>
        </w:tc>
        <w:tc>
          <w:tcPr>
            <w:tcW w:w="1154" w:type="dxa"/>
            <w:tcBorders>
              <w:right w:val="single" w:sz="4" w:space="0" w:color="auto"/>
            </w:tcBorders>
            <w:shd w:val="clear" w:color="auto" w:fill="FFFFFF"/>
            <w:hideMark/>
          </w:tcPr>
          <w:p w14:paraId="5C6333FC"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.032</w:t>
            </w:r>
          </w:p>
        </w:tc>
        <w:tc>
          <w:tcPr>
            <w:tcW w:w="1127" w:type="dxa"/>
            <w:tcBorders>
              <w:left w:val="single" w:sz="4" w:space="0" w:color="auto"/>
            </w:tcBorders>
            <w:shd w:val="clear" w:color="auto" w:fill="FFFFFF"/>
          </w:tcPr>
          <w:p w14:paraId="64CE22CF" w14:textId="4A480EE1" w:rsidR="00751CFE" w:rsidRPr="008A78C2" w:rsidRDefault="00751CFE" w:rsidP="00751CFE">
            <w:pPr>
              <w:autoSpaceDE w:val="0"/>
              <w:adjustRightInd w:val="0"/>
              <w:spacing w:line="240" w:lineRule="auto"/>
              <w:ind w:left="57" w:right="60"/>
              <w:jc w:val="center"/>
              <w:rPr>
                <w:rFonts w:cstheme="majorBidi"/>
                <w:b/>
                <w:szCs w:val="24"/>
                <w:highlight w:val="lightGray"/>
              </w:rPr>
            </w:pPr>
            <w:r w:rsidRPr="008A78C2">
              <w:rPr>
                <w:rFonts w:cstheme="majorBidi"/>
                <w:b/>
                <w:sz w:val="20"/>
                <w:szCs w:val="24"/>
                <w:highlight w:val="lightGray"/>
              </w:rPr>
              <w:t>.622</w:t>
            </w:r>
          </w:p>
        </w:tc>
        <w:tc>
          <w:tcPr>
            <w:tcW w:w="1127" w:type="dxa"/>
            <w:shd w:val="clear" w:color="auto" w:fill="FFFFFF"/>
            <w:hideMark/>
          </w:tcPr>
          <w:p w14:paraId="531A5E5A" w14:textId="71790410"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 w:val="20"/>
                <w:szCs w:val="24"/>
                <w:highlight w:val="lightGray"/>
              </w:rPr>
              <w:t>-.122</w:t>
            </w:r>
          </w:p>
        </w:tc>
      </w:tr>
      <w:tr w:rsidR="00751CFE" w:rsidRPr="008A78C2" w14:paraId="662F606E" w14:textId="77777777" w:rsidTr="00751CFE">
        <w:trPr>
          <w:cantSplit/>
          <w:trHeight w:val="286"/>
          <w:tblHeader/>
          <w:jc w:val="center"/>
        </w:trPr>
        <w:tc>
          <w:tcPr>
            <w:tcW w:w="2158" w:type="dxa"/>
            <w:shd w:val="clear" w:color="auto" w:fill="FFFFFF"/>
            <w:hideMark/>
          </w:tcPr>
          <w:p w14:paraId="36F7B547" w14:textId="77777777" w:rsidR="00751CFE" w:rsidRPr="008A78C2" w:rsidRDefault="00751CFE" w:rsidP="00751CFE">
            <w:pPr>
              <w:spacing w:line="240" w:lineRule="auto"/>
              <w:ind w:left="57" w:right="60"/>
              <w:rPr>
                <w:rFonts w:cstheme="majorBidi"/>
                <w:szCs w:val="24"/>
                <w:highlight w:val="lightGray"/>
              </w:rPr>
            </w:pPr>
            <w:r w:rsidRPr="008A78C2">
              <w:rPr>
                <w:rFonts w:cstheme="majorBidi"/>
                <w:color w:val="000000"/>
                <w:szCs w:val="24"/>
                <w:highlight w:val="lightGray"/>
              </w:rPr>
              <w:t>Referendum</w:t>
            </w:r>
          </w:p>
        </w:tc>
        <w:tc>
          <w:tcPr>
            <w:tcW w:w="1121" w:type="dxa"/>
            <w:shd w:val="clear" w:color="auto" w:fill="FFFFFF"/>
            <w:hideMark/>
          </w:tcPr>
          <w:p w14:paraId="57F22DC6" w14:textId="77777777" w:rsidR="00751CFE" w:rsidRPr="008A78C2" w:rsidRDefault="00751CFE" w:rsidP="00751CFE">
            <w:pPr>
              <w:autoSpaceDE w:val="0"/>
              <w:adjustRightInd w:val="0"/>
              <w:spacing w:line="240" w:lineRule="auto"/>
              <w:ind w:left="57" w:right="60"/>
              <w:jc w:val="center"/>
              <w:rPr>
                <w:rFonts w:cstheme="majorBidi"/>
                <w:b/>
                <w:bCs/>
                <w:color w:val="000000"/>
                <w:szCs w:val="24"/>
                <w:highlight w:val="lightGray"/>
              </w:rPr>
            </w:pPr>
            <w:r w:rsidRPr="008A78C2">
              <w:rPr>
                <w:rFonts w:cstheme="majorBidi"/>
                <w:b/>
                <w:bCs/>
                <w:color w:val="000000"/>
                <w:szCs w:val="24"/>
                <w:highlight w:val="lightGray"/>
              </w:rPr>
              <w:t>.665</w:t>
            </w:r>
          </w:p>
        </w:tc>
        <w:tc>
          <w:tcPr>
            <w:tcW w:w="1154" w:type="dxa"/>
            <w:tcBorders>
              <w:right w:val="single" w:sz="4" w:space="0" w:color="auto"/>
            </w:tcBorders>
            <w:shd w:val="clear" w:color="auto" w:fill="FFFFFF"/>
            <w:hideMark/>
          </w:tcPr>
          <w:p w14:paraId="00D2DBA0"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-.024</w:t>
            </w:r>
          </w:p>
        </w:tc>
        <w:tc>
          <w:tcPr>
            <w:tcW w:w="1127" w:type="dxa"/>
            <w:tcBorders>
              <w:left w:val="single" w:sz="4" w:space="0" w:color="auto"/>
            </w:tcBorders>
            <w:shd w:val="clear" w:color="auto" w:fill="FFFFFF"/>
          </w:tcPr>
          <w:p w14:paraId="344042AC" w14:textId="496F97C4" w:rsidR="00751CFE" w:rsidRPr="008A78C2" w:rsidRDefault="00751CFE" w:rsidP="00751CFE">
            <w:pPr>
              <w:autoSpaceDE w:val="0"/>
              <w:adjustRightInd w:val="0"/>
              <w:spacing w:line="240" w:lineRule="auto"/>
              <w:ind w:left="57" w:right="60"/>
              <w:jc w:val="center"/>
              <w:rPr>
                <w:rFonts w:cstheme="majorBidi"/>
                <w:b/>
                <w:szCs w:val="24"/>
                <w:highlight w:val="lightGray"/>
              </w:rPr>
            </w:pPr>
            <w:r w:rsidRPr="008A78C2">
              <w:rPr>
                <w:rFonts w:cstheme="majorBidi"/>
                <w:b/>
                <w:sz w:val="20"/>
                <w:szCs w:val="24"/>
                <w:highlight w:val="lightGray"/>
              </w:rPr>
              <w:t>.558</w:t>
            </w:r>
          </w:p>
        </w:tc>
        <w:tc>
          <w:tcPr>
            <w:tcW w:w="1127" w:type="dxa"/>
            <w:shd w:val="clear" w:color="auto" w:fill="FFFFFF"/>
            <w:hideMark/>
          </w:tcPr>
          <w:p w14:paraId="204A8725" w14:textId="203E1131"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 w:val="20"/>
                <w:szCs w:val="24"/>
                <w:highlight w:val="lightGray"/>
              </w:rPr>
              <w:t>-.143</w:t>
            </w:r>
          </w:p>
        </w:tc>
      </w:tr>
      <w:tr w:rsidR="00751CFE" w:rsidRPr="008A78C2" w14:paraId="3AC32A4B" w14:textId="77777777" w:rsidTr="00751CFE">
        <w:trPr>
          <w:cantSplit/>
          <w:trHeight w:val="286"/>
          <w:tblHeader/>
          <w:jc w:val="center"/>
        </w:trPr>
        <w:tc>
          <w:tcPr>
            <w:tcW w:w="2158" w:type="dxa"/>
            <w:shd w:val="clear" w:color="auto" w:fill="FFFFFF"/>
            <w:hideMark/>
          </w:tcPr>
          <w:p w14:paraId="4293572E" w14:textId="77777777" w:rsidR="00751CFE" w:rsidRPr="008A78C2" w:rsidRDefault="00751CFE" w:rsidP="00751CFE">
            <w:pPr>
              <w:spacing w:line="240" w:lineRule="auto"/>
              <w:ind w:left="57" w:right="60"/>
              <w:rPr>
                <w:rFonts w:cstheme="majorBidi"/>
                <w:szCs w:val="24"/>
                <w:highlight w:val="lightGray"/>
              </w:rPr>
            </w:pPr>
            <w:r w:rsidRPr="008A78C2">
              <w:rPr>
                <w:rFonts w:cstheme="majorBidi"/>
                <w:color w:val="000000"/>
                <w:szCs w:val="24"/>
                <w:highlight w:val="lightGray"/>
              </w:rPr>
              <w:t>Equal Gender Rights</w:t>
            </w:r>
          </w:p>
        </w:tc>
        <w:tc>
          <w:tcPr>
            <w:tcW w:w="1121" w:type="dxa"/>
            <w:shd w:val="clear" w:color="auto" w:fill="FFFFFF"/>
            <w:hideMark/>
          </w:tcPr>
          <w:p w14:paraId="29846192" w14:textId="77777777" w:rsidR="00751CFE" w:rsidRPr="008A78C2" w:rsidRDefault="00751CFE" w:rsidP="00751CFE">
            <w:pPr>
              <w:autoSpaceDE w:val="0"/>
              <w:adjustRightInd w:val="0"/>
              <w:spacing w:line="240" w:lineRule="auto"/>
              <w:ind w:left="57" w:right="60"/>
              <w:jc w:val="center"/>
              <w:rPr>
                <w:rFonts w:cstheme="majorBidi"/>
                <w:b/>
                <w:bCs/>
                <w:color w:val="000000"/>
                <w:szCs w:val="24"/>
                <w:highlight w:val="lightGray"/>
              </w:rPr>
            </w:pPr>
            <w:r w:rsidRPr="008A78C2">
              <w:rPr>
                <w:rFonts w:cstheme="majorBidi"/>
                <w:b/>
                <w:bCs/>
                <w:color w:val="000000"/>
                <w:szCs w:val="24"/>
                <w:highlight w:val="lightGray"/>
              </w:rPr>
              <w:t>.692</w:t>
            </w:r>
          </w:p>
        </w:tc>
        <w:tc>
          <w:tcPr>
            <w:tcW w:w="1154" w:type="dxa"/>
            <w:tcBorders>
              <w:right w:val="single" w:sz="4" w:space="0" w:color="auto"/>
            </w:tcBorders>
            <w:shd w:val="clear" w:color="auto" w:fill="FFFFFF"/>
            <w:hideMark/>
          </w:tcPr>
          <w:p w14:paraId="569FDA0E"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-.201</w:t>
            </w:r>
          </w:p>
        </w:tc>
        <w:tc>
          <w:tcPr>
            <w:tcW w:w="1127" w:type="dxa"/>
            <w:tcBorders>
              <w:left w:val="single" w:sz="4" w:space="0" w:color="auto"/>
            </w:tcBorders>
            <w:shd w:val="clear" w:color="auto" w:fill="FFFFFF"/>
          </w:tcPr>
          <w:p w14:paraId="4D7D37E2" w14:textId="591E25B9" w:rsidR="00751CFE" w:rsidRPr="008A78C2" w:rsidRDefault="00751CFE" w:rsidP="00751CFE">
            <w:pPr>
              <w:autoSpaceDE w:val="0"/>
              <w:adjustRightInd w:val="0"/>
              <w:spacing w:line="240" w:lineRule="auto"/>
              <w:ind w:left="57" w:right="60"/>
              <w:jc w:val="center"/>
              <w:rPr>
                <w:rFonts w:cstheme="majorBidi"/>
                <w:b/>
                <w:szCs w:val="24"/>
                <w:highlight w:val="lightGray"/>
              </w:rPr>
            </w:pPr>
            <w:r w:rsidRPr="008A78C2">
              <w:rPr>
                <w:rFonts w:cstheme="majorBidi"/>
                <w:b/>
                <w:sz w:val="20"/>
                <w:szCs w:val="24"/>
                <w:highlight w:val="lightGray"/>
              </w:rPr>
              <w:t>.555</w:t>
            </w:r>
          </w:p>
        </w:tc>
        <w:tc>
          <w:tcPr>
            <w:tcW w:w="1127" w:type="dxa"/>
            <w:shd w:val="clear" w:color="auto" w:fill="FFFFFF"/>
            <w:hideMark/>
          </w:tcPr>
          <w:p w14:paraId="57D5A90D" w14:textId="3F52160F"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 w:val="20"/>
                <w:szCs w:val="24"/>
                <w:highlight w:val="lightGray"/>
              </w:rPr>
              <w:t>-.289</w:t>
            </w:r>
          </w:p>
        </w:tc>
      </w:tr>
      <w:tr w:rsidR="00751CFE" w:rsidRPr="008A78C2" w14:paraId="5E1B1053" w14:textId="77777777" w:rsidTr="00751CFE">
        <w:trPr>
          <w:cantSplit/>
          <w:trHeight w:val="286"/>
          <w:tblHeader/>
          <w:jc w:val="center"/>
        </w:trPr>
        <w:tc>
          <w:tcPr>
            <w:tcW w:w="2158" w:type="dxa"/>
            <w:shd w:val="clear" w:color="auto" w:fill="FFFFFF"/>
            <w:hideMark/>
          </w:tcPr>
          <w:p w14:paraId="6C3A5F87" w14:textId="77777777" w:rsidR="00751CFE" w:rsidRPr="008A78C2" w:rsidRDefault="00751CFE" w:rsidP="00751CFE">
            <w:pPr>
              <w:autoSpaceDE w:val="0"/>
              <w:adjustRightInd w:val="0"/>
              <w:spacing w:line="240" w:lineRule="auto"/>
              <w:ind w:left="57" w:right="60"/>
              <w:rPr>
                <w:rFonts w:cstheme="majorBidi"/>
                <w:color w:val="000000"/>
                <w:szCs w:val="24"/>
                <w:highlight w:val="lightGray"/>
              </w:rPr>
            </w:pPr>
            <w:r w:rsidRPr="008A78C2">
              <w:rPr>
                <w:rFonts w:cstheme="majorBidi"/>
                <w:color w:val="000000"/>
                <w:szCs w:val="24"/>
                <w:highlight w:val="lightGray"/>
              </w:rPr>
              <w:t>Prospering Economy</w:t>
            </w:r>
          </w:p>
        </w:tc>
        <w:tc>
          <w:tcPr>
            <w:tcW w:w="1121" w:type="dxa"/>
            <w:shd w:val="clear" w:color="auto" w:fill="FFFFFF"/>
            <w:hideMark/>
          </w:tcPr>
          <w:p w14:paraId="166FA78B" w14:textId="77777777" w:rsidR="00751CFE" w:rsidRPr="008A78C2" w:rsidRDefault="00751CFE" w:rsidP="00751CFE">
            <w:pPr>
              <w:autoSpaceDE w:val="0"/>
              <w:adjustRightInd w:val="0"/>
              <w:spacing w:line="240" w:lineRule="auto"/>
              <w:ind w:left="57" w:right="60"/>
              <w:jc w:val="center"/>
              <w:rPr>
                <w:rFonts w:cstheme="majorBidi"/>
                <w:b/>
                <w:bCs/>
                <w:color w:val="000000"/>
                <w:szCs w:val="24"/>
                <w:highlight w:val="lightGray"/>
              </w:rPr>
            </w:pPr>
            <w:r w:rsidRPr="008A78C2">
              <w:rPr>
                <w:rFonts w:cstheme="majorBidi"/>
                <w:b/>
                <w:bCs/>
                <w:color w:val="000000"/>
                <w:szCs w:val="24"/>
                <w:highlight w:val="lightGray"/>
              </w:rPr>
              <w:t>.626</w:t>
            </w:r>
          </w:p>
        </w:tc>
        <w:tc>
          <w:tcPr>
            <w:tcW w:w="1154" w:type="dxa"/>
            <w:tcBorders>
              <w:right w:val="single" w:sz="4" w:space="0" w:color="auto"/>
            </w:tcBorders>
            <w:shd w:val="clear" w:color="auto" w:fill="FFFFFF"/>
            <w:hideMark/>
          </w:tcPr>
          <w:p w14:paraId="547B4FBE"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.352</w:t>
            </w:r>
          </w:p>
        </w:tc>
        <w:tc>
          <w:tcPr>
            <w:tcW w:w="1127" w:type="dxa"/>
            <w:tcBorders>
              <w:left w:val="single" w:sz="4" w:space="0" w:color="auto"/>
            </w:tcBorders>
            <w:shd w:val="clear" w:color="auto" w:fill="FFFFFF"/>
          </w:tcPr>
          <w:p w14:paraId="19AF1A78" w14:textId="749A1D25" w:rsidR="00751CFE" w:rsidRPr="008A78C2" w:rsidRDefault="00751CFE" w:rsidP="00751CFE">
            <w:pPr>
              <w:autoSpaceDE w:val="0"/>
              <w:adjustRightInd w:val="0"/>
              <w:spacing w:line="240" w:lineRule="auto"/>
              <w:ind w:left="57" w:right="60"/>
              <w:jc w:val="center"/>
              <w:rPr>
                <w:rFonts w:cstheme="majorBidi"/>
                <w:b/>
                <w:szCs w:val="24"/>
                <w:highlight w:val="lightGray"/>
              </w:rPr>
            </w:pPr>
            <w:r w:rsidRPr="008A78C2">
              <w:rPr>
                <w:rFonts w:cstheme="majorBidi"/>
                <w:b/>
                <w:sz w:val="20"/>
                <w:szCs w:val="24"/>
                <w:highlight w:val="lightGray"/>
              </w:rPr>
              <w:t>.650</w:t>
            </w:r>
          </w:p>
        </w:tc>
        <w:tc>
          <w:tcPr>
            <w:tcW w:w="1127" w:type="dxa"/>
            <w:shd w:val="clear" w:color="auto" w:fill="FFFFFF"/>
            <w:hideMark/>
          </w:tcPr>
          <w:p w14:paraId="6D973D64" w14:textId="665D81B0"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 w:val="20"/>
                <w:szCs w:val="24"/>
                <w:highlight w:val="lightGray"/>
              </w:rPr>
              <w:t>.168</w:t>
            </w:r>
          </w:p>
        </w:tc>
      </w:tr>
      <w:tr w:rsidR="00751CFE" w:rsidRPr="008A78C2" w14:paraId="3AAFC6D1" w14:textId="77777777" w:rsidTr="00751CFE">
        <w:trPr>
          <w:cantSplit/>
          <w:trHeight w:val="286"/>
          <w:tblHeader/>
          <w:jc w:val="center"/>
        </w:trPr>
        <w:tc>
          <w:tcPr>
            <w:tcW w:w="2158" w:type="dxa"/>
            <w:shd w:val="clear" w:color="auto" w:fill="FFFFFF"/>
            <w:hideMark/>
          </w:tcPr>
          <w:p w14:paraId="4F4E28AD" w14:textId="77777777" w:rsidR="00751CFE" w:rsidRPr="008A78C2" w:rsidRDefault="00751CFE" w:rsidP="00751CFE">
            <w:pPr>
              <w:autoSpaceDE w:val="0"/>
              <w:adjustRightInd w:val="0"/>
              <w:spacing w:line="240" w:lineRule="auto"/>
              <w:ind w:left="57" w:right="60"/>
              <w:rPr>
                <w:rFonts w:cstheme="majorBidi"/>
                <w:color w:val="000000"/>
                <w:szCs w:val="24"/>
                <w:highlight w:val="lightGray"/>
              </w:rPr>
            </w:pPr>
            <w:r w:rsidRPr="008A78C2">
              <w:rPr>
                <w:rFonts w:cstheme="majorBidi"/>
                <w:color w:val="000000"/>
                <w:szCs w:val="24"/>
                <w:highlight w:val="lightGray"/>
              </w:rPr>
              <w:t>Unemployment Aid</w:t>
            </w:r>
          </w:p>
        </w:tc>
        <w:tc>
          <w:tcPr>
            <w:tcW w:w="1121" w:type="dxa"/>
            <w:shd w:val="clear" w:color="auto" w:fill="FFFFFF"/>
            <w:hideMark/>
          </w:tcPr>
          <w:p w14:paraId="047B5D9A"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w:t>
            </w:r>
            <w:r w:rsidRPr="008A78C2">
              <w:rPr>
                <w:rFonts w:cstheme="majorBidi"/>
                <w:b/>
                <w:bCs/>
                <w:color w:val="000000"/>
                <w:szCs w:val="24"/>
                <w:highlight w:val="lightGray"/>
              </w:rPr>
              <w:t>562</w:t>
            </w:r>
          </w:p>
        </w:tc>
        <w:tc>
          <w:tcPr>
            <w:tcW w:w="1154" w:type="dxa"/>
            <w:tcBorders>
              <w:right w:val="single" w:sz="4" w:space="0" w:color="auto"/>
            </w:tcBorders>
            <w:shd w:val="clear" w:color="auto" w:fill="FFFFFF"/>
            <w:hideMark/>
          </w:tcPr>
          <w:p w14:paraId="0BC28DE1" w14:textId="77777777" w:rsidR="00751CFE" w:rsidRPr="008A78C2" w:rsidRDefault="00751CFE" w:rsidP="00751CFE">
            <w:pPr>
              <w:autoSpaceDE w:val="0"/>
              <w:adjustRightInd w:val="0"/>
              <w:spacing w:line="240" w:lineRule="auto"/>
              <w:ind w:left="57" w:right="60"/>
              <w:jc w:val="center"/>
              <w:rPr>
                <w:rFonts w:cstheme="majorBidi"/>
                <w:i/>
                <w:iCs/>
                <w:color w:val="808080" w:themeColor="background1" w:themeShade="80"/>
                <w:szCs w:val="24"/>
                <w:highlight w:val="lightGray"/>
              </w:rPr>
            </w:pPr>
            <w:r w:rsidRPr="008A78C2">
              <w:rPr>
                <w:rFonts w:cstheme="majorBidi"/>
                <w:i/>
                <w:iCs/>
                <w:color w:val="808080" w:themeColor="background1" w:themeShade="80"/>
                <w:szCs w:val="24"/>
                <w:highlight w:val="lightGray"/>
              </w:rPr>
              <w:t>.</w:t>
            </w:r>
            <w:r w:rsidRPr="008A78C2">
              <w:rPr>
                <w:rFonts w:cstheme="majorBidi"/>
                <w:color w:val="808080" w:themeColor="background1" w:themeShade="80"/>
                <w:szCs w:val="24"/>
                <w:highlight w:val="lightGray"/>
              </w:rPr>
              <w:t>209</w:t>
            </w:r>
          </w:p>
        </w:tc>
        <w:tc>
          <w:tcPr>
            <w:tcW w:w="1127" w:type="dxa"/>
            <w:tcBorders>
              <w:left w:val="single" w:sz="4" w:space="0" w:color="auto"/>
            </w:tcBorders>
            <w:shd w:val="clear" w:color="auto" w:fill="FFFFFF"/>
          </w:tcPr>
          <w:p w14:paraId="41C9954E" w14:textId="575D06B5" w:rsidR="00751CFE" w:rsidRPr="008A78C2" w:rsidRDefault="00751CFE" w:rsidP="00751CFE">
            <w:pPr>
              <w:autoSpaceDE w:val="0"/>
              <w:adjustRightInd w:val="0"/>
              <w:spacing w:line="240" w:lineRule="auto"/>
              <w:ind w:left="57" w:right="60"/>
              <w:jc w:val="center"/>
              <w:rPr>
                <w:rFonts w:cstheme="majorBidi"/>
                <w:b/>
                <w:iCs/>
                <w:szCs w:val="24"/>
                <w:highlight w:val="lightGray"/>
              </w:rPr>
            </w:pPr>
            <w:r w:rsidRPr="008A78C2">
              <w:rPr>
                <w:rFonts w:cstheme="majorBidi"/>
                <w:b/>
                <w:iCs/>
                <w:sz w:val="20"/>
                <w:szCs w:val="24"/>
                <w:highlight w:val="lightGray"/>
              </w:rPr>
              <w:t>.510</w:t>
            </w:r>
          </w:p>
        </w:tc>
        <w:tc>
          <w:tcPr>
            <w:tcW w:w="1127" w:type="dxa"/>
            <w:shd w:val="clear" w:color="auto" w:fill="FFFFFF"/>
            <w:hideMark/>
          </w:tcPr>
          <w:p w14:paraId="6D719D63" w14:textId="71A180CC" w:rsidR="00751CFE" w:rsidRPr="008A78C2" w:rsidRDefault="00751CFE" w:rsidP="00751CFE">
            <w:pPr>
              <w:autoSpaceDE w:val="0"/>
              <w:adjustRightInd w:val="0"/>
              <w:spacing w:line="240" w:lineRule="auto"/>
              <w:ind w:left="57" w:right="60"/>
              <w:jc w:val="center"/>
              <w:rPr>
                <w:rFonts w:cstheme="majorBidi"/>
                <w:iCs/>
                <w:color w:val="808080" w:themeColor="background1" w:themeShade="80"/>
                <w:szCs w:val="24"/>
                <w:highlight w:val="lightGray"/>
              </w:rPr>
            </w:pPr>
            <w:r w:rsidRPr="008A78C2">
              <w:rPr>
                <w:rFonts w:cstheme="majorBidi"/>
                <w:iCs/>
                <w:color w:val="808080" w:themeColor="background1" w:themeShade="80"/>
                <w:sz w:val="20"/>
                <w:szCs w:val="24"/>
                <w:highlight w:val="lightGray"/>
              </w:rPr>
              <w:t>.035</w:t>
            </w:r>
          </w:p>
        </w:tc>
      </w:tr>
      <w:tr w:rsidR="00751CFE" w:rsidRPr="008A78C2" w14:paraId="511E6E10" w14:textId="77777777" w:rsidTr="00751CFE">
        <w:trPr>
          <w:cantSplit/>
          <w:trHeight w:val="286"/>
          <w:tblHeader/>
          <w:jc w:val="center"/>
        </w:trPr>
        <w:tc>
          <w:tcPr>
            <w:tcW w:w="2158" w:type="dxa"/>
            <w:shd w:val="clear" w:color="auto" w:fill="FFFFFF"/>
            <w:hideMark/>
          </w:tcPr>
          <w:p w14:paraId="046B107A" w14:textId="77777777" w:rsidR="00751CFE" w:rsidRPr="008A78C2" w:rsidRDefault="00751CFE" w:rsidP="00751CFE">
            <w:pPr>
              <w:autoSpaceDE w:val="0"/>
              <w:adjustRightInd w:val="0"/>
              <w:spacing w:line="240" w:lineRule="auto"/>
              <w:ind w:left="57" w:right="60"/>
              <w:rPr>
                <w:rFonts w:cstheme="majorBidi"/>
                <w:color w:val="000000"/>
                <w:szCs w:val="24"/>
                <w:highlight w:val="lightGray"/>
              </w:rPr>
            </w:pPr>
            <w:r w:rsidRPr="008A78C2">
              <w:rPr>
                <w:rFonts w:cstheme="majorBidi"/>
                <w:color w:val="000000"/>
                <w:szCs w:val="24"/>
                <w:highlight w:val="lightGray"/>
              </w:rPr>
              <w:t>Criminal Punishment</w:t>
            </w:r>
          </w:p>
        </w:tc>
        <w:tc>
          <w:tcPr>
            <w:tcW w:w="1121" w:type="dxa"/>
            <w:shd w:val="clear" w:color="auto" w:fill="FFFFFF"/>
            <w:hideMark/>
          </w:tcPr>
          <w:p w14:paraId="1A63D5EA" w14:textId="77777777" w:rsidR="00751CFE" w:rsidRPr="008A78C2" w:rsidRDefault="00751CFE" w:rsidP="00751CFE">
            <w:pPr>
              <w:autoSpaceDE w:val="0"/>
              <w:adjustRightInd w:val="0"/>
              <w:spacing w:line="240" w:lineRule="auto"/>
              <w:ind w:left="57" w:right="60"/>
              <w:jc w:val="center"/>
              <w:rPr>
                <w:rFonts w:cstheme="majorBidi"/>
                <w:b/>
                <w:bCs/>
                <w:color w:val="000000"/>
                <w:szCs w:val="24"/>
                <w:highlight w:val="lightGray"/>
              </w:rPr>
            </w:pPr>
            <w:r w:rsidRPr="008A78C2">
              <w:rPr>
                <w:rFonts w:cstheme="majorBidi"/>
                <w:b/>
                <w:bCs/>
                <w:color w:val="000000"/>
                <w:szCs w:val="24"/>
                <w:highlight w:val="lightGray"/>
              </w:rPr>
              <w:t>.549</w:t>
            </w:r>
          </w:p>
        </w:tc>
        <w:tc>
          <w:tcPr>
            <w:tcW w:w="1154" w:type="dxa"/>
            <w:tcBorders>
              <w:right w:val="single" w:sz="4" w:space="0" w:color="auto"/>
            </w:tcBorders>
            <w:shd w:val="clear" w:color="auto" w:fill="FFFFFF"/>
            <w:hideMark/>
          </w:tcPr>
          <w:p w14:paraId="03123154"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.351</w:t>
            </w:r>
          </w:p>
        </w:tc>
        <w:tc>
          <w:tcPr>
            <w:tcW w:w="1127" w:type="dxa"/>
            <w:tcBorders>
              <w:left w:val="single" w:sz="4" w:space="0" w:color="auto"/>
            </w:tcBorders>
            <w:shd w:val="clear" w:color="auto" w:fill="FFFFFF"/>
          </w:tcPr>
          <w:p w14:paraId="6BFB0348" w14:textId="26D727BF" w:rsidR="00751CFE" w:rsidRPr="008A78C2" w:rsidRDefault="00751CFE" w:rsidP="00751CFE">
            <w:pPr>
              <w:autoSpaceDE w:val="0"/>
              <w:adjustRightInd w:val="0"/>
              <w:spacing w:line="240" w:lineRule="auto"/>
              <w:ind w:left="57" w:right="60"/>
              <w:jc w:val="center"/>
              <w:rPr>
                <w:rFonts w:cstheme="majorBidi"/>
                <w:b/>
                <w:szCs w:val="24"/>
                <w:highlight w:val="lightGray"/>
              </w:rPr>
            </w:pPr>
            <w:r w:rsidRPr="008A78C2">
              <w:rPr>
                <w:rFonts w:cstheme="majorBidi"/>
                <w:b/>
                <w:sz w:val="20"/>
                <w:szCs w:val="24"/>
                <w:highlight w:val="lightGray"/>
              </w:rPr>
              <w:t>.590</w:t>
            </w:r>
          </w:p>
        </w:tc>
        <w:tc>
          <w:tcPr>
            <w:tcW w:w="1127" w:type="dxa"/>
            <w:shd w:val="clear" w:color="auto" w:fill="FFFFFF"/>
            <w:hideMark/>
          </w:tcPr>
          <w:p w14:paraId="17B9E1F7" w14:textId="6505F776"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 w:val="20"/>
                <w:szCs w:val="24"/>
                <w:highlight w:val="lightGray"/>
              </w:rPr>
              <w:t>.197</w:t>
            </w:r>
          </w:p>
        </w:tc>
      </w:tr>
      <w:tr w:rsidR="00751CFE" w:rsidRPr="008A78C2" w14:paraId="61AA9868" w14:textId="77777777" w:rsidTr="00751CFE">
        <w:trPr>
          <w:cantSplit/>
          <w:trHeight w:val="286"/>
          <w:tblHeader/>
          <w:jc w:val="center"/>
        </w:trPr>
        <w:tc>
          <w:tcPr>
            <w:tcW w:w="2158" w:type="dxa"/>
            <w:shd w:val="clear" w:color="auto" w:fill="FFFFFF"/>
            <w:hideMark/>
          </w:tcPr>
          <w:p w14:paraId="17713189" w14:textId="77777777" w:rsidR="00751CFE" w:rsidRPr="008A78C2" w:rsidRDefault="00751CFE" w:rsidP="00751CFE">
            <w:pPr>
              <w:spacing w:line="240" w:lineRule="auto"/>
              <w:ind w:left="57" w:right="60"/>
              <w:rPr>
                <w:rFonts w:cstheme="majorBidi"/>
                <w:szCs w:val="24"/>
                <w:highlight w:val="lightGray"/>
              </w:rPr>
            </w:pPr>
            <w:r w:rsidRPr="008A78C2">
              <w:rPr>
                <w:rFonts w:cstheme="majorBidi"/>
                <w:color w:val="000000"/>
                <w:szCs w:val="24"/>
                <w:highlight w:val="lightGray"/>
              </w:rPr>
              <w:t>Religious Authorities</w:t>
            </w:r>
          </w:p>
        </w:tc>
        <w:tc>
          <w:tcPr>
            <w:tcW w:w="1121" w:type="dxa"/>
            <w:shd w:val="clear" w:color="auto" w:fill="FFFFFF"/>
            <w:hideMark/>
          </w:tcPr>
          <w:p w14:paraId="6C860073"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-.068</w:t>
            </w:r>
          </w:p>
        </w:tc>
        <w:tc>
          <w:tcPr>
            <w:tcW w:w="1154" w:type="dxa"/>
            <w:tcBorders>
              <w:right w:val="single" w:sz="4" w:space="0" w:color="auto"/>
            </w:tcBorders>
            <w:shd w:val="clear" w:color="auto" w:fill="FFFFFF"/>
            <w:hideMark/>
          </w:tcPr>
          <w:p w14:paraId="6BCC3802"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w:t>
            </w:r>
            <w:r w:rsidRPr="008A78C2">
              <w:rPr>
                <w:rFonts w:cstheme="majorBidi"/>
                <w:b/>
                <w:bCs/>
                <w:color w:val="000000"/>
                <w:szCs w:val="24"/>
                <w:highlight w:val="lightGray"/>
              </w:rPr>
              <w:t>784</w:t>
            </w:r>
          </w:p>
        </w:tc>
        <w:tc>
          <w:tcPr>
            <w:tcW w:w="1127" w:type="dxa"/>
            <w:tcBorders>
              <w:left w:val="single" w:sz="4" w:space="0" w:color="auto"/>
            </w:tcBorders>
            <w:shd w:val="clear" w:color="auto" w:fill="FFFFFF"/>
          </w:tcPr>
          <w:p w14:paraId="148D84DD" w14:textId="271C83A2" w:rsidR="00751CFE" w:rsidRPr="008A78C2" w:rsidRDefault="00751CFE" w:rsidP="00751CFE">
            <w:pPr>
              <w:autoSpaceDE w:val="0"/>
              <w:adjustRightInd w:val="0"/>
              <w:spacing w:line="240" w:lineRule="auto"/>
              <w:ind w:left="57" w:right="60"/>
              <w:jc w:val="center"/>
              <w:rPr>
                <w:rFonts w:cstheme="majorBidi"/>
                <w:color w:val="A6A6A6" w:themeColor="background1" w:themeShade="A6"/>
                <w:szCs w:val="24"/>
                <w:highlight w:val="lightGray"/>
              </w:rPr>
            </w:pPr>
            <w:r w:rsidRPr="008A78C2">
              <w:rPr>
                <w:rFonts w:cstheme="majorBidi"/>
                <w:color w:val="A6A6A6" w:themeColor="background1" w:themeShade="A6"/>
                <w:sz w:val="20"/>
                <w:szCs w:val="24"/>
                <w:highlight w:val="lightGray"/>
              </w:rPr>
              <w:t>.121</w:t>
            </w:r>
          </w:p>
        </w:tc>
        <w:tc>
          <w:tcPr>
            <w:tcW w:w="1127" w:type="dxa"/>
            <w:shd w:val="clear" w:color="auto" w:fill="FFFFFF"/>
            <w:hideMark/>
          </w:tcPr>
          <w:p w14:paraId="142EC790" w14:textId="00735D2E" w:rsidR="00751CFE" w:rsidRPr="008A78C2" w:rsidRDefault="00751CFE" w:rsidP="00751CFE">
            <w:pPr>
              <w:autoSpaceDE w:val="0"/>
              <w:adjustRightInd w:val="0"/>
              <w:spacing w:line="240" w:lineRule="auto"/>
              <w:ind w:left="57" w:right="60"/>
              <w:jc w:val="center"/>
              <w:rPr>
                <w:rFonts w:cstheme="majorBidi"/>
                <w:b/>
                <w:color w:val="000000"/>
                <w:szCs w:val="24"/>
                <w:highlight w:val="lightGray"/>
              </w:rPr>
            </w:pPr>
            <w:r w:rsidRPr="008A78C2">
              <w:rPr>
                <w:rFonts w:cstheme="majorBidi"/>
                <w:b/>
                <w:color w:val="000000"/>
                <w:sz w:val="20"/>
                <w:szCs w:val="24"/>
                <w:highlight w:val="lightGray"/>
              </w:rPr>
              <w:t>.666</w:t>
            </w:r>
          </w:p>
        </w:tc>
      </w:tr>
      <w:tr w:rsidR="00751CFE" w:rsidRPr="008A78C2" w14:paraId="16CB894D" w14:textId="77777777" w:rsidTr="00751CFE">
        <w:trPr>
          <w:cantSplit/>
          <w:trHeight w:val="286"/>
          <w:tblHeader/>
          <w:jc w:val="center"/>
        </w:trPr>
        <w:tc>
          <w:tcPr>
            <w:tcW w:w="2158" w:type="dxa"/>
            <w:shd w:val="clear" w:color="auto" w:fill="FFFFFF"/>
            <w:hideMark/>
          </w:tcPr>
          <w:p w14:paraId="68A5B75A" w14:textId="77777777" w:rsidR="00751CFE" w:rsidRPr="008A78C2" w:rsidRDefault="00751CFE" w:rsidP="00751CFE">
            <w:pPr>
              <w:spacing w:line="240" w:lineRule="auto"/>
              <w:ind w:left="57" w:right="60"/>
              <w:rPr>
                <w:rFonts w:cstheme="majorBidi"/>
                <w:szCs w:val="24"/>
                <w:highlight w:val="lightGray"/>
              </w:rPr>
            </w:pPr>
            <w:r w:rsidRPr="008A78C2">
              <w:rPr>
                <w:rFonts w:cstheme="majorBidi"/>
                <w:color w:val="000000"/>
                <w:szCs w:val="24"/>
                <w:highlight w:val="lightGray"/>
              </w:rPr>
              <w:t>Army Intervention</w:t>
            </w:r>
          </w:p>
        </w:tc>
        <w:tc>
          <w:tcPr>
            <w:tcW w:w="1121" w:type="dxa"/>
            <w:shd w:val="clear" w:color="auto" w:fill="FFFFFF"/>
            <w:hideMark/>
          </w:tcPr>
          <w:p w14:paraId="3877F547" w14:textId="77777777" w:rsidR="00751CFE" w:rsidRPr="008A78C2" w:rsidRDefault="00751CFE" w:rsidP="00751CFE">
            <w:pPr>
              <w:autoSpaceDE w:val="0"/>
              <w:adjustRightInd w:val="0"/>
              <w:spacing w:line="240" w:lineRule="auto"/>
              <w:ind w:left="57" w:right="60"/>
              <w:jc w:val="center"/>
              <w:rPr>
                <w:rFonts w:cstheme="majorBidi"/>
                <w:color w:val="808080" w:themeColor="background1" w:themeShade="80"/>
                <w:szCs w:val="24"/>
                <w:highlight w:val="lightGray"/>
              </w:rPr>
            </w:pPr>
            <w:r w:rsidRPr="008A78C2">
              <w:rPr>
                <w:rFonts w:cstheme="majorBidi"/>
                <w:color w:val="808080" w:themeColor="background1" w:themeShade="80"/>
                <w:szCs w:val="24"/>
                <w:highlight w:val="lightGray"/>
              </w:rPr>
              <w:t>-.075</w:t>
            </w:r>
          </w:p>
        </w:tc>
        <w:tc>
          <w:tcPr>
            <w:tcW w:w="1154" w:type="dxa"/>
            <w:tcBorders>
              <w:right w:val="single" w:sz="4" w:space="0" w:color="auto"/>
            </w:tcBorders>
            <w:shd w:val="clear" w:color="auto" w:fill="FFFFFF"/>
            <w:hideMark/>
          </w:tcPr>
          <w:p w14:paraId="6D0968C0"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w:t>
            </w:r>
            <w:r w:rsidRPr="008A78C2">
              <w:rPr>
                <w:rFonts w:cstheme="majorBidi"/>
                <w:b/>
                <w:bCs/>
                <w:color w:val="000000"/>
                <w:szCs w:val="24"/>
                <w:highlight w:val="lightGray"/>
              </w:rPr>
              <w:t>716</w:t>
            </w:r>
          </w:p>
        </w:tc>
        <w:tc>
          <w:tcPr>
            <w:tcW w:w="1127" w:type="dxa"/>
            <w:tcBorders>
              <w:left w:val="single" w:sz="4" w:space="0" w:color="auto"/>
            </w:tcBorders>
            <w:shd w:val="clear" w:color="auto" w:fill="FFFFFF"/>
          </w:tcPr>
          <w:p w14:paraId="1D04844A" w14:textId="0BF2AF01" w:rsidR="00751CFE" w:rsidRPr="008A78C2" w:rsidRDefault="00751CFE" w:rsidP="00751CFE">
            <w:pPr>
              <w:autoSpaceDE w:val="0"/>
              <w:adjustRightInd w:val="0"/>
              <w:spacing w:line="240" w:lineRule="auto"/>
              <w:ind w:left="57" w:right="60"/>
              <w:jc w:val="center"/>
              <w:rPr>
                <w:rFonts w:cstheme="majorBidi"/>
                <w:color w:val="A6A6A6" w:themeColor="background1" w:themeShade="A6"/>
                <w:szCs w:val="24"/>
                <w:highlight w:val="lightGray"/>
              </w:rPr>
            </w:pPr>
            <w:r w:rsidRPr="008A78C2">
              <w:rPr>
                <w:rFonts w:cstheme="majorBidi"/>
                <w:color w:val="A6A6A6" w:themeColor="background1" w:themeShade="A6"/>
                <w:sz w:val="20"/>
                <w:szCs w:val="24"/>
                <w:highlight w:val="lightGray"/>
              </w:rPr>
              <w:t>.091</w:t>
            </w:r>
          </w:p>
        </w:tc>
        <w:tc>
          <w:tcPr>
            <w:tcW w:w="1127" w:type="dxa"/>
            <w:shd w:val="clear" w:color="auto" w:fill="FFFFFF"/>
            <w:hideMark/>
          </w:tcPr>
          <w:p w14:paraId="5153CC25" w14:textId="40F137C7" w:rsidR="00751CFE" w:rsidRPr="008A78C2" w:rsidRDefault="00751CFE" w:rsidP="00751CFE">
            <w:pPr>
              <w:autoSpaceDE w:val="0"/>
              <w:adjustRightInd w:val="0"/>
              <w:spacing w:line="240" w:lineRule="auto"/>
              <w:ind w:left="57" w:right="60"/>
              <w:jc w:val="center"/>
              <w:rPr>
                <w:rFonts w:cstheme="majorBidi"/>
                <w:b/>
                <w:color w:val="000000"/>
                <w:szCs w:val="24"/>
                <w:highlight w:val="lightGray"/>
              </w:rPr>
            </w:pPr>
            <w:r w:rsidRPr="008A78C2">
              <w:rPr>
                <w:rFonts w:cstheme="majorBidi"/>
                <w:b/>
                <w:color w:val="000000"/>
                <w:sz w:val="20"/>
                <w:szCs w:val="24"/>
                <w:highlight w:val="lightGray"/>
              </w:rPr>
              <w:t>.482</w:t>
            </w:r>
          </w:p>
        </w:tc>
      </w:tr>
      <w:tr w:rsidR="00751CFE" w:rsidRPr="008A78C2" w14:paraId="2917E2D9" w14:textId="77777777" w:rsidTr="00751CFE">
        <w:trPr>
          <w:cantSplit/>
          <w:trHeight w:val="286"/>
          <w:tblHeader/>
          <w:jc w:val="center"/>
        </w:trPr>
        <w:tc>
          <w:tcPr>
            <w:tcW w:w="2158" w:type="dxa"/>
            <w:tcBorders>
              <w:top w:val="nil"/>
              <w:left w:val="nil"/>
              <w:bottom w:val="single" w:sz="4" w:space="0" w:color="auto"/>
              <w:right w:val="nil"/>
            </w:tcBorders>
            <w:shd w:val="clear" w:color="auto" w:fill="FFFFFF"/>
            <w:hideMark/>
          </w:tcPr>
          <w:p w14:paraId="195F0AFE" w14:textId="77777777" w:rsidR="00751CFE" w:rsidRPr="008A78C2" w:rsidRDefault="00751CFE" w:rsidP="00751CFE">
            <w:pPr>
              <w:autoSpaceDE w:val="0"/>
              <w:adjustRightInd w:val="0"/>
              <w:spacing w:line="240" w:lineRule="auto"/>
              <w:ind w:left="57" w:right="60"/>
              <w:rPr>
                <w:rFonts w:cstheme="majorBidi"/>
                <w:color w:val="000000"/>
                <w:szCs w:val="24"/>
                <w:highlight w:val="lightGray"/>
              </w:rPr>
            </w:pPr>
            <w:r w:rsidRPr="008A78C2">
              <w:rPr>
                <w:rFonts w:cstheme="majorBidi"/>
                <w:color w:val="000000"/>
                <w:szCs w:val="24"/>
                <w:highlight w:val="lightGray"/>
              </w:rPr>
              <w:t>Tax</w:t>
            </w:r>
          </w:p>
        </w:tc>
        <w:tc>
          <w:tcPr>
            <w:tcW w:w="1121" w:type="dxa"/>
            <w:tcBorders>
              <w:top w:val="nil"/>
              <w:left w:val="nil"/>
              <w:bottom w:val="single" w:sz="4" w:space="0" w:color="auto"/>
              <w:right w:val="nil"/>
            </w:tcBorders>
            <w:shd w:val="clear" w:color="auto" w:fill="FFFFFF"/>
            <w:hideMark/>
          </w:tcPr>
          <w:p w14:paraId="6E3578B4" w14:textId="77777777" w:rsidR="00751CFE" w:rsidRPr="008A78C2" w:rsidRDefault="00751CFE" w:rsidP="00751CFE">
            <w:pPr>
              <w:autoSpaceDE w:val="0"/>
              <w:adjustRightInd w:val="0"/>
              <w:spacing w:line="240" w:lineRule="auto"/>
              <w:ind w:left="57" w:right="60"/>
              <w:jc w:val="center"/>
              <w:rPr>
                <w:rFonts w:cstheme="majorBidi"/>
                <w:b/>
                <w:bCs/>
                <w:color w:val="808080" w:themeColor="background1" w:themeShade="80"/>
                <w:szCs w:val="24"/>
                <w:highlight w:val="lightGray"/>
              </w:rPr>
            </w:pPr>
            <w:r w:rsidRPr="008A78C2">
              <w:rPr>
                <w:rFonts w:cstheme="majorBidi"/>
                <w:bCs/>
                <w:color w:val="808080" w:themeColor="background1" w:themeShade="80"/>
                <w:szCs w:val="24"/>
                <w:highlight w:val="lightGray"/>
              </w:rPr>
              <w:t>.</w:t>
            </w:r>
            <w:r w:rsidRPr="008A78C2">
              <w:rPr>
                <w:rFonts w:cstheme="majorBidi"/>
                <w:color w:val="808080" w:themeColor="background1" w:themeShade="80"/>
                <w:szCs w:val="24"/>
                <w:highlight w:val="lightGray"/>
              </w:rPr>
              <w:t>357</w:t>
            </w:r>
          </w:p>
        </w:tc>
        <w:tc>
          <w:tcPr>
            <w:tcW w:w="1154" w:type="dxa"/>
            <w:tcBorders>
              <w:top w:val="nil"/>
              <w:left w:val="nil"/>
              <w:bottom w:val="single" w:sz="4" w:space="0" w:color="auto"/>
              <w:right w:val="single" w:sz="4" w:space="0" w:color="auto"/>
            </w:tcBorders>
            <w:shd w:val="clear" w:color="auto" w:fill="FFFFFF"/>
            <w:hideMark/>
          </w:tcPr>
          <w:p w14:paraId="146487B5"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w:t>
            </w:r>
            <w:r w:rsidRPr="008A78C2">
              <w:rPr>
                <w:rFonts w:cstheme="majorBidi"/>
                <w:b/>
                <w:bCs/>
                <w:color w:val="000000"/>
                <w:szCs w:val="24"/>
                <w:highlight w:val="lightGray"/>
              </w:rPr>
              <w:t>479</w:t>
            </w:r>
          </w:p>
        </w:tc>
        <w:tc>
          <w:tcPr>
            <w:tcW w:w="1127" w:type="dxa"/>
            <w:tcBorders>
              <w:top w:val="nil"/>
              <w:left w:val="single" w:sz="4" w:space="0" w:color="auto"/>
              <w:bottom w:val="single" w:sz="4" w:space="0" w:color="auto"/>
              <w:right w:val="nil"/>
            </w:tcBorders>
            <w:shd w:val="clear" w:color="auto" w:fill="FFFFFF"/>
          </w:tcPr>
          <w:p w14:paraId="6FB6D709" w14:textId="783061F9" w:rsidR="00751CFE" w:rsidRPr="008A78C2" w:rsidRDefault="00751CFE" w:rsidP="00751CFE">
            <w:pPr>
              <w:autoSpaceDE w:val="0"/>
              <w:adjustRightInd w:val="0"/>
              <w:spacing w:line="240" w:lineRule="auto"/>
              <w:ind w:left="57" w:right="60"/>
              <w:jc w:val="center"/>
              <w:rPr>
                <w:rFonts w:cstheme="majorBidi"/>
                <w:color w:val="A6A6A6" w:themeColor="background1" w:themeShade="A6"/>
                <w:szCs w:val="24"/>
                <w:highlight w:val="lightGray"/>
              </w:rPr>
            </w:pPr>
            <w:r w:rsidRPr="008A78C2">
              <w:rPr>
                <w:rFonts w:cstheme="majorBidi"/>
                <w:color w:val="A6A6A6" w:themeColor="background1" w:themeShade="A6"/>
                <w:sz w:val="20"/>
                <w:szCs w:val="24"/>
                <w:highlight w:val="lightGray"/>
              </w:rPr>
              <w:t>.394</w:t>
            </w:r>
          </w:p>
        </w:tc>
        <w:tc>
          <w:tcPr>
            <w:tcW w:w="1127" w:type="dxa"/>
            <w:tcBorders>
              <w:top w:val="nil"/>
              <w:left w:val="nil"/>
              <w:bottom w:val="single" w:sz="4" w:space="0" w:color="auto"/>
              <w:right w:val="nil"/>
            </w:tcBorders>
            <w:shd w:val="clear" w:color="auto" w:fill="FFFFFF"/>
            <w:hideMark/>
          </w:tcPr>
          <w:p w14:paraId="54645B85" w14:textId="6AC918A4"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A6A6A6" w:themeColor="background1" w:themeShade="A6"/>
                <w:sz w:val="20"/>
                <w:szCs w:val="24"/>
                <w:highlight w:val="lightGray"/>
              </w:rPr>
              <w:t>.254</w:t>
            </w:r>
          </w:p>
        </w:tc>
      </w:tr>
      <w:tr w:rsidR="00751CFE" w:rsidRPr="008A78C2" w14:paraId="3667831E" w14:textId="77777777" w:rsidTr="001E48D1">
        <w:trPr>
          <w:cantSplit/>
          <w:trHeight w:val="286"/>
          <w:tblHeader/>
          <w:jc w:val="center"/>
        </w:trPr>
        <w:tc>
          <w:tcPr>
            <w:tcW w:w="2158" w:type="dxa"/>
            <w:shd w:val="clear" w:color="auto" w:fill="FFFFFF"/>
            <w:hideMark/>
          </w:tcPr>
          <w:p w14:paraId="14665708" w14:textId="77777777" w:rsidR="00751CFE" w:rsidRPr="008A78C2" w:rsidRDefault="00751CFE" w:rsidP="00751CFE">
            <w:pPr>
              <w:autoSpaceDE w:val="0"/>
              <w:adjustRightInd w:val="0"/>
              <w:spacing w:line="240" w:lineRule="auto"/>
              <w:ind w:left="57" w:right="60"/>
              <w:rPr>
                <w:rFonts w:cstheme="majorBidi"/>
                <w:color w:val="000000"/>
                <w:szCs w:val="24"/>
                <w:highlight w:val="lightGray"/>
              </w:rPr>
            </w:pPr>
            <w:r w:rsidRPr="008A78C2">
              <w:rPr>
                <w:rFonts w:cstheme="majorBidi"/>
                <w:color w:val="000000"/>
                <w:szCs w:val="24"/>
                <w:highlight w:val="lightGray"/>
              </w:rPr>
              <w:t>Eigenvalue</w:t>
            </w:r>
          </w:p>
        </w:tc>
        <w:tc>
          <w:tcPr>
            <w:tcW w:w="1121" w:type="dxa"/>
            <w:shd w:val="clear" w:color="auto" w:fill="FFFFFF"/>
            <w:hideMark/>
          </w:tcPr>
          <w:p w14:paraId="35258A39"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3.18</w:t>
            </w:r>
          </w:p>
        </w:tc>
        <w:tc>
          <w:tcPr>
            <w:tcW w:w="1154" w:type="dxa"/>
            <w:tcBorders>
              <w:right w:val="single" w:sz="4" w:space="0" w:color="auto"/>
            </w:tcBorders>
            <w:shd w:val="clear" w:color="auto" w:fill="FFFFFF"/>
            <w:hideMark/>
          </w:tcPr>
          <w:p w14:paraId="7C348F02" w14:textId="77777777" w:rsidR="00751CFE" w:rsidRPr="008A78C2" w:rsidRDefault="00751CFE" w:rsidP="00751CFE">
            <w:pPr>
              <w:autoSpaceDE w:val="0"/>
              <w:adjustRightInd w:val="0"/>
              <w:spacing w:line="240" w:lineRule="auto"/>
              <w:ind w:left="57" w:right="60"/>
              <w:jc w:val="center"/>
              <w:rPr>
                <w:rFonts w:cstheme="majorBidi"/>
                <w:i/>
                <w:iCs/>
                <w:color w:val="000000"/>
                <w:szCs w:val="24"/>
                <w:highlight w:val="lightGray"/>
              </w:rPr>
            </w:pPr>
            <w:r w:rsidRPr="008A78C2">
              <w:rPr>
                <w:rFonts w:cstheme="majorBidi"/>
                <w:color w:val="000000"/>
                <w:szCs w:val="24"/>
                <w:highlight w:val="lightGray"/>
              </w:rPr>
              <w:t>1.60</w:t>
            </w:r>
          </w:p>
        </w:tc>
        <w:tc>
          <w:tcPr>
            <w:tcW w:w="1127" w:type="dxa"/>
            <w:tcBorders>
              <w:left w:val="single" w:sz="4" w:space="0" w:color="auto"/>
            </w:tcBorders>
            <w:shd w:val="clear" w:color="auto" w:fill="FFFFFF"/>
            <w:hideMark/>
          </w:tcPr>
          <w:p w14:paraId="075F4BEC" w14:textId="7E3ABA8E"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3.18</w:t>
            </w:r>
          </w:p>
        </w:tc>
        <w:tc>
          <w:tcPr>
            <w:tcW w:w="1127" w:type="dxa"/>
            <w:shd w:val="clear" w:color="auto" w:fill="FFFFFF"/>
            <w:hideMark/>
          </w:tcPr>
          <w:p w14:paraId="6DF04A83"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1.6</w:t>
            </w:r>
          </w:p>
        </w:tc>
      </w:tr>
      <w:tr w:rsidR="00751CFE" w:rsidRPr="008A78C2" w14:paraId="108C9B7F" w14:textId="77777777" w:rsidTr="001E48D1">
        <w:trPr>
          <w:cantSplit/>
          <w:trHeight w:val="286"/>
          <w:tblHeader/>
          <w:jc w:val="center"/>
        </w:trPr>
        <w:tc>
          <w:tcPr>
            <w:tcW w:w="2158" w:type="dxa"/>
            <w:tcBorders>
              <w:top w:val="nil"/>
              <w:left w:val="nil"/>
              <w:bottom w:val="single" w:sz="4" w:space="0" w:color="auto"/>
              <w:right w:val="nil"/>
            </w:tcBorders>
            <w:shd w:val="clear" w:color="auto" w:fill="FFFFFF"/>
            <w:hideMark/>
          </w:tcPr>
          <w:p w14:paraId="3C1DF5BB" w14:textId="77777777" w:rsidR="00751CFE" w:rsidRPr="008A78C2" w:rsidRDefault="00751CFE" w:rsidP="00751CFE">
            <w:pPr>
              <w:autoSpaceDE w:val="0"/>
              <w:adjustRightInd w:val="0"/>
              <w:spacing w:line="240" w:lineRule="auto"/>
              <w:ind w:left="57" w:right="60"/>
              <w:rPr>
                <w:rFonts w:cstheme="majorBidi"/>
                <w:color w:val="000000"/>
                <w:szCs w:val="24"/>
                <w:highlight w:val="lightGray"/>
              </w:rPr>
            </w:pPr>
            <w:r w:rsidRPr="008A78C2">
              <w:rPr>
                <w:rFonts w:cstheme="majorBidi"/>
                <w:color w:val="000000"/>
                <w:szCs w:val="24"/>
                <w:highlight w:val="lightGray"/>
              </w:rPr>
              <w:t>% of Variance</w:t>
            </w:r>
          </w:p>
        </w:tc>
        <w:tc>
          <w:tcPr>
            <w:tcW w:w="1121" w:type="dxa"/>
            <w:tcBorders>
              <w:top w:val="nil"/>
              <w:left w:val="nil"/>
              <w:bottom w:val="single" w:sz="4" w:space="0" w:color="auto"/>
              <w:right w:val="nil"/>
            </w:tcBorders>
            <w:shd w:val="clear" w:color="auto" w:fill="FFFFFF"/>
            <w:hideMark/>
          </w:tcPr>
          <w:p w14:paraId="6468ECFC"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31.8</w:t>
            </w:r>
          </w:p>
        </w:tc>
        <w:tc>
          <w:tcPr>
            <w:tcW w:w="1154" w:type="dxa"/>
            <w:tcBorders>
              <w:top w:val="nil"/>
              <w:left w:val="nil"/>
              <w:bottom w:val="single" w:sz="4" w:space="0" w:color="auto"/>
              <w:right w:val="single" w:sz="4" w:space="0" w:color="auto"/>
            </w:tcBorders>
            <w:shd w:val="clear" w:color="auto" w:fill="FFFFFF"/>
            <w:hideMark/>
          </w:tcPr>
          <w:p w14:paraId="28586886"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16.0</w:t>
            </w:r>
          </w:p>
        </w:tc>
        <w:tc>
          <w:tcPr>
            <w:tcW w:w="1127" w:type="dxa"/>
            <w:tcBorders>
              <w:top w:val="nil"/>
              <w:left w:val="single" w:sz="4" w:space="0" w:color="auto"/>
              <w:bottom w:val="single" w:sz="4" w:space="0" w:color="auto"/>
              <w:right w:val="nil"/>
            </w:tcBorders>
            <w:shd w:val="clear" w:color="auto" w:fill="FFFFFF"/>
            <w:hideMark/>
          </w:tcPr>
          <w:p w14:paraId="62AEA283" w14:textId="4B5D4321"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31.8</w:t>
            </w:r>
          </w:p>
        </w:tc>
        <w:tc>
          <w:tcPr>
            <w:tcW w:w="1127" w:type="dxa"/>
            <w:tcBorders>
              <w:top w:val="nil"/>
              <w:left w:val="nil"/>
              <w:bottom w:val="single" w:sz="4" w:space="0" w:color="auto"/>
              <w:right w:val="nil"/>
            </w:tcBorders>
            <w:shd w:val="clear" w:color="auto" w:fill="FFFFFF"/>
            <w:hideMark/>
          </w:tcPr>
          <w:p w14:paraId="609D6084"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16.0</w:t>
            </w:r>
          </w:p>
        </w:tc>
      </w:tr>
      <w:tr w:rsidR="00751CFE" w:rsidRPr="008A78C2" w14:paraId="33A381FF" w14:textId="77777777" w:rsidTr="001E48D1">
        <w:trPr>
          <w:cantSplit/>
          <w:trHeight w:val="286"/>
          <w:tblHeader/>
          <w:jc w:val="center"/>
        </w:trPr>
        <w:tc>
          <w:tcPr>
            <w:tcW w:w="2158" w:type="dxa"/>
            <w:tcBorders>
              <w:top w:val="single" w:sz="4" w:space="0" w:color="auto"/>
              <w:bottom w:val="single" w:sz="4" w:space="0" w:color="auto"/>
            </w:tcBorders>
            <w:shd w:val="clear" w:color="auto" w:fill="FFFFFF"/>
            <w:hideMark/>
          </w:tcPr>
          <w:p w14:paraId="5539AE8B" w14:textId="77777777" w:rsidR="00751CFE" w:rsidRPr="008A78C2" w:rsidRDefault="00751CFE" w:rsidP="00751CFE">
            <w:pPr>
              <w:autoSpaceDE w:val="0"/>
              <w:adjustRightInd w:val="0"/>
              <w:spacing w:line="240" w:lineRule="auto"/>
              <w:ind w:left="57" w:right="60"/>
              <w:rPr>
                <w:rFonts w:cstheme="majorBidi"/>
                <w:i/>
                <w:iCs/>
                <w:color w:val="000000"/>
                <w:szCs w:val="24"/>
                <w:highlight w:val="lightGray"/>
              </w:rPr>
            </w:pPr>
            <w:r w:rsidRPr="008A78C2">
              <w:rPr>
                <w:rFonts w:cstheme="majorBidi"/>
                <w:i/>
                <w:iCs/>
                <w:color w:val="000000"/>
                <w:szCs w:val="24"/>
                <w:highlight w:val="lightGray"/>
              </w:rPr>
              <w:t>N</w:t>
            </w:r>
          </w:p>
          <w:p w14:paraId="7D360E0E" w14:textId="483A66B6" w:rsidR="00751CFE" w:rsidRPr="008A78C2" w:rsidRDefault="00751CFE" w:rsidP="00751CFE">
            <w:pPr>
              <w:autoSpaceDE w:val="0"/>
              <w:adjustRightInd w:val="0"/>
              <w:spacing w:line="240" w:lineRule="auto"/>
              <w:ind w:left="57" w:right="60"/>
              <w:rPr>
                <w:rFonts w:cstheme="majorBidi"/>
                <w:i/>
                <w:iCs/>
                <w:color w:val="000000"/>
                <w:szCs w:val="24"/>
                <w:highlight w:val="lightGray"/>
              </w:rPr>
            </w:pPr>
            <w:r w:rsidRPr="008A78C2">
              <w:rPr>
                <w:rFonts w:cstheme="majorBidi"/>
                <w:i/>
                <w:iCs/>
                <w:color w:val="000000"/>
                <w:szCs w:val="24"/>
                <w:highlight w:val="lightGray"/>
              </w:rPr>
              <w:t>Countries</w:t>
            </w:r>
          </w:p>
        </w:tc>
        <w:tc>
          <w:tcPr>
            <w:tcW w:w="4529" w:type="dxa"/>
            <w:gridSpan w:val="4"/>
            <w:tcBorders>
              <w:top w:val="single" w:sz="4" w:space="0" w:color="auto"/>
              <w:bottom w:val="single" w:sz="4" w:space="0" w:color="auto"/>
            </w:tcBorders>
            <w:shd w:val="clear" w:color="auto" w:fill="FFFFFF"/>
          </w:tcPr>
          <w:p w14:paraId="093F1037" w14:textId="77777777"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45,545</w:t>
            </w:r>
          </w:p>
          <w:p w14:paraId="57E2D21D" w14:textId="535DC14E" w:rsidR="00751CFE" w:rsidRPr="008A78C2" w:rsidRDefault="00751CFE" w:rsidP="00751CFE">
            <w:pPr>
              <w:autoSpaceDE w:val="0"/>
              <w:adjustRightInd w:val="0"/>
              <w:spacing w:line="240" w:lineRule="auto"/>
              <w:ind w:left="57" w:right="60"/>
              <w:jc w:val="center"/>
              <w:rPr>
                <w:rFonts w:cstheme="majorBidi"/>
                <w:color w:val="000000"/>
                <w:szCs w:val="24"/>
                <w:highlight w:val="lightGray"/>
              </w:rPr>
            </w:pPr>
            <w:r w:rsidRPr="008A78C2">
              <w:rPr>
                <w:rFonts w:cstheme="majorBidi"/>
                <w:color w:val="000000"/>
                <w:szCs w:val="24"/>
                <w:highlight w:val="lightGray"/>
              </w:rPr>
              <w:t>46</w:t>
            </w:r>
          </w:p>
        </w:tc>
      </w:tr>
    </w:tbl>
    <w:p w14:paraId="5FB5980E" w14:textId="4B13D43D" w:rsidR="005F6D7A" w:rsidRPr="008A78C2" w:rsidRDefault="005F6D7A" w:rsidP="005F6D7A">
      <w:pPr>
        <w:pStyle w:val="ListParagraph"/>
        <w:ind w:left="0"/>
        <w:rPr>
          <w:szCs w:val="24"/>
          <w:highlight w:val="lightGray"/>
        </w:rPr>
      </w:pPr>
      <w:r w:rsidRPr="008A78C2">
        <w:rPr>
          <w:szCs w:val="24"/>
          <w:highlight w:val="lightGray"/>
        </w:rPr>
        <w:t xml:space="preserve">The retained components account for a </w:t>
      </w:r>
      <w:r w:rsidR="00A03107" w:rsidRPr="008A78C2">
        <w:rPr>
          <w:szCs w:val="24"/>
          <w:highlight w:val="lightGray"/>
        </w:rPr>
        <w:t>total 48% of the variance from 45,545</w:t>
      </w:r>
      <w:r w:rsidRPr="008A78C2">
        <w:rPr>
          <w:szCs w:val="24"/>
          <w:highlight w:val="lightGray"/>
        </w:rPr>
        <w:t xml:space="preserve"> individual responses. Component one accounts for almost a third of the variance in the dataset, with free elections</w:t>
      </w:r>
      <w:r w:rsidR="00397B22" w:rsidRPr="008A78C2">
        <w:rPr>
          <w:szCs w:val="24"/>
          <w:highlight w:val="lightGray"/>
        </w:rPr>
        <w:t xml:space="preserve"> </w:t>
      </w:r>
      <w:r w:rsidRPr="008A78C2">
        <w:rPr>
          <w:szCs w:val="24"/>
          <w:highlight w:val="lightGray"/>
        </w:rPr>
        <w:t>and civil rights displayin</w:t>
      </w:r>
      <w:r w:rsidR="00A03107" w:rsidRPr="008A78C2">
        <w:rPr>
          <w:szCs w:val="24"/>
          <w:highlight w:val="lightGray"/>
        </w:rPr>
        <w:t>g the strongest loadings</w:t>
      </w:r>
      <w:r w:rsidR="00397B22" w:rsidRPr="008A78C2">
        <w:rPr>
          <w:szCs w:val="24"/>
          <w:highlight w:val="lightGray"/>
        </w:rPr>
        <w:t xml:space="preserve"> for both analytical approaches: </w:t>
      </w:r>
      <w:r w:rsidR="00A03107" w:rsidRPr="008A78C2">
        <w:rPr>
          <w:szCs w:val="24"/>
          <w:highlight w:val="lightGray"/>
        </w:rPr>
        <w:t>0.716 and 0.705</w:t>
      </w:r>
      <w:r w:rsidRPr="008A78C2">
        <w:rPr>
          <w:szCs w:val="24"/>
          <w:highlight w:val="lightGray"/>
        </w:rPr>
        <w:t xml:space="preserve"> </w:t>
      </w:r>
      <w:r w:rsidR="00A03107" w:rsidRPr="008A78C2">
        <w:rPr>
          <w:szCs w:val="24"/>
          <w:highlight w:val="lightGray"/>
        </w:rPr>
        <w:t>respectively</w:t>
      </w:r>
      <w:r w:rsidR="00397B22" w:rsidRPr="008A78C2">
        <w:rPr>
          <w:szCs w:val="24"/>
          <w:highlight w:val="lightGray"/>
        </w:rPr>
        <w:t xml:space="preserve"> (0.644 and 0.638 for FA)</w:t>
      </w:r>
      <w:r w:rsidRPr="008A78C2">
        <w:rPr>
          <w:szCs w:val="24"/>
          <w:highlight w:val="lightGray"/>
        </w:rPr>
        <w:t xml:space="preserve">. However, other characteristics are </w:t>
      </w:r>
      <w:r w:rsidRPr="008A78C2">
        <w:rPr>
          <w:i/>
          <w:szCs w:val="24"/>
          <w:highlight w:val="lightGray"/>
        </w:rPr>
        <w:t>also</w:t>
      </w:r>
      <w:r w:rsidRPr="008A78C2">
        <w:rPr>
          <w:szCs w:val="24"/>
          <w:highlight w:val="lightGray"/>
        </w:rPr>
        <w:t xml:space="preserve"> important. In particular, the populist understanding that a democracy is characterised by a prosperin</w:t>
      </w:r>
      <w:r w:rsidR="00A03107" w:rsidRPr="008A78C2">
        <w:rPr>
          <w:szCs w:val="24"/>
          <w:highlight w:val="lightGray"/>
        </w:rPr>
        <w:t>g economy loads strongly at 0.626</w:t>
      </w:r>
      <w:r w:rsidR="00397B22" w:rsidRPr="008A78C2">
        <w:rPr>
          <w:szCs w:val="24"/>
          <w:highlight w:val="lightGray"/>
        </w:rPr>
        <w:t xml:space="preserve"> for PCA (and 0.587 for FA)</w:t>
      </w:r>
      <w:r w:rsidRPr="008A78C2">
        <w:rPr>
          <w:szCs w:val="24"/>
          <w:highlight w:val="lightGray"/>
        </w:rPr>
        <w:t>. Both state aid for the unemployed and severe criminal punishment also load here at over 0.5</w:t>
      </w:r>
      <w:r w:rsidR="00397B22" w:rsidRPr="008A78C2">
        <w:rPr>
          <w:szCs w:val="24"/>
          <w:highlight w:val="lightGray"/>
        </w:rPr>
        <w:t xml:space="preserve"> for the PCA and very close to 0.5 for the FA</w:t>
      </w:r>
      <w:r w:rsidRPr="008A78C2">
        <w:rPr>
          <w:szCs w:val="24"/>
          <w:highlight w:val="lightGray"/>
        </w:rPr>
        <w:t xml:space="preserve">. A second check for robustness is to check the Cronbach’s alpha coefficient, which is a </w:t>
      </w:r>
      <w:r w:rsidR="00A03107" w:rsidRPr="008A78C2">
        <w:rPr>
          <w:szCs w:val="24"/>
          <w:highlight w:val="lightGray"/>
        </w:rPr>
        <w:t>respectable 0.77</w:t>
      </w:r>
      <w:r w:rsidRPr="008A78C2">
        <w:rPr>
          <w:szCs w:val="24"/>
          <w:highlight w:val="lightGray"/>
        </w:rPr>
        <w:t xml:space="preserve"> across the seven items, and only just under the 0.8 mark which has been suggested for widely used scales </w:t>
      </w:r>
      <w:r w:rsidRPr="008A78C2">
        <w:rPr>
          <w:szCs w:val="24"/>
          <w:highlight w:val="lightGray"/>
        </w:rPr>
        <w:fldChar w:fldCharType="begin" w:fldLock="1"/>
      </w:r>
      <w:r w:rsidR="00E63CC6" w:rsidRPr="008A78C2">
        <w:rPr>
          <w:szCs w:val="24"/>
          <w:highlight w:val="lightGray"/>
        </w:rPr>
        <w:instrText>ADDIN CSL_CITATION { "citationItems" : [ { "id" : "ITEM-1", "itemData" : { "author" : [ { "dropping-particle" : "", "family" : "Carmines", "given" : "E. G.", "non-dropping-particle" : "", "parse-names" : false, "suffix" : "" }, { "dropping-particle" : "", "family" : "Zellera", "given" : "R. A.", "non-dropping-particle" : "", "parse-names" : false, "suffix" : "" } ], "id" : "ITEM-1", "issued" : { "date-parts" : [ [ "1979" ] ] }, "publisher" : "Sage", "publisher-place" : "Beverly Hills", "title" : "Reliability and Validity Assessment", "type" : "book" }, "locator" : "51", "uris" : [ "http://www.mendeley.com/documents/?uuid=4dc1e9bb-a267-43d9-8a86-49a3c62a5127" ] } ], "mendeley" : { "formattedCitation" : "(Carmines and Zellera, 1979, p. 51)", "plainTextFormattedCitation" : "(Carmines and Zellera, 1979, p. 51)", "previouslyFormattedCitation" : "(Carmines and Zellera, 1979, p. 51)" }, "properties" : { "noteIndex" : 0 }, "schema" : "https://github.com/citation-style-language/schema/raw/master/csl-citation.json" }</w:instrText>
      </w:r>
      <w:r w:rsidRPr="008A78C2">
        <w:rPr>
          <w:szCs w:val="24"/>
          <w:highlight w:val="lightGray"/>
        </w:rPr>
        <w:fldChar w:fldCharType="separate"/>
      </w:r>
      <w:r w:rsidR="00E63CC6" w:rsidRPr="008A78C2">
        <w:rPr>
          <w:noProof/>
          <w:szCs w:val="24"/>
          <w:highlight w:val="lightGray"/>
        </w:rPr>
        <w:t>(Carmines and Zellera, 1979, p. 51)</w:t>
      </w:r>
      <w:r w:rsidRPr="008A78C2">
        <w:rPr>
          <w:szCs w:val="24"/>
          <w:highlight w:val="lightGray"/>
        </w:rPr>
        <w:fldChar w:fldCharType="end"/>
      </w:r>
      <w:r w:rsidRPr="008A78C2">
        <w:rPr>
          <w:szCs w:val="24"/>
          <w:highlight w:val="lightGray"/>
        </w:rPr>
        <w:t>.</w:t>
      </w:r>
    </w:p>
    <w:p w14:paraId="4E218A61" w14:textId="34F5B6CB" w:rsidR="00976DD5" w:rsidRPr="008A78C2" w:rsidRDefault="005F6D7A" w:rsidP="00976DD5">
      <w:pPr>
        <w:rPr>
          <w:rFonts w:cstheme="majorBidi"/>
          <w:szCs w:val="24"/>
          <w:highlight w:val="lightGray"/>
        </w:rPr>
      </w:pPr>
      <w:r w:rsidRPr="008A78C2">
        <w:rPr>
          <w:rFonts w:cstheme="majorBidi"/>
          <w:szCs w:val="24"/>
          <w:highlight w:val="lightGray"/>
        </w:rPr>
        <w:t>The second component accounts for a further 16% of the variance and is shaped by the two authoritarian characteristics: rel</w:t>
      </w:r>
      <w:r w:rsidR="00A03107" w:rsidRPr="008A78C2">
        <w:rPr>
          <w:rFonts w:cstheme="majorBidi"/>
          <w:szCs w:val="24"/>
          <w:highlight w:val="lightGray"/>
        </w:rPr>
        <w:t>igious authorities loads at 0.784</w:t>
      </w:r>
      <w:r w:rsidR="00397B22" w:rsidRPr="008A78C2">
        <w:rPr>
          <w:rFonts w:cstheme="majorBidi"/>
          <w:szCs w:val="24"/>
          <w:highlight w:val="lightGray"/>
        </w:rPr>
        <w:t xml:space="preserve"> (0.660)</w:t>
      </w:r>
      <w:r w:rsidRPr="008A78C2">
        <w:rPr>
          <w:rFonts w:cstheme="majorBidi"/>
          <w:szCs w:val="24"/>
          <w:highlight w:val="lightGray"/>
        </w:rPr>
        <w:t xml:space="preserve"> and</w:t>
      </w:r>
      <w:r w:rsidR="00A03107" w:rsidRPr="008A78C2">
        <w:rPr>
          <w:rFonts w:cstheme="majorBidi"/>
          <w:szCs w:val="24"/>
          <w:highlight w:val="lightGray"/>
        </w:rPr>
        <w:t xml:space="preserve"> army intervention loads at 0.716</w:t>
      </w:r>
      <w:r w:rsidR="00397B22" w:rsidRPr="008A78C2">
        <w:rPr>
          <w:rFonts w:cstheme="majorBidi"/>
          <w:szCs w:val="24"/>
          <w:highlight w:val="lightGray"/>
        </w:rPr>
        <w:t xml:space="preserve"> (0.507)</w:t>
      </w:r>
      <w:r w:rsidRPr="008A78C2">
        <w:rPr>
          <w:rFonts w:cstheme="majorBidi"/>
          <w:szCs w:val="24"/>
          <w:highlight w:val="lightGray"/>
        </w:rPr>
        <w:t>. Individuals who see one of these authoritarian characteristics as an essential feature of democracy are also relatively likely to see the other as essential too. The notion of using tax to redistribute wealth in a society loads o</w:t>
      </w:r>
      <w:r w:rsidR="00A03107" w:rsidRPr="008A78C2">
        <w:rPr>
          <w:rFonts w:cstheme="majorBidi"/>
          <w:szCs w:val="24"/>
          <w:highlight w:val="lightGray"/>
        </w:rPr>
        <w:t>n this second component at 0.479</w:t>
      </w:r>
      <w:r w:rsidRPr="008A78C2">
        <w:rPr>
          <w:rFonts w:cstheme="majorBidi"/>
          <w:szCs w:val="24"/>
          <w:highlight w:val="lightGray"/>
        </w:rPr>
        <w:t>, but it also loads</w:t>
      </w:r>
      <w:r w:rsidR="00A03107" w:rsidRPr="008A78C2">
        <w:rPr>
          <w:rFonts w:cstheme="majorBidi"/>
          <w:szCs w:val="24"/>
          <w:highlight w:val="lightGray"/>
        </w:rPr>
        <w:t xml:space="preserve"> on the first component at 0.357</w:t>
      </w:r>
      <w:r w:rsidRPr="008A78C2">
        <w:rPr>
          <w:rFonts w:cstheme="majorBidi"/>
          <w:szCs w:val="24"/>
          <w:highlight w:val="lightGray"/>
        </w:rPr>
        <w:t xml:space="preserve">. </w:t>
      </w:r>
      <w:r w:rsidR="00C30579" w:rsidRPr="008A78C2">
        <w:rPr>
          <w:rFonts w:cstheme="majorBidi"/>
          <w:szCs w:val="24"/>
          <w:highlight w:val="lightGray"/>
        </w:rPr>
        <w:t>For the</w:t>
      </w:r>
      <w:r w:rsidR="00397B22" w:rsidRPr="008A78C2">
        <w:rPr>
          <w:rFonts w:cstheme="majorBidi"/>
          <w:szCs w:val="24"/>
          <w:highlight w:val="lightGray"/>
        </w:rPr>
        <w:t xml:space="preserve"> FA the tax loading is indistinguishable between the components. </w:t>
      </w:r>
      <w:r w:rsidRPr="008A78C2">
        <w:rPr>
          <w:rFonts w:cstheme="majorBidi"/>
          <w:szCs w:val="24"/>
          <w:highlight w:val="lightGray"/>
        </w:rPr>
        <w:t>Therefore this characteristic does not play a key role in shaping either understanding of democracy. As might be expected for a component that explains less variance, the alpha coefficien</w:t>
      </w:r>
      <w:r w:rsidR="00A03107" w:rsidRPr="008A78C2">
        <w:rPr>
          <w:rFonts w:cstheme="majorBidi"/>
          <w:szCs w:val="24"/>
          <w:highlight w:val="lightGray"/>
        </w:rPr>
        <w:t>t here is a less impressive 0.50</w:t>
      </w:r>
      <w:r w:rsidRPr="008A78C2">
        <w:rPr>
          <w:rFonts w:cstheme="majorBidi"/>
          <w:szCs w:val="24"/>
          <w:highlight w:val="lightGray"/>
        </w:rPr>
        <w:t>, suggesting that whilst these two characteristics do ‘hang together’ to an extent, there may be some underlying differences between those supporting religious interventions in government and those supporti</w:t>
      </w:r>
      <w:r w:rsidR="00397B22" w:rsidRPr="008A78C2">
        <w:rPr>
          <w:rFonts w:cstheme="majorBidi"/>
          <w:szCs w:val="24"/>
          <w:highlight w:val="lightGray"/>
        </w:rPr>
        <w:t xml:space="preserve">ng military ones. </w:t>
      </w:r>
    </w:p>
    <w:p w14:paraId="53F61993" w14:textId="1C7AD179" w:rsidR="00B9373A" w:rsidRPr="008A78C2" w:rsidRDefault="00397B22" w:rsidP="00976DD5">
      <w:pPr>
        <w:rPr>
          <w:rFonts w:cstheme="majorBidi"/>
          <w:szCs w:val="24"/>
          <w:highlight w:val="lightGray"/>
        </w:rPr>
      </w:pPr>
      <w:r w:rsidRPr="008A78C2">
        <w:rPr>
          <w:rFonts w:cstheme="majorBidi"/>
          <w:szCs w:val="24"/>
          <w:highlight w:val="lightGray"/>
        </w:rPr>
        <w:t xml:space="preserve">Although there is the minor difference in the tax loading across the approaches, when the results are </w:t>
      </w:r>
      <w:r w:rsidR="00396424" w:rsidRPr="008A78C2">
        <w:rPr>
          <w:rFonts w:cstheme="majorBidi"/>
          <w:szCs w:val="24"/>
          <w:highlight w:val="lightGray"/>
        </w:rPr>
        <w:t>converted into</w:t>
      </w:r>
      <w:r w:rsidRPr="008A78C2">
        <w:rPr>
          <w:rFonts w:cstheme="majorBidi"/>
          <w:szCs w:val="24"/>
          <w:highlight w:val="lightGray"/>
        </w:rPr>
        <w:t xml:space="preserve"> regression scores for each individual</w:t>
      </w:r>
      <w:r w:rsidR="00B9373A" w:rsidRPr="008A78C2">
        <w:rPr>
          <w:rFonts w:cstheme="majorBidi"/>
          <w:szCs w:val="24"/>
          <w:highlight w:val="lightGray"/>
        </w:rPr>
        <w:t xml:space="preserve"> in the data set, the correlations between the components and factors are very high, as shown in </w:t>
      </w:r>
      <w:r w:rsidR="00016522">
        <w:rPr>
          <w:rFonts w:cstheme="majorBidi"/>
          <w:szCs w:val="24"/>
          <w:highlight w:val="lightGray"/>
        </w:rPr>
        <w:t>Figure 4.6</w:t>
      </w:r>
      <w:r w:rsidR="00B9373A" w:rsidRPr="008A78C2">
        <w:rPr>
          <w:rFonts w:cstheme="majorBidi"/>
          <w:szCs w:val="24"/>
          <w:highlight w:val="lightGray"/>
        </w:rPr>
        <w:t>.</w:t>
      </w:r>
      <w:r w:rsidR="00D4651B" w:rsidRPr="008A78C2">
        <w:rPr>
          <w:rFonts w:cstheme="majorBidi"/>
          <w:szCs w:val="24"/>
          <w:highlight w:val="lightGray"/>
        </w:rPr>
        <w:t xml:space="preserve"> </w:t>
      </w:r>
      <w:r w:rsidR="00A621F7" w:rsidRPr="008A78C2">
        <w:rPr>
          <w:rFonts w:cstheme="majorBidi"/>
          <w:szCs w:val="24"/>
          <w:highlight w:val="lightGray"/>
        </w:rPr>
        <w:t xml:space="preserve">The correlations are also </w:t>
      </w:r>
      <w:r w:rsidR="00D4651B" w:rsidRPr="008A78C2">
        <w:rPr>
          <w:rFonts w:cstheme="majorBidi"/>
          <w:szCs w:val="24"/>
          <w:highlight w:val="lightGray"/>
        </w:rPr>
        <w:t xml:space="preserve">very high when an oblique Promax rotation is used on the </w:t>
      </w:r>
      <w:r w:rsidR="00A621F7" w:rsidRPr="008A78C2">
        <w:rPr>
          <w:rFonts w:cstheme="majorBidi"/>
          <w:szCs w:val="24"/>
          <w:highlight w:val="lightGray"/>
        </w:rPr>
        <w:t xml:space="preserve">PCA and EFA results (see Appendix </w:t>
      </w:r>
      <w:r w:rsidR="0093169C">
        <w:rPr>
          <w:rFonts w:cstheme="majorBidi"/>
          <w:szCs w:val="24"/>
          <w:highlight w:val="lightGray"/>
        </w:rPr>
        <w:t>Figure B12</w:t>
      </w:r>
      <w:r w:rsidR="00006DFE" w:rsidRPr="008A78C2">
        <w:rPr>
          <w:rFonts w:cstheme="majorBidi"/>
          <w:szCs w:val="24"/>
          <w:highlight w:val="lightGray"/>
        </w:rPr>
        <w:t xml:space="preserve"> </w:t>
      </w:r>
      <w:r w:rsidR="00A621F7" w:rsidRPr="008A78C2">
        <w:rPr>
          <w:rFonts w:cstheme="majorBidi"/>
          <w:szCs w:val="24"/>
          <w:highlight w:val="lightGray"/>
        </w:rPr>
        <w:t xml:space="preserve">for extended </w:t>
      </w:r>
      <w:r w:rsidR="00016522">
        <w:rPr>
          <w:rFonts w:cstheme="majorBidi"/>
          <w:szCs w:val="24"/>
          <w:highlight w:val="lightGray"/>
        </w:rPr>
        <w:t>correlation results</w:t>
      </w:r>
      <w:r w:rsidR="00A621F7" w:rsidRPr="008A78C2">
        <w:rPr>
          <w:rFonts w:cstheme="majorBidi"/>
          <w:szCs w:val="24"/>
          <w:highlight w:val="lightGray"/>
        </w:rPr>
        <w:t>).</w:t>
      </w:r>
    </w:p>
    <w:p w14:paraId="18AE82C4" w14:textId="7544596B" w:rsidR="00016522" w:rsidRPr="003A5664" w:rsidRDefault="00B9373A" w:rsidP="00B9373A">
      <w:pPr>
        <w:pStyle w:val="Caption"/>
        <w:rPr>
          <w:rFonts w:ascii="Segoe UI" w:hAnsi="Segoe UI" w:cs="Segoe UI"/>
          <w:i w:val="0"/>
          <w:highlight w:val="lightGray"/>
        </w:rPr>
      </w:pPr>
      <w:bookmarkStart w:id="245" w:name="_Toc494687161"/>
      <w:r w:rsidRPr="003A5664">
        <w:rPr>
          <w:rFonts w:ascii="Segoe UI" w:hAnsi="Segoe UI" w:cs="Segoe UI"/>
          <w:i w:val="0"/>
          <w:highlight w:val="lightGray"/>
        </w:rPr>
        <w:t xml:space="preserve">Figure </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STYLEREF 1 \s </w:instrText>
      </w:r>
      <w:r w:rsidR="00B63C1F" w:rsidRPr="003A5664">
        <w:rPr>
          <w:rFonts w:ascii="Segoe UI" w:hAnsi="Segoe UI" w:cs="Segoe UI"/>
          <w:i w:val="0"/>
          <w:highlight w:val="lightGray"/>
        </w:rPr>
        <w:fldChar w:fldCharType="separate"/>
      </w:r>
      <w:r w:rsidRPr="003A5664">
        <w:rPr>
          <w:rFonts w:ascii="Segoe UI" w:hAnsi="Segoe UI" w:cs="Segoe UI"/>
          <w:i w:val="0"/>
          <w:noProof/>
          <w:highlight w:val="lightGray"/>
        </w:rPr>
        <w:t>4</w:t>
      </w:r>
      <w:r w:rsidR="00B63C1F" w:rsidRPr="003A5664">
        <w:rPr>
          <w:rFonts w:ascii="Segoe UI" w:hAnsi="Segoe UI" w:cs="Segoe UI"/>
          <w:i w:val="0"/>
          <w:noProof/>
          <w:highlight w:val="lightGray"/>
        </w:rPr>
        <w:fldChar w:fldCharType="end"/>
      </w:r>
      <w:r w:rsidRPr="003A5664">
        <w:rPr>
          <w:rFonts w:ascii="Segoe UI" w:hAnsi="Segoe UI" w:cs="Segoe UI"/>
          <w:i w:val="0"/>
          <w:highlight w:val="lightGray"/>
        </w:rPr>
        <w:t>:</w:t>
      </w:r>
      <w:r w:rsidR="00B63C1F" w:rsidRPr="003A5664">
        <w:rPr>
          <w:rFonts w:ascii="Segoe UI" w:hAnsi="Segoe UI" w:cs="Segoe UI"/>
          <w:i w:val="0"/>
          <w:highlight w:val="lightGray"/>
        </w:rPr>
        <w:fldChar w:fldCharType="begin"/>
      </w:r>
      <w:r w:rsidR="00B63C1F" w:rsidRPr="003A5664">
        <w:rPr>
          <w:rFonts w:ascii="Segoe UI" w:hAnsi="Segoe UI" w:cs="Segoe UI"/>
          <w:i w:val="0"/>
          <w:highlight w:val="lightGray"/>
        </w:rPr>
        <w:instrText xml:space="preserve"> SEQ Figure \* ARABIC \s 1 </w:instrText>
      </w:r>
      <w:r w:rsidR="00B63C1F" w:rsidRPr="003A5664">
        <w:rPr>
          <w:rFonts w:ascii="Segoe UI" w:hAnsi="Segoe UI" w:cs="Segoe UI"/>
          <w:i w:val="0"/>
          <w:highlight w:val="lightGray"/>
        </w:rPr>
        <w:fldChar w:fldCharType="separate"/>
      </w:r>
      <w:r w:rsidR="00016522" w:rsidRPr="003A5664">
        <w:rPr>
          <w:rFonts w:ascii="Segoe UI" w:hAnsi="Segoe UI" w:cs="Segoe UI"/>
          <w:i w:val="0"/>
          <w:noProof/>
          <w:highlight w:val="lightGray"/>
        </w:rPr>
        <w:t>6</w:t>
      </w:r>
      <w:r w:rsidR="00B63C1F" w:rsidRPr="003A5664">
        <w:rPr>
          <w:rFonts w:ascii="Segoe UI" w:hAnsi="Segoe UI" w:cs="Segoe UI"/>
          <w:i w:val="0"/>
          <w:noProof/>
          <w:highlight w:val="lightGray"/>
        </w:rPr>
        <w:fldChar w:fldCharType="end"/>
      </w:r>
      <w:r w:rsidRPr="003A5664">
        <w:rPr>
          <w:rFonts w:ascii="Segoe UI" w:hAnsi="Segoe UI" w:cs="Segoe UI"/>
          <w:i w:val="0"/>
          <w:highlight w:val="lightGray"/>
        </w:rPr>
        <w:t xml:space="preserve"> </w:t>
      </w:r>
      <w:r w:rsidR="00016522" w:rsidRPr="003A5664">
        <w:rPr>
          <w:rFonts w:ascii="Segoe UI" w:hAnsi="Segoe UI" w:cs="Segoe UI"/>
          <w:i w:val="0"/>
          <w:highlight w:val="lightGray"/>
        </w:rPr>
        <w:t xml:space="preserve">Correlation results comparing </w:t>
      </w:r>
      <w:r w:rsidRPr="003A5664">
        <w:rPr>
          <w:rFonts w:ascii="Segoe UI" w:hAnsi="Segoe UI" w:cs="Segoe UI"/>
          <w:i w:val="0"/>
          <w:highlight w:val="lightGray"/>
        </w:rPr>
        <w:t xml:space="preserve">PCA and FA </w:t>
      </w:r>
      <w:r w:rsidR="00016522" w:rsidRPr="003A5664">
        <w:rPr>
          <w:rFonts w:ascii="Segoe UI" w:hAnsi="Segoe UI" w:cs="Segoe UI"/>
          <w:i w:val="0"/>
          <w:highlight w:val="lightGray"/>
        </w:rPr>
        <w:t>outputs</w:t>
      </w:r>
      <w:bookmarkEnd w:id="245"/>
    </w:p>
    <w:p w14:paraId="4DF3AF56" w14:textId="38D9DAE0" w:rsidR="00B9373A" w:rsidRPr="008A78C2" w:rsidRDefault="00B9373A" w:rsidP="00B9373A">
      <w:pPr>
        <w:pStyle w:val="Caption"/>
        <w:rPr>
          <w:rFonts w:cstheme="majorBidi"/>
          <w:b w:val="0"/>
          <w:iCs/>
          <w:szCs w:val="24"/>
          <w:highlight w:val="lightGray"/>
        </w:rPr>
      </w:pPr>
      <w:r w:rsidRPr="008A78C2">
        <w:rPr>
          <w:highlight w:val="lightGray"/>
        </w:rPr>
        <w:t xml:space="preserve"> </w:t>
      </w:r>
    </w:p>
    <w:tbl>
      <w:tblPr>
        <w:tblW w:w="9353" w:type="dxa"/>
        <w:tblLook w:val="04A0" w:firstRow="1" w:lastRow="0" w:firstColumn="1" w:lastColumn="0" w:noHBand="0" w:noVBand="1"/>
      </w:tblPr>
      <w:tblGrid>
        <w:gridCol w:w="2244"/>
        <w:gridCol w:w="1851"/>
        <w:gridCol w:w="1839"/>
        <w:gridCol w:w="1736"/>
        <w:gridCol w:w="1683"/>
      </w:tblGrid>
      <w:tr w:rsidR="00B9373A" w:rsidRPr="008A78C2" w14:paraId="0F9AB772" w14:textId="77777777" w:rsidTr="00B9373A">
        <w:trPr>
          <w:cantSplit/>
          <w:trHeight w:val="363"/>
        </w:trPr>
        <w:tc>
          <w:tcPr>
            <w:tcW w:w="2244" w:type="dxa"/>
          </w:tcPr>
          <w:p w14:paraId="7B6FE2DA"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p>
        </w:tc>
        <w:tc>
          <w:tcPr>
            <w:tcW w:w="1851" w:type="dxa"/>
            <w:hideMark/>
          </w:tcPr>
          <w:p w14:paraId="0E5EBFEE"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PCA 1</w:t>
            </w:r>
          </w:p>
        </w:tc>
        <w:tc>
          <w:tcPr>
            <w:tcW w:w="1839" w:type="dxa"/>
            <w:hideMark/>
          </w:tcPr>
          <w:p w14:paraId="63F5D551"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PCA 2</w:t>
            </w:r>
          </w:p>
        </w:tc>
        <w:tc>
          <w:tcPr>
            <w:tcW w:w="1736" w:type="dxa"/>
            <w:hideMark/>
          </w:tcPr>
          <w:p w14:paraId="690565AE"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Factor 1</w:t>
            </w:r>
          </w:p>
        </w:tc>
        <w:tc>
          <w:tcPr>
            <w:tcW w:w="1683" w:type="dxa"/>
            <w:hideMark/>
          </w:tcPr>
          <w:p w14:paraId="0F1ABB93"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Factor 2</w:t>
            </w:r>
          </w:p>
        </w:tc>
      </w:tr>
      <w:tr w:rsidR="00B9373A" w:rsidRPr="008A78C2" w14:paraId="6F854B2C" w14:textId="77777777" w:rsidTr="00B9373A">
        <w:trPr>
          <w:trHeight w:val="237"/>
        </w:trPr>
        <w:tc>
          <w:tcPr>
            <w:tcW w:w="2244" w:type="dxa"/>
            <w:hideMark/>
          </w:tcPr>
          <w:p w14:paraId="3D7C3701"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PCA 1</w:t>
            </w:r>
          </w:p>
        </w:tc>
        <w:tc>
          <w:tcPr>
            <w:tcW w:w="1851" w:type="dxa"/>
            <w:hideMark/>
          </w:tcPr>
          <w:p w14:paraId="6156E9BE"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1</w:t>
            </w:r>
          </w:p>
        </w:tc>
        <w:tc>
          <w:tcPr>
            <w:tcW w:w="1839" w:type="dxa"/>
          </w:tcPr>
          <w:p w14:paraId="5E5209B2"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p>
        </w:tc>
        <w:tc>
          <w:tcPr>
            <w:tcW w:w="1736" w:type="dxa"/>
          </w:tcPr>
          <w:p w14:paraId="0C4ACC2E"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p>
        </w:tc>
        <w:tc>
          <w:tcPr>
            <w:tcW w:w="1683" w:type="dxa"/>
          </w:tcPr>
          <w:p w14:paraId="2C87C45F"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p>
        </w:tc>
      </w:tr>
      <w:tr w:rsidR="00B9373A" w:rsidRPr="008A78C2" w14:paraId="05878442" w14:textId="77777777" w:rsidTr="00B9373A">
        <w:trPr>
          <w:trHeight w:val="237"/>
        </w:trPr>
        <w:tc>
          <w:tcPr>
            <w:tcW w:w="2244" w:type="dxa"/>
            <w:hideMark/>
          </w:tcPr>
          <w:p w14:paraId="67A1CEF1"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PCA 2</w:t>
            </w:r>
          </w:p>
        </w:tc>
        <w:tc>
          <w:tcPr>
            <w:tcW w:w="1851" w:type="dxa"/>
            <w:hideMark/>
          </w:tcPr>
          <w:p w14:paraId="458CEC69"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0.000</w:t>
            </w:r>
          </w:p>
        </w:tc>
        <w:tc>
          <w:tcPr>
            <w:tcW w:w="1839" w:type="dxa"/>
            <w:hideMark/>
          </w:tcPr>
          <w:p w14:paraId="4A565175"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1</w:t>
            </w:r>
          </w:p>
        </w:tc>
        <w:tc>
          <w:tcPr>
            <w:tcW w:w="1736" w:type="dxa"/>
          </w:tcPr>
          <w:p w14:paraId="6C7FE31F"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p>
        </w:tc>
        <w:tc>
          <w:tcPr>
            <w:tcW w:w="1683" w:type="dxa"/>
          </w:tcPr>
          <w:p w14:paraId="01391281"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p>
        </w:tc>
      </w:tr>
      <w:tr w:rsidR="00B9373A" w:rsidRPr="008A78C2" w14:paraId="26FBD473" w14:textId="77777777" w:rsidTr="00B9373A">
        <w:trPr>
          <w:trHeight w:val="237"/>
        </w:trPr>
        <w:tc>
          <w:tcPr>
            <w:tcW w:w="2244" w:type="dxa"/>
            <w:hideMark/>
          </w:tcPr>
          <w:p w14:paraId="3AE97D98"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Factor 1</w:t>
            </w:r>
          </w:p>
        </w:tc>
        <w:tc>
          <w:tcPr>
            <w:tcW w:w="1851" w:type="dxa"/>
            <w:hideMark/>
          </w:tcPr>
          <w:p w14:paraId="2A83F63C"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0.997**</w:t>
            </w:r>
          </w:p>
        </w:tc>
        <w:tc>
          <w:tcPr>
            <w:tcW w:w="1839" w:type="dxa"/>
            <w:hideMark/>
          </w:tcPr>
          <w:p w14:paraId="238A375C"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0.051</w:t>
            </w:r>
          </w:p>
        </w:tc>
        <w:tc>
          <w:tcPr>
            <w:tcW w:w="1736" w:type="dxa"/>
            <w:hideMark/>
          </w:tcPr>
          <w:p w14:paraId="087A9CEA"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1</w:t>
            </w:r>
          </w:p>
        </w:tc>
        <w:tc>
          <w:tcPr>
            <w:tcW w:w="1683" w:type="dxa"/>
          </w:tcPr>
          <w:p w14:paraId="62E28456"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p>
        </w:tc>
      </w:tr>
      <w:tr w:rsidR="00B9373A" w:rsidRPr="008A78C2" w14:paraId="2473AC34" w14:textId="77777777" w:rsidTr="00B9373A">
        <w:trPr>
          <w:trHeight w:val="237"/>
        </w:trPr>
        <w:tc>
          <w:tcPr>
            <w:tcW w:w="2244" w:type="dxa"/>
            <w:hideMark/>
          </w:tcPr>
          <w:p w14:paraId="26120743"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b/>
                <w:szCs w:val="24"/>
                <w:highlight w:val="lightGray"/>
              </w:rPr>
            </w:pPr>
            <w:r w:rsidRPr="008A78C2">
              <w:rPr>
                <w:rFonts w:ascii="Times New Roman" w:eastAsiaTheme="minorHAnsi" w:hAnsi="Times New Roman" w:cs="Times New Roman"/>
                <w:b/>
                <w:szCs w:val="24"/>
                <w:highlight w:val="lightGray"/>
              </w:rPr>
              <w:t>Factor 2</w:t>
            </w:r>
          </w:p>
        </w:tc>
        <w:tc>
          <w:tcPr>
            <w:tcW w:w="1851" w:type="dxa"/>
            <w:hideMark/>
          </w:tcPr>
          <w:p w14:paraId="1CAD53C2"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0.003</w:t>
            </w:r>
          </w:p>
        </w:tc>
        <w:tc>
          <w:tcPr>
            <w:tcW w:w="1839" w:type="dxa"/>
            <w:hideMark/>
          </w:tcPr>
          <w:p w14:paraId="4072F8B7"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0.990**</w:t>
            </w:r>
          </w:p>
        </w:tc>
        <w:tc>
          <w:tcPr>
            <w:tcW w:w="1736" w:type="dxa"/>
            <w:hideMark/>
          </w:tcPr>
          <w:p w14:paraId="15BC6A03"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0.053</w:t>
            </w:r>
          </w:p>
        </w:tc>
        <w:tc>
          <w:tcPr>
            <w:tcW w:w="1683" w:type="dxa"/>
            <w:hideMark/>
          </w:tcPr>
          <w:p w14:paraId="783BAD48" w14:textId="77777777" w:rsidR="00B9373A" w:rsidRPr="008A78C2" w:rsidRDefault="00B9373A">
            <w:pPr>
              <w:autoSpaceDE w:val="0"/>
              <w:autoSpaceDN w:val="0"/>
              <w:adjustRightInd w:val="0"/>
              <w:spacing w:before="0" w:line="240" w:lineRule="auto"/>
              <w:rPr>
                <w:rFonts w:ascii="Times New Roman" w:eastAsiaTheme="minorHAnsi" w:hAnsi="Times New Roman" w:cs="Times New Roman"/>
                <w:szCs w:val="24"/>
                <w:highlight w:val="lightGray"/>
              </w:rPr>
            </w:pPr>
            <w:r w:rsidRPr="008A78C2">
              <w:rPr>
                <w:rFonts w:ascii="Times New Roman" w:eastAsiaTheme="minorHAnsi" w:hAnsi="Times New Roman" w:cs="Times New Roman"/>
                <w:szCs w:val="24"/>
                <w:highlight w:val="lightGray"/>
              </w:rPr>
              <w:t>1</w:t>
            </w:r>
          </w:p>
        </w:tc>
      </w:tr>
    </w:tbl>
    <w:p w14:paraId="7B46A962" w14:textId="77777777" w:rsidR="00B9373A" w:rsidRPr="008A78C2" w:rsidRDefault="00397B22" w:rsidP="00B9373A">
      <w:pPr>
        <w:autoSpaceDE w:val="0"/>
        <w:autoSpaceDN w:val="0"/>
        <w:adjustRightInd w:val="0"/>
        <w:spacing w:before="0" w:line="240" w:lineRule="auto"/>
        <w:jc w:val="right"/>
        <w:rPr>
          <w:rFonts w:ascii="Times New Roman" w:eastAsiaTheme="minorHAnsi" w:hAnsi="Times New Roman" w:cs="Times New Roman"/>
          <w:sz w:val="20"/>
          <w:szCs w:val="24"/>
          <w:highlight w:val="lightGray"/>
        </w:rPr>
      </w:pPr>
      <w:r w:rsidRPr="008A78C2">
        <w:rPr>
          <w:rFonts w:cstheme="majorBidi"/>
          <w:szCs w:val="24"/>
          <w:highlight w:val="lightGray"/>
        </w:rPr>
        <w:t xml:space="preserve">  </w:t>
      </w:r>
      <w:r w:rsidR="00B9373A" w:rsidRPr="008A78C2">
        <w:rPr>
          <w:rFonts w:ascii="Times New Roman" w:eastAsiaTheme="minorHAnsi" w:hAnsi="Times New Roman" w:cs="Times New Roman"/>
          <w:sz w:val="20"/>
          <w:szCs w:val="24"/>
          <w:highlight w:val="lightGray"/>
        </w:rPr>
        <w:t>** p&lt;0.01</w:t>
      </w:r>
    </w:p>
    <w:p w14:paraId="35DC7E03" w14:textId="54265B04" w:rsidR="00C438CB" w:rsidRDefault="00B9373A" w:rsidP="00976DD5">
      <w:pPr>
        <w:rPr>
          <w:rFonts w:cstheme="majorBidi"/>
          <w:szCs w:val="24"/>
          <w:highlight w:val="lightGray"/>
        </w:rPr>
      </w:pPr>
      <w:r w:rsidRPr="008A78C2">
        <w:rPr>
          <w:rFonts w:cstheme="majorBidi"/>
          <w:szCs w:val="24"/>
          <w:highlight w:val="lightGray"/>
        </w:rPr>
        <w:t xml:space="preserve">Due to this high level of similarity and minor difference between the overarching story told by the two approaches, only the PCA scores are taken forward in the rest of this discussion. </w:t>
      </w:r>
      <w:r w:rsidR="00857090" w:rsidRPr="008A78C2">
        <w:rPr>
          <w:rFonts w:cstheme="majorBidi"/>
          <w:szCs w:val="24"/>
          <w:highlight w:val="lightGray"/>
        </w:rPr>
        <w:t>T</w:t>
      </w:r>
      <w:r w:rsidR="0091410D" w:rsidRPr="008A78C2">
        <w:rPr>
          <w:rFonts w:cstheme="majorBidi"/>
          <w:szCs w:val="24"/>
          <w:highlight w:val="lightGray"/>
        </w:rPr>
        <w:t>hese</w:t>
      </w:r>
      <w:r w:rsidR="00976DD5" w:rsidRPr="008A78C2">
        <w:rPr>
          <w:rFonts w:cstheme="majorBidi"/>
          <w:szCs w:val="24"/>
          <w:highlight w:val="lightGray"/>
        </w:rPr>
        <w:t xml:space="preserve"> two</w:t>
      </w:r>
      <w:r w:rsidR="0091410D" w:rsidRPr="008A78C2">
        <w:rPr>
          <w:rFonts w:cstheme="majorBidi"/>
          <w:szCs w:val="24"/>
          <w:highlight w:val="lightGray"/>
        </w:rPr>
        <w:t xml:space="preserve"> components produced by the PCA suggest first</w:t>
      </w:r>
      <w:r w:rsidR="00976DD5" w:rsidRPr="008A78C2">
        <w:rPr>
          <w:rFonts w:cstheme="majorBidi"/>
          <w:szCs w:val="24"/>
          <w:highlight w:val="lightGray"/>
        </w:rPr>
        <w:t xml:space="preserve"> a rather mixed</w:t>
      </w:r>
      <w:r w:rsidR="0091410D" w:rsidRPr="008A78C2">
        <w:rPr>
          <w:rFonts w:cstheme="majorBidi"/>
          <w:szCs w:val="24"/>
          <w:highlight w:val="lightGray"/>
        </w:rPr>
        <w:t>,</w:t>
      </w:r>
      <w:r w:rsidR="00976DD5" w:rsidRPr="008A78C2">
        <w:rPr>
          <w:rFonts w:cstheme="majorBidi"/>
          <w:szCs w:val="24"/>
          <w:highlight w:val="lightGray"/>
        </w:rPr>
        <w:t xml:space="preserve"> larger component </w:t>
      </w:r>
      <w:r w:rsidR="0091410D" w:rsidRPr="008A78C2">
        <w:rPr>
          <w:rFonts w:cstheme="majorBidi"/>
          <w:szCs w:val="24"/>
          <w:highlight w:val="lightGray"/>
        </w:rPr>
        <w:t>which lacks a necessarily clear-</w:t>
      </w:r>
      <w:r w:rsidR="00976DD5" w:rsidRPr="008A78C2">
        <w:rPr>
          <w:rFonts w:cstheme="majorBidi"/>
          <w:szCs w:val="24"/>
          <w:highlight w:val="lightGray"/>
        </w:rPr>
        <w:t>cut theoretical grounding, plus a smaller second component with an authoritarian grounding. It is worth noting that these results are clearly different to those produced by Welzel using priority values and FA</w:t>
      </w:r>
      <w:r w:rsidR="001A1031" w:rsidRPr="008A78C2">
        <w:rPr>
          <w:rFonts w:cstheme="majorBidi"/>
          <w:szCs w:val="24"/>
          <w:highlight w:val="lightGray"/>
        </w:rPr>
        <w:t xml:space="preserve"> instead of absolute values and PCA</w:t>
      </w:r>
      <w:r w:rsidR="001031F3" w:rsidRPr="008A78C2">
        <w:rPr>
          <w:rFonts w:cstheme="majorBidi"/>
          <w:szCs w:val="24"/>
          <w:highlight w:val="lightGray"/>
        </w:rPr>
        <w:t xml:space="preserve"> (see above, Section 4.1)</w:t>
      </w:r>
      <w:r w:rsidR="00976DD5" w:rsidRPr="008A78C2">
        <w:rPr>
          <w:rFonts w:cstheme="majorBidi"/>
          <w:szCs w:val="24"/>
          <w:highlight w:val="lightGray"/>
        </w:rPr>
        <w:t xml:space="preserve">. As a check, PCA </w:t>
      </w:r>
      <w:r w:rsidR="00F51654" w:rsidRPr="008A78C2">
        <w:rPr>
          <w:rFonts w:cstheme="majorBidi"/>
          <w:szCs w:val="24"/>
          <w:highlight w:val="lightGray"/>
        </w:rPr>
        <w:t>was run on the priority values (</w:t>
      </w:r>
      <w:r w:rsidR="00976DD5" w:rsidRPr="008A78C2">
        <w:rPr>
          <w:rFonts w:cstheme="majorBidi"/>
          <w:szCs w:val="24"/>
          <w:highlight w:val="lightGray"/>
        </w:rPr>
        <w:t xml:space="preserve">details </w:t>
      </w:r>
      <w:r w:rsidR="009827FA" w:rsidRPr="008A78C2">
        <w:rPr>
          <w:rFonts w:cstheme="majorBidi"/>
          <w:szCs w:val="24"/>
          <w:highlight w:val="lightGray"/>
        </w:rPr>
        <w:t>provided in the A</w:t>
      </w:r>
      <w:r w:rsidR="00976DD5" w:rsidRPr="008A78C2">
        <w:rPr>
          <w:rFonts w:cstheme="majorBidi"/>
          <w:szCs w:val="24"/>
          <w:highlight w:val="lightGray"/>
        </w:rPr>
        <w:t>ppendix</w:t>
      </w:r>
      <w:r w:rsidR="00923F2E">
        <w:rPr>
          <w:rFonts w:cstheme="majorBidi"/>
          <w:szCs w:val="24"/>
          <w:highlight w:val="lightGray"/>
        </w:rPr>
        <w:t>, Figure B13</w:t>
      </w:r>
      <w:r w:rsidR="009827FA" w:rsidRPr="008A78C2">
        <w:rPr>
          <w:rFonts w:cstheme="majorBidi"/>
          <w:szCs w:val="24"/>
          <w:highlight w:val="lightGray"/>
        </w:rPr>
        <w:t>)</w:t>
      </w:r>
      <w:r w:rsidR="00976DD5" w:rsidRPr="008A78C2">
        <w:rPr>
          <w:rFonts w:cstheme="majorBidi"/>
          <w:szCs w:val="24"/>
          <w:highlight w:val="lightGray"/>
        </w:rPr>
        <w:t>.</w:t>
      </w:r>
      <w:r w:rsidR="00F51654" w:rsidRPr="008A78C2">
        <w:rPr>
          <w:rFonts w:cstheme="majorBidi"/>
          <w:szCs w:val="24"/>
          <w:highlight w:val="lightGray"/>
        </w:rPr>
        <w:t xml:space="preserve"> Whilst it was not possible to exactly replicate the initial analysis, the overall pattern is very different to Welzel’s FA. Therefore, I believe my analysis is advantageous here as there are clear parallels between the PCA and EFA suggesting the results are robust. Furthermore, it is clear that the tax and the criminal punishment variable loadings are </w:t>
      </w:r>
      <w:r w:rsidR="003C0B12" w:rsidRPr="008A78C2">
        <w:rPr>
          <w:rFonts w:cstheme="majorBidi"/>
          <w:szCs w:val="24"/>
          <w:highlight w:val="lightGray"/>
        </w:rPr>
        <w:t>relatively</w:t>
      </w:r>
      <w:r w:rsidR="00B15A82">
        <w:rPr>
          <w:rFonts w:cstheme="majorBidi"/>
          <w:szCs w:val="24"/>
          <w:highlight w:val="lightGray"/>
        </w:rPr>
        <w:t xml:space="preserve"> low</w:t>
      </w:r>
      <w:r w:rsidR="00F51654" w:rsidRPr="008A78C2">
        <w:rPr>
          <w:rFonts w:cstheme="majorBidi"/>
          <w:szCs w:val="24"/>
          <w:highlight w:val="lightGray"/>
        </w:rPr>
        <w:t xml:space="preserve"> (</w:t>
      </w:r>
      <w:r w:rsidR="003C0B12" w:rsidRPr="008A78C2">
        <w:rPr>
          <w:rFonts w:cstheme="majorBidi"/>
          <w:szCs w:val="24"/>
          <w:highlight w:val="lightGray"/>
        </w:rPr>
        <w:t xml:space="preserve">and </w:t>
      </w:r>
      <w:r w:rsidR="00F51654" w:rsidRPr="008A78C2">
        <w:rPr>
          <w:rFonts w:cstheme="majorBidi"/>
          <w:szCs w:val="24"/>
          <w:highlight w:val="lightGray"/>
        </w:rPr>
        <w:t xml:space="preserve">indeed the tax variable is indeterminate in the EFA). However, if the models are run without these variables the overall pattern remains </w:t>
      </w:r>
      <w:r w:rsidR="003C0B12" w:rsidRPr="008A78C2">
        <w:rPr>
          <w:rFonts w:cstheme="majorBidi"/>
          <w:szCs w:val="24"/>
          <w:highlight w:val="lightGray"/>
        </w:rPr>
        <w:t>unchanged – the procedural elements are mixed in with the populist and unemployment aid element in a single group, against a second component that mixes together the author</w:t>
      </w:r>
      <w:r w:rsidR="005E11CC">
        <w:rPr>
          <w:rFonts w:cstheme="majorBidi"/>
          <w:szCs w:val="24"/>
          <w:highlight w:val="lightGray"/>
        </w:rPr>
        <w:t>it</w:t>
      </w:r>
      <w:r w:rsidR="00923F2E">
        <w:rPr>
          <w:rFonts w:cstheme="majorBidi"/>
          <w:szCs w:val="24"/>
          <w:highlight w:val="lightGray"/>
        </w:rPr>
        <w:t>arian elements (see Appendix B14</w:t>
      </w:r>
      <w:r w:rsidR="003C0B12" w:rsidRPr="008A78C2">
        <w:rPr>
          <w:rFonts w:cstheme="majorBidi"/>
          <w:szCs w:val="24"/>
          <w:highlight w:val="lightGray"/>
        </w:rPr>
        <w:t xml:space="preserve"> showing the similarity of results if </w:t>
      </w:r>
      <w:r w:rsidR="00C438CB">
        <w:rPr>
          <w:rFonts w:cstheme="majorBidi"/>
          <w:szCs w:val="24"/>
          <w:highlight w:val="lightGray"/>
        </w:rPr>
        <w:t>these two variables are removed;</w:t>
      </w:r>
      <w:r w:rsidR="003C0B12" w:rsidRPr="008A78C2">
        <w:rPr>
          <w:rFonts w:cstheme="majorBidi"/>
          <w:szCs w:val="24"/>
          <w:highlight w:val="lightGray"/>
        </w:rPr>
        <w:t xml:space="preserve"> </w:t>
      </w:r>
      <w:r w:rsidR="00C438CB">
        <w:rPr>
          <w:rFonts w:cstheme="majorBidi"/>
          <w:szCs w:val="24"/>
          <w:highlight w:val="lightGray"/>
        </w:rPr>
        <w:t>a</w:t>
      </w:r>
      <w:r w:rsidR="00B15A82">
        <w:rPr>
          <w:rFonts w:cstheme="majorBidi"/>
          <w:szCs w:val="24"/>
          <w:highlight w:val="lightGray"/>
        </w:rPr>
        <w:t>s the pattern remains, the variables are left in the analysis moving forward</w:t>
      </w:r>
      <w:r w:rsidR="00C438CB">
        <w:rPr>
          <w:rFonts w:cstheme="majorBidi"/>
          <w:szCs w:val="24"/>
          <w:highlight w:val="lightGray"/>
        </w:rPr>
        <w:t>).</w:t>
      </w:r>
    </w:p>
    <w:p w14:paraId="77F80FBD" w14:textId="2CC9C81F" w:rsidR="00006DFE" w:rsidRPr="008A78C2" w:rsidRDefault="00C438CB" w:rsidP="00976DD5">
      <w:pPr>
        <w:rPr>
          <w:rFonts w:cstheme="majorBidi"/>
          <w:szCs w:val="24"/>
          <w:highlight w:val="lightGray"/>
        </w:rPr>
      </w:pPr>
      <w:r>
        <w:rPr>
          <w:rFonts w:cstheme="majorBidi"/>
          <w:szCs w:val="24"/>
          <w:highlight w:val="lightGray"/>
        </w:rPr>
        <w:t>The final check on this exploratory analysis was to conduct confirmatory factor analysis using the two component groups to see how well the groups are demonstrated in this approach.</w:t>
      </w:r>
      <w:r>
        <w:rPr>
          <w:rStyle w:val="FootnoteReference"/>
          <w:rFonts w:cstheme="majorBidi"/>
          <w:szCs w:val="24"/>
          <w:highlight w:val="lightGray"/>
        </w:rPr>
        <w:footnoteReference w:id="16"/>
      </w:r>
      <w:r w:rsidR="00142A7D">
        <w:rPr>
          <w:rFonts w:cstheme="majorBidi"/>
          <w:szCs w:val="24"/>
          <w:highlight w:val="lightGray"/>
        </w:rPr>
        <w:t xml:space="preserve"> Figure B13 in the Appendix outlines the results in full, but the main finding from this analysis is that the CFA results for this particular structuring of the two components are in fact weak. The goodness of fit issue is driven primarily by the second component, as we might expect, since it explained a much lower amount of variance.</w:t>
      </w:r>
      <w:r w:rsidR="006D421D">
        <w:rPr>
          <w:rFonts w:cstheme="majorBidi"/>
          <w:szCs w:val="24"/>
          <w:highlight w:val="lightGray"/>
        </w:rPr>
        <w:t xml:space="preserve"> This suggests further research is needed on the interactions between the two authoritarian characteristics in particular, and I examine this in the Section 7.3.</w:t>
      </w:r>
      <w:r w:rsidR="00142A7D">
        <w:rPr>
          <w:rFonts w:cstheme="majorBidi"/>
          <w:szCs w:val="24"/>
          <w:highlight w:val="lightGray"/>
        </w:rPr>
        <w:t xml:space="preserve"> </w:t>
      </w:r>
      <w:r w:rsidR="006D421D">
        <w:rPr>
          <w:rFonts w:cstheme="majorBidi"/>
          <w:szCs w:val="24"/>
          <w:highlight w:val="lightGray"/>
        </w:rPr>
        <w:t xml:space="preserve"> However, overall t</w:t>
      </w:r>
      <w:r w:rsidR="003C0B12" w:rsidRPr="008A78C2">
        <w:rPr>
          <w:rFonts w:cstheme="majorBidi"/>
          <w:szCs w:val="24"/>
          <w:highlight w:val="lightGray"/>
        </w:rPr>
        <w:t>h</w:t>
      </w:r>
      <w:r w:rsidR="006D421D">
        <w:rPr>
          <w:rFonts w:cstheme="majorBidi"/>
          <w:szCs w:val="24"/>
          <w:highlight w:val="lightGray"/>
        </w:rPr>
        <w:t>e</w:t>
      </w:r>
      <w:r w:rsidR="00B15A82">
        <w:rPr>
          <w:rFonts w:cstheme="majorBidi"/>
          <w:szCs w:val="24"/>
          <w:highlight w:val="lightGray"/>
        </w:rPr>
        <w:t xml:space="preserve"> results</w:t>
      </w:r>
      <w:r w:rsidR="003C0B12" w:rsidRPr="008A78C2">
        <w:rPr>
          <w:rFonts w:cstheme="majorBidi"/>
          <w:szCs w:val="24"/>
          <w:highlight w:val="lightGray"/>
        </w:rPr>
        <w:t xml:space="preserve"> suggest</w:t>
      </w:r>
      <w:r w:rsidR="00B15A82">
        <w:rPr>
          <w:rFonts w:cstheme="majorBidi"/>
          <w:szCs w:val="24"/>
          <w:highlight w:val="lightGray"/>
        </w:rPr>
        <w:t xml:space="preserve"> that </w:t>
      </w:r>
      <w:r w:rsidR="003C0B12" w:rsidRPr="008A78C2">
        <w:rPr>
          <w:rFonts w:cstheme="majorBidi"/>
          <w:szCs w:val="24"/>
          <w:highlight w:val="lightGray"/>
        </w:rPr>
        <w:t xml:space="preserve">this </w:t>
      </w:r>
      <w:r w:rsidR="00B15A82">
        <w:rPr>
          <w:rFonts w:cstheme="majorBidi"/>
          <w:szCs w:val="24"/>
          <w:highlight w:val="lightGray"/>
        </w:rPr>
        <w:t>broad</w:t>
      </w:r>
      <w:r w:rsidR="003C0B12" w:rsidRPr="008A78C2">
        <w:rPr>
          <w:rFonts w:cstheme="majorBidi"/>
          <w:szCs w:val="24"/>
          <w:highlight w:val="lightGray"/>
        </w:rPr>
        <w:t xml:space="preserve"> split</w:t>
      </w:r>
      <w:r w:rsidR="00B15A82">
        <w:rPr>
          <w:rFonts w:cstheme="majorBidi"/>
          <w:szCs w:val="24"/>
          <w:highlight w:val="lightGray"/>
        </w:rPr>
        <w:t xml:space="preserve"> between the two components</w:t>
      </w:r>
      <w:r w:rsidR="006D421D">
        <w:rPr>
          <w:rFonts w:cstheme="majorBidi"/>
          <w:szCs w:val="24"/>
          <w:highlight w:val="lightGray"/>
        </w:rPr>
        <w:t xml:space="preserve"> is important</w:t>
      </w:r>
      <w:r w:rsidR="003C0B12" w:rsidRPr="008A78C2">
        <w:rPr>
          <w:rFonts w:cstheme="majorBidi"/>
          <w:szCs w:val="24"/>
          <w:highlight w:val="lightGray"/>
        </w:rPr>
        <w:t>, and is the closest we can actually get to determining how individuals are conceptually mapping out the mix of characteristics available in this set of questions.</w:t>
      </w:r>
    </w:p>
    <w:p w14:paraId="0FF97235" w14:textId="0AF070E2" w:rsidR="006D421D" w:rsidRDefault="00913C19" w:rsidP="00976DD5">
      <w:pPr>
        <w:rPr>
          <w:rFonts w:cstheme="majorBidi"/>
          <w:szCs w:val="24"/>
        </w:rPr>
      </w:pPr>
      <w:r w:rsidRPr="008A78C2">
        <w:rPr>
          <w:rFonts w:cstheme="majorBidi"/>
          <w:szCs w:val="24"/>
          <w:highlight w:val="lightGray"/>
        </w:rPr>
        <w:t>Overall, i</w:t>
      </w:r>
      <w:r w:rsidR="00976DD5" w:rsidRPr="008A78C2">
        <w:rPr>
          <w:rFonts w:cstheme="majorBidi"/>
          <w:szCs w:val="24"/>
          <w:highlight w:val="lightGray"/>
        </w:rPr>
        <w:t xml:space="preserve">n this </w:t>
      </w:r>
      <w:r w:rsidR="0091410D" w:rsidRPr="008A78C2">
        <w:rPr>
          <w:rFonts w:cstheme="majorBidi"/>
          <w:szCs w:val="24"/>
          <w:highlight w:val="lightGray"/>
        </w:rPr>
        <w:t>thesis</w:t>
      </w:r>
      <w:r w:rsidR="00976DD5" w:rsidRPr="008A78C2">
        <w:rPr>
          <w:rFonts w:cstheme="majorBidi"/>
          <w:szCs w:val="24"/>
          <w:highlight w:val="lightGray"/>
        </w:rPr>
        <w:t>, the approach taken and justification for each step provides a</w:t>
      </w:r>
      <w:r w:rsidRPr="008A78C2">
        <w:rPr>
          <w:rFonts w:cstheme="majorBidi"/>
          <w:szCs w:val="24"/>
          <w:highlight w:val="lightGray"/>
        </w:rPr>
        <w:t xml:space="preserve"> transparent and</w:t>
      </w:r>
      <w:r w:rsidR="00976DD5" w:rsidRPr="008A78C2">
        <w:rPr>
          <w:rFonts w:cstheme="majorBidi"/>
          <w:szCs w:val="24"/>
          <w:highlight w:val="lightGray"/>
        </w:rPr>
        <w:t xml:space="preserve"> </w:t>
      </w:r>
      <w:r w:rsidRPr="008A78C2">
        <w:rPr>
          <w:rFonts w:cstheme="majorBidi"/>
          <w:szCs w:val="24"/>
          <w:highlight w:val="lightGray"/>
        </w:rPr>
        <w:t xml:space="preserve">more </w:t>
      </w:r>
      <w:r w:rsidR="00976DD5" w:rsidRPr="008A78C2">
        <w:rPr>
          <w:rFonts w:cstheme="majorBidi"/>
          <w:szCs w:val="24"/>
          <w:highlight w:val="lightGray"/>
        </w:rPr>
        <w:t>robust selection of two components, which</w:t>
      </w:r>
      <w:r w:rsidRPr="008A78C2">
        <w:rPr>
          <w:rFonts w:cstheme="majorBidi"/>
          <w:szCs w:val="24"/>
          <w:highlight w:val="lightGray"/>
        </w:rPr>
        <w:t>, most importantly,</w:t>
      </w:r>
      <w:r w:rsidR="00976DD5" w:rsidRPr="008A78C2">
        <w:rPr>
          <w:rFonts w:cstheme="majorBidi"/>
          <w:szCs w:val="24"/>
          <w:highlight w:val="lightGray"/>
        </w:rPr>
        <w:t xml:space="preserve"> are driven by the </w:t>
      </w:r>
      <w:r w:rsidR="0091410D" w:rsidRPr="008A78C2">
        <w:rPr>
          <w:rFonts w:cstheme="majorBidi"/>
          <w:szCs w:val="24"/>
          <w:highlight w:val="lightGray"/>
        </w:rPr>
        <w:t>answers</w:t>
      </w:r>
      <w:r w:rsidR="00976DD5" w:rsidRPr="008A78C2">
        <w:rPr>
          <w:rFonts w:cstheme="majorBidi"/>
          <w:szCs w:val="24"/>
          <w:highlight w:val="lightGray"/>
        </w:rPr>
        <w:t xml:space="preserve"> of </w:t>
      </w:r>
      <w:r w:rsidR="0091410D" w:rsidRPr="008A78C2">
        <w:rPr>
          <w:rFonts w:cstheme="majorBidi"/>
          <w:szCs w:val="24"/>
          <w:highlight w:val="lightGray"/>
        </w:rPr>
        <w:t xml:space="preserve">the survey </w:t>
      </w:r>
      <w:r w:rsidR="00976DD5" w:rsidRPr="008A78C2">
        <w:rPr>
          <w:rFonts w:cstheme="majorBidi"/>
          <w:szCs w:val="24"/>
          <w:highlight w:val="lightGray"/>
        </w:rPr>
        <w:t>respondents</w:t>
      </w:r>
      <w:r w:rsidR="0091410D" w:rsidRPr="008A78C2">
        <w:rPr>
          <w:rFonts w:cstheme="majorBidi"/>
          <w:szCs w:val="24"/>
          <w:highlight w:val="lightGray"/>
        </w:rPr>
        <w:t xml:space="preserve"> at the global level</w:t>
      </w:r>
      <w:r w:rsidR="00976DD5" w:rsidRPr="008A78C2">
        <w:rPr>
          <w:rFonts w:cstheme="majorBidi"/>
          <w:szCs w:val="24"/>
          <w:highlight w:val="lightGray"/>
        </w:rPr>
        <w:t>. The following section now turns to interpreting these two components.</w:t>
      </w:r>
    </w:p>
    <w:p w14:paraId="1EDECDBB" w14:textId="77777777" w:rsidR="00976DD5" w:rsidRPr="00577217" w:rsidRDefault="00976DD5" w:rsidP="00577217">
      <w:pPr>
        <w:pStyle w:val="Heading2"/>
      </w:pPr>
      <w:bookmarkStart w:id="246" w:name="_Toc385498314"/>
      <w:bookmarkStart w:id="247" w:name="_Toc376765761"/>
      <w:bookmarkStart w:id="248" w:name="_Toc439171460"/>
      <w:bookmarkStart w:id="249" w:name="_Toc441069030"/>
      <w:bookmarkStart w:id="250" w:name="_Toc441069225"/>
      <w:bookmarkStart w:id="251" w:name="_Toc494034223"/>
      <w:r w:rsidRPr="00577217">
        <w:t>4.4 Discussion</w:t>
      </w:r>
      <w:bookmarkEnd w:id="246"/>
      <w:bookmarkEnd w:id="247"/>
      <w:r w:rsidRPr="00577217">
        <w:t>: What do the components mean?</w:t>
      </w:r>
      <w:bookmarkEnd w:id="248"/>
      <w:bookmarkEnd w:id="249"/>
      <w:bookmarkEnd w:id="250"/>
      <w:bookmarkEnd w:id="251"/>
    </w:p>
    <w:p w14:paraId="648734BB" w14:textId="3F47BE7B" w:rsidR="00976DD5" w:rsidRDefault="00976DD5" w:rsidP="00976DD5">
      <w:pPr>
        <w:rPr>
          <w:rFonts w:cstheme="majorBidi"/>
          <w:szCs w:val="24"/>
        </w:rPr>
      </w:pPr>
      <w:r>
        <w:rPr>
          <w:rFonts w:cstheme="majorBidi"/>
          <w:szCs w:val="24"/>
        </w:rPr>
        <w:t>The two components of democratic understanding form the basis of the analys</w:t>
      </w:r>
      <w:r w:rsidR="0091410D">
        <w:rPr>
          <w:rFonts w:cstheme="majorBidi"/>
          <w:szCs w:val="24"/>
        </w:rPr>
        <w:t>is undertaken in later chapters</w:t>
      </w:r>
      <w:r w:rsidR="00493870">
        <w:rPr>
          <w:rFonts w:cstheme="majorBidi"/>
          <w:szCs w:val="24"/>
        </w:rPr>
        <w:t xml:space="preserve"> which</w:t>
      </w:r>
      <w:r>
        <w:rPr>
          <w:rFonts w:cstheme="majorBidi"/>
          <w:szCs w:val="24"/>
        </w:rPr>
        <w:t xml:space="preserve"> examin</w:t>
      </w:r>
      <w:r w:rsidR="00493870">
        <w:rPr>
          <w:rFonts w:cstheme="majorBidi"/>
          <w:szCs w:val="24"/>
        </w:rPr>
        <w:t>e</w:t>
      </w:r>
      <w:r>
        <w:rPr>
          <w:rFonts w:cstheme="majorBidi"/>
          <w:szCs w:val="24"/>
        </w:rPr>
        <w:t xml:space="preserve"> what individual and national factors help explain these groupings of democratic characteristics, and how these understandings </w:t>
      </w:r>
      <w:r w:rsidR="00493870">
        <w:rPr>
          <w:rFonts w:cstheme="majorBidi"/>
          <w:szCs w:val="24"/>
        </w:rPr>
        <w:t xml:space="preserve">affect </w:t>
      </w:r>
      <w:r>
        <w:rPr>
          <w:rFonts w:cstheme="majorBidi"/>
          <w:szCs w:val="24"/>
        </w:rPr>
        <w:t>participation.</w:t>
      </w:r>
      <w:r w:rsidR="000D2F92">
        <w:rPr>
          <w:rFonts w:cstheme="majorBidi"/>
          <w:szCs w:val="24"/>
        </w:rPr>
        <w:t xml:space="preserve"> A</w:t>
      </w:r>
      <w:r>
        <w:rPr>
          <w:rFonts w:cstheme="majorBidi"/>
          <w:szCs w:val="24"/>
        </w:rPr>
        <w:t xml:space="preserve"> detailed discussion about the meanings of these two components</w:t>
      </w:r>
      <w:r w:rsidR="00493870">
        <w:rPr>
          <w:rFonts w:cstheme="majorBidi"/>
          <w:szCs w:val="24"/>
        </w:rPr>
        <w:t xml:space="preserve"> is needed</w:t>
      </w:r>
      <w:r>
        <w:rPr>
          <w:rFonts w:cstheme="majorBidi"/>
          <w:szCs w:val="24"/>
        </w:rPr>
        <w:t>.</w:t>
      </w:r>
    </w:p>
    <w:p w14:paraId="31FED3CF" w14:textId="75F48FF2" w:rsidR="00976DD5" w:rsidRDefault="00976DD5" w:rsidP="00976DD5">
      <w:pPr>
        <w:rPr>
          <w:rFonts w:cstheme="majorBidi"/>
          <w:szCs w:val="24"/>
        </w:rPr>
      </w:pPr>
      <w:r>
        <w:rPr>
          <w:rFonts w:cstheme="majorBidi"/>
          <w:szCs w:val="24"/>
        </w:rPr>
        <w:t>The discussion is in three stages. Firstly, I look what it is the two components actually demonstrate. This is done through an assessment of the loadings. Secondly, the aggregated nation-level results are assessed to compare across the countries in the dataset</w:t>
      </w:r>
      <w:r w:rsidR="00501F60">
        <w:rPr>
          <w:rFonts w:cstheme="majorBidi"/>
          <w:szCs w:val="24"/>
        </w:rPr>
        <w:t xml:space="preserve"> for each component</w:t>
      </w:r>
      <w:r>
        <w:rPr>
          <w:rFonts w:cstheme="majorBidi"/>
          <w:szCs w:val="24"/>
        </w:rPr>
        <w:t xml:space="preserve">. Finally, I </w:t>
      </w:r>
      <w:r w:rsidR="00501F60">
        <w:rPr>
          <w:rFonts w:cstheme="majorBidi"/>
          <w:szCs w:val="24"/>
        </w:rPr>
        <w:t xml:space="preserve">graph and </w:t>
      </w:r>
      <w:r>
        <w:rPr>
          <w:rFonts w:cstheme="majorBidi"/>
          <w:szCs w:val="24"/>
        </w:rPr>
        <w:t xml:space="preserve">discuss the component scores </w:t>
      </w:r>
      <w:r w:rsidR="00501F60">
        <w:rPr>
          <w:rFonts w:cstheme="majorBidi"/>
          <w:szCs w:val="24"/>
        </w:rPr>
        <w:t>in relation to each other</w:t>
      </w:r>
      <w:r>
        <w:rPr>
          <w:rFonts w:cstheme="majorBidi"/>
          <w:szCs w:val="24"/>
        </w:rPr>
        <w:t xml:space="preserve">, as it is important to see how these </w:t>
      </w:r>
      <w:r w:rsidR="005F6D7A">
        <w:rPr>
          <w:rFonts w:cstheme="majorBidi"/>
          <w:szCs w:val="24"/>
        </w:rPr>
        <w:t xml:space="preserve">two </w:t>
      </w:r>
      <w:r>
        <w:rPr>
          <w:rFonts w:cstheme="majorBidi"/>
          <w:szCs w:val="24"/>
        </w:rPr>
        <w:t>latent dimensions of understanding are combined</w:t>
      </w:r>
      <w:r w:rsidR="00501F60">
        <w:rPr>
          <w:rFonts w:cstheme="majorBidi"/>
          <w:szCs w:val="24"/>
        </w:rPr>
        <w:t xml:space="preserve"> in different countries</w:t>
      </w:r>
      <w:r>
        <w:rPr>
          <w:rFonts w:cstheme="majorBidi"/>
          <w:szCs w:val="24"/>
        </w:rPr>
        <w:t>.</w:t>
      </w:r>
    </w:p>
    <w:p w14:paraId="3F6705F2" w14:textId="72A3F81E" w:rsidR="007762FE" w:rsidRDefault="007762FE" w:rsidP="00976DD5">
      <w:pPr>
        <w:rPr>
          <w:rFonts w:cstheme="majorBidi"/>
          <w:szCs w:val="24"/>
        </w:rPr>
      </w:pPr>
      <w:r>
        <w:rPr>
          <w:rFonts w:cstheme="majorBidi"/>
          <w:szCs w:val="24"/>
        </w:rPr>
        <w:t>In the summary of this section I also discuss how this work is examining the conceptual mapping of a global understanding, which places my approach amongst that of Cho (2015), Dalton</w:t>
      </w:r>
      <w:r w:rsidR="0044464C">
        <w:rPr>
          <w:rFonts w:cstheme="majorBidi"/>
          <w:szCs w:val="24"/>
        </w:rPr>
        <w:t xml:space="preserve"> et al (2008)</w:t>
      </w:r>
      <w:r>
        <w:rPr>
          <w:rFonts w:cstheme="majorBidi"/>
          <w:szCs w:val="24"/>
        </w:rPr>
        <w:t>, Welzel</w:t>
      </w:r>
      <w:r w:rsidR="0044464C">
        <w:rPr>
          <w:rFonts w:cstheme="majorBidi"/>
          <w:szCs w:val="24"/>
        </w:rPr>
        <w:t xml:space="preserve"> (2013) and Norris (2011</w:t>
      </w:r>
      <w:r>
        <w:rPr>
          <w:rFonts w:cstheme="majorBidi"/>
          <w:szCs w:val="24"/>
        </w:rPr>
        <w:t>). This is an important consideration, and I talk through the value and also the limitations it presents.</w:t>
      </w:r>
    </w:p>
    <w:p w14:paraId="3E633DAA" w14:textId="729375B5" w:rsidR="000D2F92" w:rsidRDefault="00976DD5" w:rsidP="00976DD5">
      <w:pPr>
        <w:rPr>
          <w:rFonts w:cstheme="majorBidi"/>
          <w:szCs w:val="24"/>
        </w:rPr>
      </w:pPr>
      <w:r>
        <w:rPr>
          <w:rFonts w:cstheme="majorBidi"/>
          <w:szCs w:val="24"/>
        </w:rPr>
        <w:t xml:space="preserve">Whilst informed by the loading results, it is important to remember that dimension analysis is a subjective exercise </w:t>
      </w:r>
      <w:r w:rsidR="00493870">
        <w:rPr>
          <w:rFonts w:cstheme="majorBidi"/>
          <w:szCs w:val="24"/>
        </w:rPr>
        <w:t xml:space="preserve">in which </w:t>
      </w:r>
      <w:r>
        <w:rPr>
          <w:rFonts w:cstheme="majorBidi"/>
          <w:szCs w:val="24"/>
        </w:rPr>
        <w:t>the researcher interprets what underlying dimensions the combination of</w:t>
      </w:r>
      <w:r w:rsidR="00501F60">
        <w:rPr>
          <w:rFonts w:cstheme="majorBidi"/>
          <w:szCs w:val="24"/>
        </w:rPr>
        <w:t xml:space="preserve"> variables might be reflecting </w:t>
      </w:r>
      <w:r w:rsidR="00501F60">
        <w:rPr>
          <w:rFonts w:cstheme="majorBidi"/>
          <w:szCs w:val="24"/>
        </w:rPr>
        <w:fldChar w:fldCharType="begin" w:fldLock="1"/>
      </w:r>
      <w:r w:rsidR="00E63CC6">
        <w:rPr>
          <w:rFonts w:cstheme="majorBidi"/>
          <w:szCs w:val="24"/>
        </w:rPr>
        <w:instrText>ADDIN CSL_CITATION { "citationItems" : [ { "id" : "ITEM-1", "itemData" : { "DOI" : "10.1037//1082-989X.4.3.272", "ISSN" : "1082-989X", "author" : [ { "dropping-particle" : "", "family" : "Fabrigar", "given" : "Leandre R.", "non-dropping-particle" : "", "parse-names" : false, "suffix" : "" }, { "dropping-particle" : "", "family" : "Wegener", "given" : "Duane T.", "non-dropping-particle" : "", "parse-names" : false, "suffix" : "" }, { "dropping-particle" : "", "family" : "MacCallum", "given" : "Robert C.", "non-dropping-particle" : "", "parse-names" : false, "suffix" : "" }, { "dropping-particle" : "", "family" : "Strahan", "given" : "Erin J.", "non-dropping-particle" : "", "parse-names" : false, "suffix" : "" } ], "container-title" : "Psychological Methods", "id" : "ITEM-1", "issue" : "3", "issued" : { "date-parts" : [ [ "1999" ] ] }, "page" : "272-299", "title" : "Evaluating the use of exploratory factor analysis in psychological research.", "type" : "article-journal", "volume" : "4" }, "uris" : [ "http://www.mendeley.com/documents/?uuid=90d4d09b-d1cd-4d18-9654-b90f325486f3" ] } ], "mendeley" : { "formattedCitation" : "(Fabrigar &lt;i&gt;et al.&lt;/i&gt;, 1999)", "plainTextFormattedCitation" : "(Fabrigar et al., 1999)", "previouslyFormattedCitation" : "(Fabrigar &lt;i&gt;et al.&lt;/i&gt;, 1999)" }, "properties" : { "noteIndex" : 0 }, "schema" : "https://github.com/citation-style-language/schema/raw/master/csl-citation.json" }</w:instrText>
      </w:r>
      <w:r w:rsidR="00501F60">
        <w:rPr>
          <w:rFonts w:cstheme="majorBidi"/>
          <w:szCs w:val="24"/>
        </w:rPr>
        <w:fldChar w:fldCharType="separate"/>
      </w:r>
      <w:r w:rsidR="00E63CC6" w:rsidRPr="00E63CC6">
        <w:rPr>
          <w:rFonts w:cstheme="majorBidi"/>
          <w:noProof/>
          <w:szCs w:val="24"/>
        </w:rPr>
        <w:t xml:space="preserve">(Fabrigar </w:t>
      </w:r>
      <w:r w:rsidR="00E63CC6" w:rsidRPr="00E63CC6">
        <w:rPr>
          <w:rFonts w:cstheme="majorBidi"/>
          <w:i/>
          <w:noProof/>
          <w:szCs w:val="24"/>
        </w:rPr>
        <w:t>et al.</w:t>
      </w:r>
      <w:r w:rsidR="00E63CC6" w:rsidRPr="00E63CC6">
        <w:rPr>
          <w:rFonts w:cstheme="majorBidi"/>
          <w:noProof/>
          <w:szCs w:val="24"/>
        </w:rPr>
        <w:t>, 1999)</w:t>
      </w:r>
      <w:r w:rsidR="00501F60">
        <w:rPr>
          <w:rFonts w:cstheme="majorBidi"/>
          <w:szCs w:val="24"/>
        </w:rPr>
        <w:fldChar w:fldCharType="end"/>
      </w:r>
      <w:r w:rsidR="00C220BD">
        <w:rPr>
          <w:rFonts w:cstheme="majorBidi"/>
          <w:szCs w:val="24"/>
        </w:rPr>
        <w:t>.</w:t>
      </w:r>
    </w:p>
    <w:p w14:paraId="4AFBF5F0" w14:textId="47A2FC3F" w:rsidR="00976DD5" w:rsidRPr="00E223A2" w:rsidRDefault="00976DD5" w:rsidP="00E223A2">
      <w:pPr>
        <w:pStyle w:val="Heading3"/>
      </w:pPr>
      <w:bookmarkStart w:id="252" w:name="_Toc385498315"/>
      <w:bookmarkStart w:id="253" w:name="_Toc376765762"/>
      <w:bookmarkStart w:id="254" w:name="_Toc441069226"/>
      <w:r w:rsidRPr="00E223A2">
        <w:t>Component One</w:t>
      </w:r>
      <w:bookmarkEnd w:id="252"/>
      <w:bookmarkEnd w:id="253"/>
      <w:r w:rsidRPr="00E223A2">
        <w:t>: A Compound Understanding of Democracy</w:t>
      </w:r>
      <w:bookmarkEnd w:id="254"/>
    </w:p>
    <w:p w14:paraId="3F16C9DC" w14:textId="39DABF78" w:rsidR="00976DD5" w:rsidRDefault="00976DD5" w:rsidP="00976DD5">
      <w:pPr>
        <w:rPr>
          <w:rFonts w:cstheme="majorBidi"/>
          <w:szCs w:val="24"/>
        </w:rPr>
      </w:pPr>
      <w:r>
        <w:rPr>
          <w:rFonts w:cstheme="majorBidi"/>
          <w:szCs w:val="24"/>
        </w:rPr>
        <w:t xml:space="preserve">Component one </w:t>
      </w:r>
      <w:r w:rsidR="00FB61EF">
        <w:rPr>
          <w:rFonts w:cstheme="majorBidi"/>
          <w:szCs w:val="24"/>
        </w:rPr>
        <w:t>has</w:t>
      </w:r>
      <w:r>
        <w:rPr>
          <w:rFonts w:cstheme="majorBidi"/>
          <w:szCs w:val="24"/>
        </w:rPr>
        <w:t xml:space="preserve"> strong </w:t>
      </w:r>
      <w:r w:rsidR="00493870">
        <w:rPr>
          <w:rFonts w:cstheme="majorBidi"/>
          <w:szCs w:val="24"/>
        </w:rPr>
        <w:t xml:space="preserve">positive </w:t>
      </w:r>
      <w:r>
        <w:rPr>
          <w:rFonts w:cstheme="majorBidi"/>
          <w:szCs w:val="24"/>
        </w:rPr>
        <w:t>loadings on all the liberal characteristics</w:t>
      </w:r>
      <w:r w:rsidR="006165AC">
        <w:rPr>
          <w:rFonts w:cstheme="majorBidi"/>
          <w:szCs w:val="24"/>
        </w:rPr>
        <w:t>, between 0.7</w:t>
      </w:r>
      <w:r w:rsidR="00501F60">
        <w:rPr>
          <w:rFonts w:cstheme="majorBidi"/>
          <w:szCs w:val="24"/>
        </w:rPr>
        <w:t>1</w:t>
      </w:r>
      <w:r w:rsidR="006165AC">
        <w:rPr>
          <w:rFonts w:cstheme="majorBidi"/>
          <w:szCs w:val="24"/>
        </w:rPr>
        <w:t>6 and 0.665</w:t>
      </w:r>
      <w:r w:rsidR="00501F60">
        <w:rPr>
          <w:rFonts w:cstheme="majorBidi"/>
          <w:szCs w:val="24"/>
        </w:rPr>
        <w:t>,</w:t>
      </w:r>
      <w:r>
        <w:rPr>
          <w:rFonts w:cstheme="majorBidi"/>
          <w:szCs w:val="24"/>
        </w:rPr>
        <w:t xml:space="preserve"> and significant showings for the two populist characteristics, in particular the need for a prospering economy</w:t>
      </w:r>
      <w:r w:rsidR="006165AC">
        <w:rPr>
          <w:rFonts w:cstheme="majorBidi"/>
          <w:szCs w:val="24"/>
        </w:rPr>
        <w:t xml:space="preserve"> (0.626</w:t>
      </w:r>
      <w:r w:rsidR="00501F60">
        <w:rPr>
          <w:rFonts w:cstheme="majorBidi"/>
          <w:szCs w:val="24"/>
        </w:rPr>
        <w:t>)</w:t>
      </w:r>
      <w:r>
        <w:rPr>
          <w:rFonts w:cstheme="majorBidi"/>
          <w:szCs w:val="24"/>
        </w:rPr>
        <w:t xml:space="preserve">, and also a showing for the notion of providing </w:t>
      </w:r>
      <w:r w:rsidR="00E20219">
        <w:rPr>
          <w:rFonts w:cstheme="majorBidi"/>
          <w:szCs w:val="24"/>
        </w:rPr>
        <w:t>aid to those who are unemployed</w:t>
      </w:r>
      <w:r w:rsidR="006165AC">
        <w:rPr>
          <w:rFonts w:cstheme="majorBidi"/>
          <w:szCs w:val="24"/>
        </w:rPr>
        <w:t xml:space="preserve"> (0.562</w:t>
      </w:r>
      <w:r w:rsidR="00501F60">
        <w:rPr>
          <w:rFonts w:cstheme="majorBidi"/>
          <w:szCs w:val="24"/>
        </w:rPr>
        <w:t>)</w:t>
      </w:r>
      <w:r w:rsidR="005D5803">
        <w:rPr>
          <w:rFonts w:cstheme="majorBidi"/>
          <w:szCs w:val="24"/>
        </w:rPr>
        <w:t xml:space="preserve">. </w:t>
      </w:r>
      <w:r>
        <w:rPr>
          <w:rFonts w:cstheme="majorBidi"/>
          <w:szCs w:val="24"/>
        </w:rPr>
        <w:t xml:space="preserve">In relative terms, someone scoring highly on this component will tend to score elections, civil rights, referendum, gender rights and </w:t>
      </w:r>
      <w:r w:rsidR="005D5803">
        <w:rPr>
          <w:rFonts w:cstheme="majorBidi"/>
          <w:szCs w:val="24"/>
        </w:rPr>
        <w:t xml:space="preserve">a </w:t>
      </w:r>
      <w:r>
        <w:rPr>
          <w:rFonts w:cstheme="majorBidi"/>
          <w:szCs w:val="24"/>
        </w:rPr>
        <w:t xml:space="preserve">prospering economy </w:t>
      </w:r>
      <w:r w:rsidR="005D5803">
        <w:rPr>
          <w:rFonts w:cstheme="majorBidi"/>
          <w:szCs w:val="24"/>
        </w:rPr>
        <w:t xml:space="preserve">as more central components of democracy </w:t>
      </w:r>
      <w:r>
        <w:rPr>
          <w:rFonts w:cstheme="majorBidi"/>
          <w:szCs w:val="24"/>
        </w:rPr>
        <w:t xml:space="preserve">than </w:t>
      </w:r>
      <w:r w:rsidR="005D5803">
        <w:rPr>
          <w:rFonts w:cstheme="majorBidi"/>
          <w:szCs w:val="24"/>
        </w:rPr>
        <w:t xml:space="preserve">will </w:t>
      </w:r>
      <w:r>
        <w:rPr>
          <w:rFonts w:cstheme="majorBidi"/>
          <w:szCs w:val="24"/>
        </w:rPr>
        <w:t xml:space="preserve">someone scoring low on this characteristic. They are </w:t>
      </w:r>
      <w:r w:rsidR="00501F60">
        <w:rPr>
          <w:rFonts w:cstheme="majorBidi"/>
          <w:szCs w:val="24"/>
        </w:rPr>
        <w:t xml:space="preserve">also </w:t>
      </w:r>
      <w:r>
        <w:rPr>
          <w:rFonts w:cstheme="majorBidi"/>
          <w:szCs w:val="24"/>
        </w:rPr>
        <w:t xml:space="preserve">relatively </w:t>
      </w:r>
      <w:r w:rsidR="00501F60">
        <w:rPr>
          <w:rFonts w:cstheme="majorBidi"/>
          <w:szCs w:val="24"/>
        </w:rPr>
        <w:t xml:space="preserve">more </w:t>
      </w:r>
      <w:r>
        <w:rPr>
          <w:rFonts w:cstheme="majorBidi"/>
          <w:szCs w:val="24"/>
        </w:rPr>
        <w:t>inclined to score unemployment aid and severe criminal punishment</w:t>
      </w:r>
      <w:r w:rsidR="006165AC">
        <w:rPr>
          <w:rFonts w:cstheme="majorBidi"/>
          <w:szCs w:val="24"/>
        </w:rPr>
        <w:t xml:space="preserve"> (0.549</w:t>
      </w:r>
      <w:r w:rsidR="00501F60">
        <w:rPr>
          <w:rFonts w:cstheme="majorBidi"/>
          <w:szCs w:val="24"/>
        </w:rPr>
        <w:t>)</w:t>
      </w:r>
      <w:r>
        <w:rPr>
          <w:rFonts w:cstheme="majorBidi"/>
          <w:szCs w:val="24"/>
        </w:rPr>
        <w:t xml:space="preserve"> </w:t>
      </w:r>
      <w:r w:rsidR="005D5803">
        <w:rPr>
          <w:rFonts w:cstheme="majorBidi"/>
          <w:szCs w:val="24"/>
        </w:rPr>
        <w:t xml:space="preserve">as more important attributes of democracy </w:t>
      </w:r>
      <w:r>
        <w:rPr>
          <w:rFonts w:cstheme="majorBidi"/>
          <w:szCs w:val="24"/>
        </w:rPr>
        <w:t xml:space="preserve">too. Low scorers are relatively less likely to see this combination of characteristics in this way. </w:t>
      </w:r>
      <w:r w:rsidR="00E20219">
        <w:rPr>
          <w:rFonts w:cstheme="majorBidi"/>
          <w:szCs w:val="24"/>
        </w:rPr>
        <w:t xml:space="preserve">Of the </w:t>
      </w:r>
      <w:r>
        <w:rPr>
          <w:rFonts w:cstheme="majorBidi"/>
          <w:szCs w:val="24"/>
        </w:rPr>
        <w:t xml:space="preserve">important loadings on this component, </w:t>
      </w:r>
      <w:r w:rsidR="00E20219">
        <w:rPr>
          <w:rFonts w:cstheme="majorBidi"/>
          <w:szCs w:val="24"/>
        </w:rPr>
        <w:t xml:space="preserve">none of them are negative, and </w:t>
      </w:r>
      <w:r>
        <w:rPr>
          <w:rFonts w:cstheme="majorBidi"/>
          <w:szCs w:val="24"/>
        </w:rPr>
        <w:t>so individuals tend to score the variables uniformly high or low, as opposed to a combination.</w:t>
      </w:r>
    </w:p>
    <w:p w14:paraId="684AD64F" w14:textId="6BE138AA" w:rsidR="00976DD5" w:rsidRDefault="00976DD5" w:rsidP="00976DD5">
      <w:pPr>
        <w:rPr>
          <w:rFonts w:cstheme="majorBidi"/>
          <w:szCs w:val="24"/>
        </w:rPr>
      </w:pPr>
      <w:r>
        <w:rPr>
          <w:rFonts w:cstheme="majorBidi"/>
          <w:szCs w:val="24"/>
        </w:rPr>
        <w:t xml:space="preserve">It is obvious that there is a liberal conception of democracy at the heart of this </w:t>
      </w:r>
      <w:r w:rsidR="005D2D40">
        <w:rPr>
          <w:rFonts w:cstheme="majorBidi"/>
          <w:szCs w:val="24"/>
        </w:rPr>
        <w:t>dimension of understanding</w:t>
      </w:r>
      <w:r>
        <w:rPr>
          <w:rFonts w:cstheme="majorBidi"/>
          <w:szCs w:val="24"/>
        </w:rPr>
        <w:t xml:space="preserve">, but it is not a ‘pure’ one: understandings of this nature have strong populist and social elements bolted on to them. The variables that load onto this component are purposely designed to try and tap into three underlying theoretical dimensions of democracy: we have discussed how they represent procedural (liberal), social </w:t>
      </w:r>
      <w:r w:rsidRPr="006E79B0">
        <w:rPr>
          <w:rFonts w:cstheme="majorBidi"/>
          <w:i/>
          <w:szCs w:val="24"/>
        </w:rPr>
        <w:t>and</w:t>
      </w:r>
      <w:r>
        <w:rPr>
          <w:rFonts w:cstheme="majorBidi"/>
          <w:szCs w:val="24"/>
        </w:rPr>
        <w:t xml:space="preserve"> populist views. But while these different approaches might be clear-cut and distinct in the world of political theory, they appear conflated with each other in the public mind. </w:t>
      </w:r>
    </w:p>
    <w:p w14:paraId="1A0C894A" w14:textId="2793E960" w:rsidR="00976DD5" w:rsidRDefault="00976DD5" w:rsidP="00976DD5">
      <w:pPr>
        <w:rPr>
          <w:rFonts w:cstheme="majorBidi"/>
          <w:szCs w:val="24"/>
        </w:rPr>
      </w:pPr>
      <w:r>
        <w:rPr>
          <w:rFonts w:cstheme="majorBidi"/>
          <w:szCs w:val="24"/>
        </w:rPr>
        <w:t xml:space="preserve">Both Welzel </w:t>
      </w:r>
      <w:r w:rsidR="00501F60">
        <w:rPr>
          <w:rFonts w:cstheme="majorBidi"/>
          <w:szCs w:val="24"/>
        </w:rPr>
        <w:fldChar w:fldCharType="begin" w:fldLock="1"/>
      </w:r>
      <w:r w:rsidR="00E63CC6">
        <w:rPr>
          <w:rFonts w:cstheme="majorBidi"/>
          <w:szCs w:val="24"/>
        </w:rPr>
        <w:instrText>ADDIN CSL_CITATION { "citationItems" : [ { "id" : "ITEM-1", "itemData" : { "ISBN" : "9781107034709", "author" : [ { "dropping-particle" : "", "family" : "Welzel", "given" : "Christian", "non-dropping-particle" : "", "parse-names" : false, "suffix" : "" } ], "id" : "ITEM-1", "issued" : { "date-parts" : [ [ "2013" ] ] }, "publisher" : "Cambridge University Press", "publisher-place" : "Cambridge", "title" : "Freedom Rising Human Empowerment and the Quest for Emancipation", "type" : "book" }, "uris" : [ "http://www.mendeley.com/documents/?uuid=a04e4a97-3944-4d8e-ba77-b044563d9c7e" ] }, { "id" : "ITEM-2", "itemData" : { "DOI" : "10.1017/S1468109910000277", "ISSN" : "1468-1099", "author" : [ { "dropping-particle" : "", "family" : "Welzel", "given" : "Christian", "non-dropping-particle" : "", "parse-names" : false, "suffix" : "" } ], "container-title" : "Japanese Journal of Political Science", "id" : "ITEM-2", "issue" : "1", "issued" : { "date-parts" : [ [ "2011" ] ] }, "page" : "1-31", "title" : "The Asian Values Thesis Revisited: Evidence from the World Values Surveys", "type" : "article-journal", "volume" : "12" }, "uris" : [ "http://www.mendeley.com/documents/?uuid=9ea3abe0-b679-4fce-afb2-1b9531e144c5" ] } ], "mendeley" : { "formattedCitation" : "(Welzel, 2011, 2013)", "manualFormatting" : "(2013; 2011)", "plainTextFormattedCitation" : "(Welzel, 2011, 2013)", "previouslyFormattedCitation" : "(Welzel, 2011, 2013)" }, "properties" : { "noteIndex" : 0 }, "schema" : "https://github.com/citation-style-language/schema/raw/master/csl-citation.json" }</w:instrText>
      </w:r>
      <w:r w:rsidR="00501F60">
        <w:rPr>
          <w:rFonts w:cstheme="majorBidi"/>
          <w:szCs w:val="24"/>
        </w:rPr>
        <w:fldChar w:fldCharType="separate"/>
      </w:r>
      <w:r w:rsidR="00501F60" w:rsidRPr="00501F60">
        <w:rPr>
          <w:rFonts w:cstheme="majorBidi"/>
          <w:noProof/>
          <w:szCs w:val="24"/>
        </w:rPr>
        <w:t>(2013; 2011)</w:t>
      </w:r>
      <w:r w:rsidR="00501F60">
        <w:rPr>
          <w:rFonts w:cstheme="majorBidi"/>
          <w:szCs w:val="24"/>
        </w:rPr>
        <w:fldChar w:fldCharType="end"/>
      </w:r>
      <w:r w:rsidR="005D5803">
        <w:rPr>
          <w:rFonts w:cstheme="majorBidi"/>
          <w:szCs w:val="24"/>
        </w:rPr>
        <w:t xml:space="preserve"> </w:t>
      </w:r>
      <w:r>
        <w:rPr>
          <w:rFonts w:cstheme="majorBidi"/>
          <w:szCs w:val="24"/>
        </w:rPr>
        <w:t>and Norris</w:t>
      </w:r>
      <w:r w:rsidR="001031F3">
        <w:rPr>
          <w:rFonts w:cstheme="majorBidi"/>
          <w:szCs w:val="24"/>
        </w:rPr>
        <w:t xml:space="preserve"> </w:t>
      </w:r>
      <w:r w:rsidR="001031F3">
        <w:rPr>
          <w:rFonts w:cstheme="majorBidi"/>
          <w:szCs w:val="24"/>
        </w:rPr>
        <w:fldChar w:fldCharType="begin" w:fldLock="1"/>
      </w:r>
      <w:r w:rsidR="00E63CC6">
        <w:rPr>
          <w:rFonts w:cstheme="majorBidi"/>
          <w:szCs w:val="24"/>
        </w:rPr>
        <w:instrText>ADDIN CSL_CITATION { "citationItems" : [ { "id" : "ITEM-1", "itemData" : { "author" : [ { "dropping-particle" : "", "family" : "Norris", "given" : "P", "non-dropping-particle" : "", "parse-names" : false, "suffix" : "" } ], "id" : "ITEM-1", "issued" : { "date-parts" : [ [ "2011" ] ] }, "publisher" : "Cambridge University Press", "publisher-place" : "Cambridge", "title" : "Democratic Deficit - Critical Citizens Revisited", "type" : "book" }, "uris" : [ "http://www.mendeley.com/documents/?uuid=767d7bfd-72a9-4ffe-ba7a-ed7860204ebd" ] } ], "mendeley" : { "formattedCitation" : "(Norris, 2011)", "manualFormatting" : "(2011)", "plainTextFormattedCitation" : "(Norris, 2011)", "previouslyFormattedCitation" : "(Norris, 2011)" }, "properties" : { "noteIndex" : 0 }, "schema" : "https://github.com/citation-style-language/schema/raw/master/csl-citation.json" }</w:instrText>
      </w:r>
      <w:r w:rsidR="001031F3">
        <w:rPr>
          <w:rFonts w:cstheme="majorBidi"/>
          <w:szCs w:val="24"/>
        </w:rPr>
        <w:fldChar w:fldCharType="separate"/>
      </w:r>
      <w:r w:rsidR="001031F3" w:rsidRPr="001031F3">
        <w:rPr>
          <w:rFonts w:cstheme="majorBidi"/>
          <w:noProof/>
          <w:szCs w:val="24"/>
        </w:rPr>
        <w:t>(2011)</w:t>
      </w:r>
      <w:r w:rsidR="001031F3">
        <w:rPr>
          <w:rFonts w:cstheme="majorBidi"/>
          <w:szCs w:val="24"/>
        </w:rPr>
        <w:fldChar w:fldCharType="end"/>
      </w:r>
      <w:r>
        <w:rPr>
          <w:rFonts w:cstheme="majorBidi"/>
          <w:szCs w:val="24"/>
        </w:rPr>
        <w:t xml:space="preserve"> take the approach that the instrumental variables (all four for Norris, just the populist two for Welzel) have a negative effect on liberal understandings of democracy</w:t>
      </w:r>
      <w:r w:rsidR="00007675">
        <w:rPr>
          <w:rFonts w:cstheme="majorBidi"/>
          <w:szCs w:val="24"/>
        </w:rPr>
        <w:t xml:space="preserve"> (as a reminder, see Figure 2.3 and Figure 2.4 in Chapter 2, Section 2.4</w:t>
      </w:r>
      <w:r w:rsidR="001031F3">
        <w:rPr>
          <w:rFonts w:cstheme="majorBidi"/>
          <w:szCs w:val="24"/>
        </w:rPr>
        <w:t>)</w:t>
      </w:r>
      <w:r>
        <w:rPr>
          <w:rFonts w:cstheme="majorBidi"/>
          <w:szCs w:val="24"/>
        </w:rPr>
        <w:t xml:space="preserve">. This </w:t>
      </w:r>
      <w:r w:rsidR="001031F3">
        <w:rPr>
          <w:rFonts w:cstheme="majorBidi"/>
          <w:szCs w:val="24"/>
        </w:rPr>
        <w:t xml:space="preserve">negative impact </w:t>
      </w:r>
      <w:r>
        <w:rPr>
          <w:rFonts w:cstheme="majorBidi"/>
          <w:szCs w:val="24"/>
        </w:rPr>
        <w:t xml:space="preserve">is </w:t>
      </w:r>
      <w:r w:rsidR="00501F60">
        <w:rPr>
          <w:rFonts w:cstheme="majorBidi"/>
          <w:szCs w:val="24"/>
        </w:rPr>
        <w:t>understood</w:t>
      </w:r>
      <w:r>
        <w:rPr>
          <w:rFonts w:cstheme="majorBidi"/>
          <w:szCs w:val="24"/>
        </w:rPr>
        <w:t xml:space="preserve"> in a literal sense since respondents’ scores for these variables are </w:t>
      </w:r>
      <w:r>
        <w:rPr>
          <w:rFonts w:cstheme="majorBidi"/>
          <w:i/>
          <w:iCs/>
          <w:szCs w:val="24"/>
        </w:rPr>
        <w:t>subtracted</w:t>
      </w:r>
      <w:r>
        <w:rPr>
          <w:rFonts w:cstheme="majorBidi"/>
          <w:szCs w:val="24"/>
        </w:rPr>
        <w:t xml:space="preserve"> from their scores on the liberal scale – so when a respondent scores the instrumental variables highly it </w:t>
      </w:r>
      <w:r w:rsidR="001031F3">
        <w:rPr>
          <w:rFonts w:cstheme="majorBidi"/>
          <w:szCs w:val="24"/>
        </w:rPr>
        <w:t>is understood to damage</w:t>
      </w:r>
      <w:r>
        <w:rPr>
          <w:rFonts w:cstheme="majorBidi"/>
          <w:szCs w:val="24"/>
        </w:rPr>
        <w:t xml:space="preserve"> the credibility of their reporting of a</w:t>
      </w:r>
      <w:r w:rsidR="001031F3">
        <w:rPr>
          <w:rFonts w:cstheme="majorBidi"/>
          <w:szCs w:val="24"/>
        </w:rPr>
        <w:t>ny</w:t>
      </w:r>
      <w:r>
        <w:rPr>
          <w:rFonts w:cstheme="majorBidi"/>
          <w:szCs w:val="24"/>
        </w:rPr>
        <w:t xml:space="preserve"> liberal understanding. </w:t>
      </w:r>
    </w:p>
    <w:p w14:paraId="6DFBA7A2" w14:textId="30DEE27B" w:rsidR="00976DD5" w:rsidRDefault="00976DD5" w:rsidP="00976DD5">
      <w:pPr>
        <w:rPr>
          <w:rFonts w:cstheme="majorBidi"/>
          <w:szCs w:val="24"/>
        </w:rPr>
      </w:pPr>
      <w:r>
        <w:rPr>
          <w:rFonts w:cstheme="majorBidi"/>
          <w:szCs w:val="24"/>
        </w:rPr>
        <w:t xml:space="preserve">However, component one demonstrates that, for individuals, a third of all the variance in the dataset is explained by a component that </w:t>
      </w:r>
      <w:r>
        <w:rPr>
          <w:rFonts w:cstheme="majorBidi"/>
          <w:i/>
          <w:szCs w:val="24"/>
        </w:rPr>
        <w:t>combines</w:t>
      </w:r>
      <w:r>
        <w:rPr>
          <w:rFonts w:cstheme="majorBidi"/>
          <w:szCs w:val="24"/>
        </w:rPr>
        <w:t xml:space="preserve"> liberal, social and populist understandings. In comparison, those who have a fully ‘enlightened’ understanding of democracy according to Norris’s criteria make up 0.07% of the dataset, or 0.3% according to Welzel’s. By setting up the data to identify these select few, we miss the important fact demon</w:t>
      </w:r>
      <w:r w:rsidR="00E20219">
        <w:rPr>
          <w:rFonts w:cstheme="majorBidi"/>
          <w:szCs w:val="24"/>
        </w:rPr>
        <w:t>strated by component one: that this</w:t>
      </w:r>
      <w:r>
        <w:rPr>
          <w:rFonts w:cstheme="majorBidi"/>
          <w:szCs w:val="24"/>
        </w:rPr>
        <w:t xml:space="preserve"> </w:t>
      </w:r>
      <w:r w:rsidR="006E463F">
        <w:rPr>
          <w:rFonts w:cstheme="majorBidi"/>
          <w:szCs w:val="24"/>
        </w:rPr>
        <w:t xml:space="preserve">particular </w:t>
      </w:r>
      <w:r>
        <w:rPr>
          <w:rFonts w:cstheme="majorBidi"/>
          <w:szCs w:val="24"/>
        </w:rPr>
        <w:t>combination of liberal, social and populist characteristics is by far the most common understanding of democracy for citizens at the global level. Citizens are</w:t>
      </w:r>
      <w:r w:rsidR="006E79B0">
        <w:rPr>
          <w:rFonts w:cstheme="majorBidi"/>
          <w:szCs w:val="24"/>
        </w:rPr>
        <w:t xml:space="preserve"> actively</w:t>
      </w:r>
      <w:r>
        <w:rPr>
          <w:rFonts w:cstheme="majorBidi"/>
          <w:szCs w:val="24"/>
        </w:rPr>
        <w:t xml:space="preserve"> picking and choosing </w:t>
      </w:r>
      <w:r w:rsidRPr="006E79B0">
        <w:rPr>
          <w:rFonts w:cstheme="majorBidi"/>
          <w:i/>
          <w:szCs w:val="24"/>
        </w:rPr>
        <w:t>across</w:t>
      </w:r>
      <w:r>
        <w:rPr>
          <w:rFonts w:cstheme="majorBidi"/>
          <w:szCs w:val="24"/>
        </w:rPr>
        <w:t xml:space="preserve"> these characteris</w:t>
      </w:r>
      <w:r w:rsidR="00E20219">
        <w:rPr>
          <w:rFonts w:cstheme="majorBidi"/>
          <w:szCs w:val="24"/>
        </w:rPr>
        <w:t>tics and, compared to the theoretical delineations</w:t>
      </w:r>
      <w:r>
        <w:rPr>
          <w:rFonts w:cstheme="majorBidi"/>
          <w:szCs w:val="24"/>
        </w:rPr>
        <w:t xml:space="preserve">, have something of a </w:t>
      </w:r>
      <w:r w:rsidR="001031F3">
        <w:rPr>
          <w:rFonts w:cstheme="majorBidi"/>
          <w:szCs w:val="24"/>
        </w:rPr>
        <w:t>‘</w:t>
      </w:r>
      <w:r>
        <w:rPr>
          <w:rFonts w:cstheme="majorBidi"/>
          <w:szCs w:val="24"/>
        </w:rPr>
        <w:t>Frankenstein’s monster</w:t>
      </w:r>
      <w:r w:rsidR="001031F3">
        <w:rPr>
          <w:rFonts w:cstheme="majorBidi"/>
          <w:szCs w:val="24"/>
        </w:rPr>
        <w:t>’</w:t>
      </w:r>
      <w:r>
        <w:rPr>
          <w:rFonts w:cstheme="majorBidi"/>
          <w:szCs w:val="24"/>
        </w:rPr>
        <w:t xml:space="preserve"> approach to their understanding of democracy. Democracy as a term is a broad and encompassing idea that includes the idea not just of liberal citizen rights, but also of material improvement in people’s lives, safety and social security. In less literary terms, this dimension of understanding is something of a hodgepodge. </w:t>
      </w:r>
    </w:p>
    <w:p w14:paraId="6A5AE431" w14:textId="0B81B4B4" w:rsidR="00976DD5" w:rsidRDefault="00976DD5" w:rsidP="00976DD5">
      <w:pPr>
        <w:rPr>
          <w:rFonts w:cstheme="majorBidi"/>
          <w:szCs w:val="24"/>
        </w:rPr>
      </w:pPr>
      <w:r>
        <w:rPr>
          <w:rFonts w:cstheme="majorBidi"/>
          <w:szCs w:val="24"/>
        </w:rPr>
        <w:t xml:space="preserve">At first glance, it would be easy to dismiss this mental mapping of democracy as unsophisticated in the sense that, unless something is considerably authoritarian, </w:t>
      </w:r>
      <w:r w:rsidR="00BC4218">
        <w:rPr>
          <w:rFonts w:cstheme="majorBidi"/>
          <w:szCs w:val="24"/>
        </w:rPr>
        <w:t xml:space="preserve">many </w:t>
      </w:r>
      <w:r>
        <w:rPr>
          <w:rFonts w:cstheme="majorBidi"/>
          <w:szCs w:val="24"/>
        </w:rPr>
        <w:t>citizens appear willing to throw it into their conception of democracy, in a</w:t>
      </w:r>
      <w:r w:rsidR="001031F3">
        <w:rPr>
          <w:rFonts w:cstheme="majorBidi"/>
          <w:szCs w:val="24"/>
        </w:rPr>
        <w:t>n</w:t>
      </w:r>
      <w:r>
        <w:rPr>
          <w:rFonts w:cstheme="majorBidi"/>
          <w:szCs w:val="24"/>
        </w:rPr>
        <w:t xml:space="preserve"> ‘everything and the kitchen sink’ type approach. Indeed, </w:t>
      </w:r>
      <w:r w:rsidR="006E463F">
        <w:rPr>
          <w:rFonts w:cstheme="majorBidi"/>
          <w:szCs w:val="24"/>
        </w:rPr>
        <w:t>the approach of previous research</w:t>
      </w:r>
      <w:r>
        <w:rPr>
          <w:rFonts w:cstheme="majorBidi"/>
          <w:szCs w:val="24"/>
        </w:rPr>
        <w:t xml:space="preserve"> to the populist and social characteristics – stripping them away from the score of the liberal characteristics – suggests such a</w:t>
      </w:r>
      <w:r w:rsidR="001031F3">
        <w:rPr>
          <w:rFonts w:cstheme="majorBidi"/>
          <w:szCs w:val="24"/>
        </w:rPr>
        <w:t xml:space="preserve">n approach. </w:t>
      </w:r>
      <w:r>
        <w:rPr>
          <w:rFonts w:cstheme="majorBidi"/>
          <w:szCs w:val="24"/>
        </w:rPr>
        <w:t>However, this is unfair. Arguably such an understanding is, in fact, realistic.</w:t>
      </w:r>
      <w:r w:rsidR="001031F3">
        <w:rPr>
          <w:rFonts w:cstheme="majorBidi"/>
          <w:szCs w:val="24"/>
        </w:rPr>
        <w:t xml:space="preserve"> This finding is valuable in providing a picture of how citizens’ understand democracy, rather than a test score.</w:t>
      </w:r>
    </w:p>
    <w:p w14:paraId="256099F7" w14:textId="3B81B3D4" w:rsidR="005F2784" w:rsidRDefault="005F2784" w:rsidP="00B61535">
      <w:pPr>
        <w:rPr>
          <w:rFonts w:cstheme="majorBidi"/>
          <w:noProof/>
          <w:szCs w:val="24"/>
        </w:rPr>
      </w:pPr>
      <w:r>
        <w:rPr>
          <w:rFonts w:cstheme="majorBidi"/>
          <w:szCs w:val="24"/>
        </w:rPr>
        <w:t xml:space="preserve">In this, my findings support a comment made by </w:t>
      </w:r>
      <w:r w:rsidR="00C320E5">
        <w:rPr>
          <w:rFonts w:cstheme="majorBidi"/>
          <w:szCs w:val="24"/>
        </w:rPr>
        <w:fldChar w:fldCharType="begin" w:fldLock="1"/>
      </w:r>
      <w:r w:rsidR="00E63CC6">
        <w:rPr>
          <w:rFonts w:cstheme="majorBidi"/>
          <w:szCs w:val="24"/>
        </w:rPr>
        <w:instrText>ADDIN CSL_CITATION { "citationItems" : [ { "id" : "ITEM-1", "itemData" : { "DOI" : "10.1353/jod.2008.0010", "author" : [ { "dropping-particle" : "", "family" : "Lagos", "given" : "Marta", "non-dropping-particle" : "", "parse-names" : false, "suffix" : "" } ], "container-title" : "Journal of Democracy", "id" : "ITEM-1", "issue" : "1", "issued" : { "date-parts" : [ [ "2008" ] ] }, "page" : "111-125", "title" : "Latin America's Diversity of Views", "type" : "article-journal", "volume" : "19" }, "uris" : [ "http://www.mendeley.com/documents/?uuid=a6babb21-dc65-4dda-92b6-e5c62e2d997e" ] } ], "mendeley" : { "formattedCitation" : "(Lagos, 2008)", "manualFormatting" : "Lagos (2008)", "plainTextFormattedCitation" : "(Lagos, 2008)", "previouslyFormattedCitation" : "(Lagos, 2008)" }, "properties" : { "noteIndex" : 0 }, "schema" : "https://github.com/citation-style-language/schema/raw/master/csl-citation.json" }</w:instrText>
      </w:r>
      <w:r w:rsidR="00C320E5">
        <w:rPr>
          <w:rFonts w:cstheme="majorBidi"/>
          <w:szCs w:val="24"/>
        </w:rPr>
        <w:fldChar w:fldCharType="separate"/>
      </w:r>
      <w:r w:rsidR="00C320E5" w:rsidRPr="00C320E5">
        <w:rPr>
          <w:rFonts w:cstheme="majorBidi"/>
          <w:noProof/>
          <w:szCs w:val="24"/>
        </w:rPr>
        <w:t xml:space="preserve">Lagos </w:t>
      </w:r>
      <w:r w:rsidR="00C320E5">
        <w:rPr>
          <w:rFonts w:cstheme="majorBidi"/>
          <w:noProof/>
          <w:szCs w:val="24"/>
        </w:rPr>
        <w:t>(</w:t>
      </w:r>
      <w:r w:rsidR="00C320E5" w:rsidRPr="00C320E5">
        <w:rPr>
          <w:rFonts w:cstheme="majorBidi"/>
          <w:noProof/>
          <w:szCs w:val="24"/>
        </w:rPr>
        <w:t>2008)</w:t>
      </w:r>
      <w:r w:rsidR="00C320E5">
        <w:rPr>
          <w:rFonts w:cstheme="majorBidi"/>
          <w:szCs w:val="24"/>
        </w:rPr>
        <w:fldChar w:fldCharType="end"/>
      </w:r>
      <w:r>
        <w:rPr>
          <w:rFonts w:cstheme="majorBidi"/>
          <w:szCs w:val="24"/>
        </w:rPr>
        <w:t xml:space="preserve"> </w:t>
      </w:r>
      <w:r w:rsidR="006E463F">
        <w:rPr>
          <w:rFonts w:cstheme="majorBidi"/>
          <w:szCs w:val="24"/>
        </w:rPr>
        <w:t>regarding</w:t>
      </w:r>
      <w:r>
        <w:rPr>
          <w:rFonts w:cstheme="majorBidi"/>
          <w:szCs w:val="24"/>
        </w:rPr>
        <w:t xml:space="preserve"> the findings of Dalton </w:t>
      </w:r>
      <w:r w:rsidR="00803848" w:rsidRPr="006E463F">
        <w:rPr>
          <w:rFonts w:cstheme="majorBidi"/>
          <w:szCs w:val="24"/>
        </w:rPr>
        <w:t>et al</w:t>
      </w:r>
      <w:r w:rsidRPr="005F2784">
        <w:rPr>
          <w:rFonts w:cstheme="majorBidi"/>
          <w:i/>
          <w:szCs w:val="24"/>
        </w:rPr>
        <w:t>.</w:t>
      </w:r>
      <w:r>
        <w:rPr>
          <w:rFonts w:cstheme="majorBidi"/>
          <w:szCs w:val="24"/>
        </w:rPr>
        <w:t xml:space="preserve"> 2007 (and 2008)</w:t>
      </w:r>
      <w:r w:rsidR="006E463F">
        <w:rPr>
          <w:rFonts w:cstheme="majorBidi"/>
          <w:szCs w:val="24"/>
        </w:rPr>
        <w:t xml:space="preserve"> (</w:t>
      </w:r>
      <w:r w:rsidR="00754B5B">
        <w:rPr>
          <w:rFonts w:cstheme="majorBidi"/>
          <w:szCs w:val="24"/>
        </w:rPr>
        <w:t>a study I discussed in Chapter 2, Section 2.4</w:t>
      </w:r>
      <w:r w:rsidR="006E463F">
        <w:rPr>
          <w:rFonts w:cstheme="majorBidi"/>
          <w:szCs w:val="24"/>
        </w:rPr>
        <w:t>)</w:t>
      </w:r>
      <w:r>
        <w:rPr>
          <w:rFonts w:cstheme="majorBidi"/>
          <w:szCs w:val="24"/>
        </w:rPr>
        <w:t xml:space="preserve"> which</w:t>
      </w:r>
      <w:r w:rsidR="00C320E5">
        <w:rPr>
          <w:rFonts w:cstheme="majorBidi"/>
          <w:szCs w:val="24"/>
        </w:rPr>
        <w:t>, as a reminder,</w:t>
      </w:r>
      <w:r>
        <w:rPr>
          <w:rFonts w:cstheme="majorBidi"/>
          <w:szCs w:val="24"/>
        </w:rPr>
        <w:t xml:space="preserve"> used open-ended questions to examine meanings of democracy and concluded that there was a strong liberal dimension to understandings at a global level with little emphasis on economic characteristics.</w:t>
      </w:r>
      <w:r w:rsidR="00045321">
        <w:rPr>
          <w:rFonts w:cstheme="majorBidi"/>
          <w:szCs w:val="24"/>
        </w:rPr>
        <w:t xml:space="preserve"> From a study in Latin American which showed that citizens understood </w:t>
      </w:r>
      <w:r w:rsidR="003F1576">
        <w:rPr>
          <w:rFonts w:cstheme="majorBidi"/>
          <w:szCs w:val="24"/>
        </w:rPr>
        <w:t xml:space="preserve">the meaning of democracy to involve </w:t>
      </w:r>
      <w:r w:rsidR="00045321">
        <w:rPr>
          <w:rFonts w:cstheme="majorBidi"/>
          <w:szCs w:val="24"/>
        </w:rPr>
        <w:t>redistributive economic policies,</w:t>
      </w:r>
      <w:r>
        <w:rPr>
          <w:rFonts w:cstheme="majorBidi"/>
          <w:szCs w:val="24"/>
        </w:rPr>
        <w:t xml:space="preserve"> </w:t>
      </w:r>
      <w:r w:rsidR="00B61535">
        <w:rPr>
          <w:rFonts w:cstheme="majorBidi"/>
          <w:szCs w:val="24"/>
        </w:rPr>
        <w:fldChar w:fldCharType="begin" w:fldLock="1"/>
      </w:r>
      <w:r w:rsidR="00E63CC6">
        <w:rPr>
          <w:rFonts w:cstheme="majorBidi"/>
          <w:szCs w:val="24"/>
        </w:rPr>
        <w:instrText>ADDIN CSL_CITATION { "citationItems" : [ { "id" : "ITEM-1", "itemData" : { "DOI" : "10.1353/jod.2008.0010", "author" : [ { "dropping-particle" : "", "family" : "Lagos", "given" : "Marta", "non-dropping-particle" : "", "parse-names" : false, "suffix" : "" } ], "container-title" : "Journal of Democracy", "id" : "ITEM-1", "issue" : "1", "issued" : { "date-parts" : [ [ "2008" ] ] }, "page" : "111-125", "title" : "Latin America's Diversity of Views", "type" : "article-journal", "volume" : "19" }, "uris" : [ "http://www.mendeley.com/documents/?uuid=a6babb21-dc65-4dda-92b6-e5c62e2d997e" ] } ], "mendeley" : { "formattedCitation" : "(Lagos, 2008)", "manualFormatting" : "Lagos contended (2008, p.118)", "plainTextFormattedCitation" : "(Lagos, 2008)", "previouslyFormattedCitation" : "(Lagos, 2008)" }, "properties" : { "noteIndex" : 0 }, "schema" : "https://github.com/citation-style-language/schema/raw/master/csl-citation.json" }</w:instrText>
      </w:r>
      <w:r w:rsidR="00B61535">
        <w:rPr>
          <w:rFonts w:cstheme="majorBidi"/>
          <w:szCs w:val="24"/>
        </w:rPr>
        <w:fldChar w:fldCharType="separate"/>
      </w:r>
      <w:r w:rsidR="00B61535" w:rsidRPr="00B61535">
        <w:rPr>
          <w:rFonts w:cstheme="majorBidi"/>
          <w:noProof/>
          <w:szCs w:val="24"/>
        </w:rPr>
        <w:t>Lagos</w:t>
      </w:r>
      <w:r w:rsidR="00045321">
        <w:rPr>
          <w:rFonts w:cstheme="majorBidi"/>
          <w:noProof/>
          <w:szCs w:val="24"/>
        </w:rPr>
        <w:t xml:space="preserve"> contended</w:t>
      </w:r>
      <w:r w:rsidR="00B61535" w:rsidRPr="00B61535">
        <w:rPr>
          <w:rFonts w:cstheme="majorBidi"/>
          <w:noProof/>
          <w:szCs w:val="24"/>
        </w:rPr>
        <w:t xml:space="preserve"> </w:t>
      </w:r>
      <w:r w:rsidR="00B61535">
        <w:rPr>
          <w:rFonts w:cstheme="majorBidi"/>
          <w:noProof/>
          <w:szCs w:val="24"/>
        </w:rPr>
        <w:t>(</w:t>
      </w:r>
      <w:r w:rsidR="00B61535" w:rsidRPr="00B61535">
        <w:rPr>
          <w:rFonts w:cstheme="majorBidi"/>
          <w:noProof/>
          <w:szCs w:val="24"/>
        </w:rPr>
        <w:t>2008</w:t>
      </w:r>
      <w:r w:rsidR="00B61535">
        <w:rPr>
          <w:rFonts w:cstheme="majorBidi"/>
          <w:noProof/>
          <w:szCs w:val="24"/>
        </w:rPr>
        <w:t>, p.118</w:t>
      </w:r>
      <w:r w:rsidR="00B61535" w:rsidRPr="00B61535">
        <w:rPr>
          <w:rFonts w:cstheme="majorBidi"/>
          <w:noProof/>
          <w:szCs w:val="24"/>
        </w:rPr>
        <w:t>)</w:t>
      </w:r>
      <w:r w:rsidR="00B61535">
        <w:rPr>
          <w:rFonts w:cstheme="majorBidi"/>
          <w:szCs w:val="24"/>
        </w:rPr>
        <w:fldChar w:fldCharType="end"/>
      </w:r>
      <w:r w:rsidR="00B61535">
        <w:rPr>
          <w:rFonts w:cstheme="majorBidi"/>
          <w:szCs w:val="24"/>
        </w:rPr>
        <w:t xml:space="preserve"> that</w:t>
      </w:r>
      <w:r w:rsidR="00045321">
        <w:rPr>
          <w:rFonts w:cstheme="majorBidi"/>
          <w:szCs w:val="24"/>
        </w:rPr>
        <w:t xml:space="preserve"> the argument of Dalton </w:t>
      </w:r>
      <w:r w:rsidR="00803848" w:rsidRPr="006E463F">
        <w:rPr>
          <w:rFonts w:cstheme="majorBidi"/>
          <w:szCs w:val="24"/>
        </w:rPr>
        <w:t>et al</w:t>
      </w:r>
      <w:r w:rsidR="00754B5B" w:rsidRPr="006E463F">
        <w:rPr>
          <w:rFonts w:cstheme="majorBidi"/>
          <w:szCs w:val="24"/>
        </w:rPr>
        <w:t>.</w:t>
      </w:r>
      <w:r w:rsidR="00C320E5">
        <w:rPr>
          <w:rFonts w:cstheme="majorBidi"/>
          <w:szCs w:val="24"/>
        </w:rPr>
        <w:t xml:space="preserve"> provided</w:t>
      </w:r>
      <w:r w:rsidR="00B61535">
        <w:rPr>
          <w:rFonts w:cstheme="majorBidi"/>
          <w:szCs w:val="24"/>
        </w:rPr>
        <w:t xml:space="preserve"> a “flawed conclusion – that the economic component has little significance in people’s conception of democracy”. My dimensional analyses provides </w:t>
      </w:r>
      <w:r w:rsidR="00045321">
        <w:rPr>
          <w:rFonts w:cstheme="majorBidi"/>
          <w:szCs w:val="24"/>
        </w:rPr>
        <w:t xml:space="preserve">some </w:t>
      </w:r>
      <w:r w:rsidR="00B61535">
        <w:rPr>
          <w:rFonts w:cstheme="majorBidi"/>
          <w:szCs w:val="24"/>
        </w:rPr>
        <w:t>support for this</w:t>
      </w:r>
      <w:r w:rsidR="00045321">
        <w:rPr>
          <w:rFonts w:cstheme="majorBidi"/>
          <w:szCs w:val="24"/>
        </w:rPr>
        <w:t xml:space="preserve"> suggestion, however, </w:t>
      </w:r>
      <w:r w:rsidR="003F1576">
        <w:rPr>
          <w:rFonts w:cstheme="majorBidi"/>
          <w:szCs w:val="24"/>
        </w:rPr>
        <w:t xml:space="preserve">at the global level, </w:t>
      </w:r>
      <w:r w:rsidR="00045321">
        <w:rPr>
          <w:rFonts w:cstheme="majorBidi"/>
          <w:szCs w:val="24"/>
        </w:rPr>
        <w:t xml:space="preserve">whilst redistribution via taxation </w:t>
      </w:r>
      <w:r w:rsidR="003F1576">
        <w:rPr>
          <w:rFonts w:cstheme="majorBidi"/>
          <w:szCs w:val="24"/>
        </w:rPr>
        <w:t>appears to</w:t>
      </w:r>
      <w:r w:rsidR="00045321">
        <w:rPr>
          <w:rFonts w:cstheme="majorBidi"/>
          <w:szCs w:val="24"/>
        </w:rPr>
        <w:t xml:space="preserve"> have </w:t>
      </w:r>
      <w:r w:rsidR="003F1576">
        <w:rPr>
          <w:rFonts w:cstheme="majorBidi"/>
          <w:szCs w:val="24"/>
        </w:rPr>
        <w:t>a contested level of</w:t>
      </w:r>
      <w:r w:rsidR="00045321">
        <w:rPr>
          <w:rFonts w:cstheme="majorBidi"/>
          <w:szCs w:val="24"/>
        </w:rPr>
        <w:t xml:space="preserve"> importance to citizen understandings of democracy, my study shows that more important is that there is a social security net for the unemployed and, trumping both considerations, </w:t>
      </w:r>
      <w:r w:rsidR="003F1576">
        <w:rPr>
          <w:rFonts w:cstheme="majorBidi"/>
          <w:szCs w:val="24"/>
        </w:rPr>
        <w:t>is the idea that there</w:t>
      </w:r>
      <w:r w:rsidR="00045321">
        <w:rPr>
          <w:rFonts w:cstheme="majorBidi"/>
          <w:szCs w:val="24"/>
        </w:rPr>
        <w:t xml:space="preserve"> </w:t>
      </w:r>
      <w:r w:rsidR="003F1576">
        <w:rPr>
          <w:rFonts w:cstheme="majorBidi"/>
          <w:szCs w:val="24"/>
        </w:rPr>
        <w:t>is a</w:t>
      </w:r>
      <w:r w:rsidR="00045321">
        <w:rPr>
          <w:rFonts w:cstheme="majorBidi"/>
          <w:szCs w:val="24"/>
        </w:rPr>
        <w:t xml:space="preserve"> prospering economy.</w:t>
      </w:r>
      <w:r>
        <w:rPr>
          <w:rFonts w:cstheme="majorBidi"/>
          <w:szCs w:val="24"/>
        </w:rPr>
        <w:t xml:space="preserve"> </w:t>
      </w:r>
    </w:p>
    <w:p w14:paraId="3BF10CD5" w14:textId="3FE9B371" w:rsidR="00976DD5" w:rsidRDefault="00976DD5" w:rsidP="00976DD5">
      <w:pPr>
        <w:rPr>
          <w:rFonts w:cstheme="majorBidi"/>
          <w:szCs w:val="24"/>
        </w:rPr>
      </w:pPr>
      <w:r>
        <w:rPr>
          <w:rFonts w:cstheme="majorBidi"/>
          <w:szCs w:val="24"/>
        </w:rPr>
        <w:t xml:space="preserve">In naming this component, I have chosen the term ‘compound’ understanding of democracy, </w:t>
      </w:r>
      <w:r w:rsidR="006E79B0">
        <w:rPr>
          <w:rFonts w:cstheme="majorBidi"/>
          <w:szCs w:val="24"/>
        </w:rPr>
        <w:t>informed</w:t>
      </w:r>
      <w:r>
        <w:rPr>
          <w:rFonts w:cstheme="majorBidi"/>
          <w:szCs w:val="24"/>
        </w:rPr>
        <w:t xml:space="preserve"> by the description Giovanni Satori uses when explaining </w:t>
      </w:r>
      <w:r w:rsidR="00AB2FC6">
        <w:rPr>
          <w:rFonts w:cstheme="majorBidi"/>
          <w:szCs w:val="24"/>
        </w:rPr>
        <w:t>how</w:t>
      </w:r>
      <w:r>
        <w:rPr>
          <w:rFonts w:cstheme="majorBidi"/>
          <w:szCs w:val="24"/>
        </w:rPr>
        <w:t xml:space="preserve"> the liberal and democratic components of modern liberal democratic systems of government</w:t>
      </w:r>
      <w:r w:rsidR="00AB2FC6">
        <w:rPr>
          <w:rFonts w:cstheme="majorBidi"/>
          <w:szCs w:val="24"/>
        </w:rPr>
        <w:t xml:space="preserve"> intertwine</w:t>
      </w:r>
      <w:r w:rsidR="006E79B0">
        <w:rPr>
          <w:rFonts w:cstheme="majorBidi"/>
          <w:szCs w:val="24"/>
        </w:rPr>
        <w:t>:</w:t>
      </w:r>
    </w:p>
    <w:p w14:paraId="298629D6" w14:textId="4129BFB3" w:rsidR="00976DD5" w:rsidRDefault="00976DD5" w:rsidP="00C320E5">
      <w:pPr>
        <w:pStyle w:val="Quote"/>
        <w:rPr>
          <w:rFonts w:cstheme="majorBidi"/>
        </w:rPr>
      </w:pPr>
      <w:r>
        <w:t>“…the interplay between the liberal and the democratic components of our systems can be portrayed thus: The first is especially concerned with political bondage, individual initiative, and the form of the state; the second is especially sensitive to welfare, equality and social cohesion. What we have then is a composition, a compound.”</w:t>
      </w:r>
      <w:r w:rsidR="006E79B0">
        <w:t xml:space="preserve"> </w:t>
      </w:r>
      <w:r w:rsidR="006E79B0">
        <w:fldChar w:fldCharType="begin" w:fldLock="1"/>
      </w:r>
      <w:r w:rsidR="00E63CC6">
        <w:instrText>ADDIN CSL_CITATION { "citationItems" : [ { "id" : "ITEM-1", "itemData" : { "author" : [ { "dropping-particle" : "", "family" : "Satori", "given" : "Giovanni", "non-dropping-particle" : "", "parse-names" : false, "suffix" : "" } ], "id" : "ITEM-1", "issued" : { "date-parts" : [ [ "1987" ] ] }, "number-of-pages" : "257-542", "publisher" : "Chatham House Publishers", "publisher-place" : "New Jersey", "title" : "Theory of Democracy Revisited (Part Two)", "type" : "book" }, "locator" : "386", "uris" : [ "http://www.mendeley.com/documents/?uuid=1d898ac6-959c-429c-933e-81491cc3a1c9" ] } ], "mendeley" : { "formattedCitation" : "(Satori, 1987b, p. 386)", "manualFormatting" : "(Satori 1987b, p.386, emphasis added)", "plainTextFormattedCitation" : "(Satori, 1987b, p. 386)", "previouslyFormattedCitation" : "(Satori, 1987b, p. 386)" }, "properties" : { "noteIndex" : 0 }, "schema" : "https://github.com/citation-style-language/schema/raw/master/csl-citation.json" }</w:instrText>
      </w:r>
      <w:r w:rsidR="006E79B0">
        <w:fldChar w:fldCharType="separate"/>
      </w:r>
      <w:r w:rsidR="006E79B0" w:rsidRPr="006E79B0">
        <w:rPr>
          <w:noProof/>
        </w:rPr>
        <w:t>(Satori 1987b, p.386</w:t>
      </w:r>
      <w:r w:rsidR="006E79B0">
        <w:rPr>
          <w:noProof/>
        </w:rPr>
        <w:t>, emphasis added</w:t>
      </w:r>
      <w:r w:rsidR="006E79B0" w:rsidRPr="006E79B0">
        <w:rPr>
          <w:noProof/>
        </w:rPr>
        <w:t>)</w:t>
      </w:r>
      <w:r w:rsidR="006E79B0">
        <w:fldChar w:fldCharType="end"/>
      </w:r>
    </w:p>
    <w:p w14:paraId="1AFFC425" w14:textId="77777777" w:rsidR="00976DD5" w:rsidRDefault="00976DD5" w:rsidP="00976DD5">
      <w:pPr>
        <w:tabs>
          <w:tab w:val="left" w:pos="8505"/>
        </w:tabs>
        <w:spacing w:line="240" w:lineRule="auto"/>
        <w:ind w:left="567" w:right="522"/>
        <w:rPr>
          <w:rFonts w:cstheme="majorBidi"/>
          <w:szCs w:val="24"/>
        </w:rPr>
      </w:pPr>
    </w:p>
    <w:p w14:paraId="4DABE127" w14:textId="7E7E3F0F" w:rsidR="00F32D29" w:rsidRDefault="006E463F" w:rsidP="00976DD5">
      <w:pPr>
        <w:rPr>
          <w:rFonts w:cstheme="majorBidi"/>
          <w:szCs w:val="24"/>
        </w:rPr>
      </w:pPr>
      <w:r w:rsidRPr="00CB0798">
        <w:rPr>
          <w:rFonts w:cstheme="majorBidi"/>
          <w:szCs w:val="24"/>
          <w:highlight w:val="darkCyan"/>
        </w:rPr>
        <w:t>The term compound</w:t>
      </w:r>
      <w:r w:rsidR="00720541" w:rsidRPr="00CB0798">
        <w:rPr>
          <w:rFonts w:cstheme="majorBidi"/>
          <w:szCs w:val="24"/>
          <w:highlight w:val="darkCyan"/>
        </w:rPr>
        <w:t>,</w:t>
      </w:r>
      <w:r w:rsidRPr="00CB0798">
        <w:rPr>
          <w:rFonts w:cstheme="majorBidi"/>
          <w:szCs w:val="24"/>
          <w:highlight w:val="darkCyan"/>
        </w:rPr>
        <w:t xml:space="preserve"> then, captures the idea of this fusing together of different theoretical </w:t>
      </w:r>
      <w:r w:rsidR="00F32D29" w:rsidRPr="00CB0798">
        <w:rPr>
          <w:rFonts w:cstheme="majorBidi"/>
          <w:szCs w:val="24"/>
          <w:highlight w:val="darkCyan"/>
        </w:rPr>
        <w:t xml:space="preserve">and philosophical </w:t>
      </w:r>
      <w:r w:rsidRPr="00CB0798">
        <w:rPr>
          <w:rFonts w:cstheme="majorBidi"/>
          <w:szCs w:val="24"/>
          <w:highlight w:val="darkCyan"/>
        </w:rPr>
        <w:t xml:space="preserve">approaches. </w:t>
      </w:r>
      <w:r w:rsidR="0062679D">
        <w:rPr>
          <w:rFonts w:cstheme="majorBidi"/>
          <w:szCs w:val="24"/>
          <w:highlight w:val="darkCyan"/>
        </w:rPr>
        <w:t xml:space="preserve">As discussed in Chapter 2 (pg.46 </w:t>
      </w:r>
      <w:r w:rsidR="00F32D29" w:rsidRPr="00CB0798">
        <w:rPr>
          <w:rFonts w:cstheme="majorBidi"/>
          <w:szCs w:val="24"/>
          <w:highlight w:val="darkCyan"/>
        </w:rPr>
        <w:t xml:space="preserve">footnote), this usage of the term is not the same as it is used by Fabbrini </w:t>
      </w:r>
      <w:r w:rsidR="00F32D29" w:rsidRPr="00CB0798">
        <w:rPr>
          <w:rFonts w:cstheme="majorBidi"/>
          <w:szCs w:val="24"/>
          <w:highlight w:val="darkCyan"/>
        </w:rPr>
        <w:fldChar w:fldCharType="begin" w:fldLock="1"/>
      </w:r>
      <w:r w:rsidR="00E63CC6" w:rsidRPr="00CB0798">
        <w:rPr>
          <w:rFonts w:cstheme="majorBidi"/>
          <w:szCs w:val="24"/>
          <w:highlight w:val="darkCyan"/>
        </w:rPr>
        <w:instrText>ADDIN CSL_CITATION { "citationItems" : [ { "id" : "ITEM-1", "itemData" : { "author" : [ { "dropping-particle" : "", "family" : "Fabbrini", "given" : "S.", "non-dropping-particle" : "", "parse-names" : false, "suffix" : "" } ], "id" : "ITEM-1", "issued" : { "date-parts" : [ [ "2010" ] ] }, "publisher" : "Oxford Scholarship Online", "title" : "Compound democracies: why the United States and Europe are becoming similar", "type" : "book" }, "uris" : [ "http://www.mendeley.com/documents/?uuid=855ba94b-8b6e-43ea-855d-933af166f432" ] }, { "id" : "ITEM-2", "itemData" : { "DOI" : "10.1177/0010414003254181", "ISBN" : "0010-4140", "ISSN" : "0010-4140", "abstract" : "The article discusses political development in the paradigmatic cases of Western Europe and the United States, arguing that the building and consolidation of their democratic nation states follow different paths. Nevertheless, after two centuries of differential political and institutional evolution, at the end of the 20th century, Western Europe, with the deepening of the integration process, has moved in the direction of a supranational organization that has many similarities to the American compound republic. However, the different institutional histories, with their attendant path- dependency effects, will continue to condition the developments of Europe and America, rendering convergence toward uniformity highly unlikely. Notwithstanding institutional transformation occurring in the Western political world, plurality will continue to mark its future. Reprinted by permission of Sage Publications, Inc.", "author" : [ { "dropping-particle" : "", "family" : "Fabbrini", "given" : "S.", "non-dropping-particle" : "", "parse-names" : false, "suffix" : "" } ], "container-title" : "Comparative Political Studies", "id" : "ITEM-2", "issue" : "6", "issued" : { "date-parts" : [ [ "2003" ] ] }, "page" : "653-678", "title" : "A Single Western State Model?: Differential Development and Constrained Convergence of Public Authority Organization in Europe and America", "type" : "article-journal", "volume" : "36" }, "uris" : [ "http://www.mendeley.com/documents/?uuid=b9b66432-e2ce-4e34-9acf-4ffa4fd5493d" ] } ], "mendeley" : { "formattedCitation" : "(Fabbrini, 2003, 2010)", "manualFormatting" : "(2010; 2003)", "plainTextFormattedCitation" : "(Fabbrini, 2003, 2010)", "previouslyFormattedCitation" : "(Fabbrini, 2003, 2010)" }, "properties" : { "noteIndex" : 0 }, "schema" : "https://github.com/citation-style-language/schema/raw/master/csl-citation.json" }</w:instrText>
      </w:r>
      <w:r w:rsidR="00F32D29" w:rsidRPr="00CB0798">
        <w:rPr>
          <w:rFonts w:cstheme="majorBidi"/>
          <w:szCs w:val="24"/>
          <w:highlight w:val="darkCyan"/>
        </w:rPr>
        <w:fldChar w:fldCharType="separate"/>
      </w:r>
      <w:r w:rsidR="00F32D29" w:rsidRPr="00CB0798">
        <w:rPr>
          <w:rFonts w:cstheme="majorBidi"/>
          <w:noProof/>
          <w:szCs w:val="24"/>
          <w:highlight w:val="darkCyan"/>
        </w:rPr>
        <w:t>(2010; 2003)</w:t>
      </w:r>
      <w:r w:rsidR="00F32D29" w:rsidRPr="00CB0798">
        <w:rPr>
          <w:rFonts w:cstheme="majorBidi"/>
          <w:szCs w:val="24"/>
          <w:highlight w:val="darkCyan"/>
        </w:rPr>
        <w:fldChar w:fldCharType="end"/>
      </w:r>
      <w:r w:rsidR="00F32D29" w:rsidRPr="00CB0798">
        <w:rPr>
          <w:rFonts w:cstheme="majorBidi"/>
          <w:szCs w:val="24"/>
          <w:highlight w:val="darkCyan"/>
        </w:rPr>
        <w:t xml:space="preserve">. Fabbrini </w:t>
      </w:r>
      <w:r w:rsidR="00720541" w:rsidRPr="00CB0798">
        <w:rPr>
          <w:rFonts w:cstheme="majorBidi"/>
          <w:szCs w:val="24"/>
          <w:highlight w:val="darkCyan"/>
        </w:rPr>
        <w:t xml:space="preserve">is inspired to use the term after James Madison, and his description in </w:t>
      </w:r>
      <w:r w:rsidR="00720541" w:rsidRPr="00CB0798">
        <w:rPr>
          <w:rFonts w:cstheme="majorBidi"/>
          <w:i/>
          <w:szCs w:val="24"/>
          <w:highlight w:val="darkCyan"/>
        </w:rPr>
        <w:t>Federalist 51</w:t>
      </w:r>
      <w:r w:rsidR="00720541" w:rsidRPr="00CB0798">
        <w:rPr>
          <w:rFonts w:cstheme="majorBidi"/>
          <w:szCs w:val="24"/>
          <w:highlight w:val="darkCyan"/>
        </w:rPr>
        <w:t xml:space="preserve"> of the American Republic as having a fragmented sovereignty with multiple separation of powers, split vertically and horizontally, to produce a system of “multiple and concurrent communities of interest where no one community of interest need deny or dominate the rest” (Ostrom 1987 quoted in Fabbrini 2003, p.667). </w:t>
      </w:r>
      <w:r w:rsidR="00510860" w:rsidRPr="00CB0798">
        <w:rPr>
          <w:rFonts w:cstheme="majorBidi"/>
          <w:szCs w:val="24"/>
          <w:highlight w:val="darkCyan"/>
        </w:rPr>
        <w:t>In my usage of the term I am more interested in how Sartori uses it in the above quote to try and grasp at the interplay of various different theoretical</w:t>
      </w:r>
      <w:r w:rsidR="00066304" w:rsidRPr="00CB0798">
        <w:rPr>
          <w:rFonts w:cstheme="majorBidi"/>
          <w:szCs w:val="24"/>
          <w:highlight w:val="darkCyan"/>
        </w:rPr>
        <w:t xml:space="preserve"> understandings, and</w:t>
      </w:r>
      <w:r w:rsidR="00510860" w:rsidRPr="00CB0798">
        <w:rPr>
          <w:rFonts w:cstheme="majorBidi"/>
          <w:szCs w:val="24"/>
          <w:highlight w:val="darkCyan"/>
        </w:rPr>
        <w:t xml:space="preserve"> </w:t>
      </w:r>
      <w:r w:rsidR="00C34A25" w:rsidRPr="00CB0798">
        <w:rPr>
          <w:rFonts w:cstheme="majorBidi"/>
          <w:szCs w:val="24"/>
          <w:highlight w:val="darkCyan"/>
        </w:rPr>
        <w:t xml:space="preserve">as </w:t>
      </w:r>
      <w:r w:rsidR="00510860" w:rsidRPr="00CB0798">
        <w:rPr>
          <w:rFonts w:cstheme="majorBidi"/>
          <w:szCs w:val="24"/>
          <w:highlight w:val="darkCyan"/>
        </w:rPr>
        <w:t>a compound being understood as something being composed of two or more parts, elements, or ingredients.</w:t>
      </w:r>
    </w:p>
    <w:p w14:paraId="61148B44" w14:textId="024FE25E" w:rsidR="00976DD5" w:rsidRDefault="006E463F" w:rsidP="00976DD5">
      <w:pPr>
        <w:rPr>
          <w:rFonts w:cstheme="majorBidi"/>
          <w:szCs w:val="24"/>
        </w:rPr>
      </w:pPr>
      <w:r>
        <w:rPr>
          <w:rFonts w:cstheme="majorBidi"/>
          <w:szCs w:val="24"/>
        </w:rPr>
        <w:t>In many ways t</w:t>
      </w:r>
      <w:r w:rsidR="00976DD5">
        <w:rPr>
          <w:rFonts w:cstheme="majorBidi"/>
          <w:szCs w:val="24"/>
        </w:rPr>
        <w:t xml:space="preserve">his component can </w:t>
      </w:r>
      <w:r>
        <w:rPr>
          <w:rFonts w:cstheme="majorBidi"/>
          <w:szCs w:val="24"/>
        </w:rPr>
        <w:t>is</w:t>
      </w:r>
      <w:r w:rsidR="00976DD5">
        <w:rPr>
          <w:rFonts w:cstheme="majorBidi"/>
          <w:szCs w:val="24"/>
        </w:rPr>
        <w:t xml:space="preserve"> </w:t>
      </w:r>
      <w:r>
        <w:rPr>
          <w:rFonts w:cstheme="majorBidi"/>
          <w:szCs w:val="24"/>
        </w:rPr>
        <w:t>arguably</w:t>
      </w:r>
      <w:r w:rsidR="006E79B0">
        <w:rPr>
          <w:rFonts w:cstheme="majorBidi"/>
          <w:szCs w:val="24"/>
        </w:rPr>
        <w:t xml:space="preserve"> </w:t>
      </w:r>
      <w:r w:rsidR="00976DD5">
        <w:rPr>
          <w:rFonts w:cstheme="majorBidi"/>
          <w:szCs w:val="24"/>
        </w:rPr>
        <w:t xml:space="preserve">a realistic understanding of what a democratic system in ‘the real world’ (as opposed to a theoretical one) </w:t>
      </w:r>
      <w:r>
        <w:rPr>
          <w:rFonts w:cstheme="majorBidi"/>
          <w:szCs w:val="24"/>
        </w:rPr>
        <w:t>is expected to</w:t>
      </w:r>
      <w:r w:rsidR="00976DD5">
        <w:rPr>
          <w:rFonts w:cstheme="majorBidi"/>
          <w:szCs w:val="24"/>
        </w:rPr>
        <w:t xml:space="preserve"> entail. Liberal characteristics might be at the heart of democracy as a system, but it seems that citizen do not understand them in a vacuum. And why would they? After all, what regime around the world does not try and create growth or provide stability for its citizens? Indeed, rather than being a ‘kitchen-sink’ approach, this component can be understood as an accurate reflection of the complex roles played by liberal democratic systems in the real world, and what they are trying to achieve.</w:t>
      </w:r>
    </w:p>
    <w:p w14:paraId="2B14FF1C" w14:textId="5F8BA6FE" w:rsidR="006E463F" w:rsidRDefault="00976DD5" w:rsidP="00976DD5">
      <w:pPr>
        <w:rPr>
          <w:rFonts w:cstheme="majorBidi"/>
          <w:szCs w:val="24"/>
        </w:rPr>
      </w:pPr>
      <w:r>
        <w:rPr>
          <w:rFonts w:cstheme="majorBidi"/>
          <w:szCs w:val="24"/>
        </w:rPr>
        <w:t xml:space="preserve">I will now discuss this component in detail using country-level averages. Once a PCA has been run, </w:t>
      </w:r>
      <w:r w:rsidR="005D2D40">
        <w:rPr>
          <w:rFonts w:cstheme="majorBidi"/>
          <w:szCs w:val="24"/>
        </w:rPr>
        <w:t>standardized c</w:t>
      </w:r>
      <w:r w:rsidR="00BC4218">
        <w:rPr>
          <w:rFonts w:cstheme="majorBidi"/>
          <w:szCs w:val="24"/>
        </w:rPr>
        <w:t xml:space="preserve">omponent </w:t>
      </w:r>
      <w:r>
        <w:rPr>
          <w:rFonts w:cstheme="majorBidi"/>
          <w:szCs w:val="24"/>
        </w:rPr>
        <w:t xml:space="preserve">scores can be produced </w:t>
      </w:r>
      <w:r w:rsidR="005D2D40">
        <w:rPr>
          <w:rFonts w:cstheme="majorBidi"/>
          <w:szCs w:val="24"/>
        </w:rPr>
        <w:t xml:space="preserve">for </w:t>
      </w:r>
      <w:r>
        <w:rPr>
          <w:rFonts w:cstheme="majorBidi"/>
          <w:szCs w:val="24"/>
        </w:rPr>
        <w:t xml:space="preserve">where each individual in the dataset scores on the </w:t>
      </w:r>
      <w:r w:rsidR="005D2D40">
        <w:rPr>
          <w:rFonts w:cstheme="majorBidi"/>
          <w:szCs w:val="24"/>
        </w:rPr>
        <w:t xml:space="preserve">new </w:t>
      </w:r>
      <w:r>
        <w:rPr>
          <w:rFonts w:cstheme="majorBidi"/>
          <w:szCs w:val="24"/>
        </w:rPr>
        <w:t>component. It makes sense here to examine the country-level averages for two reasons:</w:t>
      </w:r>
    </w:p>
    <w:p w14:paraId="7B73B4D9" w14:textId="403973A7" w:rsidR="00976DD5" w:rsidRDefault="00976DD5" w:rsidP="002032DF">
      <w:pPr>
        <w:pStyle w:val="ListParagraph"/>
        <w:numPr>
          <w:ilvl w:val="0"/>
          <w:numId w:val="6"/>
        </w:numPr>
        <w:rPr>
          <w:szCs w:val="24"/>
        </w:rPr>
      </w:pPr>
      <w:r>
        <w:rPr>
          <w:szCs w:val="24"/>
        </w:rPr>
        <w:t>For all characteristics the country level variance is significant (see Figure 3.4, Chapter 3). This means that across these components country populations are, on average, likely to score considerably differently to each other.</w:t>
      </w:r>
    </w:p>
    <w:p w14:paraId="46F11DE7" w14:textId="77777777" w:rsidR="006E463F" w:rsidRDefault="006E463F" w:rsidP="006E463F">
      <w:pPr>
        <w:pStyle w:val="ListParagraph"/>
        <w:rPr>
          <w:szCs w:val="24"/>
        </w:rPr>
      </w:pPr>
    </w:p>
    <w:p w14:paraId="0587D488" w14:textId="517CDA9D" w:rsidR="006E463F" w:rsidRPr="006E463F" w:rsidRDefault="00976DD5" w:rsidP="006E463F">
      <w:pPr>
        <w:pStyle w:val="ListParagraph"/>
        <w:numPr>
          <w:ilvl w:val="0"/>
          <w:numId w:val="6"/>
        </w:numPr>
        <w:rPr>
          <w:szCs w:val="24"/>
        </w:rPr>
      </w:pPr>
      <w:r>
        <w:rPr>
          <w:szCs w:val="24"/>
        </w:rPr>
        <w:t xml:space="preserve">Furthermore, graphing the </w:t>
      </w:r>
      <w:r w:rsidR="009B5F0C">
        <w:rPr>
          <w:szCs w:val="24"/>
        </w:rPr>
        <w:t>45</w:t>
      </w:r>
      <w:r>
        <w:rPr>
          <w:szCs w:val="24"/>
        </w:rPr>
        <w:t>,000-plus individual mean scores would not be practical. Patterns at the individual</w:t>
      </w:r>
      <w:r w:rsidR="00BC4218">
        <w:rPr>
          <w:szCs w:val="24"/>
        </w:rPr>
        <w:t xml:space="preserve"> </w:t>
      </w:r>
      <w:r>
        <w:rPr>
          <w:szCs w:val="24"/>
        </w:rPr>
        <w:t xml:space="preserve">level are easier to determine when controlling for other characteristics, and will be presented in the results of </w:t>
      </w:r>
      <w:r w:rsidR="006E463F">
        <w:rPr>
          <w:szCs w:val="24"/>
        </w:rPr>
        <w:t xml:space="preserve">regression </w:t>
      </w:r>
      <w:r>
        <w:rPr>
          <w:szCs w:val="24"/>
        </w:rPr>
        <w:t>analyses in Chapter 5.</w:t>
      </w:r>
    </w:p>
    <w:p w14:paraId="45E53474" w14:textId="524E4868" w:rsidR="006E463F" w:rsidRDefault="006E463F" w:rsidP="006E463F">
      <w:pPr>
        <w:rPr>
          <w:rFonts w:cstheme="majorBidi"/>
          <w:szCs w:val="24"/>
        </w:rPr>
      </w:pPr>
      <w:r>
        <w:rPr>
          <w:rFonts w:cstheme="majorBidi"/>
          <w:szCs w:val="24"/>
        </w:rPr>
        <w:t>Since the scores are standardized, 0 is the mean score for the component and so a positive score suggests the country result is above average, whilst a negative score shows it to be below average.</w:t>
      </w:r>
      <w:r w:rsidR="000D2F92">
        <w:rPr>
          <w:rFonts w:cstheme="majorBidi"/>
          <w:szCs w:val="24"/>
        </w:rPr>
        <w:t xml:space="preserve"> T</w:t>
      </w:r>
      <w:r>
        <w:rPr>
          <w:rFonts w:cstheme="majorBidi"/>
          <w:szCs w:val="24"/>
        </w:rPr>
        <w:t>hose at or around 0 do not score differently to the global mean. This includes a considerable mix of countries including Norway, Bulgaria, Chile, South Korea, China and Zambia. This includes long-standing democracies, less-developed countries and states with Communist histories. Therefore it appears that this understanding transcends different types of regimes.</w:t>
      </w:r>
    </w:p>
    <w:p w14:paraId="051A13D8" w14:textId="331162DC" w:rsidR="006E463F" w:rsidRDefault="006E463F" w:rsidP="006E463F">
      <w:pPr>
        <w:rPr>
          <w:rFonts w:cstheme="majorBidi"/>
          <w:szCs w:val="24"/>
        </w:rPr>
      </w:pPr>
      <w:r>
        <w:rPr>
          <w:rFonts w:cstheme="majorBidi"/>
          <w:szCs w:val="24"/>
        </w:rPr>
        <w:t xml:space="preserve">At the top left of </w:t>
      </w:r>
      <w:r w:rsidR="006165AC">
        <w:rPr>
          <w:rFonts w:cstheme="majorBidi"/>
          <w:szCs w:val="24"/>
        </w:rPr>
        <w:t>F</w:t>
      </w:r>
      <w:r>
        <w:rPr>
          <w:rFonts w:cstheme="majorBidi"/>
          <w:szCs w:val="24"/>
        </w:rPr>
        <w:t>igure</w:t>
      </w:r>
      <w:r w:rsidR="006165AC">
        <w:rPr>
          <w:rFonts w:cstheme="majorBidi"/>
          <w:szCs w:val="24"/>
        </w:rPr>
        <w:t xml:space="preserve"> 4.7</w:t>
      </w:r>
      <w:r>
        <w:rPr>
          <w:rFonts w:cstheme="majorBidi"/>
          <w:szCs w:val="24"/>
        </w:rPr>
        <w:t xml:space="preserve"> are those citizen averages from countries which score below average. Malaysia is expected here, considering it was an outlier for a number of variables in the boxplots in the previous chapter (Figure 3.8). Mexico and Indonesia also score lower than average. These three countries score an exceptionally low -0.7 or more, suggested that in relative terms the citizens in these countries see the liberal characteristics in particular, but also the social and populist elements, as much lower in terms of how essential they are to their understanding of democracy.</w:t>
      </w:r>
    </w:p>
    <w:p w14:paraId="43A24A51" w14:textId="55ED13B5" w:rsidR="006165AC" w:rsidRDefault="00857090" w:rsidP="009B5F0C">
      <w:pPr>
        <w:rPr>
          <w:rFonts w:cstheme="majorBidi"/>
          <w:szCs w:val="24"/>
        </w:rPr>
      </w:pPr>
      <w:r>
        <w:rPr>
          <w:rFonts w:cstheme="majorBidi"/>
          <w:szCs w:val="24"/>
        </w:rPr>
        <w:t>At the bottom right of the figure are the above average country results for this compound understanding of democracy. People in these countries tend to score this group of characteristics higher than average: even though the averages are already high for most of them in the component. Again, there is a considerable mix of countries. It is rare to see Georgia, Vietnam, Switzerland and Egypt ranking together in any other list of societal attributes, but here it is clear – citizens from these four countries score this component of democratic understanding – and accordingly its configuration of characteristics – in pract</w:t>
      </w:r>
      <w:r w:rsidR="009B5F0C">
        <w:rPr>
          <w:rFonts w:cstheme="majorBidi"/>
          <w:szCs w:val="24"/>
        </w:rPr>
        <w:t>ically the same way.</w:t>
      </w:r>
    </w:p>
    <w:p w14:paraId="11C0A076" w14:textId="193436BC" w:rsidR="006165AC" w:rsidRPr="00C8607D" w:rsidRDefault="006165AC" w:rsidP="006165AC">
      <w:pPr>
        <w:rPr>
          <w:rFonts w:cstheme="majorBidi"/>
          <w:szCs w:val="24"/>
        </w:rPr>
      </w:pPr>
      <w:r>
        <w:rPr>
          <w:rFonts w:cstheme="majorBidi"/>
          <w:szCs w:val="24"/>
        </w:rPr>
        <w:t xml:space="preserve">Considering the core liberal nature of this dimension of democratic understanding, we might expect that Western countries, and those with a long history of democracy, will score highest, yet from this initial look at the data, this does not appear to be the case. It is difficult to see at this stage what country-level variables and development theories might help explain this component as there are no clear patterns of countries producing the average, high-scoring or low-scoring countries. The following chapter examines this </w:t>
      </w:r>
    </w:p>
    <w:p w14:paraId="2AED6BB2" w14:textId="3CB09CF8" w:rsidR="008E350B" w:rsidRPr="003A5664" w:rsidRDefault="00320A3C" w:rsidP="008E350B">
      <w:pPr>
        <w:pStyle w:val="Caption"/>
        <w:rPr>
          <w:rFonts w:ascii="Segoe UI" w:hAnsi="Segoe UI" w:cs="Segoe UI"/>
          <w:i w:val="0"/>
        </w:rPr>
      </w:pPr>
      <w:bookmarkStart w:id="255" w:name="_Toc494687162"/>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4</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6165AC" w:rsidRPr="003A5664">
        <w:rPr>
          <w:rFonts w:ascii="Segoe UI" w:hAnsi="Segoe UI" w:cs="Segoe UI"/>
          <w:i w:val="0"/>
          <w:noProof/>
        </w:rPr>
        <w:t>7</w:t>
      </w:r>
      <w:r w:rsidR="00994662" w:rsidRPr="003A5664">
        <w:rPr>
          <w:rFonts w:ascii="Segoe UI" w:hAnsi="Segoe UI" w:cs="Segoe UI"/>
          <w:i w:val="0"/>
          <w:noProof/>
        </w:rPr>
        <w:fldChar w:fldCharType="end"/>
      </w:r>
      <w:r w:rsidRPr="003A5664">
        <w:rPr>
          <w:rFonts w:ascii="Segoe UI" w:hAnsi="Segoe UI" w:cs="Segoe UI"/>
          <w:i w:val="0"/>
        </w:rPr>
        <w:t xml:space="preserve"> </w:t>
      </w:r>
      <w:r w:rsidR="006165AC" w:rsidRPr="003A5664">
        <w:rPr>
          <w:rFonts w:ascii="Segoe UI" w:hAnsi="Segoe UI" w:cs="Segoe UI"/>
          <w:i w:val="0"/>
        </w:rPr>
        <w:t>National level scores for c</w:t>
      </w:r>
      <w:r w:rsidRPr="003A5664">
        <w:rPr>
          <w:rFonts w:ascii="Segoe UI" w:hAnsi="Segoe UI" w:cs="Segoe UI"/>
          <w:i w:val="0"/>
        </w:rPr>
        <w:t>o</w:t>
      </w:r>
      <w:r w:rsidR="006165AC" w:rsidRPr="003A5664">
        <w:rPr>
          <w:rFonts w:ascii="Segoe UI" w:hAnsi="Segoe UI" w:cs="Segoe UI"/>
          <w:i w:val="0"/>
        </w:rPr>
        <w:t>mponent o</w:t>
      </w:r>
      <w:r w:rsidRPr="003A5664">
        <w:rPr>
          <w:rFonts w:ascii="Segoe UI" w:hAnsi="Segoe UI" w:cs="Segoe UI"/>
          <w:i w:val="0"/>
        </w:rPr>
        <w:t xml:space="preserve">ne </w:t>
      </w:r>
      <w:r w:rsidR="006165AC" w:rsidRPr="003A5664">
        <w:rPr>
          <w:rFonts w:ascii="Segoe UI" w:hAnsi="Segoe UI" w:cs="Segoe UI"/>
          <w:i w:val="0"/>
        </w:rPr>
        <w:t>(compound understanding of democracy)</w:t>
      </w:r>
      <w:bookmarkEnd w:id="255"/>
    </w:p>
    <w:p w14:paraId="004FABFB" w14:textId="17CE1772" w:rsidR="00C320E5" w:rsidRDefault="00C320E5" w:rsidP="00C320E5">
      <w:pPr>
        <w:jc w:val="center"/>
      </w:pPr>
      <w:r>
        <w:rPr>
          <w:noProof/>
          <w:lang w:eastAsia="zh-CN"/>
        </w:rPr>
        <w:drawing>
          <wp:inline distT="0" distB="0" distL="0" distR="0" wp14:anchorId="089C7F18" wp14:editId="714258A9">
            <wp:extent cx="5038275" cy="83181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6075" cy="8331043"/>
                    </a:xfrm>
                    <a:prstGeom prst="rect">
                      <a:avLst/>
                    </a:prstGeom>
                    <a:noFill/>
                    <a:ln>
                      <a:noFill/>
                    </a:ln>
                  </pic:spPr>
                </pic:pic>
              </a:graphicData>
            </a:graphic>
          </wp:inline>
        </w:drawing>
      </w:r>
    </w:p>
    <w:p w14:paraId="58663858" w14:textId="3B51857D" w:rsidR="003A5664" w:rsidRPr="00C320E5" w:rsidRDefault="003A5664" w:rsidP="003A5664">
      <w:r>
        <w:rPr>
          <w:rFonts w:cstheme="majorBidi"/>
          <w:szCs w:val="24"/>
        </w:rPr>
        <w:t>by using multi-level regression modelling. But in this initial look at the dimensions of democratic understanding, we now move onto the second component.</w:t>
      </w:r>
    </w:p>
    <w:p w14:paraId="598264F5" w14:textId="77777777" w:rsidR="00976DD5" w:rsidRPr="00E223A2" w:rsidRDefault="00976DD5" w:rsidP="00E223A2">
      <w:pPr>
        <w:pStyle w:val="Heading3"/>
      </w:pPr>
      <w:bookmarkStart w:id="256" w:name="_Toc441069228"/>
      <w:r w:rsidRPr="00E223A2">
        <w:t>Component Two: An Authoritarian Understanding of Democracy</w:t>
      </w:r>
      <w:bookmarkEnd w:id="256"/>
    </w:p>
    <w:p w14:paraId="7A67FBC5" w14:textId="5D29AF3A" w:rsidR="00976DD5" w:rsidRDefault="00976DD5" w:rsidP="00976DD5">
      <w:pPr>
        <w:rPr>
          <w:rFonts w:cstheme="majorBidi"/>
          <w:szCs w:val="24"/>
        </w:rPr>
      </w:pPr>
      <w:r>
        <w:rPr>
          <w:rFonts w:cstheme="majorBidi"/>
          <w:szCs w:val="24"/>
        </w:rPr>
        <w:t xml:space="preserve">Component two has half the explanatory power of component </w:t>
      </w:r>
      <w:r w:rsidR="00B81765">
        <w:rPr>
          <w:rFonts w:cstheme="majorBidi"/>
          <w:szCs w:val="24"/>
        </w:rPr>
        <w:t>one</w:t>
      </w:r>
      <w:r>
        <w:rPr>
          <w:rFonts w:cstheme="majorBidi"/>
          <w:szCs w:val="24"/>
        </w:rPr>
        <w:t>, but is far more streamlined in the sense that only two variables load on it strongly: religious authorities and army intervention. Overall, this component lacks the ‘bagginess’ of component one: it is measuring the extent of adherence to an understanding of democracy that is authoritarian. High scores on this dimension would suggest a particular understanding of democracy that is difficult to reconcile with the bulk of democratic theory.</w:t>
      </w:r>
    </w:p>
    <w:p w14:paraId="2EAD9C2D" w14:textId="5CCD9D78" w:rsidR="00513AEF" w:rsidRPr="00857090" w:rsidRDefault="00976DD5" w:rsidP="00513AEF">
      <w:pPr>
        <w:rPr>
          <w:rFonts w:cstheme="majorBidi"/>
          <w:szCs w:val="24"/>
        </w:rPr>
      </w:pPr>
      <w:r>
        <w:rPr>
          <w:rFonts w:cstheme="majorBidi"/>
          <w:szCs w:val="24"/>
        </w:rPr>
        <w:t>In terms of the two authoritarian variables</w:t>
      </w:r>
      <w:r w:rsidR="00A11C4B">
        <w:rPr>
          <w:rFonts w:cstheme="majorBidi"/>
          <w:szCs w:val="24"/>
        </w:rPr>
        <w:t>,</w:t>
      </w:r>
      <w:r>
        <w:rPr>
          <w:rFonts w:cstheme="majorBidi"/>
          <w:szCs w:val="24"/>
        </w:rPr>
        <w:t xml:space="preserve"> perhaps what is of most interest about this component is </w:t>
      </w:r>
      <w:r w:rsidR="0027746A">
        <w:rPr>
          <w:rFonts w:cstheme="majorBidi"/>
          <w:szCs w:val="24"/>
        </w:rPr>
        <w:t xml:space="preserve">that they are loading </w:t>
      </w:r>
      <w:r w:rsidR="0027746A" w:rsidRPr="0027746A">
        <w:rPr>
          <w:rFonts w:cstheme="majorBidi"/>
          <w:i/>
          <w:szCs w:val="24"/>
        </w:rPr>
        <w:t>together</w:t>
      </w:r>
      <w:r>
        <w:rPr>
          <w:rFonts w:cstheme="majorBidi"/>
          <w:szCs w:val="24"/>
        </w:rPr>
        <w:t>.</w:t>
      </w:r>
      <w:r w:rsidR="0027746A">
        <w:rPr>
          <w:rFonts w:cstheme="majorBidi"/>
          <w:szCs w:val="24"/>
        </w:rPr>
        <w:t xml:space="preserve"> As discussed, the alpha coefficient is a little lower here, however, the component still suggests f</w:t>
      </w:r>
      <w:r>
        <w:rPr>
          <w:rFonts w:cstheme="majorBidi"/>
          <w:szCs w:val="24"/>
        </w:rPr>
        <w:t xml:space="preserve">or those with strong positive scores on component two, military and religious authorities are simultaneously understood as essential to democracy. </w:t>
      </w:r>
    </w:p>
    <w:p w14:paraId="554D3DD1" w14:textId="25278A2D" w:rsidR="00513AEF" w:rsidRPr="006165AC" w:rsidRDefault="00857090" w:rsidP="00513AEF">
      <w:pPr>
        <w:rPr>
          <w:rFonts w:cstheme="majorBidi"/>
          <w:szCs w:val="24"/>
        </w:rPr>
      </w:pPr>
      <w:r>
        <w:rPr>
          <w:rFonts w:cstheme="majorBidi"/>
          <w:szCs w:val="24"/>
        </w:rPr>
        <w:t>Chapter 3 outlined why the theory classifies these as anti-democratic – they both concern unaccountable and unrepresentative structures of authority. This presents an interesting puzzle as to who aligns with the component, which will be explored in the following chapter. Additionally, we know from Chapter 3 that these two variables are the most spatially defined of all the characteristics, and so we can expect national variables to play a stronger part in informing this particu</w:t>
      </w:r>
      <w:r w:rsidR="006165AC">
        <w:rPr>
          <w:rFonts w:cstheme="majorBidi"/>
          <w:szCs w:val="24"/>
        </w:rPr>
        <w:t>lar understanding of democracy.</w:t>
      </w:r>
    </w:p>
    <w:p w14:paraId="33B553FC" w14:textId="77777777" w:rsidR="006165AC" w:rsidRDefault="006165AC" w:rsidP="006165AC">
      <w:pPr>
        <w:rPr>
          <w:rFonts w:cstheme="majorBidi"/>
          <w:szCs w:val="24"/>
        </w:rPr>
      </w:pPr>
      <w:r>
        <w:rPr>
          <w:rFonts w:cstheme="majorBidi"/>
          <w:szCs w:val="24"/>
        </w:rPr>
        <w:t xml:space="preserve">This importance of national context is demonstrated by the patterns present in Figure 4.8. As the component consists of only two strongly loading variables, there are also stronger degrees of agreement and disagreement with it. </w:t>
      </w:r>
    </w:p>
    <w:p w14:paraId="4E63B134" w14:textId="77777777" w:rsidR="006165AC" w:rsidRDefault="006165AC" w:rsidP="006165AC">
      <w:pPr>
        <w:rPr>
          <w:rFonts w:cstheme="majorBidi"/>
          <w:szCs w:val="24"/>
        </w:rPr>
      </w:pPr>
      <w:r>
        <w:rPr>
          <w:rFonts w:cstheme="majorBidi"/>
          <w:szCs w:val="24"/>
        </w:rPr>
        <w:t xml:space="preserve">All those countries to the right of the mean line score higher than average on the characteristics contributing to this component. This time, the country patterns are much clearer; there are no Western democracies present. The four the highest scorers – Jordan, Egypt, Iraq and Ethiopia – all have recent histories of dictatorship or authoritarian rule and military junta control. </w:t>
      </w:r>
    </w:p>
    <w:p w14:paraId="754E4294" w14:textId="77777777" w:rsidR="00857090" w:rsidRDefault="00857090" w:rsidP="00146480">
      <w:pPr>
        <w:pStyle w:val="Caption"/>
      </w:pPr>
    </w:p>
    <w:p w14:paraId="5BE751FB" w14:textId="0CB9C4B2" w:rsidR="006165AC" w:rsidRDefault="006165AC" w:rsidP="00146480">
      <w:pPr>
        <w:pStyle w:val="Caption"/>
      </w:pPr>
    </w:p>
    <w:p w14:paraId="77BC0A1D" w14:textId="42BB585F" w:rsidR="00976DD5" w:rsidRPr="003A5664" w:rsidRDefault="00146480" w:rsidP="00146480">
      <w:pPr>
        <w:pStyle w:val="Caption"/>
        <w:rPr>
          <w:rFonts w:ascii="Segoe UI" w:hAnsi="Segoe UI" w:cs="Segoe UI"/>
          <w:i w:val="0"/>
        </w:rPr>
      </w:pPr>
      <w:bookmarkStart w:id="257" w:name="_Toc494687163"/>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4</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6165AC" w:rsidRPr="003A5664">
        <w:rPr>
          <w:rFonts w:ascii="Segoe UI" w:hAnsi="Segoe UI" w:cs="Segoe UI"/>
          <w:i w:val="0"/>
          <w:noProof/>
        </w:rPr>
        <w:t>8</w:t>
      </w:r>
      <w:r w:rsidR="00994662" w:rsidRPr="003A5664">
        <w:rPr>
          <w:rFonts w:ascii="Segoe UI" w:hAnsi="Segoe UI" w:cs="Segoe UI"/>
          <w:i w:val="0"/>
          <w:noProof/>
        </w:rPr>
        <w:fldChar w:fldCharType="end"/>
      </w:r>
      <w:r w:rsidRPr="003A5664">
        <w:rPr>
          <w:rFonts w:ascii="Segoe UI" w:hAnsi="Segoe UI" w:cs="Segoe UI"/>
          <w:i w:val="0"/>
        </w:rPr>
        <w:t xml:space="preserve"> </w:t>
      </w:r>
      <w:bookmarkEnd w:id="257"/>
      <w:r w:rsidR="003A5664" w:rsidRPr="003A5664">
        <w:rPr>
          <w:rFonts w:ascii="Segoe UI" w:hAnsi="Segoe UI" w:cs="Segoe UI"/>
          <w:i w:val="0"/>
        </w:rPr>
        <w:t xml:space="preserve">National level scores for component </w:t>
      </w:r>
      <w:r w:rsidR="003A5664">
        <w:rPr>
          <w:rFonts w:ascii="Segoe UI" w:hAnsi="Segoe UI" w:cs="Segoe UI"/>
          <w:i w:val="0"/>
        </w:rPr>
        <w:t>two</w:t>
      </w:r>
      <w:r w:rsidR="003A5664" w:rsidRPr="003A5664">
        <w:rPr>
          <w:rFonts w:ascii="Segoe UI" w:hAnsi="Segoe UI" w:cs="Segoe UI"/>
          <w:i w:val="0"/>
        </w:rPr>
        <w:t xml:space="preserve"> (</w:t>
      </w:r>
      <w:r w:rsidR="003A5664">
        <w:rPr>
          <w:rFonts w:ascii="Segoe UI" w:hAnsi="Segoe UI" w:cs="Segoe UI"/>
          <w:i w:val="0"/>
        </w:rPr>
        <w:t>authoritarian</w:t>
      </w:r>
      <w:r w:rsidR="003A5664" w:rsidRPr="003A5664">
        <w:rPr>
          <w:rFonts w:ascii="Segoe UI" w:hAnsi="Segoe UI" w:cs="Segoe UI"/>
          <w:i w:val="0"/>
        </w:rPr>
        <w:t xml:space="preserve"> understanding of democracy)</w:t>
      </w:r>
    </w:p>
    <w:p w14:paraId="3E3D5763" w14:textId="6ACAAF84" w:rsidR="00F63649" w:rsidRPr="00F63649" w:rsidRDefault="00F63649" w:rsidP="00F63649">
      <w:pPr>
        <w:jc w:val="center"/>
      </w:pPr>
      <w:r>
        <w:rPr>
          <w:noProof/>
          <w:lang w:eastAsia="zh-CN"/>
        </w:rPr>
        <w:drawing>
          <wp:inline distT="0" distB="0" distL="0" distR="0" wp14:anchorId="7F194AEE" wp14:editId="5748AFA6">
            <wp:extent cx="5057775" cy="83503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8925" cy="8368770"/>
                    </a:xfrm>
                    <a:prstGeom prst="rect">
                      <a:avLst/>
                    </a:prstGeom>
                    <a:noFill/>
                    <a:ln>
                      <a:noFill/>
                    </a:ln>
                  </pic:spPr>
                </pic:pic>
              </a:graphicData>
            </a:graphic>
          </wp:inline>
        </w:drawing>
      </w:r>
    </w:p>
    <w:p w14:paraId="267AF7A7" w14:textId="6A11B479" w:rsidR="00CB245F" w:rsidRDefault="00CB245F" w:rsidP="00CB245F">
      <w:pPr>
        <w:rPr>
          <w:noProof/>
          <w:szCs w:val="24"/>
          <w:lang w:eastAsia="en-GB"/>
        </w:rPr>
      </w:pPr>
      <w:bookmarkStart w:id="258" w:name="_Toc441069229"/>
      <w:r>
        <w:rPr>
          <w:rFonts w:cstheme="majorBidi"/>
          <w:szCs w:val="24"/>
        </w:rPr>
        <w:t>In contrast, of the eight countries whose citizens on average scored lowest on this component, seven are European and the other is Japan. Other countries such as Ghana and Uruguay feature here:  Uruguay has been considered as Free by Freedom House for almost thirty years, and Ghana has a contemporary democratic history stretching back to the early 1990s.</w:t>
      </w:r>
      <w:r w:rsidR="00857090">
        <w:rPr>
          <w:rFonts w:cstheme="majorBidi"/>
          <w:szCs w:val="24"/>
        </w:rPr>
        <w:t xml:space="preserve"> W</w:t>
      </w:r>
      <w:r>
        <w:rPr>
          <w:rFonts w:cstheme="majorBidi"/>
          <w:szCs w:val="24"/>
        </w:rPr>
        <w:t xml:space="preserve">hilst </w:t>
      </w:r>
      <w:r w:rsidR="00094B10">
        <w:rPr>
          <w:rFonts w:cstheme="majorBidi"/>
          <w:szCs w:val="24"/>
        </w:rPr>
        <w:t xml:space="preserve">a </w:t>
      </w:r>
      <w:r>
        <w:rPr>
          <w:rFonts w:cstheme="majorBidi"/>
          <w:szCs w:val="24"/>
        </w:rPr>
        <w:t xml:space="preserve">democratic history might not have helped explain the compound understanding of democracy, it does seem that, on average, it </w:t>
      </w:r>
      <w:r w:rsidR="00A11C4B">
        <w:rPr>
          <w:rFonts w:cstheme="majorBidi"/>
          <w:szCs w:val="24"/>
        </w:rPr>
        <w:t xml:space="preserve">may </w:t>
      </w:r>
      <w:r>
        <w:rPr>
          <w:rFonts w:cstheme="majorBidi"/>
          <w:szCs w:val="24"/>
        </w:rPr>
        <w:t>draw</w:t>
      </w:r>
      <w:r>
        <w:rPr>
          <w:noProof/>
          <w:szCs w:val="24"/>
          <w:lang w:eastAsia="en-GB"/>
        </w:rPr>
        <w:t xml:space="preserve"> people away from the authoritarian understanding.</w:t>
      </w:r>
    </w:p>
    <w:p w14:paraId="7CC4B392" w14:textId="0D35AB17" w:rsidR="00976DD5" w:rsidRDefault="00976DD5" w:rsidP="00976DD5">
      <w:pPr>
        <w:pStyle w:val="Heading3"/>
      </w:pPr>
      <w:r w:rsidRPr="00E223A2">
        <w:t>Summary</w:t>
      </w:r>
      <w:bookmarkEnd w:id="258"/>
    </w:p>
    <w:p w14:paraId="71F6A011" w14:textId="1DFFD4DC" w:rsidR="007762FE" w:rsidRDefault="0019132C" w:rsidP="007762FE">
      <w:pPr>
        <w:rPr>
          <w:lang w:eastAsia="en-GB"/>
        </w:rPr>
      </w:pPr>
      <w:r w:rsidRPr="00E70EB1">
        <w:rPr>
          <w:highlight w:val="yellow"/>
          <w:lang w:eastAsia="en-GB"/>
        </w:rPr>
        <w:t>T</w:t>
      </w:r>
      <w:r w:rsidR="007762FE" w:rsidRPr="00E70EB1">
        <w:rPr>
          <w:highlight w:val="yellow"/>
          <w:lang w:eastAsia="en-GB"/>
        </w:rPr>
        <w:t>his analysis follow</w:t>
      </w:r>
      <w:r w:rsidRPr="00E70EB1">
        <w:rPr>
          <w:highlight w:val="yellow"/>
          <w:lang w:eastAsia="en-GB"/>
        </w:rPr>
        <w:t>s</w:t>
      </w:r>
      <w:r w:rsidR="007762FE" w:rsidRPr="00E70EB1">
        <w:rPr>
          <w:highlight w:val="yellow"/>
          <w:lang w:eastAsia="en-GB"/>
        </w:rPr>
        <w:t xml:space="preserve"> the work of Cho (2015), Dalton</w:t>
      </w:r>
      <w:r w:rsidR="00E70EB1">
        <w:rPr>
          <w:highlight w:val="yellow"/>
          <w:lang w:eastAsia="en-GB"/>
        </w:rPr>
        <w:t xml:space="preserve"> et al</w:t>
      </w:r>
      <w:r w:rsidR="007762FE" w:rsidRPr="00E70EB1">
        <w:rPr>
          <w:highlight w:val="yellow"/>
          <w:lang w:eastAsia="en-GB"/>
        </w:rPr>
        <w:t xml:space="preserve"> (</w:t>
      </w:r>
      <w:r w:rsidR="00E510CC" w:rsidRPr="00E70EB1">
        <w:rPr>
          <w:highlight w:val="yellow"/>
          <w:lang w:eastAsia="en-GB"/>
        </w:rPr>
        <w:t>2008</w:t>
      </w:r>
      <w:r w:rsidR="007762FE" w:rsidRPr="00E70EB1">
        <w:rPr>
          <w:highlight w:val="yellow"/>
          <w:lang w:eastAsia="en-GB"/>
        </w:rPr>
        <w:t>),</w:t>
      </w:r>
      <w:r w:rsidR="00E510CC" w:rsidRPr="00E70EB1">
        <w:rPr>
          <w:highlight w:val="yellow"/>
          <w:lang w:eastAsia="en-GB"/>
        </w:rPr>
        <w:t xml:space="preserve"> </w:t>
      </w:r>
      <w:r w:rsidR="007762FE" w:rsidRPr="00E70EB1">
        <w:rPr>
          <w:highlight w:val="yellow"/>
          <w:lang w:eastAsia="en-GB"/>
        </w:rPr>
        <w:t>Norris (201</w:t>
      </w:r>
      <w:r w:rsidR="00E510CC" w:rsidRPr="00E70EB1">
        <w:rPr>
          <w:highlight w:val="yellow"/>
          <w:lang w:eastAsia="en-GB"/>
        </w:rPr>
        <w:t>1</w:t>
      </w:r>
      <w:r w:rsidR="007762FE" w:rsidRPr="00E70EB1">
        <w:rPr>
          <w:highlight w:val="yellow"/>
          <w:lang w:eastAsia="en-GB"/>
        </w:rPr>
        <w:t xml:space="preserve">) </w:t>
      </w:r>
      <w:r w:rsidR="00E510CC" w:rsidRPr="00E70EB1">
        <w:rPr>
          <w:highlight w:val="yellow"/>
          <w:lang w:eastAsia="en-GB"/>
        </w:rPr>
        <w:t xml:space="preserve">and Welzel (2013) </w:t>
      </w:r>
      <w:r w:rsidR="007762FE" w:rsidRPr="00E70EB1">
        <w:rPr>
          <w:highlight w:val="yellow"/>
          <w:lang w:eastAsia="en-GB"/>
        </w:rPr>
        <w:t xml:space="preserve">who similarly look to global-level understandings of democracy and attempt to explain them. This </w:t>
      </w:r>
      <w:r w:rsidRPr="00E70EB1">
        <w:rPr>
          <w:highlight w:val="yellow"/>
          <w:lang w:eastAsia="en-GB"/>
        </w:rPr>
        <w:t xml:space="preserve">globalised </w:t>
      </w:r>
      <w:r w:rsidR="007762FE" w:rsidRPr="00E70EB1">
        <w:rPr>
          <w:highlight w:val="yellow"/>
          <w:lang w:eastAsia="en-GB"/>
        </w:rPr>
        <w:t>approach allows for a broad analysis to take place that generates these understandings across contexts, but also examine</w:t>
      </w:r>
      <w:r w:rsidR="00E70EB1" w:rsidRPr="00E70EB1">
        <w:rPr>
          <w:highlight w:val="yellow"/>
          <w:lang w:eastAsia="en-GB"/>
        </w:rPr>
        <w:t>s</w:t>
      </w:r>
      <w:r w:rsidR="007762FE" w:rsidRPr="00E70EB1">
        <w:rPr>
          <w:highlight w:val="yellow"/>
          <w:lang w:eastAsia="en-GB"/>
        </w:rPr>
        <w:t xml:space="preserve"> how context shapes such them in a comparative way (see next chapter). This allows for showing how individuals think, but also how these understandings might be considered when aggregated to the country-level and compared. </w:t>
      </w:r>
      <w:r w:rsidR="00E510CC" w:rsidRPr="00E70EB1">
        <w:rPr>
          <w:highlight w:val="yellow"/>
          <w:lang w:eastAsia="en-GB"/>
        </w:rPr>
        <w:t>As shown in the Introduction, there is a globalist notion associated with the idea of democracy with arguments that it is a ‘universal value’ (Sen 1999) with near-universal support (Diamond 2008</w:t>
      </w:r>
      <w:r w:rsidR="006165AC" w:rsidRPr="00E70EB1">
        <w:rPr>
          <w:highlight w:val="yellow"/>
          <w:lang w:eastAsia="en-GB"/>
        </w:rPr>
        <w:t>). Therefore, it makes sense to interrogate</w:t>
      </w:r>
      <w:r w:rsidR="00E510CC" w:rsidRPr="00E70EB1">
        <w:rPr>
          <w:highlight w:val="yellow"/>
          <w:lang w:eastAsia="en-GB"/>
        </w:rPr>
        <w:t xml:space="preserve"> the idea from this angle. Regarding democracy and globalisation</w:t>
      </w:r>
      <w:r w:rsidRPr="00E70EB1">
        <w:rPr>
          <w:highlight w:val="yellow"/>
          <w:lang w:eastAsia="en-GB"/>
        </w:rPr>
        <w:t xml:space="preserve">, Welzel (2013, p. 16) notes how the “global pooling of human experiences and knowledge offers our species the opportunity to liberate intercultural learning from the confines of geography”. I do not go quite this far </w:t>
      </w:r>
      <w:r w:rsidR="00E70EB1">
        <w:rPr>
          <w:highlight w:val="yellow"/>
          <w:lang w:eastAsia="en-GB"/>
        </w:rPr>
        <w:t>as</w:t>
      </w:r>
      <w:r w:rsidRPr="00E70EB1">
        <w:rPr>
          <w:highlight w:val="yellow"/>
          <w:lang w:eastAsia="en-GB"/>
        </w:rPr>
        <w:t xml:space="preserve"> I am interested in how, alongside personal characteristics, geography and context might limit or promote certain understandings of </w:t>
      </w:r>
      <w:r w:rsidR="00BD11B6" w:rsidRPr="00E70EB1">
        <w:rPr>
          <w:highlight w:val="yellow"/>
          <w:lang w:eastAsia="en-GB"/>
        </w:rPr>
        <w:t>democracy</w:t>
      </w:r>
      <w:r w:rsidRPr="00E70EB1">
        <w:rPr>
          <w:highlight w:val="yellow"/>
          <w:lang w:eastAsia="en-GB"/>
        </w:rPr>
        <w:t>.</w:t>
      </w:r>
    </w:p>
    <w:p w14:paraId="2129E565" w14:textId="3048B783" w:rsidR="00976DD5" w:rsidRDefault="00976DD5" w:rsidP="00976DD5">
      <w:pPr>
        <w:rPr>
          <w:rFonts w:cstheme="majorBidi"/>
          <w:szCs w:val="24"/>
        </w:rPr>
      </w:pPr>
      <w:r>
        <w:rPr>
          <w:rFonts w:cstheme="majorBidi"/>
          <w:szCs w:val="24"/>
        </w:rPr>
        <w:t>What, then, can we take overall from these results so far? Firstly, when it comes to understandings of democracy, the largest explanatory component, accounting for a full third of the variance in the data across these variables, is a mixed bag. It has liberal values at its core, but these are combined with pop</w:t>
      </w:r>
      <w:r w:rsidR="00E70EB1">
        <w:rPr>
          <w:rFonts w:cstheme="majorBidi"/>
          <w:szCs w:val="24"/>
        </w:rPr>
        <w:t>ulist and social understandings.</w:t>
      </w:r>
      <w:r>
        <w:rPr>
          <w:rFonts w:cstheme="majorBidi"/>
          <w:szCs w:val="24"/>
        </w:rPr>
        <w:t xml:space="preserve"> I’ve called this a ‘compound’ understanding of democracy. There are no obvious patterns to the country-level scores, suggesting this understanding is widespread and has permeated across societies in many different countries with different contexts, from harsh authoritarian regimes to longstanding democracies. </w:t>
      </w:r>
    </w:p>
    <w:p w14:paraId="5F52292F" w14:textId="6D2E7149" w:rsidR="00976DD5" w:rsidRDefault="00976DD5" w:rsidP="00976DD5">
      <w:pPr>
        <w:rPr>
          <w:rFonts w:cstheme="majorBidi"/>
          <w:szCs w:val="24"/>
        </w:rPr>
      </w:pPr>
      <w:r>
        <w:rPr>
          <w:rFonts w:cstheme="majorBidi"/>
          <w:szCs w:val="24"/>
        </w:rPr>
        <w:t>Secondly however, there are patterns to the</w:t>
      </w:r>
      <w:r w:rsidR="00E70EB1">
        <w:rPr>
          <w:rFonts w:cstheme="majorBidi"/>
          <w:szCs w:val="24"/>
        </w:rPr>
        <w:t xml:space="preserve"> authoritarian</w:t>
      </w:r>
      <w:r>
        <w:rPr>
          <w:rFonts w:cstheme="majorBidi"/>
          <w:szCs w:val="24"/>
        </w:rPr>
        <w:t xml:space="preserve"> understanding of democracy. Here, this component is clearly rejected by democracies. </w:t>
      </w:r>
      <w:r w:rsidR="00E70EB1">
        <w:rPr>
          <w:rFonts w:cstheme="majorBidi"/>
          <w:szCs w:val="24"/>
        </w:rPr>
        <w:t>C</w:t>
      </w:r>
      <w:r>
        <w:rPr>
          <w:rFonts w:cstheme="majorBidi"/>
          <w:szCs w:val="24"/>
        </w:rPr>
        <w:t xml:space="preserve">itizens in democracies do </w:t>
      </w:r>
      <w:r w:rsidR="00E70EB1">
        <w:rPr>
          <w:rFonts w:cstheme="majorBidi"/>
          <w:szCs w:val="24"/>
        </w:rPr>
        <w:t xml:space="preserve">appear to </w:t>
      </w:r>
      <w:r>
        <w:rPr>
          <w:rFonts w:cstheme="majorBidi"/>
          <w:szCs w:val="24"/>
        </w:rPr>
        <w:t xml:space="preserve">share an understanding of what democracy </w:t>
      </w:r>
      <w:r>
        <w:rPr>
          <w:rFonts w:cstheme="majorBidi"/>
          <w:i/>
          <w:iCs/>
          <w:szCs w:val="24"/>
        </w:rPr>
        <w:t>isn’t</w:t>
      </w:r>
      <w:r>
        <w:rPr>
          <w:rFonts w:cstheme="majorBidi"/>
          <w:szCs w:val="24"/>
        </w:rPr>
        <w:t>. In contrast, those living in authoritarian regimes share an understanding of democracy which is not democratic – this is obviously a very important sticking point should citizens from democracies and non-democracies want to communicate and share ideas on governance and democratization.</w:t>
      </w:r>
    </w:p>
    <w:p w14:paraId="6E02D394" w14:textId="00D1D4EC" w:rsidR="00976DD5" w:rsidRDefault="00976DD5" w:rsidP="00976DD5">
      <w:pPr>
        <w:rPr>
          <w:rFonts w:cstheme="majorBidi"/>
          <w:szCs w:val="24"/>
        </w:rPr>
      </w:pPr>
      <w:r>
        <w:rPr>
          <w:rFonts w:cstheme="majorBidi"/>
          <w:szCs w:val="24"/>
        </w:rPr>
        <w:t>This is not where the story ends with these components, however. There is an additional element of a PCA analysis that gives it an extra dimension when compared to using a civics test approach</w:t>
      </w:r>
      <w:r w:rsidR="00A11C4B">
        <w:rPr>
          <w:rFonts w:cstheme="majorBidi"/>
          <w:szCs w:val="24"/>
        </w:rPr>
        <w:t xml:space="preserve"> (and also cluster analysis)</w:t>
      </w:r>
      <w:r>
        <w:rPr>
          <w:rFonts w:cstheme="majorBidi"/>
          <w:szCs w:val="24"/>
        </w:rPr>
        <w:t>. The two components here are derived by PCA to have as little correlation with each other as possible – the point is that they are distinct dimensions of understanding. This means that each individual citizen has a score on each component, and the score on component one does not predict or determine the score on component two (</w:t>
      </w:r>
      <w:r w:rsidR="006E79B0">
        <w:rPr>
          <w:rFonts w:cstheme="majorBidi"/>
          <w:szCs w:val="24"/>
        </w:rPr>
        <w:t>and</w:t>
      </w:r>
      <w:r>
        <w:rPr>
          <w:rFonts w:cstheme="majorBidi"/>
          <w:szCs w:val="24"/>
        </w:rPr>
        <w:t xml:space="preserve"> vice-versa).</w:t>
      </w:r>
      <w:r w:rsidR="000D2F92">
        <w:rPr>
          <w:rFonts w:cstheme="majorBidi"/>
          <w:szCs w:val="24"/>
        </w:rPr>
        <w:t xml:space="preserve"> T</w:t>
      </w:r>
      <w:r>
        <w:rPr>
          <w:rFonts w:cstheme="majorBidi"/>
          <w:szCs w:val="24"/>
        </w:rPr>
        <w:t xml:space="preserve">he final step in this discussion is to look at </w:t>
      </w:r>
      <w:r>
        <w:rPr>
          <w:rFonts w:cstheme="majorBidi"/>
          <w:i/>
          <w:iCs/>
          <w:szCs w:val="24"/>
        </w:rPr>
        <w:t>combinations</w:t>
      </w:r>
      <w:r>
        <w:rPr>
          <w:rFonts w:cstheme="majorBidi"/>
          <w:szCs w:val="24"/>
        </w:rPr>
        <w:t xml:space="preserve"> of scores across the components.  </w:t>
      </w:r>
    </w:p>
    <w:p w14:paraId="7D7BB6FE" w14:textId="77777777" w:rsidR="00976DD5" w:rsidRPr="00577217" w:rsidRDefault="00976DD5" w:rsidP="00577217">
      <w:pPr>
        <w:pStyle w:val="Heading2"/>
      </w:pPr>
      <w:bookmarkStart w:id="259" w:name="_Toc385498316"/>
      <w:bookmarkStart w:id="260" w:name="_Toc376765763"/>
      <w:bookmarkStart w:id="261" w:name="_Toc439171461"/>
      <w:bookmarkStart w:id="262" w:name="_Toc441069031"/>
      <w:bookmarkStart w:id="263" w:name="_Toc441069230"/>
      <w:bookmarkStart w:id="264" w:name="_Toc494034224"/>
      <w:r w:rsidRPr="00577217">
        <w:t xml:space="preserve">4.5 Combining the </w:t>
      </w:r>
      <w:bookmarkEnd w:id="259"/>
      <w:bookmarkEnd w:id="260"/>
      <w:r w:rsidRPr="00577217">
        <w:t>Dimensions of Understanding</w:t>
      </w:r>
      <w:bookmarkEnd w:id="261"/>
      <w:bookmarkEnd w:id="262"/>
      <w:bookmarkEnd w:id="263"/>
      <w:bookmarkEnd w:id="264"/>
    </w:p>
    <w:p w14:paraId="0E283393" w14:textId="5A48B06E" w:rsidR="00976DD5" w:rsidRDefault="00976DD5" w:rsidP="00976DD5">
      <w:pPr>
        <w:rPr>
          <w:rFonts w:cstheme="majorBidi"/>
          <w:szCs w:val="24"/>
        </w:rPr>
      </w:pPr>
      <w:r>
        <w:rPr>
          <w:rFonts w:cstheme="majorBidi"/>
          <w:szCs w:val="24"/>
        </w:rPr>
        <w:t xml:space="preserve">Theoretically, </w:t>
      </w:r>
      <w:r w:rsidR="006E79B0">
        <w:rPr>
          <w:rFonts w:cstheme="majorBidi"/>
          <w:szCs w:val="24"/>
        </w:rPr>
        <w:t xml:space="preserve">we might expect that </w:t>
      </w:r>
      <w:r>
        <w:rPr>
          <w:rFonts w:cstheme="majorBidi"/>
          <w:szCs w:val="24"/>
        </w:rPr>
        <w:t xml:space="preserve">support for the compound understanding </w:t>
      </w:r>
      <w:r w:rsidR="006E79B0">
        <w:rPr>
          <w:rFonts w:cstheme="majorBidi"/>
          <w:szCs w:val="24"/>
        </w:rPr>
        <w:t>would</w:t>
      </w:r>
      <w:r>
        <w:rPr>
          <w:rFonts w:cstheme="majorBidi"/>
          <w:szCs w:val="24"/>
        </w:rPr>
        <w:t xml:space="preserve"> </w:t>
      </w:r>
      <w:r w:rsidR="00DE6EB0">
        <w:rPr>
          <w:rFonts w:cstheme="majorBidi"/>
          <w:szCs w:val="24"/>
        </w:rPr>
        <w:t xml:space="preserve">exclude </w:t>
      </w:r>
      <w:r>
        <w:rPr>
          <w:rFonts w:cstheme="majorBidi"/>
          <w:szCs w:val="24"/>
        </w:rPr>
        <w:t>support for the authoritarian component</w:t>
      </w:r>
      <w:r w:rsidR="00DE6EB0">
        <w:rPr>
          <w:rFonts w:cstheme="majorBidi"/>
          <w:szCs w:val="24"/>
        </w:rPr>
        <w:t xml:space="preserve"> and </w:t>
      </w:r>
      <w:r w:rsidR="00DE6EB0" w:rsidRPr="006E79B0">
        <w:rPr>
          <w:rFonts w:cstheme="majorBidi"/>
          <w:szCs w:val="24"/>
        </w:rPr>
        <w:t>vice-versa</w:t>
      </w:r>
      <w:r w:rsidRPr="006E79B0">
        <w:rPr>
          <w:rFonts w:cstheme="majorBidi"/>
          <w:szCs w:val="24"/>
        </w:rPr>
        <w:t>.</w:t>
      </w:r>
      <w:r>
        <w:rPr>
          <w:rFonts w:cstheme="majorBidi"/>
          <w:szCs w:val="24"/>
        </w:rPr>
        <w:t xml:space="preserve"> However, that is not what we see </w:t>
      </w:r>
      <w:r w:rsidR="00DE6EB0">
        <w:rPr>
          <w:rFonts w:cstheme="majorBidi"/>
          <w:szCs w:val="24"/>
        </w:rPr>
        <w:t xml:space="preserve">in </w:t>
      </w:r>
      <w:r>
        <w:rPr>
          <w:rFonts w:cstheme="majorBidi"/>
          <w:szCs w:val="24"/>
        </w:rPr>
        <w:t>citizens’ answers when the PCA results are combined. Individuals who score highly on the compound component one can also score highly on the authoritarian component two</w:t>
      </w:r>
      <w:r w:rsidR="00DE6EB0">
        <w:rPr>
          <w:rFonts w:cstheme="majorBidi"/>
          <w:szCs w:val="24"/>
        </w:rPr>
        <w:t xml:space="preserve">: </w:t>
      </w:r>
      <w:r>
        <w:rPr>
          <w:rFonts w:cstheme="majorBidi"/>
          <w:szCs w:val="24"/>
        </w:rPr>
        <w:t xml:space="preserve">they are not mutually exclusive. </w:t>
      </w:r>
    </w:p>
    <w:p w14:paraId="79814500" w14:textId="4D7E71A2" w:rsidR="00513AEF" w:rsidRDefault="00E70EB1" w:rsidP="00976DD5">
      <w:pPr>
        <w:rPr>
          <w:rFonts w:cstheme="majorBidi"/>
          <w:szCs w:val="24"/>
        </w:rPr>
      </w:pPr>
      <w:r>
        <w:rPr>
          <w:rFonts w:cstheme="majorBidi"/>
          <w:szCs w:val="24"/>
        </w:rPr>
        <w:t>Figure 4.9</w:t>
      </w:r>
      <w:r w:rsidR="00976DD5">
        <w:rPr>
          <w:rFonts w:cstheme="majorBidi"/>
          <w:szCs w:val="24"/>
        </w:rPr>
        <w:t xml:space="preserve"> (formatted to match the axis of the country-level results shown in Figure 4.</w:t>
      </w:r>
      <w:r>
        <w:rPr>
          <w:rFonts w:cstheme="majorBidi"/>
          <w:szCs w:val="24"/>
        </w:rPr>
        <w:t>10</w:t>
      </w:r>
      <w:r w:rsidR="00976DD5">
        <w:rPr>
          <w:rFonts w:cstheme="majorBidi"/>
          <w:szCs w:val="24"/>
        </w:rPr>
        <w:t xml:space="preserve">) shows percentages of citizens when they are classed into groups who are above and below average for each </w:t>
      </w:r>
      <w:r w:rsidR="001E3FD2">
        <w:rPr>
          <w:rFonts w:cstheme="majorBidi"/>
          <w:szCs w:val="24"/>
        </w:rPr>
        <w:t>conceptualis</w:t>
      </w:r>
      <w:r w:rsidR="00976DD5">
        <w:rPr>
          <w:rFonts w:cstheme="majorBidi"/>
          <w:szCs w:val="24"/>
        </w:rPr>
        <w:t>ation of democracy. Overall, 27% of respondents score above average on both components</w:t>
      </w:r>
      <w:r w:rsidR="000D22B1">
        <w:rPr>
          <w:rFonts w:cstheme="majorBidi"/>
          <w:szCs w:val="24"/>
        </w:rPr>
        <w:t xml:space="preserve">; these are citizens drawing together </w:t>
      </w:r>
      <w:r w:rsidR="000D22B1" w:rsidRPr="00A11C4B">
        <w:rPr>
          <w:rFonts w:cstheme="majorBidi"/>
          <w:i/>
          <w:szCs w:val="24"/>
        </w:rPr>
        <w:t>all</w:t>
      </w:r>
      <w:r w:rsidR="000D22B1">
        <w:rPr>
          <w:rFonts w:cstheme="majorBidi"/>
          <w:szCs w:val="24"/>
        </w:rPr>
        <w:t xml:space="preserve"> the characteristics and seeing them all essential to democracy, which entails a </w:t>
      </w:r>
      <w:r w:rsidR="00A11C4B">
        <w:rPr>
          <w:rFonts w:cstheme="majorBidi"/>
          <w:szCs w:val="24"/>
        </w:rPr>
        <w:t xml:space="preserve">potentially </w:t>
      </w:r>
      <w:r w:rsidR="000D22B1">
        <w:rPr>
          <w:rFonts w:cstheme="majorBidi"/>
          <w:szCs w:val="24"/>
        </w:rPr>
        <w:t>considerable contradiction between for instance, the notion of civil rights and free elections and support for military interventions and religious authoritarianism. 20% score below on both, since this is not an open-question, what this could be picking up is that citizens have other ideas of what democracy means, and they do not think the options are available to them</w:t>
      </w:r>
      <w:r w:rsidR="00A11C4B">
        <w:rPr>
          <w:rFonts w:cstheme="majorBidi"/>
          <w:szCs w:val="24"/>
        </w:rPr>
        <w:t xml:space="preserve"> in these ten characteristics. </w:t>
      </w:r>
      <w:r w:rsidR="00976DD5">
        <w:rPr>
          <w:rFonts w:cstheme="majorBidi"/>
          <w:szCs w:val="24"/>
        </w:rPr>
        <w:t>Further, 31% score above average for the compound understanding but below av</w:t>
      </w:r>
      <w:r w:rsidR="000D22B1">
        <w:rPr>
          <w:rFonts w:cstheme="majorBidi"/>
          <w:szCs w:val="24"/>
        </w:rPr>
        <w:t>erage for the authoritarian one:</w:t>
      </w:r>
      <w:r w:rsidR="00976DD5">
        <w:rPr>
          <w:rFonts w:cstheme="majorBidi"/>
          <w:szCs w:val="24"/>
        </w:rPr>
        <w:t xml:space="preserve"> </w:t>
      </w:r>
      <w:r w:rsidR="000D22B1">
        <w:rPr>
          <w:rFonts w:cstheme="majorBidi"/>
          <w:szCs w:val="24"/>
        </w:rPr>
        <w:t>this</w:t>
      </w:r>
      <w:r w:rsidR="00976DD5">
        <w:rPr>
          <w:rFonts w:cstheme="majorBidi"/>
          <w:szCs w:val="24"/>
        </w:rPr>
        <w:t xml:space="preserve"> is the combination closest to the liberal understanding. Finally, 22% score below average on the compound understanding but above average on the second understanding, and so these citizens demonstrate the most authoritari</w:t>
      </w:r>
      <w:r w:rsidR="00094B10">
        <w:rPr>
          <w:rFonts w:cstheme="majorBidi"/>
          <w:szCs w:val="24"/>
        </w:rPr>
        <w:t xml:space="preserve">an understanding of democracy. </w:t>
      </w:r>
    </w:p>
    <w:p w14:paraId="776E1D18" w14:textId="69D7EF91" w:rsidR="00091F37" w:rsidRPr="003A5664" w:rsidRDefault="00091F37" w:rsidP="00091F37">
      <w:pPr>
        <w:pStyle w:val="Caption"/>
        <w:rPr>
          <w:rFonts w:ascii="Segoe UI" w:hAnsi="Segoe UI" w:cs="Segoe UI"/>
          <w:i w:val="0"/>
        </w:rPr>
      </w:pPr>
      <w:bookmarkStart w:id="265" w:name="_Toc494687164"/>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4</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E70EB1" w:rsidRPr="003A5664">
        <w:rPr>
          <w:rFonts w:ascii="Segoe UI" w:hAnsi="Segoe UI" w:cs="Segoe UI"/>
          <w:i w:val="0"/>
          <w:noProof/>
        </w:rPr>
        <w:t>9</w:t>
      </w:r>
      <w:r w:rsidR="00994662" w:rsidRPr="003A5664">
        <w:rPr>
          <w:rFonts w:ascii="Segoe UI" w:hAnsi="Segoe UI" w:cs="Segoe UI"/>
          <w:i w:val="0"/>
          <w:noProof/>
        </w:rPr>
        <w:fldChar w:fldCharType="end"/>
      </w:r>
      <w:r w:rsidRPr="003A5664">
        <w:rPr>
          <w:rFonts w:ascii="Segoe UI" w:hAnsi="Segoe UI" w:cs="Segoe UI"/>
          <w:i w:val="0"/>
        </w:rPr>
        <w:t xml:space="preserve"> Individual Percentages of Combinations of Democratic Definitions</w:t>
      </w:r>
      <w:bookmarkEnd w:id="265"/>
    </w:p>
    <w:p w14:paraId="0E26E50F" w14:textId="77777777" w:rsidR="00094B10" w:rsidRPr="00094B10" w:rsidRDefault="00094B10" w:rsidP="00094B10"/>
    <w:tbl>
      <w:tblPr>
        <w:tblW w:w="0" w:type="auto"/>
        <w:tblLook w:val="04A0" w:firstRow="1" w:lastRow="0" w:firstColumn="1" w:lastColumn="0" w:noHBand="0" w:noVBand="1"/>
      </w:tblPr>
      <w:tblGrid>
        <w:gridCol w:w="2871"/>
        <w:gridCol w:w="2887"/>
        <w:gridCol w:w="2911"/>
      </w:tblGrid>
      <w:tr w:rsidR="00976DD5" w:rsidRPr="00A11C4B" w14:paraId="79146975" w14:textId="77777777" w:rsidTr="00976DD5">
        <w:tc>
          <w:tcPr>
            <w:tcW w:w="3080" w:type="dxa"/>
            <w:tcBorders>
              <w:top w:val="nil"/>
              <w:left w:val="nil"/>
              <w:bottom w:val="nil"/>
              <w:right w:val="single" w:sz="4" w:space="0" w:color="auto"/>
            </w:tcBorders>
            <w:vAlign w:val="center"/>
            <w:hideMark/>
          </w:tcPr>
          <w:p w14:paraId="565F2BA9" w14:textId="77777777" w:rsidR="00976DD5" w:rsidRPr="00A11C4B" w:rsidRDefault="00976DD5">
            <w:pPr>
              <w:rPr>
                <w:rFonts w:cstheme="majorBidi"/>
                <w:b/>
                <w:bCs/>
                <w:sz w:val="24"/>
                <w:szCs w:val="24"/>
              </w:rPr>
            </w:pPr>
            <w:r w:rsidRPr="00A11C4B">
              <w:rPr>
                <w:rFonts w:cstheme="majorBidi"/>
                <w:b/>
                <w:bCs/>
                <w:sz w:val="24"/>
                <w:szCs w:val="24"/>
              </w:rPr>
              <w:t xml:space="preserve">+Compound </w:t>
            </w:r>
          </w:p>
        </w:tc>
        <w:tc>
          <w:tcPr>
            <w:tcW w:w="3081" w:type="dxa"/>
            <w:tcBorders>
              <w:top w:val="nil"/>
              <w:left w:val="single" w:sz="4" w:space="0" w:color="auto"/>
              <w:bottom w:val="nil"/>
              <w:right w:val="nil"/>
            </w:tcBorders>
            <w:vAlign w:val="center"/>
            <w:hideMark/>
          </w:tcPr>
          <w:p w14:paraId="1C1ADBAC" w14:textId="77777777" w:rsidR="00976DD5" w:rsidRPr="00A11C4B" w:rsidRDefault="00976DD5">
            <w:pPr>
              <w:rPr>
                <w:rFonts w:cstheme="majorBidi"/>
                <w:sz w:val="24"/>
                <w:szCs w:val="24"/>
              </w:rPr>
            </w:pPr>
            <w:r w:rsidRPr="00A11C4B">
              <w:rPr>
                <w:rFonts w:cstheme="majorBidi"/>
                <w:sz w:val="24"/>
                <w:szCs w:val="24"/>
              </w:rPr>
              <w:t>31%</w:t>
            </w:r>
          </w:p>
        </w:tc>
        <w:tc>
          <w:tcPr>
            <w:tcW w:w="3081" w:type="dxa"/>
            <w:vAlign w:val="center"/>
            <w:hideMark/>
          </w:tcPr>
          <w:p w14:paraId="4D6A10D4" w14:textId="77777777" w:rsidR="00976DD5" w:rsidRPr="00A11C4B" w:rsidRDefault="00976DD5">
            <w:pPr>
              <w:rPr>
                <w:rFonts w:cstheme="majorBidi"/>
                <w:sz w:val="24"/>
                <w:szCs w:val="24"/>
              </w:rPr>
            </w:pPr>
            <w:r w:rsidRPr="00A11C4B">
              <w:rPr>
                <w:rFonts w:cstheme="majorBidi"/>
                <w:sz w:val="24"/>
                <w:szCs w:val="24"/>
              </w:rPr>
              <w:t>27%</w:t>
            </w:r>
          </w:p>
        </w:tc>
      </w:tr>
      <w:tr w:rsidR="00976DD5" w:rsidRPr="00A11C4B" w14:paraId="02CD2DDC" w14:textId="77777777" w:rsidTr="00976DD5">
        <w:trPr>
          <w:trHeight w:val="548"/>
        </w:trPr>
        <w:tc>
          <w:tcPr>
            <w:tcW w:w="3080" w:type="dxa"/>
            <w:tcBorders>
              <w:top w:val="nil"/>
              <w:left w:val="nil"/>
              <w:bottom w:val="single" w:sz="4" w:space="0" w:color="auto"/>
              <w:right w:val="single" w:sz="4" w:space="0" w:color="auto"/>
            </w:tcBorders>
            <w:vAlign w:val="center"/>
            <w:hideMark/>
          </w:tcPr>
          <w:p w14:paraId="1F1EA28B" w14:textId="77777777" w:rsidR="00976DD5" w:rsidRPr="00A11C4B" w:rsidRDefault="00976DD5">
            <w:pPr>
              <w:rPr>
                <w:rFonts w:cstheme="majorBidi"/>
                <w:b/>
                <w:bCs/>
                <w:sz w:val="24"/>
                <w:szCs w:val="24"/>
              </w:rPr>
            </w:pPr>
            <w:r w:rsidRPr="00A11C4B">
              <w:rPr>
                <w:b/>
                <w:bCs/>
                <w:sz w:val="24"/>
                <w:szCs w:val="24"/>
              </w:rPr>
              <w:t xml:space="preserve">-Compound </w:t>
            </w:r>
          </w:p>
        </w:tc>
        <w:tc>
          <w:tcPr>
            <w:tcW w:w="3081" w:type="dxa"/>
            <w:tcBorders>
              <w:top w:val="nil"/>
              <w:left w:val="single" w:sz="4" w:space="0" w:color="auto"/>
              <w:bottom w:val="single" w:sz="4" w:space="0" w:color="auto"/>
              <w:right w:val="nil"/>
            </w:tcBorders>
            <w:vAlign w:val="center"/>
            <w:hideMark/>
          </w:tcPr>
          <w:p w14:paraId="754E7DD8" w14:textId="77777777" w:rsidR="00976DD5" w:rsidRPr="00A11C4B" w:rsidRDefault="00976DD5">
            <w:pPr>
              <w:rPr>
                <w:rFonts w:cstheme="majorBidi"/>
                <w:sz w:val="24"/>
                <w:szCs w:val="24"/>
              </w:rPr>
            </w:pPr>
            <w:r w:rsidRPr="00A11C4B">
              <w:rPr>
                <w:rFonts w:cstheme="majorBidi"/>
                <w:sz w:val="24"/>
                <w:szCs w:val="24"/>
              </w:rPr>
              <w:t>20%</w:t>
            </w:r>
          </w:p>
        </w:tc>
        <w:tc>
          <w:tcPr>
            <w:tcW w:w="3081" w:type="dxa"/>
            <w:tcBorders>
              <w:top w:val="nil"/>
              <w:left w:val="nil"/>
              <w:bottom w:val="single" w:sz="4" w:space="0" w:color="auto"/>
              <w:right w:val="nil"/>
            </w:tcBorders>
            <w:vAlign w:val="center"/>
            <w:hideMark/>
          </w:tcPr>
          <w:p w14:paraId="5F3EAF05" w14:textId="77777777" w:rsidR="00976DD5" w:rsidRPr="00A11C4B" w:rsidRDefault="00976DD5">
            <w:pPr>
              <w:rPr>
                <w:rFonts w:cstheme="majorBidi"/>
                <w:sz w:val="24"/>
                <w:szCs w:val="24"/>
              </w:rPr>
            </w:pPr>
            <w:r w:rsidRPr="00A11C4B">
              <w:rPr>
                <w:rFonts w:cstheme="majorBidi"/>
                <w:sz w:val="24"/>
                <w:szCs w:val="24"/>
              </w:rPr>
              <w:t>22%</w:t>
            </w:r>
          </w:p>
        </w:tc>
      </w:tr>
      <w:tr w:rsidR="00976DD5" w:rsidRPr="00A11C4B" w14:paraId="0D4D4A0F" w14:textId="77777777" w:rsidTr="00976DD5">
        <w:tc>
          <w:tcPr>
            <w:tcW w:w="3080" w:type="dxa"/>
            <w:tcBorders>
              <w:top w:val="single" w:sz="4" w:space="0" w:color="auto"/>
              <w:left w:val="nil"/>
              <w:bottom w:val="nil"/>
              <w:right w:val="single" w:sz="4" w:space="0" w:color="auto"/>
            </w:tcBorders>
            <w:vAlign w:val="center"/>
          </w:tcPr>
          <w:p w14:paraId="1464F8A3" w14:textId="77777777" w:rsidR="00976DD5" w:rsidRPr="00A11C4B" w:rsidRDefault="00976DD5">
            <w:pPr>
              <w:rPr>
                <w:sz w:val="24"/>
                <w:szCs w:val="24"/>
              </w:rPr>
            </w:pPr>
          </w:p>
        </w:tc>
        <w:tc>
          <w:tcPr>
            <w:tcW w:w="3081" w:type="dxa"/>
            <w:tcBorders>
              <w:top w:val="single" w:sz="4" w:space="0" w:color="auto"/>
              <w:left w:val="single" w:sz="4" w:space="0" w:color="auto"/>
              <w:bottom w:val="nil"/>
              <w:right w:val="nil"/>
            </w:tcBorders>
            <w:vAlign w:val="center"/>
            <w:hideMark/>
          </w:tcPr>
          <w:p w14:paraId="00A3430A" w14:textId="77777777" w:rsidR="00976DD5" w:rsidRPr="00A11C4B" w:rsidRDefault="00976DD5">
            <w:pPr>
              <w:rPr>
                <w:rFonts w:cstheme="majorBidi"/>
                <w:b/>
                <w:bCs/>
                <w:sz w:val="24"/>
                <w:szCs w:val="24"/>
              </w:rPr>
            </w:pPr>
            <w:r w:rsidRPr="00A11C4B">
              <w:rPr>
                <w:rFonts w:cstheme="majorBidi"/>
                <w:b/>
                <w:bCs/>
                <w:sz w:val="24"/>
                <w:szCs w:val="24"/>
              </w:rPr>
              <w:t xml:space="preserve">- Authoritarian  </w:t>
            </w:r>
          </w:p>
        </w:tc>
        <w:tc>
          <w:tcPr>
            <w:tcW w:w="3081" w:type="dxa"/>
            <w:tcBorders>
              <w:top w:val="single" w:sz="4" w:space="0" w:color="auto"/>
              <w:left w:val="nil"/>
              <w:bottom w:val="nil"/>
              <w:right w:val="nil"/>
            </w:tcBorders>
            <w:vAlign w:val="center"/>
            <w:hideMark/>
          </w:tcPr>
          <w:p w14:paraId="124F7522" w14:textId="77777777" w:rsidR="00976DD5" w:rsidRPr="00A11C4B" w:rsidRDefault="00976DD5">
            <w:pPr>
              <w:rPr>
                <w:rFonts w:cstheme="majorBidi"/>
                <w:b/>
                <w:bCs/>
                <w:sz w:val="24"/>
                <w:szCs w:val="24"/>
              </w:rPr>
            </w:pPr>
            <w:r w:rsidRPr="00A11C4B">
              <w:rPr>
                <w:b/>
                <w:bCs/>
                <w:sz w:val="24"/>
                <w:szCs w:val="24"/>
              </w:rPr>
              <w:t>+Authoritarian</w:t>
            </w:r>
          </w:p>
        </w:tc>
      </w:tr>
    </w:tbl>
    <w:p w14:paraId="4A1ABB4D" w14:textId="77777777" w:rsidR="00A11C4B" w:rsidRDefault="00A11C4B" w:rsidP="00094B10">
      <w:pPr>
        <w:pStyle w:val="ListParagraph"/>
        <w:ind w:left="0"/>
        <w:rPr>
          <w:szCs w:val="24"/>
        </w:rPr>
      </w:pPr>
    </w:p>
    <w:p w14:paraId="21F45165" w14:textId="543EB4B1" w:rsidR="005F7A5C" w:rsidRDefault="00857090" w:rsidP="00094B10">
      <w:pPr>
        <w:pStyle w:val="ListParagraph"/>
        <w:ind w:left="0"/>
        <w:rPr>
          <w:szCs w:val="24"/>
        </w:rPr>
      </w:pPr>
      <w:r>
        <w:rPr>
          <w:szCs w:val="24"/>
        </w:rPr>
        <w:t>N</w:t>
      </w:r>
      <w:r w:rsidR="00976DD5">
        <w:rPr>
          <w:szCs w:val="24"/>
        </w:rPr>
        <w:t>ot only is there limited evidence for a clearly defined liberal definition of democracy from the PCA results, but, comparatively, 49% of respondents understand democracy as having some authoritarian characteristics</w:t>
      </w:r>
      <w:r w:rsidR="007A7071">
        <w:rPr>
          <w:szCs w:val="24"/>
        </w:rPr>
        <w:t xml:space="preserve"> (the total of the two right-hand columns)</w:t>
      </w:r>
      <w:r w:rsidR="00976DD5">
        <w:rPr>
          <w:szCs w:val="24"/>
        </w:rPr>
        <w:t xml:space="preserve">. In terms of liberal democratic theory, the group having a below average score </w:t>
      </w:r>
      <w:r w:rsidR="00C810B6">
        <w:rPr>
          <w:szCs w:val="24"/>
        </w:rPr>
        <w:t xml:space="preserve">on </w:t>
      </w:r>
      <w:r w:rsidR="00976DD5">
        <w:rPr>
          <w:szCs w:val="24"/>
        </w:rPr>
        <w:t xml:space="preserve">the compound understanding </w:t>
      </w:r>
      <w:r w:rsidR="008932E8">
        <w:rPr>
          <w:szCs w:val="24"/>
        </w:rPr>
        <w:t>plus</w:t>
      </w:r>
      <w:r w:rsidR="00976DD5">
        <w:rPr>
          <w:szCs w:val="24"/>
        </w:rPr>
        <w:t xml:space="preserve"> an above average score on the authoritarian understanding are the most problematic. These individuals are </w:t>
      </w:r>
      <w:r w:rsidR="00484FF2">
        <w:rPr>
          <w:szCs w:val="24"/>
        </w:rPr>
        <w:t xml:space="preserve">relatively </w:t>
      </w:r>
      <w:r w:rsidR="00976DD5">
        <w:rPr>
          <w:szCs w:val="24"/>
        </w:rPr>
        <w:t>more likely to believe that religious and military leaders should have power within a democratic system, and are relatively less in interested in liberal democratic characteristics such as elections and civil rights. Remember, this group, making up a fifth of respondents, could be talking</w:t>
      </w:r>
      <w:r w:rsidR="008932E8">
        <w:rPr>
          <w:szCs w:val="24"/>
        </w:rPr>
        <w:t xml:space="preserve"> about the same term, ‘democracy’, with</w:t>
      </w:r>
      <w:r w:rsidR="00976DD5">
        <w:rPr>
          <w:szCs w:val="24"/>
        </w:rPr>
        <w:t xml:space="preserve"> a group who rejects a milita</w:t>
      </w:r>
      <w:r w:rsidR="008932E8">
        <w:rPr>
          <w:szCs w:val="24"/>
        </w:rPr>
        <w:t>ry role in democracy completely. O</w:t>
      </w:r>
      <w:r w:rsidR="00976DD5">
        <w:rPr>
          <w:szCs w:val="24"/>
        </w:rPr>
        <w:t>r they could be reading a newspaper article discussing developments in post-revolution Egypt</w:t>
      </w:r>
      <w:r w:rsidR="008932E8">
        <w:rPr>
          <w:szCs w:val="24"/>
        </w:rPr>
        <w:t>, again, all bandying around the term upon which they have quite fundamentally different conceptions.</w:t>
      </w:r>
    </w:p>
    <w:p w14:paraId="4A7ADD18" w14:textId="77777777" w:rsidR="005F7A5C" w:rsidRDefault="005F7A5C" w:rsidP="005F7A5C">
      <w:pPr>
        <w:spacing w:before="0" w:after="200" w:line="276" w:lineRule="auto"/>
        <w:rPr>
          <w:rFonts w:cstheme="majorBidi"/>
          <w:szCs w:val="24"/>
        </w:rPr>
        <w:sectPr w:rsidR="005F7A5C" w:rsidSect="0052597C">
          <w:pgSz w:w="11906" w:h="16838"/>
          <w:pgMar w:top="1440" w:right="1440" w:bottom="1440" w:left="1440" w:header="720" w:footer="720" w:gutter="357"/>
          <w:cols w:space="720"/>
        </w:sectPr>
      </w:pPr>
    </w:p>
    <w:p w14:paraId="044E36C0" w14:textId="6723E335" w:rsidR="005F7A5C" w:rsidRPr="003A5664" w:rsidRDefault="005F7A5C" w:rsidP="005F7A5C">
      <w:pPr>
        <w:pStyle w:val="Caption"/>
        <w:rPr>
          <w:rFonts w:ascii="Segoe UI" w:hAnsi="Segoe UI" w:cs="Segoe UI"/>
          <w:b w:val="0"/>
          <w:i w:val="0"/>
          <w:iCs/>
          <w:szCs w:val="24"/>
        </w:rPr>
      </w:pPr>
      <w:bookmarkStart w:id="266" w:name="_Toc494687165"/>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4</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E70EB1" w:rsidRPr="003A5664">
        <w:rPr>
          <w:rFonts w:ascii="Segoe UI" w:hAnsi="Segoe UI" w:cs="Segoe UI"/>
          <w:i w:val="0"/>
          <w:noProof/>
        </w:rPr>
        <w:t>10</w:t>
      </w:r>
      <w:r w:rsidR="00994662" w:rsidRPr="003A5664">
        <w:rPr>
          <w:rFonts w:ascii="Segoe UI" w:hAnsi="Segoe UI" w:cs="Segoe UI"/>
          <w:i w:val="0"/>
          <w:noProof/>
        </w:rPr>
        <w:fldChar w:fldCharType="end"/>
      </w:r>
      <w:r w:rsidRPr="003A5664">
        <w:rPr>
          <w:rFonts w:ascii="Segoe UI" w:hAnsi="Segoe UI" w:cs="Segoe UI"/>
          <w:i w:val="0"/>
        </w:rPr>
        <w:t xml:space="preserve"> Country Level Results </w:t>
      </w:r>
      <w:r w:rsidR="00E70EB1" w:rsidRPr="003A5664">
        <w:rPr>
          <w:rFonts w:ascii="Segoe UI" w:hAnsi="Segoe UI" w:cs="Segoe UI"/>
          <w:i w:val="0"/>
        </w:rPr>
        <w:t>for both</w:t>
      </w:r>
      <w:r w:rsidRPr="003A5664">
        <w:rPr>
          <w:rFonts w:ascii="Segoe UI" w:hAnsi="Segoe UI" w:cs="Segoe UI"/>
          <w:i w:val="0"/>
        </w:rPr>
        <w:t xml:space="preserve"> PCA Components</w:t>
      </w:r>
      <w:bookmarkEnd w:id="266"/>
    </w:p>
    <w:p w14:paraId="5847F772" w14:textId="388F332E" w:rsidR="005F7A5C" w:rsidRDefault="00463E02" w:rsidP="00275702">
      <w:pPr>
        <w:spacing w:before="0" w:after="200" w:line="276" w:lineRule="auto"/>
        <w:jc w:val="center"/>
        <w:rPr>
          <w:rFonts w:cstheme="majorBidi"/>
          <w:szCs w:val="24"/>
        </w:rPr>
        <w:sectPr w:rsidR="005F7A5C" w:rsidSect="0052597C">
          <w:pgSz w:w="16838" w:h="11906" w:orient="landscape"/>
          <w:pgMar w:top="1440" w:right="1440" w:bottom="1440" w:left="1440" w:header="720" w:footer="720" w:gutter="357"/>
          <w:cols w:space="720"/>
          <w:docGrid w:linePitch="299"/>
        </w:sectPr>
      </w:pPr>
      <w:r>
        <w:rPr>
          <w:rFonts w:cstheme="majorBidi"/>
          <w:noProof/>
          <w:szCs w:val="24"/>
          <w:lang w:eastAsia="zh-CN"/>
        </w:rPr>
        <w:drawing>
          <wp:inline distT="0" distB="0" distL="0" distR="0" wp14:anchorId="68AB4626" wp14:editId="1860B3D7">
            <wp:extent cx="7141780" cy="5197686"/>
            <wp:effectExtent l="0" t="0" r="254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 1 by Pca 2 graph.png"/>
                    <pic:cNvPicPr/>
                  </pic:nvPicPr>
                  <pic:blipFill>
                    <a:blip r:embed="rId33">
                      <a:extLst>
                        <a:ext uri="{28A0092B-C50C-407E-A947-70E740481C1C}">
                          <a14:useLocalDpi xmlns:a14="http://schemas.microsoft.com/office/drawing/2010/main" val="0"/>
                        </a:ext>
                      </a:extLst>
                    </a:blip>
                    <a:stretch>
                      <a:fillRect/>
                    </a:stretch>
                  </pic:blipFill>
                  <pic:spPr>
                    <a:xfrm>
                      <a:off x="0" y="0"/>
                      <a:ext cx="7140233" cy="5196560"/>
                    </a:xfrm>
                    <a:prstGeom prst="rect">
                      <a:avLst/>
                    </a:prstGeom>
                  </pic:spPr>
                </pic:pic>
              </a:graphicData>
            </a:graphic>
          </wp:inline>
        </w:drawing>
      </w:r>
    </w:p>
    <w:p w14:paraId="0680844F" w14:textId="146CCDCA" w:rsidR="00E70EB1" w:rsidRPr="00C0785A" w:rsidRDefault="00E70EB1" w:rsidP="00E70EB1">
      <w:pPr>
        <w:rPr>
          <w:szCs w:val="24"/>
        </w:rPr>
      </w:pPr>
      <w:r>
        <w:rPr>
          <w:szCs w:val="24"/>
        </w:rPr>
        <w:t>Figure 4.10</w:t>
      </w:r>
      <w:r w:rsidRPr="00C0785A">
        <w:rPr>
          <w:szCs w:val="24"/>
        </w:rPr>
        <w:t xml:space="preserve"> combines the results p</w:t>
      </w:r>
      <w:r>
        <w:rPr>
          <w:szCs w:val="24"/>
        </w:rPr>
        <w:t>resented in Figures 4.7 and 4.8</w:t>
      </w:r>
      <w:r w:rsidRPr="00C0785A">
        <w:rPr>
          <w:szCs w:val="24"/>
        </w:rPr>
        <w:t xml:space="preserve"> for the country level averages, so we can better visualise the relationship across the compound and authoritarian understandings.</w:t>
      </w:r>
    </w:p>
    <w:p w14:paraId="3FED8E3B" w14:textId="55475A5A" w:rsidR="00A11C4B" w:rsidRDefault="00A11C4B" w:rsidP="00A11C4B">
      <w:pPr>
        <w:rPr>
          <w:szCs w:val="24"/>
        </w:rPr>
      </w:pPr>
      <w:r w:rsidRPr="00C0785A">
        <w:rPr>
          <w:szCs w:val="24"/>
        </w:rPr>
        <w:t>High scoring countries on the compound understanding, who also score low on the authoritarian understanding are found in th</w:t>
      </w:r>
      <w:r>
        <w:rPr>
          <w:szCs w:val="24"/>
        </w:rPr>
        <w:t xml:space="preserve">e top-left quadrant, and these </w:t>
      </w:r>
      <w:r w:rsidRPr="00C0785A">
        <w:rPr>
          <w:szCs w:val="24"/>
        </w:rPr>
        <w:t>include Switzerlan</w:t>
      </w:r>
      <w:r w:rsidR="00E70EB1">
        <w:rPr>
          <w:szCs w:val="24"/>
        </w:rPr>
        <w:t>d, Andorra, Germany and Sweden.</w:t>
      </w:r>
      <w:r w:rsidRPr="00C0785A">
        <w:rPr>
          <w:szCs w:val="24"/>
        </w:rPr>
        <w:t xml:space="preserve"> This makes them the closest to demonstrating a pure liberal understanding of democracy. But this multi-dimensional analysis of democracy reveals something very important. What is striking about the PCA results is that we can now see, for example, that whilst Vietnamese citizens on average score the same as Swiss citizens on component one, they sit at completely different ends of the scale on component two. It is the same for those from Andorra compared to Egyptians or the Swedish compared to Ethiopians.</w:t>
      </w:r>
    </w:p>
    <w:p w14:paraId="177653B7" w14:textId="305D0BA8" w:rsidR="00A11C4B" w:rsidRDefault="00A11C4B" w:rsidP="00A11C4B">
      <w:pPr>
        <w:rPr>
          <w:szCs w:val="24"/>
        </w:rPr>
      </w:pPr>
      <w:r w:rsidRPr="00C0785A">
        <w:rPr>
          <w:szCs w:val="24"/>
        </w:rPr>
        <w:t xml:space="preserve">These combinations of understandings are unlikely to be picked up by open-ended survey questions which ask for just one or two characteristics. Here, if the Swiss and Vietnamese were asked to define democracy in two or three characteristics, we might expect them both to draw on elections or civil rights – something liberal and procedural first. And from this we might conclude that they share a core understanding of democracy. Which they do. </w:t>
      </w:r>
      <w:r>
        <w:rPr>
          <w:szCs w:val="24"/>
        </w:rPr>
        <w:t>Yet</w:t>
      </w:r>
      <w:r w:rsidRPr="00C0785A">
        <w:rPr>
          <w:szCs w:val="24"/>
        </w:rPr>
        <w:t xml:space="preserve"> by digging</w:t>
      </w:r>
      <w:r w:rsidR="00E70EB1">
        <w:rPr>
          <w:szCs w:val="24"/>
        </w:rPr>
        <w:t xml:space="preserve"> and exploring</w:t>
      </w:r>
      <w:r w:rsidRPr="00C0785A">
        <w:rPr>
          <w:szCs w:val="24"/>
        </w:rPr>
        <w:t xml:space="preserve"> deeper</w:t>
      </w:r>
      <w:r w:rsidR="00E70EB1">
        <w:rPr>
          <w:szCs w:val="24"/>
        </w:rPr>
        <w:t xml:space="preserve"> in this approach</w:t>
      </w:r>
      <w:r w:rsidRPr="00C0785A">
        <w:rPr>
          <w:szCs w:val="24"/>
        </w:rPr>
        <w:t xml:space="preserve"> we can see here that beyond these initial understandings of the term, they also have utterly opposing ideas on the role of the military and religious authorities in democracy. These are crucial and hugely important institutions, and so by mapping out these understandings we can see where fundamental differences in opinion might arise when talking about the same thing.</w:t>
      </w:r>
      <w:r>
        <w:rPr>
          <w:szCs w:val="24"/>
        </w:rPr>
        <w:t xml:space="preserve"> </w:t>
      </w:r>
      <w:r w:rsidRPr="00C0785A">
        <w:rPr>
          <w:szCs w:val="24"/>
        </w:rPr>
        <w:t xml:space="preserve">The ability to examine these combinations </w:t>
      </w:r>
      <w:r>
        <w:rPr>
          <w:szCs w:val="24"/>
        </w:rPr>
        <w:t>and predict these conflicts in understanding is</w:t>
      </w:r>
      <w:r w:rsidRPr="00C0785A">
        <w:rPr>
          <w:szCs w:val="24"/>
        </w:rPr>
        <w:t xml:space="preserve"> also lost when generating a category of ‘enlightened’ understanding </w:t>
      </w:r>
      <w:r>
        <w:rPr>
          <w:szCs w:val="24"/>
        </w:rPr>
        <w:t xml:space="preserve">simply </w:t>
      </w:r>
      <w:r w:rsidRPr="00C0785A">
        <w:rPr>
          <w:szCs w:val="24"/>
        </w:rPr>
        <w:t>by subtracting some characteristics from others.</w:t>
      </w:r>
    </w:p>
    <w:p w14:paraId="317644A2" w14:textId="44E76312" w:rsidR="00A11C4B" w:rsidRDefault="00A11C4B" w:rsidP="00A11C4B">
      <w:pPr>
        <w:rPr>
          <w:rFonts w:cstheme="majorBidi"/>
          <w:szCs w:val="24"/>
        </w:rPr>
      </w:pPr>
      <w:r>
        <w:rPr>
          <w:rFonts w:cstheme="majorBidi"/>
          <w:szCs w:val="24"/>
        </w:rPr>
        <w:t xml:space="preserve">For instance, </w:t>
      </w:r>
      <w:r>
        <w:rPr>
          <w:rFonts w:cstheme="majorBidi"/>
          <w:szCs w:val="24"/>
        </w:rPr>
        <w:fldChar w:fldCharType="begin" w:fldLock="1"/>
      </w:r>
      <w:r w:rsidR="00E63CC6">
        <w:rPr>
          <w:rFonts w:cstheme="majorBidi"/>
          <w:szCs w:val="24"/>
        </w:rPr>
        <w:instrText>ADDIN CSL_CITATION { "citationItems" : [ { "id" : "ITEM-1", "itemData" : { "DOI" : "10.1353/jod.2007.0041", "ISSN" : "1086-3214", "author" : [ { "dropping-particle" : "", "family" : "Bratton", "given" : "Michael.", "non-dropping-particle" : "", "parse-names" : false, "suffix" : "" } ], "container-title" : "Journal of Democracy", "id" : "ITEM-1", "issue" : "3", "issued" : { "date-parts" : [ [ "2007" ] ] }, "page" : "96-110", "title" : "Formal versus Informal Institutions in Africa", "type" : "article-journal", "volume" : "18" }, "locator" : "104", "uris" : [ "http://www.mendeley.com/documents/?uuid=f0eed97a-9aa8-4425-a34d-f762269c74ba" ] } ], "mendeley" : { "formattedCitation" : "(Bratton, 2007, p. 104)", "manualFormatting" : "Bratton's studies (2001; 2007", "plainTextFormattedCitation" : "(Bratton, 2007, p. 104)", "previouslyFormattedCitation" : "(Bratton, 2007, p. 104)" }, "properties" : { "noteIndex" : 0 }, "schema" : "https://github.com/citation-style-language/schema/raw/master/csl-citation.json" }</w:instrText>
      </w:r>
      <w:r>
        <w:rPr>
          <w:rFonts w:cstheme="majorBidi"/>
          <w:szCs w:val="24"/>
        </w:rPr>
        <w:fldChar w:fldCharType="separate"/>
      </w:r>
      <w:r w:rsidRPr="00200504">
        <w:rPr>
          <w:rFonts w:cstheme="majorBidi"/>
          <w:noProof/>
          <w:szCs w:val="24"/>
        </w:rPr>
        <w:t>Bratton</w:t>
      </w:r>
      <w:r>
        <w:rPr>
          <w:rFonts w:cstheme="majorBidi"/>
          <w:noProof/>
          <w:szCs w:val="24"/>
        </w:rPr>
        <w:t>'s studies</w:t>
      </w:r>
      <w:r w:rsidRPr="00200504">
        <w:rPr>
          <w:rFonts w:cstheme="majorBidi"/>
          <w:noProof/>
          <w:szCs w:val="24"/>
        </w:rPr>
        <w:t xml:space="preserve"> </w:t>
      </w:r>
      <w:r>
        <w:rPr>
          <w:rFonts w:cstheme="majorBidi"/>
          <w:noProof/>
          <w:szCs w:val="24"/>
        </w:rPr>
        <w:t xml:space="preserve">(2001; </w:t>
      </w:r>
      <w:r w:rsidRPr="00200504">
        <w:rPr>
          <w:rFonts w:cstheme="majorBidi"/>
          <w:noProof/>
          <w:szCs w:val="24"/>
        </w:rPr>
        <w:t>2007</w:t>
      </w:r>
      <w:r>
        <w:rPr>
          <w:rFonts w:cstheme="majorBidi"/>
          <w:szCs w:val="24"/>
        </w:rPr>
        <w:fldChar w:fldCharType="end"/>
      </w:r>
      <w:r>
        <w:rPr>
          <w:rFonts w:cstheme="majorBidi"/>
          <w:szCs w:val="24"/>
        </w:rPr>
        <w:t xml:space="preserve">) of democracy across African noted generally widespread understandings of democracy in liberal terms, which my findings do not necessarily refute (although Ghana and South Africa score relatively lower than might be expected on the compound understanding). But what my findings add is that numerous Africa countries in the study - South Africa, Burkina Faso, Mali and Ethiopia – </w:t>
      </w:r>
      <w:r w:rsidRPr="00200504">
        <w:rPr>
          <w:rFonts w:cstheme="majorBidi"/>
          <w:i/>
          <w:szCs w:val="24"/>
        </w:rPr>
        <w:t>also</w:t>
      </w:r>
      <w:r>
        <w:rPr>
          <w:rFonts w:cstheme="majorBidi"/>
          <w:szCs w:val="24"/>
        </w:rPr>
        <w:t xml:space="preserve"> have an authoritarian dimension as part of their understanding of democracy. </w:t>
      </w:r>
    </w:p>
    <w:p w14:paraId="2133DAB0" w14:textId="1B9B07CE" w:rsidR="00A11C4B" w:rsidRPr="00A11C4B" w:rsidRDefault="00A11C4B" w:rsidP="00A11C4B">
      <w:pPr>
        <w:rPr>
          <w:rFonts w:cstheme="majorBidi"/>
          <w:szCs w:val="24"/>
        </w:rPr>
      </w:pPr>
      <w:r>
        <w:rPr>
          <w:rFonts w:cstheme="majorBidi"/>
          <w:szCs w:val="24"/>
        </w:rPr>
        <w:t>When it comes to the Asia</w:t>
      </w:r>
      <w:r w:rsidR="00484FF2">
        <w:rPr>
          <w:rFonts w:cstheme="majorBidi"/>
          <w:szCs w:val="24"/>
        </w:rPr>
        <w:t>n</w:t>
      </w:r>
      <w:r>
        <w:rPr>
          <w:rFonts w:cstheme="majorBidi"/>
          <w:szCs w:val="24"/>
        </w:rPr>
        <w:t xml:space="preserve"> region, </w:t>
      </w:r>
      <w:r>
        <w:rPr>
          <w:rFonts w:cstheme="majorBidi"/>
          <w:szCs w:val="24"/>
        </w:rPr>
        <w:fldChar w:fldCharType="begin" w:fldLock="1"/>
      </w:r>
      <w:r w:rsidR="00E63CC6">
        <w:rPr>
          <w:rFonts w:cstheme="majorBidi"/>
          <w:szCs w:val="24"/>
        </w:rPr>
        <w:instrText>ADDIN CSL_CITATION { "citationItems" : [ { "id" : "ITEM-1", "itemData" : { "DOI" : "10.1353/jod.2007.0043", "ISSN" : "1086-3214", "author" : [ { "dropping-particle" : "", "family" : "Chang", "given" : "Yu-tzung.", "non-dropping-particle" : "", "parse-names" : false, "suffix" : "" }, { "dropping-particle" : "", "family" : "Zhu", "given" : "Yunhan.", "non-dropping-particle" : "", "parse-names" : false, "suffix" : "" }, { "dropping-particle" : "", "family" : "Pak", "given" : "Chong-min", "non-dropping-particle" : "", "parse-names" : false, "suffix" : "" } ], "container-title" : "Journal of Democracy", "id" : "ITEM-1", "issue" : "3", "issued" : { "date-parts" : [ [ "2007" ] ] }, "page" : "66-80", "title" : "Authoritarian nostalgia in Asia", "type" : "article-journal", "volume" : "18" }, "uris" : [ "http://www.mendeley.com/documents/?uuid=09581a2b-fd69-49ed-973f-9cf01958a8bf" ] } ], "mendeley" : { "formattedCitation" : "(Chang, Zhu and Pak, 2007)", "manualFormatting" : "Chang et al. 2007", "plainTextFormattedCitation" : "(Chang, Zhu and Pak, 2007)", "previouslyFormattedCitation" : "(Chang, Zhu and Pak, 2007)" }, "properties" : { "noteIndex" : 0 }, "schema" : "https://github.com/citation-style-language/schema/raw/master/csl-citation.json" }</w:instrText>
      </w:r>
      <w:r>
        <w:rPr>
          <w:rFonts w:cstheme="majorBidi"/>
          <w:szCs w:val="24"/>
        </w:rPr>
        <w:fldChar w:fldCharType="separate"/>
      </w:r>
      <w:r w:rsidRPr="00200504">
        <w:rPr>
          <w:rFonts w:cstheme="majorBidi"/>
          <w:noProof/>
          <w:szCs w:val="24"/>
        </w:rPr>
        <w:t xml:space="preserve">Chang </w:t>
      </w:r>
      <w:r>
        <w:rPr>
          <w:rFonts w:cstheme="majorBidi"/>
          <w:noProof/>
          <w:szCs w:val="24"/>
        </w:rPr>
        <w:t>et al</w:t>
      </w:r>
      <w:r w:rsidRPr="00200504">
        <w:rPr>
          <w:rFonts w:cstheme="majorBidi"/>
          <w:noProof/>
          <w:szCs w:val="24"/>
        </w:rPr>
        <w:t>. 2007</w:t>
      </w:r>
      <w:r>
        <w:rPr>
          <w:rFonts w:cstheme="majorBidi"/>
          <w:szCs w:val="24"/>
        </w:rPr>
        <w:fldChar w:fldCharType="end"/>
      </w:r>
      <w:r w:rsidR="00484FF2">
        <w:rPr>
          <w:rFonts w:cstheme="majorBidi"/>
          <w:szCs w:val="24"/>
        </w:rPr>
        <w:t xml:space="preserve"> outlined</w:t>
      </w:r>
      <w:r>
        <w:rPr>
          <w:rFonts w:cstheme="majorBidi"/>
          <w:szCs w:val="24"/>
        </w:rPr>
        <w:t xml:space="preserve"> that democracy might be fragile</w:t>
      </w:r>
      <w:r w:rsidR="00484FF2">
        <w:rPr>
          <w:rFonts w:cstheme="majorBidi"/>
          <w:szCs w:val="24"/>
        </w:rPr>
        <w:t xml:space="preserve"> there, as there is what they describe as an ‘</w:t>
      </w:r>
      <w:r>
        <w:rPr>
          <w:rFonts w:cstheme="majorBidi"/>
          <w:szCs w:val="24"/>
        </w:rPr>
        <w:t>authoritarian nostalgia</w:t>
      </w:r>
      <w:r w:rsidR="00484FF2">
        <w:rPr>
          <w:rFonts w:cstheme="majorBidi"/>
          <w:szCs w:val="24"/>
        </w:rPr>
        <w:t>’</w:t>
      </w:r>
      <w:r>
        <w:rPr>
          <w:rFonts w:cstheme="majorBidi"/>
          <w:szCs w:val="24"/>
        </w:rPr>
        <w:t xml:space="preserve"> in the region, </w:t>
      </w:r>
      <w:r w:rsidR="00484FF2">
        <w:rPr>
          <w:rFonts w:cstheme="majorBidi"/>
          <w:szCs w:val="24"/>
        </w:rPr>
        <w:t>which is boosted in times of weak economic growth</w:t>
      </w:r>
      <w:r>
        <w:rPr>
          <w:rFonts w:cstheme="majorBidi"/>
          <w:szCs w:val="24"/>
        </w:rPr>
        <w:t>. From my analysis we can see how in countries such as Japan, South Korea, Taiwan, Vietnam and China, citizens there have an average or above average understanding of democracy in terms of the compound understanding. Therefore ideas of elections and civil rights are relatively widespread in a positive way. Yet China and Vietnam contrast sharply in that they score considerably above average on the authoritarian understanding, suggesting here is a fault-line between their understanding, compared to South Korean and Japan and Taiwan, which have</w:t>
      </w:r>
      <w:r w:rsidR="00E70EB1">
        <w:rPr>
          <w:rFonts w:cstheme="majorBidi"/>
          <w:szCs w:val="24"/>
        </w:rPr>
        <w:t xml:space="preserve"> comparatively</w:t>
      </w:r>
      <w:r>
        <w:rPr>
          <w:rFonts w:cstheme="majorBidi"/>
          <w:szCs w:val="24"/>
        </w:rPr>
        <w:t xml:space="preserve"> far more stable democratic histories. </w:t>
      </w:r>
    </w:p>
    <w:p w14:paraId="5D5951A0" w14:textId="40D9B23E" w:rsidR="00A11C4B" w:rsidRPr="00C0785A" w:rsidRDefault="000674E6" w:rsidP="00A11C4B">
      <w:pPr>
        <w:rPr>
          <w:noProof/>
          <w:szCs w:val="24"/>
          <w:lang w:eastAsia="en-GB"/>
        </w:rPr>
      </w:pPr>
      <w:r>
        <w:rPr>
          <w:rFonts w:cstheme="majorBidi"/>
          <w:szCs w:val="24"/>
        </w:rPr>
        <w:t>C</w:t>
      </w:r>
      <w:r w:rsidR="00A11C4B">
        <w:rPr>
          <w:rFonts w:cstheme="majorBidi"/>
          <w:szCs w:val="24"/>
        </w:rPr>
        <w:t>ombinations of un</w:t>
      </w:r>
      <w:r w:rsidR="0002503B">
        <w:rPr>
          <w:rFonts w:cstheme="majorBidi"/>
          <w:szCs w:val="24"/>
        </w:rPr>
        <w:t xml:space="preserve">derstanding in </w:t>
      </w:r>
      <w:r>
        <w:rPr>
          <w:rFonts w:cstheme="majorBidi"/>
          <w:szCs w:val="24"/>
        </w:rPr>
        <w:t xml:space="preserve">the </w:t>
      </w:r>
      <w:r w:rsidR="0002503B">
        <w:rPr>
          <w:rFonts w:cstheme="majorBidi"/>
          <w:szCs w:val="24"/>
        </w:rPr>
        <w:t>south-east Asian region, including</w:t>
      </w:r>
      <w:r w:rsidR="00A11C4B">
        <w:rPr>
          <w:rFonts w:cstheme="majorBidi"/>
          <w:szCs w:val="24"/>
        </w:rPr>
        <w:t xml:space="preserve"> Thailand, but more so Malaysia and Indonesia, highlight where these issues might be most problematic, as here the compound understanding of democracy scores considerably lower than the vast majority of countries, and so there is clear divergence for the citizens of these countries as to what democracy means, when compared to the global mean. </w:t>
      </w:r>
    </w:p>
    <w:p w14:paraId="469D5019" w14:textId="77777777" w:rsidR="00A11C4B" w:rsidRDefault="00A11C4B" w:rsidP="00A11C4B">
      <w:pPr>
        <w:rPr>
          <w:rFonts w:cstheme="majorBidi"/>
          <w:szCs w:val="24"/>
        </w:rPr>
      </w:pPr>
      <w:r>
        <w:rPr>
          <w:rFonts w:cstheme="majorBidi"/>
          <w:szCs w:val="24"/>
        </w:rPr>
        <w:t>Although there is considerable mix towards the centre, the quadrants in Figure 4:8 do classify an almost equal amount of countries into four categories of positive and negative scores. As just discussed, in terms of liberal theoretical expectations, citizens of the countries in the top-left quadrant come ‘closest’ to the liberal ideal; they emphasize political and civil rights, and reject non-elected authority. Beyond this quadrant, however, the combinations are harder to place within a conventional theoretical framework.</w:t>
      </w:r>
    </w:p>
    <w:p w14:paraId="1C16BB48" w14:textId="7F2D36C3" w:rsidR="00A11C4B" w:rsidRDefault="00A11C4B" w:rsidP="00A11C4B">
      <w:pPr>
        <w:rPr>
          <w:rFonts w:cstheme="majorBidi"/>
          <w:szCs w:val="24"/>
        </w:rPr>
      </w:pPr>
      <w:r>
        <w:rPr>
          <w:rFonts w:cstheme="majorBidi"/>
          <w:szCs w:val="24"/>
        </w:rPr>
        <w:t>The bottom-right corner is the most strongly authoritarian as countries there have the highest average scores on component two, and shy away from high results on component one. Of the 9 countries in this quadrant, only four – Mali, Indonesia, Peru and South Africa – feature in the</w:t>
      </w:r>
      <w:r w:rsidR="0002503B">
        <w:rPr>
          <w:rFonts w:cstheme="majorBidi"/>
          <w:szCs w:val="24"/>
        </w:rPr>
        <w:t xml:space="preserve"> global</w:t>
      </w:r>
      <w:r>
        <w:rPr>
          <w:rFonts w:cstheme="majorBidi"/>
          <w:szCs w:val="24"/>
        </w:rPr>
        <w:t xml:space="preserve"> study</w:t>
      </w:r>
      <w:r w:rsidR="0002503B">
        <w:rPr>
          <w:rFonts w:cstheme="majorBidi"/>
          <w:szCs w:val="24"/>
        </w:rPr>
        <w:t xml:space="preserve"> of open-ended survey questions analysed</w:t>
      </w:r>
      <w:r>
        <w:rPr>
          <w:rFonts w:cstheme="majorBidi"/>
          <w:szCs w:val="24"/>
        </w:rPr>
        <w:t xml:space="preserve"> by Dalton </w:t>
      </w:r>
      <w:r w:rsidR="0002503B">
        <w:rPr>
          <w:rFonts w:cstheme="majorBidi"/>
          <w:szCs w:val="24"/>
        </w:rPr>
        <w:t xml:space="preserve">et al. (2008) </w:t>
      </w:r>
      <w:r>
        <w:rPr>
          <w:rFonts w:cstheme="majorBidi"/>
          <w:szCs w:val="24"/>
        </w:rPr>
        <w:t xml:space="preserve">(discussed in Chapter 2, Section 2.4) </w:t>
      </w:r>
      <w:r w:rsidR="0002503B">
        <w:rPr>
          <w:rFonts w:cstheme="majorBidi"/>
          <w:szCs w:val="24"/>
        </w:rPr>
        <w:t>which</w:t>
      </w:r>
      <w:r>
        <w:rPr>
          <w:rFonts w:cstheme="majorBidi"/>
          <w:szCs w:val="24"/>
        </w:rPr>
        <w:t xml:space="preserve"> came to the quite positive conclusion that </w:t>
      </w:r>
      <w:r w:rsidR="0002503B">
        <w:rPr>
          <w:rFonts w:cstheme="majorBidi"/>
          <w:szCs w:val="24"/>
        </w:rPr>
        <w:t>democracy</w:t>
      </w:r>
      <w:r>
        <w:rPr>
          <w:rFonts w:cstheme="majorBidi"/>
          <w:szCs w:val="24"/>
        </w:rPr>
        <w:t xml:space="preserve"> had a shared</w:t>
      </w:r>
      <w:r w:rsidR="0002503B">
        <w:rPr>
          <w:rFonts w:cstheme="majorBidi"/>
          <w:szCs w:val="24"/>
        </w:rPr>
        <w:t>, primarily liberal,</w:t>
      </w:r>
      <w:r>
        <w:rPr>
          <w:rFonts w:cstheme="majorBidi"/>
          <w:szCs w:val="24"/>
        </w:rPr>
        <w:t xml:space="preserve"> meaning with global reach. Furthermore, of the 21 countries which </w:t>
      </w:r>
      <w:r w:rsidR="0002503B">
        <w:rPr>
          <w:rFonts w:cstheme="majorBidi"/>
          <w:szCs w:val="24"/>
        </w:rPr>
        <w:t xml:space="preserve">have higher than </w:t>
      </w:r>
      <w:r>
        <w:rPr>
          <w:rFonts w:cstheme="majorBidi"/>
          <w:szCs w:val="24"/>
        </w:rPr>
        <w:t>averag</w:t>
      </w:r>
      <w:r w:rsidR="0002503B">
        <w:rPr>
          <w:rFonts w:cstheme="majorBidi"/>
          <w:szCs w:val="24"/>
        </w:rPr>
        <w:t>e</w:t>
      </w:r>
      <w:r>
        <w:rPr>
          <w:rFonts w:cstheme="majorBidi"/>
          <w:szCs w:val="24"/>
        </w:rPr>
        <w:t xml:space="preserve"> positive scores on component two, only seven feature</w:t>
      </w:r>
      <w:r w:rsidR="0002503B">
        <w:rPr>
          <w:rFonts w:cstheme="majorBidi"/>
          <w:szCs w:val="24"/>
        </w:rPr>
        <w:t>d</w:t>
      </w:r>
      <w:r>
        <w:rPr>
          <w:rFonts w:cstheme="majorBidi"/>
          <w:szCs w:val="24"/>
        </w:rPr>
        <w:t xml:space="preserve"> in</w:t>
      </w:r>
      <w:r w:rsidR="0002503B">
        <w:rPr>
          <w:rFonts w:cstheme="majorBidi"/>
          <w:szCs w:val="24"/>
        </w:rPr>
        <w:t xml:space="preserve"> the analysis by</w:t>
      </w:r>
      <w:r>
        <w:rPr>
          <w:rFonts w:cstheme="majorBidi"/>
          <w:szCs w:val="24"/>
        </w:rPr>
        <w:t xml:space="preserve"> Dalton </w:t>
      </w:r>
      <w:r w:rsidRPr="0002503B">
        <w:rPr>
          <w:rFonts w:cstheme="majorBidi"/>
          <w:szCs w:val="24"/>
        </w:rPr>
        <w:t>et al</w:t>
      </w:r>
      <w:r>
        <w:rPr>
          <w:rFonts w:cstheme="majorBidi"/>
          <w:szCs w:val="24"/>
        </w:rPr>
        <w:t>. This could help explain their lack of emphasis on this authoritarian dimension.</w:t>
      </w:r>
    </w:p>
    <w:p w14:paraId="7E74CD79" w14:textId="01C43709" w:rsidR="00976DD5" w:rsidRDefault="00976DD5" w:rsidP="00976DD5">
      <w:pPr>
        <w:rPr>
          <w:rFonts w:cstheme="majorBidi"/>
          <w:szCs w:val="24"/>
        </w:rPr>
      </w:pPr>
      <w:r>
        <w:rPr>
          <w:rFonts w:cstheme="majorBidi"/>
          <w:szCs w:val="24"/>
        </w:rPr>
        <w:t xml:space="preserve">In the top-right quadrant </w:t>
      </w:r>
      <w:r w:rsidR="00741647">
        <w:rPr>
          <w:rFonts w:cstheme="majorBidi"/>
          <w:szCs w:val="24"/>
        </w:rPr>
        <w:t xml:space="preserve">is </w:t>
      </w:r>
      <w:r>
        <w:rPr>
          <w:rFonts w:cstheme="majorBidi"/>
          <w:szCs w:val="24"/>
        </w:rPr>
        <w:t xml:space="preserve">another theoretically interesting group, </w:t>
      </w:r>
      <w:r w:rsidR="00741647">
        <w:rPr>
          <w:rFonts w:cstheme="majorBidi"/>
          <w:szCs w:val="24"/>
        </w:rPr>
        <w:t xml:space="preserve">made up of </w:t>
      </w:r>
      <w:r>
        <w:rPr>
          <w:rFonts w:cstheme="majorBidi"/>
          <w:szCs w:val="24"/>
        </w:rPr>
        <w:t xml:space="preserve">countries which score higher than average on </w:t>
      </w:r>
      <w:r>
        <w:rPr>
          <w:rFonts w:cstheme="majorBidi"/>
          <w:i/>
          <w:szCs w:val="24"/>
        </w:rPr>
        <w:t>both</w:t>
      </w:r>
      <w:r>
        <w:rPr>
          <w:rFonts w:cstheme="majorBidi"/>
          <w:szCs w:val="24"/>
        </w:rPr>
        <w:t xml:space="preserve"> the compound dimension and the authoritarian one. </w:t>
      </w:r>
      <w:r w:rsidR="00741647">
        <w:rPr>
          <w:rFonts w:cstheme="majorBidi"/>
          <w:szCs w:val="24"/>
        </w:rPr>
        <w:t>I</w:t>
      </w:r>
      <w:r>
        <w:rPr>
          <w:rFonts w:cstheme="majorBidi"/>
          <w:szCs w:val="24"/>
        </w:rPr>
        <w:t xml:space="preserve">t is not immediately obvious (from a theoretical perspective) how </w:t>
      </w:r>
      <w:r w:rsidR="00741647">
        <w:rPr>
          <w:rFonts w:cstheme="majorBidi"/>
          <w:szCs w:val="24"/>
        </w:rPr>
        <w:t>high scores on the</w:t>
      </w:r>
      <w:r>
        <w:rPr>
          <w:rFonts w:cstheme="majorBidi"/>
          <w:szCs w:val="24"/>
        </w:rPr>
        <w:t xml:space="preserve"> anti-democratic characteristics can </w:t>
      </w:r>
      <w:r w:rsidR="00741647">
        <w:rPr>
          <w:rFonts w:cstheme="majorBidi"/>
          <w:szCs w:val="24"/>
        </w:rPr>
        <w:t>coincide with high scores in the compound democracy dimension</w:t>
      </w:r>
      <w:r>
        <w:rPr>
          <w:rFonts w:cstheme="majorBidi"/>
          <w:szCs w:val="24"/>
        </w:rPr>
        <w:t xml:space="preserve">. What makes this collection of countries especially interesting is that it includes </w:t>
      </w:r>
      <w:r w:rsidR="005C146C">
        <w:rPr>
          <w:rFonts w:cstheme="majorBidi"/>
          <w:szCs w:val="24"/>
        </w:rPr>
        <w:t>large and important</w:t>
      </w:r>
      <w:r w:rsidR="00741647">
        <w:rPr>
          <w:rFonts w:cstheme="majorBidi"/>
          <w:szCs w:val="24"/>
        </w:rPr>
        <w:t xml:space="preserve"> </w:t>
      </w:r>
      <w:r w:rsidR="005C146C">
        <w:rPr>
          <w:rFonts w:cstheme="majorBidi"/>
          <w:szCs w:val="24"/>
        </w:rPr>
        <w:t>players in world politics such as</w:t>
      </w:r>
      <w:r>
        <w:rPr>
          <w:rFonts w:cstheme="majorBidi"/>
          <w:szCs w:val="24"/>
        </w:rPr>
        <w:t xml:space="preserve"> Russia</w:t>
      </w:r>
      <w:r w:rsidR="005C146C">
        <w:rPr>
          <w:rFonts w:cstheme="majorBidi"/>
          <w:szCs w:val="24"/>
        </w:rPr>
        <w:t>, Turkey and Brazil (and, almost,</w:t>
      </w:r>
      <w:r>
        <w:rPr>
          <w:rFonts w:cstheme="majorBidi"/>
          <w:szCs w:val="24"/>
        </w:rPr>
        <w:t xml:space="preserve"> China</w:t>
      </w:r>
      <w:r w:rsidR="005C146C">
        <w:rPr>
          <w:rFonts w:cstheme="majorBidi"/>
          <w:szCs w:val="24"/>
        </w:rPr>
        <w:t>)</w:t>
      </w:r>
      <w:r>
        <w:rPr>
          <w:rFonts w:cstheme="majorBidi"/>
          <w:szCs w:val="24"/>
        </w:rPr>
        <w:t xml:space="preserve">. The unusual understanding of democracy from citizens in these countries is not shared by citizens in democracies. </w:t>
      </w:r>
      <w:r w:rsidR="000674E6">
        <w:rPr>
          <w:rFonts w:cstheme="majorBidi"/>
          <w:szCs w:val="24"/>
        </w:rPr>
        <w:t>And</w:t>
      </w:r>
      <w:r>
        <w:rPr>
          <w:rFonts w:cstheme="majorBidi"/>
          <w:szCs w:val="24"/>
        </w:rPr>
        <w:t xml:space="preserve"> Egypt </w:t>
      </w:r>
      <w:r w:rsidR="00741647">
        <w:rPr>
          <w:rFonts w:cstheme="majorBidi"/>
          <w:szCs w:val="24"/>
        </w:rPr>
        <w:t xml:space="preserve">is </w:t>
      </w:r>
      <w:r>
        <w:rPr>
          <w:rFonts w:cstheme="majorBidi"/>
          <w:szCs w:val="24"/>
        </w:rPr>
        <w:t>a country still undergoing a transition that has seen sites of power switch between mass protests and ‘the People’, the government in the shape of the Muslim Brotherhood, and the military.</w:t>
      </w:r>
    </w:p>
    <w:p w14:paraId="61FB947D" w14:textId="540D9BC3" w:rsidR="00976DD5" w:rsidRDefault="00976DD5" w:rsidP="00976DD5">
      <w:pPr>
        <w:rPr>
          <w:rFonts w:cstheme="majorBidi"/>
          <w:szCs w:val="24"/>
        </w:rPr>
      </w:pPr>
      <w:r>
        <w:rPr>
          <w:rFonts w:cstheme="majorBidi"/>
          <w:szCs w:val="24"/>
        </w:rPr>
        <w:t xml:space="preserve">Finally, the bottom-left quadrant </w:t>
      </w:r>
      <w:r w:rsidR="00741647">
        <w:rPr>
          <w:rFonts w:cstheme="majorBidi"/>
          <w:szCs w:val="24"/>
        </w:rPr>
        <w:t xml:space="preserve">comprises </w:t>
      </w:r>
      <w:r>
        <w:rPr>
          <w:rFonts w:cstheme="majorBidi"/>
          <w:szCs w:val="24"/>
        </w:rPr>
        <w:t>those countries with lower than average scores on both components. Interestingly, then, authoritarian characteristics are rejected</w:t>
      </w:r>
      <w:r w:rsidR="00741647">
        <w:rPr>
          <w:rFonts w:cstheme="majorBidi"/>
          <w:szCs w:val="24"/>
        </w:rPr>
        <w:t xml:space="preserve"> here</w:t>
      </w:r>
      <w:r>
        <w:rPr>
          <w:rFonts w:cstheme="majorBidi"/>
          <w:szCs w:val="24"/>
        </w:rPr>
        <w:t xml:space="preserve">, but the liberal-mix of characteristics is not necessarily embraced. Here it could be that citizens in these countries understand democracy in a way that is not offered at all by the available survey questions, or it could be that their configuration of understanding is very different to the global one. </w:t>
      </w:r>
      <w:r w:rsidR="00384C70">
        <w:rPr>
          <w:rFonts w:cstheme="majorBidi"/>
          <w:szCs w:val="24"/>
        </w:rPr>
        <w:t xml:space="preserve">The UK perhaps stands out here as a Western, long-standing democracy with a low score on the compound understanding, and only just below average score on the authoritarian one. </w:t>
      </w:r>
      <w:r>
        <w:rPr>
          <w:rFonts w:cstheme="majorBidi"/>
          <w:szCs w:val="24"/>
        </w:rPr>
        <w:t>The analysis in the following chapter will address these questions.</w:t>
      </w:r>
    </w:p>
    <w:p w14:paraId="0B7C713B" w14:textId="77777777" w:rsidR="00976DD5" w:rsidRPr="00577217" w:rsidRDefault="00976DD5" w:rsidP="00577217">
      <w:pPr>
        <w:pStyle w:val="Heading2"/>
      </w:pPr>
      <w:bookmarkStart w:id="267" w:name="_Toc439171462"/>
      <w:bookmarkStart w:id="268" w:name="_Toc385498317"/>
      <w:bookmarkStart w:id="269" w:name="_Toc376765764"/>
      <w:bookmarkStart w:id="270" w:name="_Toc441069032"/>
      <w:bookmarkStart w:id="271" w:name="_Toc441069231"/>
      <w:bookmarkStart w:id="272" w:name="_Toc494034225"/>
      <w:r w:rsidRPr="00577217">
        <w:t>4.6 Conclusion</w:t>
      </w:r>
      <w:bookmarkEnd w:id="267"/>
      <w:bookmarkEnd w:id="268"/>
      <w:bookmarkEnd w:id="269"/>
      <w:bookmarkEnd w:id="270"/>
      <w:bookmarkEnd w:id="271"/>
      <w:bookmarkEnd w:id="272"/>
    </w:p>
    <w:p w14:paraId="4010948A" w14:textId="1D845D16" w:rsidR="00976DD5" w:rsidRDefault="00A02D88" w:rsidP="00976DD5">
      <w:pPr>
        <w:rPr>
          <w:szCs w:val="24"/>
        </w:rPr>
      </w:pPr>
      <w:r>
        <w:rPr>
          <w:szCs w:val="24"/>
        </w:rPr>
        <w:t xml:space="preserve">As outlined in the Introduction (Chapter 1) and Literature Review (Chapter 2), this chapter has taken its cue from the discussion in such studies as </w:t>
      </w:r>
      <w:r>
        <w:rPr>
          <w:szCs w:val="24"/>
        </w:rPr>
        <w:fldChar w:fldCharType="begin" w:fldLock="1"/>
      </w:r>
      <w:r w:rsidR="00E63CC6">
        <w:rPr>
          <w:szCs w:val="24"/>
        </w:rPr>
        <w:instrText>ADDIN CSL_CITATION { "citationItems" : [ { "id" : "ITEM-1", "itemData" : { "DOI" : "10.1111/j.1475-6765.2007.00708.x", "ISSN" : "0304-4130", "author" : [ { "dropping-particle" : "", "family" : "Schedler", "given" : "Andreas", "non-dropping-particle" : "", "parse-names" : false, "suffix" : "" }, { "dropping-particle" : "", "family" : "Sarsfield", "given" : "Rodolfo", "non-dropping-particle" : "", "parse-names" : false, "suffix" : "" } ], "container-title" : "European Journal of Political Research", "id" : "ITEM-1", "issue" : "5", "issued" : { "date-parts" : [ [ "2007", "8" ] ] }, "page" : "637-659", "title" : "Democrats with adjectives: Linking direct and indirect measures of democratic support", "type" : "article-journal", "volume" : "46" }, "uris" : [ "http://www.mendeley.com/documents/?uuid=a78fe851-821a-4d65-8f7f-3beda8b72034" ] } ], "mendeley" : { "formattedCitation" : "(Schedler and Sarsfield, 2007)", "manualFormatting" : "Schedler and Sarsfield (2007a)", "plainTextFormattedCitation" : "(Schedler and Sarsfield, 2007)", "previouslyFormattedCitation" : "(Schedler and Sarsfield, 2007)" }, "properties" : { "noteIndex" : 0 }, "schema" : "https://github.com/citation-style-language/schema/raw/master/csl-citation.json" }</w:instrText>
      </w:r>
      <w:r>
        <w:rPr>
          <w:szCs w:val="24"/>
        </w:rPr>
        <w:fldChar w:fldCharType="separate"/>
      </w:r>
      <w:r w:rsidR="00F63649">
        <w:rPr>
          <w:noProof/>
          <w:szCs w:val="24"/>
        </w:rPr>
        <w:t>Schedler and</w:t>
      </w:r>
      <w:r w:rsidRPr="00A02D88">
        <w:rPr>
          <w:noProof/>
          <w:szCs w:val="24"/>
        </w:rPr>
        <w:t xml:space="preserve"> Sarsfield </w:t>
      </w:r>
      <w:r>
        <w:rPr>
          <w:noProof/>
          <w:szCs w:val="24"/>
        </w:rPr>
        <w:t>(</w:t>
      </w:r>
      <w:r w:rsidRPr="00A02D88">
        <w:rPr>
          <w:noProof/>
          <w:szCs w:val="24"/>
        </w:rPr>
        <w:t>2007a)</w:t>
      </w:r>
      <w:r>
        <w:rPr>
          <w:szCs w:val="24"/>
        </w:rPr>
        <w:fldChar w:fldCharType="end"/>
      </w:r>
      <w:r>
        <w:rPr>
          <w:szCs w:val="24"/>
        </w:rPr>
        <w:t xml:space="preserve">, </w:t>
      </w:r>
      <w:r>
        <w:rPr>
          <w:szCs w:val="24"/>
        </w:rPr>
        <w:fldChar w:fldCharType="begin" w:fldLock="1"/>
      </w:r>
      <w:r w:rsidR="00E63CC6">
        <w:rPr>
          <w:szCs w:val="24"/>
        </w:rPr>
        <w:instrText>ADDIN CSL_CITATION { "citationItems" : [ { "id" : "ITEM-1", "itemData" : { "DOI" : "10.1080/13510347.2011.563113", "ISSN" : "1351-0347", "abstract" : "Measuring support for democracy in societies where democratic institutions do not exist or do not function well is a challenge faced by many researchers around the world. In societies moving either toward or away from democracy, the very meaning of \u2018democracy\u2019 is often in question and institutions and practices that go by the label of \u2018democratic\u2019 may vary widely from accepted norms. As a result, respondents are likely to interpret survey questions on democratic concepts in unpredictable ways. This article examines some of the ways respondents in non-democratic or imperfectly democratic countries may misinterpret the meaning of survey questions and consequently how their answers may mislead researchers. Previous research has focused on problems with abstract concepts like \u2018democracy\u2019. Evidence presented here \u2013 from interviews with Russians \u2013 shows that the problem is broader and covers more kinds of questions than previously thought. A strong potential for miscommunication also exists with more concrete questions about institutions and values, forced choices that encourage respondents to change the meaning of questions, and questions about trust in institutions.", "author" : [ { "dropping-particle" : "", "family" : "Carnaghan", "given" : "Ellen", "non-dropping-particle" : "", "parse-names" : false, "suffix" : "" } ], "container-title" : "Democratization", "id" : "ITEM-1", "issue" : "3", "issued" : { "date-parts" : [ [ "2011" ] ] }, "page" : "682-706", "title" : "The difficulty of measuring support for democracy in a changing society: evidence from Russia", "type" : "article-journal", "volume" : "18" }, "uris" : [ "http://www.mendeley.com/documents/?uuid=a2617336-dfba-4a10-ba8f-8a52d212e595" ] } ], "mendeley" : { "formattedCitation" : "(Carnaghan, 2011)", "manualFormatting" : "Carnaghan (2011b)", "plainTextFormattedCitation" : "(Carnaghan, 2011)", "previouslyFormattedCitation" : "(Carnaghan, 2011)" }, "properties" : { "noteIndex" : 0 }, "schema" : "https://github.com/citation-style-language/schema/raw/master/csl-citation.json" }</w:instrText>
      </w:r>
      <w:r>
        <w:rPr>
          <w:szCs w:val="24"/>
        </w:rPr>
        <w:fldChar w:fldCharType="separate"/>
      </w:r>
      <w:r w:rsidRPr="00A02D88">
        <w:rPr>
          <w:noProof/>
          <w:szCs w:val="24"/>
        </w:rPr>
        <w:t xml:space="preserve">Carnaghan </w:t>
      </w:r>
      <w:r>
        <w:rPr>
          <w:noProof/>
          <w:szCs w:val="24"/>
        </w:rPr>
        <w:t>(</w:t>
      </w:r>
      <w:r w:rsidRPr="00A02D88">
        <w:rPr>
          <w:noProof/>
          <w:szCs w:val="24"/>
        </w:rPr>
        <w:t>2011b)</w:t>
      </w:r>
      <w:r>
        <w:rPr>
          <w:szCs w:val="24"/>
        </w:rPr>
        <w:fldChar w:fldCharType="end"/>
      </w:r>
      <w:r>
        <w:rPr>
          <w:szCs w:val="24"/>
        </w:rPr>
        <w:t xml:space="preserve"> and Canache </w:t>
      </w:r>
      <w:r>
        <w:rPr>
          <w:szCs w:val="24"/>
        </w:rPr>
        <w:fldChar w:fldCharType="begin" w:fldLock="1"/>
      </w:r>
      <w:r w:rsidR="00E63CC6">
        <w:rPr>
          <w:szCs w:val="24"/>
        </w:rPr>
        <w:instrText>ADDIN CSL_CITATION { "citationItems" : [ { "id" : "ITEM-1", "itemData" : { "DOI" : "10.1177/0010414011434009", "ISSN" : "0010-4140", "author" : [ { "dropping-particle" : "", "family" : "Canache", "given" : "D", "non-dropping-particle" : "", "parse-names" : false, "suffix" : "" } ], "container-title" : "Comparative Political Studies", "id" : "ITEM-1", "issue" : "9", "issued" : { "date-parts" : [ [ "2012", "1", "24" ] ] }, "page" : "1132-1158", "title" : "Citizens' Conceptualizations of Democracy: Structural Complexity, Substantive Content, and Political Significance", "type" : "article-journal", "volume" : "45" }, "uris" : [ "http://www.mendeley.com/documents/?uuid=338e5bc3-eb6a-4664-8915-47162e791e87" ] } ], "mendeley" : { "formattedCitation" : "(D Canache, 2012)", "manualFormatting" : "(2012)", "plainTextFormattedCitation" : "(D Canache, 2012)", "previouslyFormattedCitation" : "(D Canache, 2012)" }, "properties" : { "noteIndex" : 0 }, "schema" : "https://github.com/citation-style-language/schema/raw/master/csl-citation.json" }</w:instrText>
      </w:r>
      <w:r>
        <w:rPr>
          <w:szCs w:val="24"/>
        </w:rPr>
        <w:fldChar w:fldCharType="separate"/>
      </w:r>
      <w:r w:rsidRPr="00A02D88">
        <w:rPr>
          <w:noProof/>
          <w:szCs w:val="24"/>
        </w:rPr>
        <w:t>(2012)</w:t>
      </w:r>
      <w:r>
        <w:rPr>
          <w:szCs w:val="24"/>
        </w:rPr>
        <w:fldChar w:fldCharType="end"/>
      </w:r>
      <w:r>
        <w:rPr>
          <w:szCs w:val="24"/>
        </w:rPr>
        <w:t xml:space="preserve"> that we should look not at support </w:t>
      </w:r>
      <w:r w:rsidR="00F63649">
        <w:rPr>
          <w:szCs w:val="24"/>
        </w:rPr>
        <w:t>for</w:t>
      </w:r>
      <w:r>
        <w:rPr>
          <w:szCs w:val="24"/>
        </w:rPr>
        <w:t xml:space="preserve"> democracy, but at substantive understandings of democracy amongst citizens. In contrast to existing studies which have used open-ended or ‘testing’ approaches, this chapter has utilised a</w:t>
      </w:r>
      <w:r w:rsidR="00976DD5">
        <w:rPr>
          <w:szCs w:val="24"/>
        </w:rPr>
        <w:t xml:space="preserve"> dimensional approach</w:t>
      </w:r>
      <w:r>
        <w:rPr>
          <w:szCs w:val="24"/>
        </w:rPr>
        <w:t xml:space="preserve"> to examine</w:t>
      </w:r>
      <w:r w:rsidR="00976DD5">
        <w:rPr>
          <w:szCs w:val="24"/>
        </w:rPr>
        <w:t xml:space="preserve"> how citizens </w:t>
      </w:r>
      <w:r>
        <w:rPr>
          <w:szCs w:val="24"/>
        </w:rPr>
        <w:t>conceptualise</w:t>
      </w:r>
      <w:r w:rsidR="00976DD5">
        <w:rPr>
          <w:szCs w:val="24"/>
        </w:rPr>
        <w:t xml:space="preserve"> democracy. </w:t>
      </w:r>
      <w:r w:rsidR="00976DD5" w:rsidRPr="00F167FC">
        <w:rPr>
          <w:szCs w:val="24"/>
          <w:highlight w:val="yellow"/>
        </w:rPr>
        <w:t xml:space="preserve">The point of using this approach is that it allows the citizens’ answers to </w:t>
      </w:r>
      <w:r w:rsidR="00F167FC" w:rsidRPr="00F167FC">
        <w:rPr>
          <w:szCs w:val="24"/>
          <w:highlight w:val="yellow"/>
        </w:rPr>
        <w:t>conceptually map the proffered characteristics</w:t>
      </w:r>
      <w:r w:rsidR="00976DD5" w:rsidRPr="00F167FC">
        <w:rPr>
          <w:szCs w:val="24"/>
          <w:highlight w:val="yellow"/>
        </w:rPr>
        <w:t xml:space="preserve"> for themselves, rather than prescriptively applying an </w:t>
      </w:r>
      <w:r w:rsidR="00304794" w:rsidRPr="00F167FC">
        <w:rPr>
          <w:szCs w:val="24"/>
          <w:highlight w:val="yellow"/>
        </w:rPr>
        <w:t xml:space="preserve">expected </w:t>
      </w:r>
      <w:r w:rsidR="00976DD5" w:rsidRPr="00F167FC">
        <w:rPr>
          <w:szCs w:val="24"/>
          <w:highlight w:val="yellow"/>
        </w:rPr>
        <w:t>theoretical framework onto the data.</w:t>
      </w:r>
      <w:r w:rsidR="00976DD5">
        <w:rPr>
          <w:szCs w:val="24"/>
        </w:rPr>
        <w:t xml:space="preserve"> From a group of ten characteristics, two components of </w:t>
      </w:r>
      <w:r w:rsidR="00304794">
        <w:rPr>
          <w:szCs w:val="24"/>
        </w:rPr>
        <w:t xml:space="preserve">democratic </w:t>
      </w:r>
      <w:r w:rsidR="00976DD5">
        <w:rPr>
          <w:szCs w:val="24"/>
        </w:rPr>
        <w:t xml:space="preserve">understanding have been outlined: one explains a third of variance in the survey data and is a broad mixture of liberal, populist and social characteristics, </w:t>
      </w:r>
      <w:r w:rsidR="00304794">
        <w:rPr>
          <w:szCs w:val="24"/>
        </w:rPr>
        <w:t xml:space="preserve">while </w:t>
      </w:r>
      <w:r w:rsidR="00976DD5">
        <w:rPr>
          <w:szCs w:val="24"/>
        </w:rPr>
        <w:t>the other explains around 16% of the variance, and measures support for an authoritarian understanding of democracy.</w:t>
      </w:r>
    </w:p>
    <w:p w14:paraId="571F3D23" w14:textId="56538AB9" w:rsidR="00976DD5" w:rsidRDefault="00976DD5" w:rsidP="00976DD5">
      <w:pPr>
        <w:rPr>
          <w:szCs w:val="24"/>
        </w:rPr>
      </w:pPr>
      <w:r>
        <w:rPr>
          <w:szCs w:val="24"/>
        </w:rPr>
        <w:t>These components are different to the factors drawn out by Welzel</w:t>
      </w:r>
      <w:r w:rsidR="00A4395A">
        <w:rPr>
          <w:szCs w:val="24"/>
        </w:rPr>
        <w:t xml:space="preserve"> (2011, 2013)</w:t>
      </w:r>
      <w:r>
        <w:rPr>
          <w:szCs w:val="24"/>
        </w:rPr>
        <w:t>, who used a different statistical technique, Factor Analysis, to look at these same questions. I was unable to exactly replicate his results, and instead, my analysis showed that there might be some unreliability in using FA</w:t>
      </w:r>
      <w:r w:rsidR="00786E3B">
        <w:rPr>
          <w:szCs w:val="24"/>
        </w:rPr>
        <w:t xml:space="preserve"> on priority values</w:t>
      </w:r>
      <w:r>
        <w:rPr>
          <w:szCs w:val="24"/>
        </w:rPr>
        <w:t>. The clear-cut results of liberal (anti-authoritarian), populist and social definitions of democracy were muddier when I ran the test on the same dataset. The criteria for selecting the factors does not present</w:t>
      </w:r>
      <w:r w:rsidR="008C1219">
        <w:rPr>
          <w:szCs w:val="24"/>
        </w:rPr>
        <w:t xml:space="preserve"> as</w:t>
      </w:r>
      <w:r>
        <w:rPr>
          <w:szCs w:val="24"/>
        </w:rPr>
        <w:t xml:space="preserve"> straight-forward </w:t>
      </w:r>
      <w:r w:rsidR="008C1219">
        <w:rPr>
          <w:szCs w:val="24"/>
        </w:rPr>
        <w:t xml:space="preserve">a </w:t>
      </w:r>
      <w:r>
        <w:rPr>
          <w:szCs w:val="24"/>
        </w:rPr>
        <w:t>cut</w:t>
      </w:r>
      <w:r w:rsidR="008C1219">
        <w:rPr>
          <w:szCs w:val="24"/>
        </w:rPr>
        <w:t>-</w:t>
      </w:r>
      <w:r>
        <w:rPr>
          <w:szCs w:val="24"/>
        </w:rPr>
        <w:t>off point as does the PCA results, leading me to believe that my approach is a more robust demonstration of how citizens are defining democracy.</w:t>
      </w:r>
    </w:p>
    <w:p w14:paraId="64793ABC" w14:textId="0F8E058D" w:rsidR="00976DD5" w:rsidRDefault="00976DD5" w:rsidP="00976DD5">
      <w:pPr>
        <w:rPr>
          <w:szCs w:val="24"/>
        </w:rPr>
      </w:pPr>
      <w:r>
        <w:rPr>
          <w:szCs w:val="24"/>
        </w:rPr>
        <w:t>The PCA approach also adds more depth by allowing me to demonstrate that these dimensions of</w:t>
      </w:r>
      <w:r w:rsidR="008C1219">
        <w:rPr>
          <w:szCs w:val="24"/>
        </w:rPr>
        <w:t xml:space="preserve"> democratic</w:t>
      </w:r>
      <w:r>
        <w:rPr>
          <w:szCs w:val="24"/>
        </w:rPr>
        <w:t xml:space="preserve"> understanding, which are theoretically opposed, can both be understood as democratic by a respondent at the same time. This ability to hold ‘contradictory’ accounts o</w:t>
      </w:r>
      <w:r w:rsidR="007661D0">
        <w:rPr>
          <w:szCs w:val="24"/>
        </w:rPr>
        <w:t xml:space="preserve">f democracy simultaneously is </w:t>
      </w:r>
      <w:r w:rsidR="00F97392">
        <w:rPr>
          <w:szCs w:val="24"/>
        </w:rPr>
        <w:t>an</w:t>
      </w:r>
      <w:r>
        <w:rPr>
          <w:szCs w:val="24"/>
        </w:rPr>
        <w:t xml:space="preserve"> interesting finding </w:t>
      </w:r>
      <w:r w:rsidR="00F97392">
        <w:rPr>
          <w:szCs w:val="24"/>
        </w:rPr>
        <w:t>and moves us beyond simply</w:t>
      </w:r>
      <w:r>
        <w:rPr>
          <w:szCs w:val="24"/>
        </w:rPr>
        <w:t xml:space="preserve"> determining that certain people are answering the questions incorrectly according to liberal democratic theory.</w:t>
      </w:r>
    </w:p>
    <w:p w14:paraId="19CF2207" w14:textId="27F0910E" w:rsidR="00976DD5" w:rsidRDefault="00976DD5" w:rsidP="00976DD5">
      <w:pPr>
        <w:rPr>
          <w:szCs w:val="24"/>
        </w:rPr>
      </w:pPr>
      <w:r>
        <w:rPr>
          <w:szCs w:val="24"/>
        </w:rPr>
        <w:t>This chapter has addressed the final aim (1.6) in the first section of analysis in this thesis, to examine understandings of democracy from the point of view of the people, and to produce a dimensional framework of how it is understood.</w:t>
      </w:r>
    </w:p>
    <w:p w14:paraId="3A593751" w14:textId="5680BFBC" w:rsidR="00976DD5" w:rsidRDefault="00976DD5" w:rsidP="00976DD5">
      <w:pPr>
        <w:rPr>
          <w:szCs w:val="24"/>
        </w:rPr>
      </w:pPr>
      <w:r>
        <w:rPr>
          <w:szCs w:val="24"/>
        </w:rPr>
        <w:t xml:space="preserve">The next </w:t>
      </w:r>
      <w:r w:rsidR="001367A2">
        <w:rPr>
          <w:szCs w:val="24"/>
        </w:rPr>
        <w:t>step in the research is to examine</w:t>
      </w:r>
      <w:r>
        <w:rPr>
          <w:szCs w:val="24"/>
        </w:rPr>
        <w:t xml:space="preserve"> why citizens hold these different types understanding</w:t>
      </w:r>
      <w:r w:rsidR="00FF79D5">
        <w:rPr>
          <w:szCs w:val="24"/>
        </w:rPr>
        <w:t>, u</w:t>
      </w:r>
      <w:r>
        <w:rPr>
          <w:szCs w:val="24"/>
        </w:rPr>
        <w:t>sing multilevel regression techniques</w:t>
      </w:r>
      <w:r w:rsidR="009D5F8F">
        <w:rPr>
          <w:szCs w:val="24"/>
        </w:rPr>
        <w:t xml:space="preserve"> (A</w:t>
      </w:r>
      <w:r>
        <w:rPr>
          <w:szCs w:val="24"/>
        </w:rPr>
        <w:t>ims 2.1 and 2.2).</w:t>
      </w:r>
    </w:p>
    <w:p w14:paraId="0BABF0ED" w14:textId="77777777" w:rsidR="00976DD5" w:rsidRDefault="00976DD5" w:rsidP="00976DD5"/>
    <w:p w14:paraId="5E46670C" w14:textId="77777777" w:rsidR="00976DD5" w:rsidRDefault="00976DD5" w:rsidP="00B77E5A">
      <w:pPr>
        <w:rPr>
          <w:szCs w:val="24"/>
        </w:rPr>
      </w:pPr>
    </w:p>
    <w:p w14:paraId="4DEC24FB" w14:textId="77777777" w:rsidR="00B50B73" w:rsidRDefault="00B50B73" w:rsidP="00B77E5A">
      <w:pPr>
        <w:rPr>
          <w:szCs w:val="24"/>
        </w:rPr>
      </w:pPr>
    </w:p>
    <w:p w14:paraId="7753810E" w14:textId="77777777" w:rsidR="00B50B73" w:rsidRDefault="00B50B73" w:rsidP="00B77E5A">
      <w:pPr>
        <w:rPr>
          <w:szCs w:val="24"/>
        </w:rPr>
      </w:pPr>
    </w:p>
    <w:p w14:paraId="598AE80D" w14:textId="77777777" w:rsidR="00B50B73" w:rsidRDefault="00B50B73" w:rsidP="00B77E5A">
      <w:pPr>
        <w:rPr>
          <w:szCs w:val="24"/>
        </w:rPr>
      </w:pPr>
    </w:p>
    <w:p w14:paraId="40F51F34" w14:textId="77777777" w:rsidR="00B50B73" w:rsidRDefault="00B50B73" w:rsidP="00B77E5A">
      <w:pPr>
        <w:rPr>
          <w:szCs w:val="24"/>
        </w:rPr>
      </w:pPr>
    </w:p>
    <w:p w14:paraId="16BAD79F" w14:textId="46A95269" w:rsidR="00FF79D5" w:rsidRDefault="00FF79D5">
      <w:pPr>
        <w:spacing w:before="0" w:after="200" w:line="276" w:lineRule="auto"/>
        <w:rPr>
          <w:szCs w:val="24"/>
        </w:rPr>
      </w:pPr>
      <w:r>
        <w:rPr>
          <w:szCs w:val="24"/>
        </w:rPr>
        <w:br w:type="page"/>
      </w:r>
    </w:p>
    <w:p w14:paraId="34D7F83D" w14:textId="04C0DDDD" w:rsidR="003600BE" w:rsidRDefault="00C37C1E" w:rsidP="003600BE">
      <w:pPr>
        <w:pStyle w:val="Heading1"/>
      </w:pPr>
      <w:bookmarkStart w:id="273" w:name="_Toc441069232"/>
      <w:bookmarkStart w:id="274" w:name="_Toc441069033"/>
      <w:bookmarkStart w:id="275" w:name="_Toc439171185"/>
      <w:r>
        <w:t xml:space="preserve"> </w:t>
      </w:r>
      <w:bookmarkStart w:id="276" w:name="_Toc494034226"/>
      <w:r w:rsidR="003600BE">
        <w:t>Explaining Different Understandings of Democracy</w:t>
      </w:r>
      <w:bookmarkEnd w:id="273"/>
      <w:bookmarkEnd w:id="274"/>
      <w:bookmarkEnd w:id="275"/>
      <w:bookmarkEnd w:id="276"/>
    </w:p>
    <w:p w14:paraId="6928EB9E" w14:textId="77777777" w:rsidR="00D1659F" w:rsidRDefault="00D1659F" w:rsidP="00DB5B45">
      <w:pPr>
        <w:pStyle w:val="Quote"/>
        <w:rPr>
          <w:b/>
          <w:sz w:val="20"/>
          <w:szCs w:val="20"/>
        </w:rPr>
      </w:pPr>
      <w:bookmarkStart w:id="277" w:name="_Toc393447163"/>
    </w:p>
    <w:p w14:paraId="23161BBF" w14:textId="5D51CFE8" w:rsidR="00DB5B45" w:rsidRDefault="00DB5B45" w:rsidP="00DB5B45">
      <w:pPr>
        <w:pStyle w:val="Quote"/>
        <w:rPr>
          <w:b/>
          <w:sz w:val="20"/>
          <w:szCs w:val="20"/>
        </w:rPr>
      </w:pPr>
      <w:r w:rsidRPr="00D1659F">
        <w:rPr>
          <w:b/>
          <w:sz w:val="20"/>
          <w:szCs w:val="20"/>
        </w:rPr>
        <w:t>“…little is known about the breadth, depth and distribution of democratic enlightenment among the mass citizenries of democratic and non-democratic countries in the world today or about major forces shaping their democratic enlightenment.” (Cho 2015, p.255)</w:t>
      </w:r>
    </w:p>
    <w:p w14:paraId="7659AC03" w14:textId="77777777" w:rsidR="00D1659F" w:rsidRPr="00D1659F" w:rsidRDefault="00D1659F" w:rsidP="00D1659F"/>
    <w:p w14:paraId="5C5B0284" w14:textId="223335B8" w:rsidR="003600BE" w:rsidRDefault="003600BE" w:rsidP="003600BE">
      <w:pPr>
        <w:rPr>
          <w:szCs w:val="24"/>
        </w:rPr>
      </w:pPr>
      <w:r>
        <w:rPr>
          <w:szCs w:val="24"/>
        </w:rPr>
        <w:t xml:space="preserve">The previous chapter identified two prominent understandings of democracy: one, a compound of theoretical values that incorporates liberal, social and populist conceptions of democracy, and the other, a far clearer authoritarian understanding concerning theocratic and militaristic conceptions of democracy. This chapter examines </w:t>
      </w:r>
      <w:r>
        <w:rPr>
          <w:i/>
          <w:szCs w:val="24"/>
        </w:rPr>
        <w:t>why</w:t>
      </w:r>
      <w:r>
        <w:rPr>
          <w:szCs w:val="24"/>
        </w:rPr>
        <w:t xml:space="preserve"> people might have these different understandings of democracy. As the dataset I am using contains citizens from multiple countries, the theoretical explanations I explore are from both the individual and national level.</w:t>
      </w:r>
    </w:p>
    <w:p w14:paraId="2A7C714C" w14:textId="208E73EE" w:rsidR="003600BE" w:rsidRDefault="003600BE" w:rsidP="003600BE">
      <w:pPr>
        <w:rPr>
          <w:szCs w:val="24"/>
        </w:rPr>
      </w:pPr>
      <w:r>
        <w:rPr>
          <w:szCs w:val="24"/>
        </w:rPr>
        <w:t xml:space="preserve"> At the individual level I test the explanatory power of </w:t>
      </w:r>
      <w:r w:rsidR="0080286D">
        <w:rPr>
          <w:szCs w:val="24"/>
        </w:rPr>
        <w:t>three</w:t>
      </w:r>
      <w:r>
        <w:rPr>
          <w:szCs w:val="24"/>
        </w:rPr>
        <w:t xml:space="preserve"> different theories of how citizens might understand their political system: modernization, political knowledge, </w:t>
      </w:r>
      <w:r w:rsidR="0080286D">
        <w:rPr>
          <w:szCs w:val="24"/>
        </w:rPr>
        <w:t xml:space="preserve">and </w:t>
      </w:r>
      <w:r>
        <w:rPr>
          <w:szCs w:val="24"/>
        </w:rPr>
        <w:t>social capital</w:t>
      </w:r>
      <w:r w:rsidR="0080286D">
        <w:rPr>
          <w:szCs w:val="24"/>
        </w:rPr>
        <w:t xml:space="preserve">. At this level, I </w:t>
      </w:r>
      <w:r w:rsidR="005635F4">
        <w:rPr>
          <w:szCs w:val="24"/>
        </w:rPr>
        <w:t xml:space="preserve">also </w:t>
      </w:r>
      <w:r w:rsidR="0080286D">
        <w:rPr>
          <w:szCs w:val="24"/>
        </w:rPr>
        <w:t xml:space="preserve">see if </w:t>
      </w:r>
      <w:r w:rsidR="005635F4">
        <w:rPr>
          <w:szCs w:val="24"/>
        </w:rPr>
        <w:t xml:space="preserve">an </w:t>
      </w:r>
      <w:r w:rsidR="0080286D">
        <w:rPr>
          <w:szCs w:val="24"/>
        </w:rPr>
        <w:t>individual’s religion, and their level of religiosity</w:t>
      </w:r>
      <w:r w:rsidR="005635F4">
        <w:rPr>
          <w:szCs w:val="24"/>
        </w:rPr>
        <w:t>,</w:t>
      </w:r>
      <w:r w:rsidR="0080286D">
        <w:rPr>
          <w:szCs w:val="24"/>
        </w:rPr>
        <w:t xml:space="preserve"> has an effect on their understanding of democracy.</w:t>
      </w:r>
      <w:r>
        <w:rPr>
          <w:szCs w:val="24"/>
        </w:rPr>
        <w:t xml:space="preserve"> At the national level the contextual factors examined are levels of development, freedom of the press, history of democracy, history of communism, openness of regime,</w:t>
      </w:r>
      <w:r w:rsidR="00714E16">
        <w:rPr>
          <w:szCs w:val="24"/>
        </w:rPr>
        <w:t xml:space="preserve"> and income</w:t>
      </w:r>
      <w:r>
        <w:rPr>
          <w:szCs w:val="24"/>
        </w:rPr>
        <w:t xml:space="preserve"> inequality.</w:t>
      </w:r>
    </w:p>
    <w:p w14:paraId="22F0A06D" w14:textId="4EEBD5F1" w:rsidR="007328C7" w:rsidRDefault="003600BE" w:rsidP="003600BE">
      <w:pPr>
        <w:rPr>
          <w:szCs w:val="24"/>
        </w:rPr>
      </w:pPr>
      <w:r>
        <w:rPr>
          <w:szCs w:val="24"/>
        </w:rPr>
        <w:t>Sections 5.1 outline</w:t>
      </w:r>
      <w:r w:rsidR="009138D2">
        <w:rPr>
          <w:szCs w:val="24"/>
        </w:rPr>
        <w:t>s</w:t>
      </w:r>
      <w:r>
        <w:rPr>
          <w:szCs w:val="24"/>
        </w:rPr>
        <w:t xml:space="preserve"> the theoretical background.  </w:t>
      </w:r>
      <w:r w:rsidR="009138D2">
        <w:rPr>
          <w:szCs w:val="24"/>
        </w:rPr>
        <w:t>This section</w:t>
      </w:r>
      <w:r>
        <w:rPr>
          <w:szCs w:val="24"/>
        </w:rPr>
        <w:t xml:space="preserve"> examine</w:t>
      </w:r>
      <w:r w:rsidR="00B67477">
        <w:rPr>
          <w:szCs w:val="24"/>
        </w:rPr>
        <w:t>s</w:t>
      </w:r>
      <w:r>
        <w:rPr>
          <w:szCs w:val="24"/>
        </w:rPr>
        <w:t xml:space="preserve"> the individual and national level theories, and outline</w:t>
      </w:r>
      <w:r w:rsidR="009138D2">
        <w:rPr>
          <w:szCs w:val="24"/>
        </w:rPr>
        <w:t>s</w:t>
      </w:r>
      <w:r>
        <w:rPr>
          <w:szCs w:val="24"/>
        </w:rPr>
        <w:t xml:space="preserve"> the expected relationships they will have with the two </w:t>
      </w:r>
      <w:r w:rsidR="001E3FD2">
        <w:rPr>
          <w:szCs w:val="24"/>
        </w:rPr>
        <w:t>conceptualis</w:t>
      </w:r>
      <w:r>
        <w:rPr>
          <w:szCs w:val="24"/>
        </w:rPr>
        <w:t xml:space="preserve">ations of democracy, as well as how the theories will be operationalized using the </w:t>
      </w:r>
      <w:r w:rsidR="005635F4">
        <w:rPr>
          <w:szCs w:val="24"/>
        </w:rPr>
        <w:t>relevant questions from the WVS2008 dataset</w:t>
      </w:r>
      <w:r>
        <w:rPr>
          <w:szCs w:val="24"/>
        </w:rPr>
        <w:t xml:space="preserve">. </w:t>
      </w:r>
      <w:r w:rsidR="007328C7">
        <w:rPr>
          <w:szCs w:val="24"/>
        </w:rPr>
        <w:t xml:space="preserve">Throughout this section I draw attention to </w:t>
      </w:r>
      <w:r w:rsidR="00B67477">
        <w:rPr>
          <w:szCs w:val="24"/>
        </w:rPr>
        <w:t>three</w:t>
      </w:r>
      <w:r w:rsidR="007328C7">
        <w:rPr>
          <w:szCs w:val="24"/>
        </w:rPr>
        <w:t xml:space="preserve"> puzzles in t</w:t>
      </w:r>
      <w:r w:rsidR="009138D2">
        <w:rPr>
          <w:szCs w:val="24"/>
        </w:rPr>
        <w:t xml:space="preserve">he literature and </w:t>
      </w:r>
      <w:r w:rsidR="007328C7">
        <w:rPr>
          <w:szCs w:val="24"/>
        </w:rPr>
        <w:t>outline how cross-level interactions will be used in the statistical models to try and make sense of these issues where there is a clear lack of consensus in the literature.</w:t>
      </w:r>
    </w:p>
    <w:p w14:paraId="15A334E2" w14:textId="69198E2A" w:rsidR="003600BE" w:rsidRDefault="00B67477" w:rsidP="003600BE">
      <w:pPr>
        <w:rPr>
          <w:szCs w:val="24"/>
        </w:rPr>
      </w:pPr>
      <w:r>
        <w:rPr>
          <w:szCs w:val="24"/>
        </w:rPr>
        <w:t>After this, Section 5.2</w:t>
      </w:r>
      <w:r w:rsidR="003600BE">
        <w:rPr>
          <w:szCs w:val="24"/>
        </w:rPr>
        <w:t xml:space="preserve"> discusses the importance of using multi-level</w:t>
      </w:r>
      <w:r>
        <w:rPr>
          <w:szCs w:val="24"/>
        </w:rPr>
        <w:t xml:space="preserve"> modelling (MLM). In Section 5.3 </w:t>
      </w:r>
      <w:r w:rsidR="003600BE">
        <w:rPr>
          <w:szCs w:val="24"/>
        </w:rPr>
        <w:t xml:space="preserve">the two </w:t>
      </w:r>
      <w:r w:rsidR="001E3FD2">
        <w:rPr>
          <w:szCs w:val="24"/>
        </w:rPr>
        <w:t>conceptualis</w:t>
      </w:r>
      <w:r w:rsidR="003600BE">
        <w:rPr>
          <w:szCs w:val="24"/>
        </w:rPr>
        <w:t xml:space="preserve">ations are examined in </w:t>
      </w:r>
      <w:r>
        <w:rPr>
          <w:szCs w:val="24"/>
        </w:rPr>
        <w:t>turn. Afterwards, in Section 5.4</w:t>
      </w:r>
      <w:r w:rsidR="003600BE">
        <w:rPr>
          <w:szCs w:val="24"/>
        </w:rPr>
        <w:t xml:space="preserve"> I discuss the results in detail and draw all the results together. </w:t>
      </w:r>
      <w:r>
        <w:rPr>
          <w:szCs w:val="24"/>
        </w:rPr>
        <w:t>Lastly, section 5.5</w:t>
      </w:r>
      <w:r w:rsidR="003600BE">
        <w:rPr>
          <w:szCs w:val="24"/>
        </w:rPr>
        <w:t xml:space="preserve"> provides a brief conclusion and setting up of the final, following substantive chapter. Detailed information on the source of data and coding of variables </w:t>
      </w:r>
      <w:r w:rsidR="005635F4">
        <w:rPr>
          <w:szCs w:val="24"/>
        </w:rPr>
        <w:t>are made available</w:t>
      </w:r>
      <w:r w:rsidR="003600BE">
        <w:rPr>
          <w:szCs w:val="24"/>
        </w:rPr>
        <w:t xml:space="preserve"> in the Appendix.</w:t>
      </w:r>
    </w:p>
    <w:p w14:paraId="313088C3" w14:textId="6F3FB439" w:rsidR="003600BE" w:rsidRDefault="003600BE" w:rsidP="002032DF">
      <w:pPr>
        <w:pStyle w:val="Heading2"/>
        <w:numPr>
          <w:ilvl w:val="1"/>
          <w:numId w:val="16"/>
        </w:numPr>
      </w:pPr>
      <w:bookmarkStart w:id="278" w:name="_Toc441069233"/>
      <w:bookmarkStart w:id="279" w:name="_Toc441069034"/>
      <w:bookmarkStart w:id="280" w:name="_Toc439171186"/>
      <w:bookmarkStart w:id="281" w:name="_Toc494034227"/>
      <w:r>
        <w:t xml:space="preserve">5.1: </w:t>
      </w:r>
      <w:bookmarkEnd w:id="278"/>
      <w:bookmarkEnd w:id="279"/>
      <w:bookmarkEnd w:id="280"/>
      <w:r w:rsidR="009138D2">
        <w:t>Theories of democratic understanding</w:t>
      </w:r>
      <w:bookmarkEnd w:id="281"/>
    </w:p>
    <w:p w14:paraId="2DFB7656" w14:textId="75B1E9B4" w:rsidR="003600BE" w:rsidRDefault="003600BE" w:rsidP="003600BE">
      <w:pPr>
        <w:rPr>
          <w:szCs w:val="24"/>
        </w:rPr>
      </w:pPr>
      <w:r>
        <w:rPr>
          <w:szCs w:val="24"/>
        </w:rPr>
        <w:t xml:space="preserve">The theories examined in this chapter are </w:t>
      </w:r>
      <w:r w:rsidR="00714E16">
        <w:rPr>
          <w:szCs w:val="24"/>
        </w:rPr>
        <w:t xml:space="preserve">for the most part </w:t>
      </w:r>
      <w:r>
        <w:rPr>
          <w:szCs w:val="24"/>
        </w:rPr>
        <w:t xml:space="preserve">drawn from the theories of democratic development and understanding outlined in the literature review. For this reason, the discussion of theories will be shorter here. </w:t>
      </w:r>
      <w:r w:rsidR="002D0640">
        <w:rPr>
          <w:szCs w:val="24"/>
        </w:rPr>
        <w:t>S</w:t>
      </w:r>
      <w:r>
        <w:rPr>
          <w:rFonts w:cstheme="majorBidi"/>
          <w:szCs w:val="24"/>
        </w:rPr>
        <w:t>tandard controls for age and gender are included as they are basic variables present in models of political beha</w:t>
      </w:r>
      <w:r w:rsidR="004D4A26">
        <w:rPr>
          <w:rFonts w:cstheme="majorBidi"/>
          <w:szCs w:val="24"/>
        </w:rPr>
        <w:t>vi</w:t>
      </w:r>
      <w:r w:rsidR="00233AFE">
        <w:rPr>
          <w:rFonts w:cstheme="majorBidi"/>
          <w:szCs w:val="24"/>
        </w:rPr>
        <w:t xml:space="preserve">our </w:t>
      </w:r>
      <w:bookmarkStart w:id="282" w:name="_Hlk490749884"/>
      <w:r w:rsidR="00233AFE">
        <w:rPr>
          <w:rFonts w:cstheme="majorBidi"/>
          <w:szCs w:val="24"/>
        </w:rPr>
        <w:fldChar w:fldCharType="begin" w:fldLock="1"/>
      </w:r>
      <w:r w:rsidR="00E63CC6">
        <w:rPr>
          <w:rFonts w:cstheme="majorBidi"/>
          <w:szCs w:val="24"/>
        </w:rPr>
        <w:instrText>ADDIN CSL_CITATION { "citationItems" : [ { "id" : "ITEM-1", "itemData" : { "DOI" : "10.1017/S0007123408000331", "ISSN" : "0007-1234", "author" : [ { "dropping-particle" : "", "family" : "Pattie", "given" : "C. J.", "non-dropping-particle" : "", "parse-names" : false, "suffix" : "" }, { "dropping-particle" : "", "family" : "Johnston", "given" : "R. J.", "non-dropping-particle" : "", "parse-names" : false, "suffix" : "" } ], "container-title" : "British Journal of Political Science", "id" : "ITEM-1", "issue" : "04", "issued" : { "date-parts" : [ [ "2008", "7", "14" ] ] }, "page" : "677-698", "title" : "It's Good To Talk: Talk, Disagreement and Tolerance", "type" : "article-journal", "volume" : "38" }, "uris" : [ "http://www.mendeley.com/documents/?uuid=60785433-e1e9-496c-9dc6-be89dca213f6" ] } ], "mendeley" : { "formattedCitation" : "(Pattie and Johnston, 2008)", "manualFormatting" : "(Pattie &amp; Johnston 2008, p.685)", "plainTextFormattedCitation" : "(Pattie and Johnston, 2008)", "previouslyFormattedCitation" : "(Pattie and Johnston, 2008)" }, "properties" : { "noteIndex" : 0 }, "schema" : "https://github.com/citation-style-language/schema/raw/master/csl-citation.json" }</w:instrText>
      </w:r>
      <w:r w:rsidR="00233AFE">
        <w:rPr>
          <w:rFonts w:cstheme="majorBidi"/>
          <w:szCs w:val="24"/>
        </w:rPr>
        <w:fldChar w:fldCharType="separate"/>
      </w:r>
      <w:r w:rsidR="00233AFE" w:rsidRPr="00233AFE">
        <w:rPr>
          <w:rFonts w:cstheme="majorBidi"/>
          <w:noProof/>
          <w:szCs w:val="24"/>
        </w:rPr>
        <w:t>(Pattie &amp; Johnston 2008</w:t>
      </w:r>
      <w:r w:rsidR="00233AFE">
        <w:rPr>
          <w:rFonts w:cstheme="majorBidi"/>
          <w:noProof/>
          <w:szCs w:val="24"/>
        </w:rPr>
        <w:t>, p.685</w:t>
      </w:r>
      <w:r w:rsidR="00233AFE" w:rsidRPr="00233AFE">
        <w:rPr>
          <w:rFonts w:cstheme="majorBidi"/>
          <w:noProof/>
          <w:szCs w:val="24"/>
        </w:rPr>
        <w:t>)</w:t>
      </w:r>
      <w:r w:rsidR="00233AFE">
        <w:rPr>
          <w:rFonts w:cstheme="majorBidi"/>
          <w:szCs w:val="24"/>
        </w:rPr>
        <w:fldChar w:fldCharType="end"/>
      </w:r>
      <w:bookmarkEnd w:id="282"/>
      <w:r>
        <w:rPr>
          <w:rFonts w:cstheme="majorBidi"/>
          <w:szCs w:val="24"/>
        </w:rPr>
        <w:t xml:space="preserve">.  </w:t>
      </w:r>
    </w:p>
    <w:p w14:paraId="22F77E63" w14:textId="77777777" w:rsidR="003600BE" w:rsidRPr="002D0640" w:rsidRDefault="003600BE" w:rsidP="002032DF">
      <w:pPr>
        <w:pStyle w:val="Heading3"/>
        <w:numPr>
          <w:ilvl w:val="2"/>
          <w:numId w:val="16"/>
        </w:numPr>
        <w:spacing w:line="268" w:lineRule="auto"/>
        <w:rPr>
          <w:highlight w:val="lightGray"/>
        </w:rPr>
      </w:pPr>
      <w:bookmarkStart w:id="283" w:name="_Toc441069234"/>
      <w:r w:rsidRPr="002D0640">
        <w:rPr>
          <w:highlight w:val="lightGray"/>
        </w:rPr>
        <w:t>Modernization</w:t>
      </w:r>
      <w:bookmarkEnd w:id="283"/>
      <w:r w:rsidRPr="002D0640">
        <w:rPr>
          <w:highlight w:val="lightGray"/>
        </w:rPr>
        <w:t xml:space="preserve"> </w:t>
      </w:r>
    </w:p>
    <w:p w14:paraId="5B1DAD9B" w14:textId="0E363D1C" w:rsidR="007B1310" w:rsidRPr="002D0640" w:rsidRDefault="003600BE" w:rsidP="003600BE">
      <w:pPr>
        <w:rPr>
          <w:szCs w:val="24"/>
          <w:highlight w:val="lightGray"/>
        </w:rPr>
      </w:pPr>
      <w:r w:rsidRPr="002D0640">
        <w:rPr>
          <w:szCs w:val="24"/>
          <w:highlight w:val="lightGray"/>
        </w:rPr>
        <w:t>The idea that an individual might develop political understanding with higher educational</w:t>
      </w:r>
      <w:r w:rsidR="007B1310" w:rsidRPr="002D0640">
        <w:rPr>
          <w:szCs w:val="24"/>
          <w:highlight w:val="lightGray"/>
        </w:rPr>
        <w:t xml:space="preserve"> attainment</w:t>
      </w:r>
      <w:r w:rsidR="002D5372" w:rsidRPr="002D0640">
        <w:rPr>
          <w:szCs w:val="24"/>
          <w:highlight w:val="lightGray"/>
        </w:rPr>
        <w:t xml:space="preserve">, </w:t>
      </w:r>
      <w:r w:rsidR="00B62B7C" w:rsidRPr="002D0640">
        <w:rPr>
          <w:szCs w:val="24"/>
          <w:highlight w:val="lightGray"/>
        </w:rPr>
        <w:t xml:space="preserve"> </w:t>
      </w:r>
      <w:r w:rsidR="002D5372" w:rsidRPr="002D0640">
        <w:rPr>
          <w:szCs w:val="24"/>
          <w:highlight w:val="lightGray"/>
        </w:rPr>
        <w:t xml:space="preserve">socioeconomic status </w:t>
      </w:r>
      <w:r w:rsidR="002D5372" w:rsidRPr="002D0640">
        <w:rPr>
          <w:szCs w:val="24"/>
          <w:highlight w:val="lightGray"/>
        </w:rPr>
        <w:fldChar w:fldCharType="begin" w:fldLock="1"/>
      </w:r>
      <w:r w:rsidR="00E63CC6" w:rsidRPr="002D0640">
        <w:rPr>
          <w:szCs w:val="24"/>
          <w:highlight w:val="lightGray"/>
        </w:rPr>
        <w:instrText>ADDIN CSL_CITATION { "citationItems" : [ { "id" : "ITEM-1", "itemData" : { "author" : [ { "dropping-particle" : "", "family" : "Bell", "given" : "D", "non-dropping-particle" : "", "parse-names" : false, "suffix" : "" } ], "id" : "ITEM-1", "issued" : { "date-parts" : [ [ "1973" ] ] }, "publisher" : "Basic Books", "publisher-place" : "New York", "title" : "The Coming of Post-Industrial Society", "type" : "book" }, "uris" : [ "http://www.mendeley.com/documents/?uuid=3aeac658-6cb8-406e-93c4-d46749c7c0f0" ] } ], "mendeley" : { "formattedCitation" : "(Bell, 1973)", "manualFormatting" : "(Bell 1973, pp.374-377)", "plainTextFormattedCitation" : "(Bell, 1973)", "previouslyFormattedCitation" : "(Bell, 1973)" }, "properties" : { "noteIndex" : 0 }, "schema" : "https://github.com/citation-style-language/schema/raw/master/csl-citation.json" }</w:instrText>
      </w:r>
      <w:r w:rsidR="002D5372" w:rsidRPr="002D0640">
        <w:rPr>
          <w:szCs w:val="24"/>
          <w:highlight w:val="lightGray"/>
        </w:rPr>
        <w:fldChar w:fldCharType="separate"/>
      </w:r>
      <w:r w:rsidR="002D5372" w:rsidRPr="002D0640">
        <w:rPr>
          <w:noProof/>
          <w:szCs w:val="24"/>
          <w:highlight w:val="lightGray"/>
        </w:rPr>
        <w:t>(Bell 1973, pp.374-377)</w:t>
      </w:r>
      <w:r w:rsidR="002D5372" w:rsidRPr="002D0640">
        <w:rPr>
          <w:szCs w:val="24"/>
          <w:highlight w:val="lightGray"/>
        </w:rPr>
        <w:fldChar w:fldCharType="end"/>
      </w:r>
      <w:r w:rsidR="002D5372" w:rsidRPr="002D0640">
        <w:rPr>
          <w:szCs w:val="24"/>
          <w:highlight w:val="lightGray"/>
        </w:rPr>
        <w:t xml:space="preserve"> and by moving from agricultural to industrial occupations </w:t>
      </w:r>
      <w:r w:rsidR="00B62B7C" w:rsidRPr="002D0640">
        <w:rPr>
          <w:szCs w:val="24"/>
          <w:highlight w:val="lightGray"/>
        </w:rPr>
        <w:fldChar w:fldCharType="begin" w:fldLock="1"/>
      </w:r>
      <w:r w:rsidR="00E63CC6" w:rsidRPr="002D0640">
        <w:rPr>
          <w:szCs w:val="24"/>
          <w:highlight w:val="lightGray"/>
        </w:rPr>
        <w:instrText>ADDIN CSL_CITATION { "citationItems" : [ { "id" : "ITEM-1", "itemData" : { "author" : [ { "dropping-particle" : "", "family" : "Inkeles", "given" : "A", "non-dropping-particle" : "", "parse-names" : false, "suffix" : "" }, { "dropping-particle" : "", "family" : "Smith, D.", "given" : "H", "non-dropping-particle" : "", "parse-names" : false, "suffix" : "" } ], "id" : "ITEM-1", "issued" : { "date-parts" : [ [ "1974" ] ] }, "publisher" : "Havard University Press", "publisher-place" : "Cambridge", "title" : "Becoming Modern: Individual Change in six Developing Countries", "type" : "book" }, "uris" : [ "http://www.mendeley.com/documents/?uuid=1f5edbda-b03b-491c-b7ac-1bfeb5e478c3" ] } ], "mendeley" : { "formattedCitation" : "(Inkeles and Smith, D., 1974)", "manualFormatting" : "(Inkeles &amp; Smith 1974)", "plainTextFormattedCitation" : "(Inkeles and Smith, D., 1974)", "previouslyFormattedCitation" : "(Inkeles and Smith, D., 1974)" }, "properties" : { "noteIndex" : 0 }, "schema" : "https://github.com/citation-style-language/schema/raw/master/csl-citation.json" }</w:instrText>
      </w:r>
      <w:r w:rsidR="00B62B7C" w:rsidRPr="002D0640">
        <w:rPr>
          <w:szCs w:val="24"/>
          <w:highlight w:val="lightGray"/>
        </w:rPr>
        <w:fldChar w:fldCharType="separate"/>
      </w:r>
      <w:r w:rsidR="00B62B7C" w:rsidRPr="002D0640">
        <w:rPr>
          <w:noProof/>
          <w:szCs w:val="24"/>
          <w:highlight w:val="lightGray"/>
        </w:rPr>
        <w:t>(Inkeles &amp; Smith 1974)</w:t>
      </w:r>
      <w:r w:rsidR="00B62B7C" w:rsidRPr="002D0640">
        <w:rPr>
          <w:szCs w:val="24"/>
          <w:highlight w:val="lightGray"/>
        </w:rPr>
        <w:fldChar w:fldCharType="end"/>
      </w:r>
      <w:r w:rsidRPr="002D0640">
        <w:rPr>
          <w:szCs w:val="24"/>
          <w:highlight w:val="lightGray"/>
        </w:rPr>
        <w:t xml:space="preserve"> is central to the modernization thesis, which links economic and political </w:t>
      </w:r>
      <w:r w:rsidR="005635F4" w:rsidRPr="002D0640">
        <w:rPr>
          <w:szCs w:val="24"/>
          <w:highlight w:val="lightGray"/>
        </w:rPr>
        <w:t>development</w:t>
      </w:r>
      <w:r w:rsidR="007B1310" w:rsidRPr="002D0640">
        <w:rPr>
          <w:szCs w:val="24"/>
          <w:highlight w:val="lightGray"/>
        </w:rPr>
        <w:t xml:space="preserve"> (see </w:t>
      </w:r>
      <w:r w:rsidR="007B1310" w:rsidRPr="002D0640">
        <w:rPr>
          <w:szCs w:val="24"/>
          <w:highlight w:val="lightGray"/>
        </w:rPr>
        <w:fldChar w:fldCharType="begin" w:fldLock="1"/>
      </w:r>
      <w:r w:rsidR="00E63CC6" w:rsidRPr="002D0640">
        <w:rPr>
          <w:szCs w:val="24"/>
          <w:highlight w:val="lightGray"/>
        </w:rPr>
        <w:instrText>ADDIN CSL_CITATION { "citationItems" : [ { "id" : "ITEM-1", "itemData" : { "author" : [ { "dropping-particle" : "", "family" : "Inglehart", "given" : "R.", "non-dropping-particle" : "", "parse-names" : false, "suffix" : "" } ], "id" : "ITEM-1", "issued" : { "date-parts" : [ [ "1997" ] ] }, "publisher" : "Princeton University Press", "publisher-place" : "New Jersey", "title" : "Modernization and Post Modernization", "type" : "book" }, "uris" : [ "http://www.mendeley.com/documents/?uuid=0cfd9f52-cee3-4240-b382-4e8a2b6cf7ae" ] } ], "mendeley" : { "formattedCitation" : "(Inglehart, 1997)", "manualFormatting" : "Inglehart 1997, pp.7-24 for an overview)", "plainTextFormattedCitation" : "(Inglehart, 1997)", "previouslyFormattedCitation" : "(Inglehart, 1997)" }, "properties" : { "noteIndex" : 0 }, "schema" : "https://github.com/citation-style-language/schema/raw/master/csl-citation.json" }</w:instrText>
      </w:r>
      <w:r w:rsidR="007B1310" w:rsidRPr="002D0640">
        <w:rPr>
          <w:szCs w:val="24"/>
          <w:highlight w:val="lightGray"/>
        </w:rPr>
        <w:fldChar w:fldCharType="separate"/>
      </w:r>
      <w:r w:rsidR="007B1310" w:rsidRPr="002D0640">
        <w:rPr>
          <w:noProof/>
          <w:szCs w:val="24"/>
          <w:highlight w:val="lightGray"/>
        </w:rPr>
        <w:t>Inglehart 1997, pp</w:t>
      </w:r>
      <w:r w:rsidR="00553E1A" w:rsidRPr="002D0640">
        <w:rPr>
          <w:noProof/>
          <w:szCs w:val="24"/>
          <w:highlight w:val="lightGray"/>
        </w:rPr>
        <w:t>.</w:t>
      </w:r>
      <w:r w:rsidR="007B1310" w:rsidRPr="002D0640">
        <w:rPr>
          <w:noProof/>
          <w:szCs w:val="24"/>
          <w:highlight w:val="lightGray"/>
        </w:rPr>
        <w:t>7-24 for an overview)</w:t>
      </w:r>
      <w:r w:rsidR="007B1310" w:rsidRPr="002D0640">
        <w:rPr>
          <w:szCs w:val="24"/>
          <w:highlight w:val="lightGray"/>
        </w:rPr>
        <w:fldChar w:fldCharType="end"/>
      </w:r>
      <w:r w:rsidRPr="002D0640">
        <w:rPr>
          <w:szCs w:val="24"/>
          <w:highlight w:val="lightGray"/>
        </w:rPr>
        <w:t xml:space="preserve">. </w:t>
      </w:r>
      <w:r w:rsidR="002D5372" w:rsidRPr="002D0640">
        <w:rPr>
          <w:szCs w:val="24"/>
          <w:highlight w:val="lightGray"/>
        </w:rPr>
        <w:t>Broadly</w:t>
      </w:r>
      <w:r w:rsidRPr="002D0640">
        <w:rPr>
          <w:szCs w:val="24"/>
          <w:highlight w:val="lightGray"/>
        </w:rPr>
        <w:t xml:space="preserve">, higher levels of both income and education are expected to produce more resources and opportunities for individuals to develop their political knowledge. Accordingly, citizen understandings will be closer to elite (i.e. theoretical) understandings of democracy, which </w:t>
      </w:r>
      <w:r w:rsidR="007B1310" w:rsidRPr="002D0640">
        <w:rPr>
          <w:szCs w:val="24"/>
          <w:highlight w:val="lightGray"/>
        </w:rPr>
        <w:t>we might</w:t>
      </w:r>
      <w:r w:rsidRPr="002D0640">
        <w:rPr>
          <w:szCs w:val="24"/>
          <w:highlight w:val="lightGray"/>
        </w:rPr>
        <w:t xml:space="preserve"> expect to be closer to the liberal democratic theory that was discussed in </w:t>
      </w:r>
      <w:r w:rsidR="007B1310" w:rsidRPr="002D0640">
        <w:rPr>
          <w:szCs w:val="24"/>
          <w:highlight w:val="lightGray"/>
        </w:rPr>
        <w:t>Chapter 2, Section 2.2 and Chapter 3, Section 3.2)</w:t>
      </w:r>
      <w:r w:rsidRPr="002D0640">
        <w:rPr>
          <w:szCs w:val="24"/>
          <w:highlight w:val="lightGray"/>
        </w:rPr>
        <w:t xml:space="preserve">. </w:t>
      </w:r>
    </w:p>
    <w:p w14:paraId="0BB857D6" w14:textId="147AE57E" w:rsidR="003600BE" w:rsidRPr="002D0640" w:rsidRDefault="003600BE" w:rsidP="003600BE">
      <w:pPr>
        <w:rPr>
          <w:szCs w:val="24"/>
          <w:highlight w:val="lightGray"/>
        </w:rPr>
      </w:pPr>
      <w:r w:rsidRPr="002D0640">
        <w:rPr>
          <w:szCs w:val="24"/>
          <w:highlight w:val="lightGray"/>
        </w:rPr>
        <w:t>This leads to the expectation that h</w:t>
      </w:r>
      <w:r w:rsidR="007B1310" w:rsidRPr="002D0640">
        <w:rPr>
          <w:szCs w:val="24"/>
          <w:highlight w:val="lightGray"/>
        </w:rPr>
        <w:t xml:space="preserve">igher education and income will </w:t>
      </w:r>
      <w:r w:rsidRPr="002D0640">
        <w:rPr>
          <w:szCs w:val="24"/>
          <w:highlight w:val="lightGray"/>
        </w:rPr>
        <w:t>lead to citizens being less likely to have an authoritarian understanding of democracy, as this does not align at all with democratic theory, liberal or otherwise. It is more difficult to predict what impact they will have on the first, mixed, understanding of democracy, but overall, since the liberal elements are at the core of this understanding, a higher socio-economic status (SES) is expected to have a positive relationship with this understanding.</w:t>
      </w:r>
    </w:p>
    <w:p w14:paraId="678C2F92" w14:textId="77777777" w:rsidR="009004F7" w:rsidRPr="002D0640" w:rsidRDefault="009004F7" w:rsidP="009004F7">
      <w:pPr>
        <w:rPr>
          <w:szCs w:val="24"/>
          <w:highlight w:val="lightGray"/>
        </w:rPr>
      </w:pPr>
      <w:r w:rsidRPr="002D0640">
        <w:rPr>
          <w:szCs w:val="24"/>
          <w:highlight w:val="lightGray"/>
        </w:rPr>
        <w:t xml:space="preserve">There are important things to note about how both education and income are measured in the WVS2008. </w:t>
      </w:r>
      <w:r w:rsidRPr="002D0640">
        <w:rPr>
          <w:rFonts w:cstheme="majorBidi"/>
          <w:szCs w:val="24"/>
          <w:highlight w:val="lightGray"/>
        </w:rPr>
        <w:t>Educational qualifications vary considerably across countries and so rather than look into specific qualifications, the WVS provides the following broad categories of education: lower, middle and upper. These roughly align with primary or less for lower, secondary for middle (even it not completed) and degree/university level or higher for upper. Throughout the analyses, the lower category provides the reference group.</w:t>
      </w:r>
    </w:p>
    <w:p w14:paraId="49C2CF77" w14:textId="5E38D4BF" w:rsidR="009004F7" w:rsidRPr="002D0640" w:rsidRDefault="009004F7" w:rsidP="003600BE">
      <w:pPr>
        <w:rPr>
          <w:szCs w:val="24"/>
          <w:highlight w:val="lightGray"/>
        </w:rPr>
      </w:pPr>
      <w:r w:rsidRPr="002D0640">
        <w:rPr>
          <w:szCs w:val="24"/>
          <w:highlight w:val="lightGray"/>
        </w:rPr>
        <w:t xml:space="preserve">The income variable is interesting in that it asks respondents where, on a ten-point scale, they think they sit in terms of income in their country, with 10 being the most well-off decile. In general, individuals are expected to underreport their income in household surveys </w:t>
      </w:r>
      <w:r w:rsidRPr="002D0640">
        <w:rPr>
          <w:szCs w:val="24"/>
          <w:highlight w:val="lightGray"/>
        </w:rPr>
        <w:fldChar w:fldCharType="begin" w:fldLock="1"/>
      </w:r>
      <w:r w:rsidRPr="002D0640">
        <w:rPr>
          <w:szCs w:val="24"/>
          <w:highlight w:val="lightGray"/>
        </w:rPr>
        <w:instrText>ADDIN CSL_CITATION { "citationItems" : [ { "id" : "ITEM-1", "itemData" : { "DOI" : "10.1016/j.jebo.2009.04.008", "ISBN" : "0167-2681", "ISSN" : "01672681", "abstract" : "How do people value freedom of choice? Drawing on economics and psychology the paper provides an hypothesis and empirical evidence on how individuals may value freedom of choice and derive utility from it. It is argued that the degree of perceived control that individuals have over choice - a construct known as the locus of control in psychology - regulates how we value freedom of choice. People who believe that the outcome of their actions depends on internal factors such as effort and skills (the 'internals') have a greater appreciation of freedom of choice than people who believe that the outcome of their actions depends on external factors such as fate or destiny (the 'externals'). We find some evidence in support of this hypothesis using a combination of all rounds of the World and European Values Surveys. A variable that measures freedom of choice and the locus of control is found to predict life satisfaction better than any other known factor such as health, employment, income, marriage or religion, across countries and within countries. We show that this variable is not a proxy of happiness and measures well both freedom of choice and the locus of control. 'Internals' are found to appreciate freedom of choice more than 'externals' and to be happier. These findings have important implications for individual utility, social welfare and public policies. ?? 2008 Elsevier B.V. All rights reserved.", "author" : [ { "dropping-particle" : "", "family" : "Verme", "given" : "Paolo", "non-dropping-particle" : "", "parse-names" : false, "suffix" : "" } ], "container-title" : "Journal of Economic Behavior and Organization", "id" : "ITEM-1", "issue" : "2", "issued" : { "date-parts" : [ [ "2009" ] ] }, "page" : "146-161", "title" : "Happiness, freedom and control", "type" : "article-journal", "volume" : "71" }, "uris" : [ "http://www.mendeley.com/documents/?uuid=fc15d510-721d-4d6f-9d2e-4073fcdf51ad" ] } ], "mendeley" : { "formattedCitation" : "(Verme, 2009)", "manualFormatting" : "(Verme 2009, p.152)", "plainTextFormattedCitation" : "(Verme, 2009)", "previouslyFormattedCitation" : "(Verme, 2009)" }, "properties" : { "noteIndex" : 0 }, "schema" : "https://github.com/citation-style-language/schema/raw/master/csl-citation.json" }</w:instrText>
      </w:r>
      <w:r w:rsidRPr="002D0640">
        <w:rPr>
          <w:szCs w:val="24"/>
          <w:highlight w:val="lightGray"/>
        </w:rPr>
        <w:fldChar w:fldCharType="separate"/>
      </w:r>
      <w:r w:rsidRPr="002D0640">
        <w:rPr>
          <w:noProof/>
          <w:szCs w:val="24"/>
          <w:highlight w:val="lightGray"/>
        </w:rPr>
        <w:t>(Verme 2009, p.152)</w:t>
      </w:r>
      <w:r w:rsidRPr="002D0640">
        <w:rPr>
          <w:szCs w:val="24"/>
          <w:highlight w:val="lightGray"/>
        </w:rPr>
        <w:fldChar w:fldCharType="end"/>
      </w:r>
      <w:r w:rsidRPr="002D0640">
        <w:rPr>
          <w:szCs w:val="24"/>
          <w:highlight w:val="lightGray"/>
        </w:rPr>
        <w:t xml:space="preserve">.  However, in a Latin American study comparing objective and subjective income data, </w:t>
      </w:r>
      <w:r w:rsidRPr="002D0640">
        <w:rPr>
          <w:szCs w:val="24"/>
          <w:highlight w:val="lightGray"/>
        </w:rPr>
        <w:fldChar w:fldCharType="begin" w:fldLock="1"/>
      </w:r>
      <w:r w:rsidRPr="002D0640">
        <w:rPr>
          <w:szCs w:val="24"/>
          <w:highlight w:val="lightGray"/>
        </w:rPr>
        <w:instrText>ADDIN CSL_CITATION { "citationItems" : [ { "id" : "ITEM-1", "itemData" : { "ISSN" : "15297470", "abstract" : "The main contribution of this paper with respect to previous work is the use of data on subjective perceptions to identify the Latin American middle classes. This paper provides a set of comparisons between objective and subjective definitions of middle-class using data from the 2007 W orld Gallup Poll. Seven objective income-based definitions of social class are contrasted with a self-perceived social status measure. Mismatches between the objective and the subjective classification of social class are the largest when the objective definition is based on median incomes. Mismatches result from the fact that self-perceived social status is associated not just with income, but also with personal capabilities, interpersonal relations, financial and material assets, and perceptions of economic insecurity. Objective definitions of the middle class based on absolute incomes provide the lowest mismatches and the most accurate differentiation of the middle class from other classes.", "author" : [ { "dropping-particle" : "", "family" : "Lora", "given" : "Eduardo", "non-dropping-particle" : "", "parse-names" : false, "suffix" : "" }, { "dropping-particle" : "", "family" : "Fajardo", "given" : "Johanna", "non-dropping-particle" : "", "parse-names" : false, "suffix" : "" } ], "container-title" : "Economia", "id" : "ITEM-1", "issue" : "1", "issued" : { "date-parts" : [ [ "2013" ] ] }, "page" : "33-54", "title" : "Latin American Middle Classes : The Distance between Perception and Reality", "type" : "article-journal", "volume" : "14" }, "uris" : [ "http://www.mendeley.com/documents/?uuid=646da42c-5e97-4818-90fa-2ae61041dce8" ] } ], "mendeley" : { "formattedCitation" : "(Lora and Fajardo, 2013)", "manualFormatting" : "Lora and Fajardo (2013)", "plainTextFormattedCitation" : "(Lora and Fajardo, 2013)", "previouslyFormattedCitation" : "(Lora and Fajardo, 2013)" }, "properties" : { "noteIndex" : 0 }, "schema" : "https://github.com/citation-style-language/schema/raw/master/csl-citation.json" }</w:instrText>
      </w:r>
      <w:r w:rsidRPr="002D0640">
        <w:rPr>
          <w:szCs w:val="24"/>
          <w:highlight w:val="lightGray"/>
        </w:rPr>
        <w:fldChar w:fldCharType="separate"/>
      </w:r>
      <w:r w:rsidRPr="002D0640">
        <w:rPr>
          <w:noProof/>
          <w:szCs w:val="24"/>
          <w:highlight w:val="lightGray"/>
        </w:rPr>
        <w:t>Lora and Fajardo (2013)</w:t>
      </w:r>
      <w:r w:rsidRPr="002D0640">
        <w:rPr>
          <w:szCs w:val="24"/>
          <w:highlight w:val="lightGray"/>
        </w:rPr>
        <w:fldChar w:fldCharType="end"/>
      </w:r>
      <w:r w:rsidRPr="002D0640">
        <w:rPr>
          <w:szCs w:val="24"/>
          <w:highlight w:val="lightGray"/>
        </w:rPr>
        <w:t xml:space="preserve"> noted that whilst individuals who were relatively rich did self-classify themselves at lower income quintiles, the poor often considered themselves relatively less deprived. It should be borne in mind then that there could be a “centring” effect occurring in this variable, which underestimates the extreme values. Also worth pointing out is that this self-perception is asked by the WVS about a person within their country; someone in the highest decile in Burkina Faso may not even scrape onto the lowest decile in Norway. So it must be remembered that no raw or absolute comparisons are being made here.</w:t>
      </w:r>
    </w:p>
    <w:p w14:paraId="15A3B187" w14:textId="78A19523" w:rsidR="002363E1" w:rsidRPr="002D0640" w:rsidRDefault="009004F7" w:rsidP="00195F3F">
      <w:pPr>
        <w:rPr>
          <w:highlight w:val="lightGray"/>
        </w:rPr>
      </w:pPr>
      <w:r w:rsidRPr="002D0640">
        <w:rPr>
          <w:szCs w:val="24"/>
          <w:highlight w:val="lightGray"/>
        </w:rPr>
        <w:t xml:space="preserve">But it should be noted, and </w:t>
      </w:r>
      <w:r w:rsidR="008A220C" w:rsidRPr="002D0640">
        <w:rPr>
          <w:szCs w:val="24"/>
          <w:highlight w:val="lightGray"/>
        </w:rPr>
        <w:t xml:space="preserve">as discussed in Section 2.2, modernization theory </w:t>
      </w:r>
      <w:r w:rsidR="008A220C" w:rsidRPr="002D0640">
        <w:rPr>
          <w:highlight w:val="lightGray"/>
        </w:rPr>
        <w:t xml:space="preserve">has been critiqued as being somewhat ‘abstract’ and ‘ahistorical’ in nature (Roxborough </w:t>
      </w:r>
      <w:r w:rsidR="008A220C" w:rsidRPr="002D0640">
        <w:rPr>
          <w:highlight w:val="lightGray"/>
        </w:rPr>
        <w:fldChar w:fldCharType="begin" w:fldLock="1"/>
      </w:r>
      <w:r w:rsidR="008A220C" w:rsidRPr="002D0640">
        <w:rPr>
          <w:highlight w:val="lightGray"/>
        </w:rPr>
        <w:instrText>ADDIN CSL_CITATION { "citationItems" : [ { "id" : "ITEM-1", "itemData" : { "author" : [ { "dropping-particle" : "", "family" : "Roxborough", "given" : "I", "non-dropping-particle" : "", "parse-names" : false, "suffix" : "" } ], "id" : "ITEM-1", "issued" : { "date-parts" : [ [ "1979" ] ] }, "publisher" : "MacMillan Press", "publisher-place" : "London", "title" : "Theories of Underdevelopment", "type" : "book" }, "uris" : [ "http://www.mendeley.com/documents/?uuid=fd507d94-9131-4f1a-b78a-00f0778bad93" ] } ], "mendeley" : { "formattedCitation" : "(Roxborough, 1979)", "manualFormatting" : "1979, p.114-117)", "plainTextFormattedCitation" : "(Roxborough, 1979)", "previouslyFormattedCitation" : "(Roxborough, 1979)" }, "properties" : { "noteIndex" : 0 }, "schema" : "https://github.com/citation-style-language/schema/raw/master/csl-citation.json" }</w:instrText>
      </w:r>
      <w:r w:rsidR="008A220C" w:rsidRPr="002D0640">
        <w:rPr>
          <w:highlight w:val="lightGray"/>
        </w:rPr>
        <w:fldChar w:fldCharType="separate"/>
      </w:r>
      <w:r w:rsidR="008A220C" w:rsidRPr="002D0640">
        <w:rPr>
          <w:noProof/>
          <w:highlight w:val="lightGray"/>
        </w:rPr>
        <w:t>1979, p.114-117)</w:t>
      </w:r>
      <w:r w:rsidR="008A220C" w:rsidRPr="002D0640">
        <w:rPr>
          <w:highlight w:val="lightGray"/>
        </w:rPr>
        <w:fldChar w:fldCharType="end"/>
      </w:r>
      <w:r w:rsidR="0024503A">
        <w:rPr>
          <w:highlight w:val="lightGray"/>
        </w:rPr>
        <w:t xml:space="preserve">, </w:t>
      </w:r>
      <w:r w:rsidR="008A220C" w:rsidRPr="002D0640">
        <w:rPr>
          <w:highlight w:val="lightGray"/>
        </w:rPr>
        <w:t>with the supposed linear development between economic development and democracy called into question as being overly structural (</w:t>
      </w:r>
      <w:r w:rsidR="008A220C" w:rsidRPr="002D0640">
        <w:rPr>
          <w:highlight w:val="lightGray"/>
        </w:rPr>
        <w:fldChar w:fldCharType="begin" w:fldLock="1"/>
      </w:r>
      <w:r w:rsidR="008A220C" w:rsidRPr="002D0640">
        <w:rPr>
          <w:highlight w:val="lightGray"/>
        </w:rPr>
        <w:instrText>ADDIN CSL_CITATION { "citationItems" : [ { "id" : "ITEM-1", "itemData" : { "author" : [ { "dropping-particle" : "", "family" : "Grugel", "given" : "Jean", "non-dropping-particle" : "", "parse-names" : false, "suffix" : "" } ], "id" : "ITEM-1", "issued" : { "date-parts" : [ [ "2002" ] ] }, "publisher" : "Palgrave", "publisher-place" : "New York", "title" : "Democratization", "type" : "book" }, "uris" : [ "http://www.mendeley.com/documents/?uuid=a6831325-c9a5-4ceb-bfbe-dba212582374" ] } ], "mendeley" : { "formattedCitation" : "(Grugel, 2002)", "manualFormatting" : "Grugel 2002, p.48-49)", "plainTextFormattedCitation" : "(Grugel, 2002)", "previouslyFormattedCitation" : "(Grugel, 2002)" }, "properties" : { "noteIndex" : 0 }, "schema" : "https://github.com/citation-style-language/schema/raw/master/csl-citation.json" }</w:instrText>
      </w:r>
      <w:r w:rsidR="008A220C" w:rsidRPr="002D0640">
        <w:rPr>
          <w:highlight w:val="lightGray"/>
        </w:rPr>
        <w:fldChar w:fldCharType="separate"/>
      </w:r>
      <w:r w:rsidR="008A220C" w:rsidRPr="002D0640">
        <w:rPr>
          <w:noProof/>
          <w:highlight w:val="lightGray"/>
        </w:rPr>
        <w:t>Grugel 2002, p.48-49)</w:t>
      </w:r>
      <w:r w:rsidR="008A220C" w:rsidRPr="002D0640">
        <w:rPr>
          <w:highlight w:val="lightGray"/>
        </w:rPr>
        <w:fldChar w:fldCharType="end"/>
      </w:r>
      <w:r w:rsidR="008A220C" w:rsidRPr="002D0640">
        <w:rPr>
          <w:highlight w:val="lightGray"/>
        </w:rPr>
        <w:t xml:space="preserve"> and somewhat deterministic. </w:t>
      </w:r>
      <w:r w:rsidR="002363E1" w:rsidRPr="002D0640">
        <w:rPr>
          <w:highlight w:val="lightGray"/>
        </w:rPr>
        <w:t xml:space="preserve">By studying aggregate level data both longitudinally and in a cross-sectional manner, Arat </w:t>
      </w:r>
      <w:r w:rsidR="002363E1" w:rsidRPr="002D0640">
        <w:rPr>
          <w:highlight w:val="lightGray"/>
        </w:rPr>
        <w:fldChar w:fldCharType="begin" w:fldLock="1"/>
      </w:r>
      <w:r w:rsidR="00C4417B" w:rsidRPr="002D0640">
        <w:rPr>
          <w:highlight w:val="lightGray"/>
        </w:rPr>
        <w:instrText>ADDIN CSL_CITATION { "citationItems" : [ { "id" : "ITEM-1", "itemData" : { "author" : [ { "dropping-particle" : "", "family" : "Arat", "given" : "Zehra F", "non-dropping-particle" : "", "parse-names" : false, "suffix" : "" } ], "container-title" : "Comparative Politics", "id" : "ITEM-1", "issue" : "1", "issued" : { "date-parts" : [ [ "1988" ] ] }, "page" : "21-36", "title" : "Democracy and Economic Development : Modernization Theory Revisited", "type" : "article-journal", "volume" : "21" }, "uris" : [ "http://www.mendeley.com/documents/?uuid=90cd22c4-5edd-4906-918c-dbca81601cbb" ] } ], "mendeley" : { "formattedCitation" : "(Arat, 1988)", "manualFormatting" : "(1988, p.33-34)", "plainTextFormattedCitation" : "(Arat, 1988)", "previouslyFormattedCitation" : "(Arat, 1988)" }, "properties" : { "noteIndex" : 0 }, "schema" : "https://github.com/citation-style-language/schema/raw/master/csl-citation.json" }</w:instrText>
      </w:r>
      <w:r w:rsidR="002363E1" w:rsidRPr="002D0640">
        <w:rPr>
          <w:highlight w:val="lightGray"/>
        </w:rPr>
        <w:fldChar w:fldCharType="separate"/>
      </w:r>
      <w:r w:rsidR="002363E1" w:rsidRPr="002D0640">
        <w:rPr>
          <w:noProof/>
          <w:highlight w:val="lightGray"/>
        </w:rPr>
        <w:t>(1988, p.33-34)</w:t>
      </w:r>
      <w:r w:rsidR="002363E1" w:rsidRPr="002D0640">
        <w:rPr>
          <w:highlight w:val="lightGray"/>
        </w:rPr>
        <w:fldChar w:fldCharType="end"/>
      </w:r>
      <w:r w:rsidR="002363E1" w:rsidRPr="002D0640">
        <w:rPr>
          <w:highlight w:val="lightGray"/>
        </w:rPr>
        <w:t xml:space="preserve"> argued that in fact it “is clear that democracy is not a one-way ladder that countries climb as their economy and social structures develop” and we should remember the detail in the conclusions of early modernization theorists such as Lipset and Coleman who “identified economic development as a necessary but not a sufficient condition of democratic development”.</w:t>
      </w:r>
    </w:p>
    <w:p w14:paraId="75C7B442" w14:textId="26D27E3A" w:rsidR="009138D2" w:rsidRPr="002D0640" w:rsidRDefault="009138D2" w:rsidP="009138D2">
      <w:pPr>
        <w:rPr>
          <w:highlight w:val="lightGray"/>
        </w:rPr>
      </w:pPr>
      <w:r w:rsidRPr="002D0640">
        <w:rPr>
          <w:highlight w:val="lightGray"/>
        </w:rPr>
        <w:t xml:space="preserve">Looking at complications over modernization theory in more detail, Neundorf </w:t>
      </w:r>
      <w:r w:rsidRPr="002D0640">
        <w:rPr>
          <w:highlight w:val="lightGray"/>
        </w:rPr>
        <w:fldChar w:fldCharType="begin" w:fldLock="1"/>
      </w:r>
      <w:r w:rsidRPr="002D0640">
        <w:rPr>
          <w:highlight w:val="lightGray"/>
        </w:rPr>
        <w:instrText>ADDIN CSL_CITATION { "citationItems" : [ { "id" : "ITEM-1", "itemData" : { "DOI" : "10.1017/S0022381610000551", "author" : [ { "dropping-particle" : "", "family" : "Neundorf", "given" : "Anja", "non-dropping-particle" : "", "parse-names" : false, "suffix" : "" } ], "container-title" : "The Journal of Politics", "id" : "ITEM-1", "issue" : "4", "issued" : { "date-parts" : [ [ "2010" ] ] }, "page" : "1096-1108", "title" : "Democracy in Transition: A Micro perspective on System Change in Post-Socialist Societies", "type" : "article-journal", "volume" : "72" }, "uris" : [ "http://www.mendeley.com/documents/?uuid=4c04f9c8-1d96-4336-9f3b-e7ab227316ca" ] } ], "mendeley" : { "formattedCitation" : "(Neundorf, 2010)", "manualFormatting" : "(2010, p.1097)", "plainTextFormattedCitation" : "(Neundorf, 2010)", "previouslyFormattedCitation" : "(Neundorf, 2010)" }, "properties" : { "noteIndex" : 0 }, "schema" : "https://github.com/citation-style-language/schema/raw/master/csl-citation.json" }</w:instrText>
      </w:r>
      <w:r w:rsidRPr="002D0640">
        <w:rPr>
          <w:highlight w:val="lightGray"/>
        </w:rPr>
        <w:fldChar w:fldCharType="separate"/>
      </w:r>
      <w:r w:rsidRPr="002D0640">
        <w:rPr>
          <w:noProof/>
          <w:highlight w:val="lightGray"/>
        </w:rPr>
        <w:t>(2010, p.1097)</w:t>
      </w:r>
      <w:r w:rsidRPr="002D0640">
        <w:rPr>
          <w:highlight w:val="lightGray"/>
        </w:rPr>
        <w:fldChar w:fldCharType="end"/>
      </w:r>
      <w:r w:rsidRPr="002D0640">
        <w:rPr>
          <w:highlight w:val="lightGray"/>
        </w:rPr>
        <w:t xml:space="preserve"> points out that ‘Studies of the link between democratic regimes and economic development usually rely on macro data’. This neglects the</w:t>
      </w:r>
      <w:r w:rsidR="009004F7" w:rsidRPr="002D0640">
        <w:rPr>
          <w:highlight w:val="lightGray"/>
        </w:rPr>
        <w:t xml:space="preserve"> complexities concerning</w:t>
      </w:r>
      <w:r w:rsidRPr="002D0640">
        <w:rPr>
          <w:highlight w:val="lightGray"/>
        </w:rPr>
        <w:t xml:space="preserve"> individual-level micro processes. Taking the transition from communism to capitalism and democracy experienced by the Eastern European states as a case study, Neundorf (2010) addresses the micro issues occurring under the modernization rubric by focusing more on the socialization process, and in particular on the model of ‘life-long’ learning. Neundorf’s analysis notes that whilst age-cohort effects matter (those socialized under a socialist regime are less satisfied with democracy than those born afterwards), her results also overall confirm traditional modernization theory: </w:t>
      </w:r>
    </w:p>
    <w:p w14:paraId="095B3BBF" w14:textId="77777777" w:rsidR="009138D2" w:rsidRPr="002D0640" w:rsidRDefault="009138D2" w:rsidP="009138D2">
      <w:pPr>
        <w:pStyle w:val="Quote"/>
        <w:rPr>
          <w:highlight w:val="lightGray"/>
        </w:rPr>
      </w:pPr>
      <w:r w:rsidRPr="002D0640">
        <w:rPr>
          <w:rStyle w:val="QuoteChar"/>
          <w:i/>
          <w:iCs/>
          <w:highlight w:val="lightGray"/>
        </w:rPr>
        <w:t>“The better off people are, the more supportive they are of the political system... adding socialization processes in a new democracy to the discussion of ‘‘modernization’’ strengthens such arguments. We can take the socialization in authoritarian regimes as a suppressing factor in the development of a democratic political culture. However, prospering economies diminish this negative ‘’shadow of the past.’”</w:t>
      </w:r>
    </w:p>
    <w:p w14:paraId="0E93B723" w14:textId="31C0419C" w:rsidR="009138D2" w:rsidRPr="002D0640" w:rsidRDefault="009004F7" w:rsidP="00195F3F">
      <w:pPr>
        <w:rPr>
          <w:highlight w:val="lightGray"/>
        </w:rPr>
      </w:pPr>
      <w:r w:rsidRPr="002D0640">
        <w:rPr>
          <w:highlight w:val="lightGray"/>
        </w:rPr>
        <w:t>W</w:t>
      </w:r>
      <w:r w:rsidR="009138D2" w:rsidRPr="002D0640">
        <w:rPr>
          <w:highlight w:val="lightGray"/>
        </w:rPr>
        <w:t xml:space="preserve">hat this study highlights </w:t>
      </w:r>
      <w:r w:rsidRPr="002D0640">
        <w:rPr>
          <w:highlight w:val="lightGray"/>
        </w:rPr>
        <w:t xml:space="preserve">then </w:t>
      </w:r>
      <w:r w:rsidR="009138D2" w:rsidRPr="002D0640">
        <w:rPr>
          <w:highlight w:val="lightGray"/>
        </w:rPr>
        <w:t xml:space="preserve">is that </w:t>
      </w:r>
      <w:r w:rsidR="009138D2" w:rsidRPr="002D0640">
        <w:rPr>
          <w:i/>
          <w:highlight w:val="lightGray"/>
        </w:rPr>
        <w:t>context matters</w:t>
      </w:r>
      <w:r w:rsidR="009138D2" w:rsidRPr="002D0640">
        <w:rPr>
          <w:highlight w:val="lightGray"/>
        </w:rPr>
        <w:t>. If socialization and regime support are linked, then those wealthier and more educated citizens examined in this thesis who live under non-democratic regimes may support that regime, and their understanding of democracy has the potential to be more closely aligned with the authoritarian understanding rather than the compound understanding.</w:t>
      </w:r>
      <w:r w:rsidRPr="002D0640">
        <w:rPr>
          <w:highlight w:val="lightGray"/>
        </w:rPr>
        <w:t xml:space="preserve"> To test this contextual influence, </w:t>
      </w:r>
      <w:r w:rsidR="002D0640">
        <w:rPr>
          <w:highlight w:val="lightGray"/>
        </w:rPr>
        <w:t>five</w:t>
      </w:r>
      <w:r w:rsidRPr="002D0640">
        <w:rPr>
          <w:highlight w:val="lightGray"/>
        </w:rPr>
        <w:t xml:space="preserve"> national level variables are examined.</w:t>
      </w:r>
    </w:p>
    <w:p w14:paraId="0F875C61" w14:textId="2CEE43CC" w:rsidR="009138D2" w:rsidRPr="002D0640" w:rsidRDefault="009138D2" w:rsidP="009138D2">
      <w:pPr>
        <w:rPr>
          <w:szCs w:val="24"/>
          <w:highlight w:val="lightGray"/>
        </w:rPr>
      </w:pPr>
      <w:r w:rsidRPr="002D0640">
        <w:rPr>
          <w:szCs w:val="24"/>
          <w:highlight w:val="lightGray"/>
        </w:rPr>
        <w:t xml:space="preserve">At the national level, modernization theory is tested </w:t>
      </w:r>
      <w:r w:rsidR="009004F7" w:rsidRPr="002D0640">
        <w:rPr>
          <w:szCs w:val="24"/>
          <w:highlight w:val="lightGray"/>
        </w:rPr>
        <w:t xml:space="preserve">most directly </w:t>
      </w:r>
      <w:r w:rsidRPr="002D0640">
        <w:rPr>
          <w:szCs w:val="24"/>
          <w:highlight w:val="lightGray"/>
        </w:rPr>
        <w:t xml:space="preserve">using development indicators. A strict measure of the theory would address GDP only. However, the Human Development Index (HDI), produced by the United Nations Development Programme, is chosen for this study. The HDI is a composite index of income, education and life expectancy, which are all considerably interlinked, and all expected to increase with modernization. As a composite measure there is less measurement error than would be the case for a single indicator, with the index score of between 0 and 100 meaning that the higher the score the larger the degree of development. HDI is a commonly used measure of socioeconomic development as understood by modernization theory </w:t>
      </w:r>
      <w:r w:rsidRPr="002D0640">
        <w:rPr>
          <w:szCs w:val="24"/>
          <w:highlight w:val="lightGray"/>
        </w:rPr>
        <w:fldChar w:fldCharType="begin" w:fldLock="1"/>
      </w:r>
      <w:r w:rsidRPr="002D0640">
        <w:rPr>
          <w:szCs w:val="24"/>
          <w:highlight w:val="lightGray"/>
        </w:rPr>
        <w:instrText>ADDIN CSL_CITATION { "citationItems" : [ { "id" : "ITEM-1", "itemData" : { "author" : [ { "dropping-particle" : "", "family" : "Gerschewski", "given" : "Johannes", "non-dropping-particle" : "", "parse-names" : false, "suffix" : "" } ], "container-title" : "Democratization", "id" : "ITEM-1", "issue" : "1", "issued" : { "date-parts" : [ [ "2013" ] ] }, "page" : "13-38", "title" : "The three pillars of stability : legitimation , repression , and co- optation in autocratic regimes", "type" : "article-journal", "volume" : "20" }, "uris" : [ "http://www.mendeley.com/documents/?uuid=71e862c7-b9b0-445a-b0c4-afcfd8537a69" ] }, { "id" : "ITEM-2", "itemData" : { "DOI" : "10.1353/wp.2008.0005", "ISSN" : "0043-8871", "author" : [ { "dropping-particle" : "", "family" : "Kuru", "given" : "Ahmet T.", "non-dropping-particle" : "", "parse-names" : false, "suffix" : "" } ], "container-title" : "World Politics", "id" : "ITEM-2", "issue" : "04", "issued" : { "date-parts" : [ [ "2011", "6", "13" ] ] }, "page" : "568-594", "title" : "Passive and Assertive Secularism: Historical Conditions, Ideological Struggles, and State Policies toward Religion", "type" : "article-journal", "volume" : "59" }, "uris" : [ "http://www.mendeley.com/documents/?uuid=27e21eb2-4645-4af8-a0d2-2c94d54d55ab" ] }, { "id" : "ITEM-3", "itemData" : { "author" : [ { "dropping-particle" : "", "family" : "Seligson", "given" : "Mitchell A", "non-dropping-particle" : "", "parse-names" : false, "suffix" : "" } ], "container-title" : "Latin American Public Opinion Project (LAPOP)", "id" : "ITEM-3", "issued" : { "date-parts" : [ [ "2008" ] ] }, "number-of-pages" : "1-298", "title" : "Challenges to Democracy in Latin America and the Caribbean: Evidence from the Americas Barometer 2006-2007", "type" : "report" }, "uris" : [ "http://www.mendeley.com/documents/?uuid=33afb8ea-d64d-4705-b122-e819eb61b869" ] }, { "id" : "ITEM-4", "itemData" : { "author" : [ { "dropping-particle" : "", "family" : "Norris", "given" : "Pippa", "non-dropping-particle" : "", "parse-names" : false, "suffix" : "" }, { "dropping-particle" : "", "family" : "Inglehart", "given" : "Ronald F", "non-dropping-particle" : "", "parse-names" : false, "suffix" : "" } ], "container-title" : "Comparative S", "id" : "ITEM-4", "issue" : "3-4", "issued" : { "date-parts" : [ [ "2002" ] ] }, "page" : "235-263", "title" : "Islamic Culture and Democracy : Testing the \u2018 Clash of Civilizations \u2019 Thesis", "type" : "article-journal", "volume" : "1" }, "uris" : [ "http://www.mendeley.com/documents/?uuid=9d566570-5ee8-428a-9ebc-ff72ecb5b0c3" ] } ], "mendeley" : { "formattedCitation" : "(Norris and Inglehart, 2002; Seligson, 2008; Kuru, 2011; Gerschewski, 2013)", "manualFormatting" : "(see Gerschewski 2013; Kuru 2011; Seligson 2008; Norris &amp; Inglehart 2002)", "plainTextFormattedCitation" : "(Norris and Inglehart, 2002; Seligson, 2008; Kuru, 2011; Gerschewski, 2013)", "previouslyFormattedCitation" : "(Norris and Inglehart, 2002; Seligson, 2008; Kuru, 2011; Gerschewski, 2013)" }, "properties" : { "noteIndex" : 0 }, "schema" : "https://github.com/citation-style-language/schema/raw/master/csl-citation.json" }</w:instrText>
      </w:r>
      <w:r w:rsidRPr="002D0640">
        <w:rPr>
          <w:szCs w:val="24"/>
          <w:highlight w:val="lightGray"/>
        </w:rPr>
        <w:fldChar w:fldCharType="separate"/>
      </w:r>
      <w:r w:rsidRPr="002D0640">
        <w:rPr>
          <w:noProof/>
          <w:szCs w:val="24"/>
          <w:highlight w:val="lightGray"/>
        </w:rPr>
        <w:t>(see Gerschewski 2013; Kuru 2011; Seligson 2008; Norris &amp; Inglehart 2002)</w:t>
      </w:r>
      <w:r w:rsidRPr="002D0640">
        <w:rPr>
          <w:szCs w:val="24"/>
          <w:highlight w:val="lightGray"/>
        </w:rPr>
        <w:fldChar w:fldCharType="end"/>
      </w:r>
      <w:r w:rsidRPr="002D0640">
        <w:rPr>
          <w:szCs w:val="24"/>
          <w:highlight w:val="lightGray"/>
        </w:rPr>
        <w:t>.</w:t>
      </w:r>
      <w:r w:rsidRPr="002D0640">
        <w:rPr>
          <w:rStyle w:val="FootnoteReference"/>
          <w:highlight w:val="lightGray"/>
        </w:rPr>
        <w:footnoteReference w:id="17"/>
      </w:r>
    </w:p>
    <w:p w14:paraId="466EF8B8" w14:textId="1FE50349" w:rsidR="009138D2" w:rsidRDefault="009004F7" w:rsidP="003600BE">
      <w:pPr>
        <w:rPr>
          <w:rFonts w:cstheme="majorBidi"/>
          <w:szCs w:val="24"/>
          <w:highlight w:val="lightGray"/>
        </w:rPr>
      </w:pPr>
      <w:r w:rsidRPr="002D0640">
        <w:rPr>
          <w:rFonts w:cstheme="majorBidi"/>
          <w:szCs w:val="24"/>
          <w:highlight w:val="lightGray"/>
        </w:rPr>
        <w:t>To</w:t>
      </w:r>
      <w:r w:rsidR="009138D2" w:rsidRPr="002D0640">
        <w:rPr>
          <w:rFonts w:cstheme="majorBidi"/>
          <w:szCs w:val="24"/>
          <w:highlight w:val="lightGray"/>
        </w:rPr>
        <w:t xml:space="preserve"> consider the </w:t>
      </w:r>
      <w:r w:rsidRPr="002D0640">
        <w:rPr>
          <w:rFonts w:cstheme="majorBidi"/>
          <w:szCs w:val="24"/>
          <w:highlight w:val="lightGray"/>
        </w:rPr>
        <w:t xml:space="preserve">democratic socialisation </w:t>
      </w:r>
      <w:r w:rsidR="009138D2" w:rsidRPr="002D0640">
        <w:rPr>
          <w:rFonts w:cstheme="majorBidi"/>
          <w:szCs w:val="24"/>
          <w:highlight w:val="lightGray"/>
        </w:rPr>
        <w:t>context of the regime, its democratic history</w:t>
      </w:r>
      <w:r w:rsidRPr="002D0640">
        <w:rPr>
          <w:rFonts w:cstheme="majorBidi"/>
          <w:szCs w:val="24"/>
          <w:highlight w:val="lightGray"/>
        </w:rPr>
        <w:t xml:space="preserve"> is examined</w:t>
      </w:r>
      <w:r w:rsidR="009138D2" w:rsidRPr="002D0640">
        <w:rPr>
          <w:rFonts w:cstheme="majorBidi"/>
          <w:szCs w:val="24"/>
          <w:highlight w:val="lightGray"/>
        </w:rPr>
        <w:t>. Arguably, a country with a longer democratic history is more likely to contain citizens informed about what democracy means, as they have had higher levels of exposure to it. Accordingly, the democratic history variable examines the socialization idea that living in a democracy will be associated with stronger support for liberal democratic understandings, and weaker support for more authoritarian definitions. It is calculated from totalled FH scores since 1972: the longer a country’s experience of democracy the higher it scores on a scale recoded to 0-100 (see Norris 2011, p.</w:t>
      </w:r>
      <w:r w:rsidR="002D0640">
        <w:rPr>
          <w:rFonts w:cstheme="majorBidi"/>
          <w:szCs w:val="24"/>
          <w:highlight w:val="lightGray"/>
        </w:rPr>
        <w:t xml:space="preserve">247). </w:t>
      </w:r>
      <w:r w:rsidR="009138D2" w:rsidRPr="002D0640">
        <w:rPr>
          <w:rFonts w:cstheme="majorBidi"/>
          <w:szCs w:val="24"/>
          <w:highlight w:val="lightGray"/>
        </w:rPr>
        <w:t>A categorical variable also accounts for whether the country is currently Free, Partly Free or Not Free according to Freedom House and for further analysis of the historical context, a dummy variable controls for whether the country currently is, or has been, communist.</w:t>
      </w:r>
    </w:p>
    <w:p w14:paraId="68F67181" w14:textId="1B0D44F6" w:rsidR="002D0640" w:rsidRPr="002D0640" w:rsidRDefault="002D0640" w:rsidP="002D0640">
      <w:pPr>
        <w:rPr>
          <w:highlight w:val="lightGray"/>
        </w:rPr>
      </w:pPr>
      <w:r w:rsidRPr="002D0640">
        <w:rPr>
          <w:highlight w:val="lightGray"/>
        </w:rPr>
        <w:t xml:space="preserve">A final angle on the modernization thesis examines inequality. </w:t>
      </w:r>
      <w:r w:rsidRPr="002D0640">
        <w:rPr>
          <w:rFonts w:cstheme="majorBidi"/>
          <w:szCs w:val="24"/>
          <w:highlight w:val="lightGray"/>
        </w:rPr>
        <w:t xml:space="preserve">Recently, a wealth of literature has examined the impact of inequality on a wide range of social issues. Whilst political equality is a core tenet of democratic theory, there is a considerable lack of clarity as to what relationship there might be between democracy and economic equality, and also the effect that economic (in)equality might have on democracy and democratization between democracy and income inequality (see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"DOI" : "10.1353/jod.2011.0046", "ISSN" : "1086-3214", "author" : [ { "dropping-particle" : "", "family" : "Fukuyama", "given" : "Francis", "non-dropping-particle" : "", "parse-names" : false, "suffix" : "" } ], "container-title" : "Journal of Democracy", "id" : "ITEM-1", "issue" : "3", "issued" : { "date-parts" : [ [ "2011" ] ] }, "page" : "79-89", "title" : "Dealing with Inequality", "type" : "article-journal", "volume" : "22" }, "uris" : [ "http://www.mendeley.com/documents/?uuid=3c50f348-48d1-4b3b-ad41-0e2f4532b5af" ] } ], "mendeley" : { "formattedCitation" : "(Fukuyama, 2011)", "manualFormatting" : "Fukuyama 2011)", "plainTextFormattedCitation" : "(Fukuyama, 2011)", "previouslyFormattedCitation" : "(Fukuyama, 2011)"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Fukuyama 2011)</w:t>
      </w:r>
      <w:r w:rsidRPr="002D0640">
        <w:rPr>
          <w:rFonts w:cstheme="majorBidi"/>
          <w:szCs w:val="24"/>
          <w:highlight w:val="lightGray"/>
        </w:rPr>
        <w:fldChar w:fldCharType="end"/>
      </w:r>
      <w:r w:rsidRPr="002D0640">
        <w:rPr>
          <w:rFonts w:cstheme="majorBidi"/>
          <w:szCs w:val="24"/>
          <w:highlight w:val="lightGray"/>
        </w:rPr>
        <w:t xml:space="preserve">. When it comes to the linkages between inequality and democratization three arguments have recently been staked out, all stemming from cross-national and cross-temporal studies. </w:t>
      </w:r>
    </w:p>
    <w:p w14:paraId="516D485D" w14:textId="3F47B4BC" w:rsidR="002D0640" w:rsidRPr="002D0640" w:rsidRDefault="002D0640" w:rsidP="002D0640">
      <w:pPr>
        <w:rPr>
          <w:rFonts w:cstheme="majorBidi"/>
          <w:szCs w:val="24"/>
          <w:highlight w:val="lightGray"/>
        </w:rPr>
      </w:pPr>
      <w:r w:rsidRPr="002D0640">
        <w:rPr>
          <w:rFonts w:cstheme="majorBidi"/>
          <w:szCs w:val="24"/>
          <w:highlight w:val="lightGray"/>
        </w:rPr>
        <w:t>Firstly, Ansell and Samuels (2014) have argued that there is essentially a linear relationship between democracy and inequality (particularly when it comes to land ownership) in that higher levels of inequality heighten the chances of democratization. Here it is competition within the upper echelons of the bourgeoisie which brings about political chan</w:t>
      </w:r>
      <w:r w:rsidR="0024503A">
        <w:rPr>
          <w:rFonts w:cstheme="majorBidi"/>
          <w:szCs w:val="24"/>
          <w:highlight w:val="lightGray"/>
        </w:rPr>
        <w:t>ge: ‘what matters is not fear of</w:t>
      </w:r>
      <w:r w:rsidRPr="002D0640">
        <w:rPr>
          <w:rFonts w:cstheme="majorBidi"/>
          <w:szCs w:val="24"/>
          <w:highlight w:val="lightGray"/>
        </w:rPr>
        <w:t xml:space="preserve"> the downtrodden masses, but competition between economic elites for control of expropriative authority of the State’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"author" : [ { "dropping-particle" : "", "family" : "Ansell", "given" : "B.W.", "non-dropping-particle" : "", "parse-names" : false, "suffix" : "" }, { "dropping-particle" : "", "family" : "Samuels", "given" : "D.J.", "non-dropping-particle" : "", "parse-names" : false, "suffix" : "" } ], "id" : "ITEM-1", "issued" : { "date-parts" : [ [ "2014" ] ] }, "publisher" : "Cambridge University Press", "publisher-place" : "Cambridge", "title" : "Inequality and Democratization: An Elite-Competition Approach", "type" : "book" }, "uris" : [ "http://www.mendeley.com/documents/?uuid=8d01b968-0b97-40c7-ac03-98aa7b433119" ] } ], "mendeley" : { "formattedCitation" : "(Ansell and Samuels, 2014)", "manualFormatting" : "(Ansell &amp; Samuels 2014, p.209)", "plainTextFormattedCitation" : "(Ansell and Samuels, 2014)", "previouslyFormattedCitation" : "(Ansell and Samuels, 2014)"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(Ansell &amp; Samuels 2014, p.209)</w:t>
      </w:r>
      <w:r w:rsidRPr="002D0640">
        <w:rPr>
          <w:rFonts w:cstheme="majorBidi"/>
          <w:szCs w:val="24"/>
          <w:highlight w:val="lightGray"/>
        </w:rPr>
        <w:fldChar w:fldCharType="end"/>
      </w:r>
      <w:r w:rsidRPr="002D0640">
        <w:rPr>
          <w:rFonts w:cstheme="majorBidi"/>
          <w:szCs w:val="24"/>
          <w:highlight w:val="lightGray"/>
        </w:rPr>
        <w:t xml:space="preserve">. In other words, the battle for what can be seen as legitimate control over the levers of taxation ultimately helps to induce democratic development in highly unequal countries.  </w:t>
      </w:r>
    </w:p>
    <w:p w14:paraId="687E0434" w14:textId="77777777" w:rsidR="002D0640" w:rsidRPr="002D0640" w:rsidRDefault="002D0640" w:rsidP="002D0640">
      <w:pPr>
        <w:rPr>
          <w:rFonts w:cstheme="majorBidi"/>
          <w:szCs w:val="24"/>
          <w:highlight w:val="lightGray"/>
        </w:rPr>
      </w:pPr>
      <w:r w:rsidRPr="002D0640">
        <w:rPr>
          <w:rFonts w:cstheme="majorBidi"/>
          <w:szCs w:val="24"/>
          <w:highlight w:val="lightGray"/>
        </w:rPr>
        <w:t xml:space="preserve">In contrast,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"author" : [ { "dropping-particle" : "", "family" : "Boix", "given" : "C.", "non-dropping-particle" : "", "parse-names" : false, "suffix" : "" } ], "id" : "ITEM-1", "issued" : { "date-parts" : [ [ "2003" ] ] }, "publisher" : "Cambridge University Press", "publisher-place" : "Cambridge", "title" : "Democracy and Redistribution", "type" : "book" }, "uris" : [ "http://www.mendeley.com/documents/?uuid=97ffbb21-ec68-4129-b5a1-bfdc4cb08382" ] } ], "mendeley" : { "formattedCitation" : "(Boix, 2003)", "manualFormatting" : "Boix (2003)", "plainTextFormattedCitation" : "(Boix, 2003)", "previouslyFormattedCitation" : "(Boix, 2003)"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Boix (2003)</w:t>
      </w:r>
      <w:r w:rsidRPr="002D0640">
        <w:rPr>
          <w:rFonts w:cstheme="majorBidi"/>
          <w:szCs w:val="24"/>
          <w:highlight w:val="lightGray"/>
        </w:rPr>
        <w:fldChar w:fldCharType="end"/>
      </w:r>
      <w:r w:rsidRPr="002D0640">
        <w:rPr>
          <w:rFonts w:cstheme="majorBidi"/>
          <w:szCs w:val="24"/>
          <w:highlight w:val="lightGray"/>
        </w:rPr>
        <w:t xml:space="preserve"> argued that the reverse relationship is more likely. Excessive differences in wealth lead the rich to ‘restrict the franchise to avoid the redistributive consequences of a fully democratic system’ (ibid 2003, p.236). He concluded that revolts and civil wars occur at high levels of inequality, but the chances of democratization are weaker: “successful democratic transitions take place whenever inequality is </w:t>
      </w:r>
      <w:r w:rsidRPr="002D0640">
        <w:rPr>
          <w:rFonts w:cstheme="majorBidi"/>
          <w:i/>
          <w:szCs w:val="24"/>
          <w:highlight w:val="lightGray"/>
        </w:rPr>
        <w:t>low</w:t>
      </w:r>
      <w:r w:rsidRPr="002D0640">
        <w:rPr>
          <w:rFonts w:cstheme="majorBidi"/>
          <w:szCs w:val="24"/>
          <w:highlight w:val="lightGray"/>
        </w:rPr>
        <w:t xml:space="preserve"> or wealth is not country specific” (ibid, p.237 emphasis added). The country specific caveat here refers to the potentially corrupting influence of a natural resource, such as oil, when appropriated to sustain authoritarian regimes. </w:t>
      </w:r>
    </w:p>
    <w:p w14:paraId="457438B9" w14:textId="0B0FCBC0" w:rsidR="002D0640" w:rsidRPr="002D0640" w:rsidRDefault="002D0640" w:rsidP="002D0640">
      <w:pPr>
        <w:rPr>
          <w:rFonts w:cstheme="majorBidi"/>
          <w:szCs w:val="24"/>
          <w:highlight w:val="lightGray"/>
        </w:rPr>
      </w:pPr>
      <w:r w:rsidRPr="002D0640">
        <w:rPr>
          <w:rFonts w:cstheme="majorBidi"/>
          <w:szCs w:val="24"/>
          <w:highlight w:val="lightGray"/>
        </w:rPr>
        <w:t xml:space="preserve">Finally,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"author" : [ { "dropping-particle" : "", "family" : "Acemoglu", "given" : "D", "non-dropping-particle" : "", "parse-names" : false, "suffix" : "" }, { "dropping-particle" : "", "family" : "Robinson", "given" : "J. A.", "non-dropping-particle" : "", "parse-names" : false, "suffix" : "" } ], "id" : "ITEM-1", "issued" : { "date-parts" : [ [ "2006" ] ] }, "publisher" : "Cambridge University Press", "publisher-place" : "Cambridge", "title" : "Economic Origins of Dictatorship and Democracy", "type" : "book" }, "uris" : [ "http://www.mendeley.com/documents/?uuid=8d7c15a0-43a2-4ab1-83d6-67004f6174ab" ] } ], "mendeley" : { "formattedCitation" : "(Acemoglu and Robinson, 2006)", "manualFormatting" : "Acemoglu &amp; Robinson (2006, p.244)", "plainTextFormattedCitation" : "(Acemoglu and Robinson, 2006)", "previouslyFormattedCitation" : "(Acemoglu and Robinson, 2006)"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Acemoglu &amp; Robinson (2006, p.244)</w:t>
      </w:r>
      <w:r w:rsidRPr="002D0640">
        <w:rPr>
          <w:rFonts w:cstheme="majorBidi"/>
          <w:szCs w:val="24"/>
          <w:highlight w:val="lightGray"/>
        </w:rPr>
        <w:fldChar w:fldCharType="end"/>
      </w:r>
      <w:r w:rsidRPr="002D0640">
        <w:rPr>
          <w:rFonts w:cstheme="majorBidi"/>
          <w:szCs w:val="24"/>
          <w:highlight w:val="lightGray"/>
        </w:rPr>
        <w:t xml:space="preserve"> agree with Boix that high inequality actually increases the likelihood of coups, revolutions and repression, but suggest the </w:t>
      </w:r>
      <w:r w:rsidR="0024503A">
        <w:rPr>
          <w:rFonts w:cstheme="majorBidi"/>
          <w:szCs w:val="24"/>
          <w:highlight w:val="lightGray"/>
        </w:rPr>
        <w:t>interaction</w:t>
      </w:r>
      <w:r w:rsidRPr="002D0640">
        <w:rPr>
          <w:rFonts w:cstheme="majorBidi"/>
          <w:szCs w:val="24"/>
          <w:highlight w:val="lightGray"/>
        </w:rPr>
        <w:t xml:space="preserve"> between democracy and inequality is better understood as an inverted-U-shaped relationship: “Highly equal or highly unequal societies are unlikely to democratize. Rather, it is societies at intermediate levels of inequality in which we observe democratization”. Here, a strong middle class is seen as important to provide a stabilising role in a newly developing democracy, acting as a ‘critical buffer’ between rich and poor and allowing political transitions to occur which are not perceived as too costly by either end of the spectrum (ibid, p.285).</w:t>
      </w:r>
    </w:p>
    <w:p w14:paraId="16B0F863" w14:textId="77777777" w:rsidR="002D0640" w:rsidRPr="002D0640" w:rsidRDefault="002D0640" w:rsidP="002D0640">
      <w:pPr>
        <w:rPr>
          <w:rFonts w:cstheme="majorBidi"/>
          <w:szCs w:val="24"/>
          <w:highlight w:val="lightGray"/>
        </w:rPr>
      </w:pPr>
      <w:r w:rsidRPr="002D0640">
        <w:rPr>
          <w:rFonts w:cstheme="majorBidi"/>
          <w:szCs w:val="24"/>
          <w:highlight w:val="lightGray"/>
        </w:rPr>
        <w:t xml:space="preserve">So there is no consensus on the effect which inequality has upon democratization. When it comes to inequality within an already democratic society, there are also divergent viewpoints. In broad terms there are two main positions. Firstly, some see income inequality as corrosive for democracy because it undermines social cohesion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"author" : [ { "dropping-particle" : "", "family" : "Wilkinson", "given" : "R", "non-dropping-particle" : "", "parse-names" : false, "suffix" : "" }, { "dropping-particle" : "", "family" : "Pickett", "given" : "K", "non-dropping-particle" : "", "parse-names" : false, "suffix" : "" } ], "id" : "ITEM-1", "issued" : { "date-parts" : [ [ "2009" ] ] }, "publisher" : "Penguin", "publisher-place" : "London", "title" : "The Spirit Level; Why More Equal Societies Almost Always Do Better", "type" : "book" }, "uris" : [ "http://www.mendeley.com/documents/?uuid=33ca5c25-1e69-4bb3-a412-f698a91ca5d2" ] } ], "mendeley" : { "formattedCitation" : "(Wilkinson and Pickett, 2009)", "plainTextFormattedCitation" : "(Wilkinson and Pickett, 2009)", "previouslyFormattedCitation" : "(Wilkinson and Pickett, 2009)"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(Wilkinson and Pickett, 2009)</w:t>
      </w:r>
      <w:r w:rsidRPr="002D0640">
        <w:rPr>
          <w:rFonts w:cstheme="majorBidi"/>
          <w:szCs w:val="24"/>
          <w:highlight w:val="lightGray"/>
        </w:rPr>
        <w:fldChar w:fldCharType="end"/>
      </w:r>
      <w:r w:rsidRPr="002D0640">
        <w:rPr>
          <w:rFonts w:cstheme="majorBidi"/>
          <w:szCs w:val="24"/>
          <w:highlight w:val="lightGray"/>
        </w:rPr>
        <w:t xml:space="preserve"> and unfairly and detrimentally shifts policy towards the interests of the wealthy at the expense of others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"author" : [ { "dropping-particle" : "", "family" : "Bartels", "given" : "Larry M.", "non-dropping-particle" : "", "parse-names" : false, "suffix" : "" } ], "id" : "ITEM-1", "issued" : { "date-parts" : [ [ "2008" ] ] }, "publisher" : "Princeton University Press", "publisher-place" : "Princeton", "title" : "Unequal Democracy: The Political Economy of the New Guilded Age", "type" : "book" }, "uris" : [ "http://www.mendeley.com/documents/?uuid=4297bfd8-a92b-41c5-bf42-68a7bc020150" ] } ], "mendeley" : { "formattedCitation" : "(Bartels, 2008)", "plainTextFormattedCitation" : "(Bartels, 2008)", "previouslyFormattedCitation" : "(Bartels, 2008)"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(Bartels, 2008)</w:t>
      </w:r>
      <w:r w:rsidRPr="002D0640">
        <w:rPr>
          <w:rFonts w:cstheme="majorBidi"/>
          <w:szCs w:val="24"/>
          <w:highlight w:val="lightGray"/>
        </w:rPr>
        <w:fldChar w:fldCharType="end"/>
      </w:r>
      <w:r w:rsidRPr="002D0640">
        <w:rPr>
          <w:rFonts w:cstheme="majorBidi"/>
          <w:szCs w:val="24"/>
          <w:highlight w:val="lightGray"/>
        </w:rPr>
        <w:t xml:space="preserve">. However, others argue that income segregation can in fact prompt civic participation as interest groups are required to compete for public goods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"author" : [ { "dropping-particle" : "", "family" : "Oliver", "given" : "J Eric", "non-dropping-particle" : "", "parse-names" : false, "suffix" : "" } ], "container-title" : "American Journal of Political Science", "id" : "ITEM-1", "issue" : "1", "issued" : { "date-parts" : [ [ "1999" ] ] }, "page" : "186-212", "title" : "The Effects of Metropolitan Economic Segregation on Local Civic Participation", "type" : "article-journal", "volume" : "43" }, "uris" : [ "http://www.mendeley.com/documents/?uuid=67097455-818e-4e0e-b36c-342645fb61dd" ] } ], "mendeley" : { "formattedCitation" : "(Oliver, 1999)", "plainTextFormattedCitation" : "(Oliver, 1999)", "previouslyFormattedCitation" : "(Oliver, 1999)"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(Oliver, 1999)</w:t>
      </w:r>
      <w:r w:rsidRPr="002D0640">
        <w:rPr>
          <w:rFonts w:cstheme="majorBidi"/>
          <w:szCs w:val="24"/>
          <w:highlight w:val="lightGray"/>
        </w:rPr>
        <w:fldChar w:fldCharType="end"/>
      </w:r>
      <w:r w:rsidRPr="002D0640">
        <w:rPr>
          <w:rFonts w:cstheme="majorBidi"/>
          <w:szCs w:val="24"/>
          <w:highlight w:val="lightGray"/>
        </w:rPr>
        <w:t xml:space="preserve">, or, drawing from a more liberal argument, it can be seen in more structural and macroeconomic terms as an acceptable by-product which occurs when preventing the state from redistributing and interfering with individuals’ assets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"author" : [ { "dropping-particle" : "", "family" : "Hayek", "given" : "K", "non-dropping-particle" : "", "parse-names" : false, "suffix" : "" } ], "id" : "ITEM-1", "issued" : { "date-parts" : [ [ "1944" ] ] }, "publisher" : "Routledge", "publisher-place" : "London", "title" : "The Road to Serfdom", "type" : "book" }, "uris" : [ "http://www.mendeley.com/documents/?uuid=e6acf70b-5568-4110-809a-c86ab60f52b9" ] } ], "mendeley" : { "formattedCitation" : "(Hayek, 1944)", "plainTextFormattedCitation" : "(Hayek, 1944)", "previouslyFormattedCitation" : "(Hayek, 1944)"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(Hayek, 1944)</w:t>
      </w:r>
      <w:r w:rsidRPr="002D0640">
        <w:rPr>
          <w:rFonts w:cstheme="majorBidi"/>
          <w:szCs w:val="24"/>
          <w:highlight w:val="lightGray"/>
        </w:rPr>
        <w:fldChar w:fldCharType="end"/>
      </w:r>
      <w:r w:rsidRPr="002D0640">
        <w:rPr>
          <w:rFonts w:cstheme="majorBidi"/>
          <w:szCs w:val="24"/>
          <w:highlight w:val="lightGray"/>
        </w:rPr>
        <w:t>.</w:t>
      </w:r>
    </w:p>
    <w:p w14:paraId="1E35A603" w14:textId="77777777" w:rsidR="002D0640" w:rsidRPr="002D0640" w:rsidRDefault="002D0640" w:rsidP="002D0640">
      <w:pPr>
        <w:rPr>
          <w:rFonts w:cstheme="majorBidi"/>
          <w:szCs w:val="24"/>
          <w:highlight w:val="lightGray"/>
        </w:rPr>
      </w:pPr>
      <w:r w:rsidRPr="002D0640">
        <w:rPr>
          <w:rFonts w:cstheme="majorBidi"/>
          <w:szCs w:val="24"/>
          <w:highlight w:val="lightGray"/>
        </w:rPr>
        <w:t xml:space="preserve">When it comes to voting more specifically, of interest is whether people vote with redistribution in mind, such that poorer people should vote for more redistributive policies. But evidence for this is sketchy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"DOI" : "10.1016/j.euroecorev.2012.07.004", "ISSN" : "0014-2921", "PMID" : "23564967", "abstract" : "Some people have a concern for a fair distribution of incomes while others do not. Does such a concern matter for majority voting on redistribution? Fairness preferences are relevant for redistribution outcomes only if fair-minded voters are pivotal. Pivotality, in turn, depends on the structure of income classes. We experimentally study voting on redistribution between two income classes and show that the effect of inequality aversion is asymmetric. Inequality aversion is more likely to matter if the \"rich\" are in majority. With a \"poor\" majority, we find that redistribution outcomes look as if all voters were exclusively motivated by self-interest.", "author" : [ { "dropping-particle" : "", "family" : "H\u00f6chtl", "given" : "Wolfgang", "non-dropping-particle" : "", "parse-names" : false, "suffix" : "" }, { "dropping-particle" : "", "family" : "Sausgruber", "given" : "Rupert", "non-dropping-particle" : "", "parse-names" : false, "suffix" : "" }, { "dropping-particle" : "", "family" : "Tyran", "given" : "Jean-Robert", "non-dropping-particle" : "", "parse-names" : false, "suffix" : "" } ], "container-title" : "European economic review", "id" : "ITEM-1", "issue" : "7", "issued" : { "date-parts" : [ [ "2012", "10" ] ] }, "page" : "1406-1421", "title" : "Inequality aversion and voting on redistribution.", "type" : "article-journal", "volume" : "56" }, "uris" : [ "http://www.mendeley.com/documents/?uuid=5987d4fd-0a8e-4222-a033-f080d023f409" ] }, { "id" : "ITEM-2", "itemData" : { "DOI" : "10.1111/j.1540-6237.2010.00728.x", "ISSN" : "00384941", "author" : [ { "dropping-particle" : "", "family" : "Gelman", "given" : "Andrew", "non-dropping-particle" : "", "parse-names" : false, "suffix" : "" }, { "dropping-particle" : "", "family" : "Kenworthy", "given" : "Lane", "non-dropping-particle" : "", "parse-names" : false, "suffix" : "" }, { "dropping-particle" : "", "family" : "Su", "given" : "Yu-Sung", "non-dropping-particle" : "", "parse-names" : false, "suffix" : "" } ], "container-title" : "Social Science Quarterly", "id" : "ITEM-2", "issue" : "5", "issued" : { "date-parts" : [ [ "2010", "12", "26" ] ] }, "page" : "1203-1219", "title" : "Income Inequality and Partisan Voting in the United States", "type" : "article-journal", "volume" : "91" }, "uris" : [ "http://www.mendeley.com/documents/?uuid=23ac44f0-b17b-4a33-a91d-9256de0f017d" ] }, { "id" : "ITEM-3", "itemData" : { "author" : [ { "dropping-particle" : "", "family" : "Borck", "given" : "Rainald", "non-dropping-particle" : "", "parse-names" : false, "suffix" : "" } ], "container-title" : "Journal of Economic Surveys", "id" : "ITEM-3", "issue" : "1", "issued" : { "date-parts" : [ [ "2007" ] ] }, "page" : "90-109", "title" : "Voting, Inequality and Redistribution", "type" : "article-journal", "volume" : "21" }, "uris" : [ "http://www.mendeley.com/documents/?uuid=f139718f-c297-4fd3-8f4c-19d7659bd9ae" ] } ], "mendeley" : { "formattedCitation" : "(Borck, 2007; Gelman, Kenworthy and Su, 2010; H\u00f6chtl, Sausgruber and Tyran, 2012)", "plainTextFormattedCitation" : "(Borck, 2007; Gelman, Kenworthy and Su, 2010; H\u00f6chtl, Sausgruber and Tyran, 2012)", "previouslyFormattedCitation" : "(Borck, 2007; Gelman, Kenworthy and Su, 2010; H\u00f6chtl, Sausgruber and Tyran, 2012)"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(Borck, 2007; Gelman, Kenworthy and Su, 2010; Höchtl, Sausgruber and Tyran, 2012)</w:t>
      </w:r>
      <w:r w:rsidRPr="002D0640">
        <w:rPr>
          <w:rFonts w:cstheme="majorBidi"/>
          <w:szCs w:val="24"/>
          <w:highlight w:val="lightGray"/>
        </w:rPr>
        <w:fldChar w:fldCharType="end"/>
      </w:r>
      <w:r w:rsidRPr="002D0640">
        <w:rPr>
          <w:rFonts w:cstheme="majorBidi"/>
          <w:szCs w:val="24"/>
          <w:highlight w:val="lightGray"/>
        </w:rPr>
        <w:t>.</w:t>
      </w:r>
      <w:r w:rsidRPr="002D0640">
        <w:rPr>
          <w:rFonts w:cstheme="majorBidi"/>
          <w:highlight w:val="lightGray"/>
        </w:rPr>
        <w:t xml:space="preserve"> The results from studies in the US have pointed to the potential </w:t>
      </w:r>
      <w:r w:rsidRPr="002D0640">
        <w:rPr>
          <w:rFonts w:cstheme="majorBidi"/>
          <w:szCs w:val="24"/>
          <w:highlight w:val="lightGray"/>
        </w:rPr>
        <w:t xml:space="preserve">that high levels of inequality increase the ideological polarization of political parties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"DOI" : "10.1017/S0022381610000563", "ISSN" : "0022-3816", "author" : [ { "dropping-particle" : "", "family" : "Garand", "given" : "James C.", "non-dropping-particle" : "", "parse-names" : false, "suffix" : "" } ], "container-title" : "The Journal of Politics", "id" : "ITEM-1", "issue" : "4", "issued" : { "date-parts" : [ [ "2010", "10", "1" ] ] }, "page" : "1109-1128", "title" : "Income Inequality, Party Polarization, and Roll-Call Voting in the U.S. Senate", "type" : "article-journal", "volume" : "72" }, "uris" : [ "http://www.mendeley.com/documents/?uuid=31b35d8f-fdee-4328-8421-12f7a2494fb0" ] }, { "id" : "ITEM-2", "itemData" : { "author" : [ { "dropping-particle" : "", "family" : "McCarty", "given" : "D", "non-dropping-particle" : "", "parse-names" : false, "suffix" : "" }, { "dropping-particle" : "", "family" : "Poole", "given" : "Keith T", "non-dropping-particle" : "", "parse-names" : false, "suffix" : "" }, { "dropping-particle" : "", "family" : "Rosenthal", "given" : "H", "non-dropping-particle" : "", "parse-names" : false, "suffix" : "" } ], "id" : "ITEM-2", "issued" : { "date-parts" : [ [ "2006" ] ] }, "publisher" : "MIT", "publisher-place" : "Cambridge, MA", "title" : "Polarized America: The Dance of Ideology and Unequal Riches", "type" : "book" }, "uris" : [ "http://www.mendeley.com/documents/?uuid=9d6daafa-9a72-4552-bef0-bd7328e8c32e" ] } ], "mendeley" : { "formattedCitation" : "(McCarty, Poole and Rosenthal, 2006; Garand, 2010)", "plainTextFormattedCitation" : "(McCarty, Poole and Rosenthal, 2006; Garand, 2010)", "previouslyFormattedCitation" : "(McCarty, Poole and Rosenthal, 2006; Garand, 2010)"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(McCarty, Poole and Rosenthal, 2006; Garand, 2010)</w:t>
      </w:r>
      <w:r w:rsidRPr="002D0640">
        <w:rPr>
          <w:rFonts w:cstheme="majorBidi"/>
          <w:szCs w:val="24"/>
          <w:highlight w:val="lightGray"/>
        </w:rPr>
        <w:fldChar w:fldCharType="end"/>
      </w:r>
      <w:r w:rsidRPr="002D0640">
        <w:rPr>
          <w:rFonts w:cstheme="majorBidi"/>
          <w:szCs w:val="24"/>
          <w:highlight w:val="lightGray"/>
        </w:rPr>
        <w:t xml:space="preserve">. From this we might expect that higher inequality will lead to more political interest and engagement amongst citizens as party politics begin to matter more when it comes to elections. Yet in contrast, </w:t>
      </w:r>
      <w:r w:rsidRPr="002D0640">
        <w:rPr>
          <w:rFonts w:cstheme="majorBidi"/>
          <w:szCs w:val="24"/>
          <w:highlight w:val="lightGray"/>
        </w:rPr>
        <w:fldChar w:fldCharType="begin" w:fldLock="1"/>
      </w:r>
      <w:r w:rsidRPr="002D0640">
        <w:rPr>
          <w:rFonts w:cstheme="majorBidi"/>
          <w:szCs w:val="24"/>
          <w:highlight w:val="lightGray"/>
        </w:rPr>
        <w:instrText>ADDIN CSL_CITATION { "citationItems" : [ { "id" : "ITEM-1", "itemData" : { "DOI" : "10.1111/j.1540-5907.2007.00298.x", "ISSN" : "00925853", "author" : [ { "dropping-particle" : "", "family" : "Solt", "given" : "Frederick", "non-dropping-particle" : "", "parse-names" : false, "suffix" : "" } ], "container-title" : "American Journal of Political Science", "id" : "ITEM-1", "issue" : "1", "issued" : { "date-parts" : [ [ "2008", "1", "18" ] ] }, "page" : "48-60", "title" : "Economic Inequality and Democratic Political Engagement", "type" : "article-journal", "volume" : "52" }, "uris" : [ "http://www.mendeley.com/documents/?uuid=7fc76ba9-5a00-498c-85c3-c78664107c6b" ] } ], "mendeley" : { "formattedCitation" : "(Solt, 2008)", "manualFormatting" : "Solt (2008)", "plainTextFormattedCitation" : "(Solt, 2008)", "previouslyFormattedCitation" : "(Solt, 2008)" }, "properties" : { "noteIndex" : 0 }, "schema" : "https://github.com/citation-style-language/schema/raw/master/csl-citation.json" }</w:instrText>
      </w:r>
      <w:r w:rsidRPr="002D0640">
        <w:rPr>
          <w:rFonts w:cstheme="majorBidi"/>
          <w:szCs w:val="24"/>
          <w:highlight w:val="lightGray"/>
        </w:rPr>
        <w:fldChar w:fldCharType="separate"/>
      </w:r>
      <w:r w:rsidRPr="002D0640">
        <w:rPr>
          <w:rFonts w:cstheme="majorBidi"/>
          <w:noProof/>
          <w:szCs w:val="24"/>
          <w:highlight w:val="lightGray"/>
        </w:rPr>
        <w:t>Solt (2008)</w:t>
      </w:r>
      <w:r w:rsidRPr="002D0640">
        <w:rPr>
          <w:rFonts w:cstheme="majorBidi"/>
          <w:szCs w:val="24"/>
          <w:highlight w:val="lightGray"/>
        </w:rPr>
        <w:fldChar w:fldCharType="end"/>
      </w:r>
      <w:r w:rsidRPr="002D0640">
        <w:rPr>
          <w:rFonts w:cstheme="majorBidi"/>
          <w:szCs w:val="24"/>
          <w:highlight w:val="lightGray"/>
        </w:rPr>
        <w:t xml:space="preserve"> has argued that inequality </w:t>
      </w:r>
      <w:r w:rsidRPr="002D0640">
        <w:rPr>
          <w:rFonts w:cstheme="majorBidi"/>
          <w:i/>
          <w:szCs w:val="24"/>
          <w:highlight w:val="lightGray"/>
        </w:rPr>
        <w:t>depresses</w:t>
      </w:r>
      <w:r w:rsidRPr="002D0640">
        <w:rPr>
          <w:rFonts w:cstheme="majorBidi"/>
          <w:szCs w:val="24"/>
          <w:highlight w:val="lightGray"/>
        </w:rPr>
        <w:t xml:space="preserve"> political interest amongst all but the most affluent citizens by restricting resources for the less well-off.</w:t>
      </w:r>
    </w:p>
    <w:p w14:paraId="2FBBC9C2" w14:textId="2CAB77B6" w:rsidR="002D0640" w:rsidRPr="002D0640" w:rsidRDefault="002D0640" w:rsidP="002D0640">
      <w:pPr>
        <w:rPr>
          <w:rFonts w:cstheme="majorBidi"/>
          <w:szCs w:val="24"/>
        </w:rPr>
      </w:pPr>
      <w:r w:rsidRPr="002D0640">
        <w:rPr>
          <w:rFonts w:cstheme="majorBidi"/>
          <w:szCs w:val="24"/>
          <w:highlight w:val="lightGray"/>
        </w:rPr>
        <w:t xml:space="preserve">And so the expected relationship between inequality and the two understandings of democracy is not clear. To test the relationship in this data, the OECD Gini measure of income distribution is added to the model at the national level. The Gini measure runs from 0-100, with higher scores indicating greater income inequality. This is also </w:t>
      </w:r>
      <w:r w:rsidR="00662319">
        <w:rPr>
          <w:rFonts w:cstheme="majorBidi"/>
          <w:szCs w:val="24"/>
          <w:highlight w:val="lightGray"/>
        </w:rPr>
        <w:t>a</w:t>
      </w:r>
      <w:r w:rsidRPr="002D0640">
        <w:rPr>
          <w:rFonts w:cstheme="majorBidi"/>
          <w:szCs w:val="24"/>
          <w:highlight w:val="lightGray"/>
        </w:rPr>
        <w:t xml:space="preserve"> puzzle I examine with a cross-level interaction. To do so I look at two interactions. Firstly, the individual-level income variable and how interacts it with the gini coefficient, and secondly, how individual income interacts with HDI.</w:t>
      </w:r>
    </w:p>
    <w:p w14:paraId="3C27AB95" w14:textId="3D166DAE" w:rsidR="003600BE" w:rsidRPr="008E2326" w:rsidRDefault="00965279" w:rsidP="002032DF">
      <w:pPr>
        <w:pStyle w:val="Heading3"/>
        <w:numPr>
          <w:ilvl w:val="2"/>
          <w:numId w:val="16"/>
        </w:numPr>
        <w:spacing w:line="268" w:lineRule="auto"/>
        <w:rPr>
          <w:highlight w:val="lightGray"/>
        </w:rPr>
      </w:pPr>
      <w:r w:rsidRPr="008E2326">
        <w:rPr>
          <w:highlight w:val="lightGray"/>
        </w:rPr>
        <w:t>Cognitive Engagement</w:t>
      </w:r>
    </w:p>
    <w:p w14:paraId="07B23356" w14:textId="5BD31348" w:rsidR="007C221A" w:rsidRPr="008E2326" w:rsidRDefault="00FB3029" w:rsidP="003600BE">
      <w:pPr>
        <w:rPr>
          <w:szCs w:val="24"/>
          <w:highlight w:val="lightGray"/>
        </w:rPr>
      </w:pPr>
      <w:r w:rsidRPr="008E2326">
        <w:rPr>
          <w:szCs w:val="24"/>
          <w:highlight w:val="lightGray"/>
        </w:rPr>
        <w:t xml:space="preserve">Political socialization </w:t>
      </w:r>
      <w:r w:rsidR="007C221A" w:rsidRPr="008E2326">
        <w:rPr>
          <w:szCs w:val="24"/>
          <w:highlight w:val="lightGray"/>
        </w:rPr>
        <w:t xml:space="preserve">theory </w:t>
      </w:r>
      <w:r w:rsidRPr="008E2326">
        <w:rPr>
          <w:szCs w:val="24"/>
          <w:highlight w:val="lightGray"/>
        </w:rPr>
        <w:t xml:space="preserve">would expect people to gain political knowledge from the world around them, in particular friends and family but also through various media channels </w:t>
      </w:r>
      <w:r w:rsidRPr="008E2326">
        <w:rPr>
          <w:szCs w:val="24"/>
          <w:highlight w:val="lightGray"/>
        </w:rPr>
        <w:fldChar w:fldCharType="begin" w:fldLock="1"/>
      </w:r>
      <w:r w:rsidR="00E63CC6" w:rsidRPr="008E2326">
        <w:rPr>
          <w:szCs w:val="24"/>
          <w:highlight w:val="lightGray"/>
        </w:rPr>
        <w:instrText>ADDIN CSL_CITATION { "citationItems" : [ { "id" : "ITEM-1", "itemData" : { "DOI" : "10.1016/j.childyouth.2011.12.017", "ISSN" : "01907409", "abstract" : "This study explored political attitudes, awareness and values among 1753 Israeli-Jewish and Israeli-Palestinian adolescents aged 15 to 17 from different localities. The findings show that Palestinian adolescents reported more trust in the political system, were more aware and had a more formulated opinion of the political system than their Jewish colleagues. In addition, it was found that more religious adolescents showed more political awareness and involvement. In general, gender gaps in political participation measures were larger among Arab adolescents compared with Jewish adolescents. The researchers suggest that some of the findings can be explained by the potential role of participation in political activities by minority adolescents in the development of adolescents' political perception and attitudes. ?? 2011 Elsevier Ltd.", "author" : [ { "dropping-particle" : "", "family" : "Attar-Schwartz", "given" : "Shalhevet", "non-dropping-particle" : "", "parse-names" : false, "suffix" : "" }, { "dropping-particle" : "", "family" : "Ben-Arieh", "given" : "Asher", "non-dropping-particle" : "", "parse-names" : false, "suffix" : "" } ], "container-title" : "Children and Youth Services Review", "id" : "ITEM-1", "issue" : "4", "issued" : { "date-parts" : [ [ "2012" ] ] }, "page" : "704-712", "publisher" : "Elsevier Ltd", "title" : "Political knowledge, attitudes and values among Palestinian and Jewish youth in Israel: The role of nationality, gender and religiosity", "type" : "article-journal", "volume" : "34" }, "uris" : [ "http://www.mendeley.com/documents/?uuid=d41012b3-8a9d-4ef1-baa9-f0b55a4b2f92" ] } ], "mendeley" : { "formattedCitation" : "(Attar-Schwartz and Ben-Arieh, 2012)", "plainTextFormattedCitation" : "(Attar-Schwartz and Ben-Arieh, 2012)", "previouslyFormattedCitation" : "(Attar-Schwartz and Ben-Arieh, 2012)" }, "properties" : { "noteIndex" : 0 }, "schema" : "https://github.com/citation-style-language/schema/raw/master/csl-citation.json" }</w:instrText>
      </w:r>
      <w:r w:rsidRPr="008E2326">
        <w:rPr>
          <w:szCs w:val="24"/>
          <w:highlight w:val="lightGray"/>
        </w:rPr>
        <w:fldChar w:fldCharType="separate"/>
      </w:r>
      <w:r w:rsidR="00E63CC6" w:rsidRPr="008E2326">
        <w:rPr>
          <w:noProof/>
          <w:szCs w:val="24"/>
          <w:highlight w:val="lightGray"/>
        </w:rPr>
        <w:t>(Attar-Schwartz and Ben-Arieh, 2012)</w:t>
      </w:r>
      <w:r w:rsidRPr="008E2326">
        <w:rPr>
          <w:szCs w:val="24"/>
          <w:highlight w:val="lightGray"/>
        </w:rPr>
        <w:fldChar w:fldCharType="end"/>
      </w:r>
      <w:r w:rsidRPr="008E2326">
        <w:rPr>
          <w:szCs w:val="24"/>
          <w:highlight w:val="lightGray"/>
        </w:rPr>
        <w:t>.</w:t>
      </w:r>
      <w:r w:rsidR="007C221A" w:rsidRPr="008E2326">
        <w:rPr>
          <w:szCs w:val="24"/>
          <w:highlight w:val="lightGray"/>
        </w:rPr>
        <w:t xml:space="preserve"> As </w:t>
      </w:r>
      <w:r w:rsidR="007C221A" w:rsidRPr="008E2326">
        <w:rPr>
          <w:szCs w:val="24"/>
          <w:highlight w:val="lightGray"/>
        </w:rPr>
        <w:fldChar w:fldCharType="begin" w:fldLock="1"/>
      </w:r>
      <w:r w:rsidR="00E63CC6" w:rsidRPr="008E2326">
        <w:rPr>
          <w:szCs w:val="24"/>
          <w:highlight w:val="lightGray"/>
        </w:rPr>
        <w:instrText>ADDIN CSL_CITATION { "citationItems" : [ { "id" : "ITEM-1", "itemData" : { "DOI" : "10.1093/ijpor/10.1.25", "ISBN" : "09542892", "ISSN" : "0954-2892", "abstract" : "This investigation examines the theoretical linkage between patterns of mass media news use and various dimensions of political sophistication through three empirical models of comparison. A between-medium model traces the cognitive effects to the form of media; a between-content model isolates effects attributable to content type; and a cross-medium model explores the possibility that the effects of one medium may be mediated by use of another medium. Our explication of the dependent measure, political sophistication, limits the traditional conception to the cognitive domain and focuses attention on political interest, political knowledge, cognitive elaboration, and information processing strategies. Analyses of telephone survey data reveal that people who both frequently use and rely on newspapers outperform their television counterparts in knowledge and cognitive elaboration, but television is more effective in producing political interest and active processing of news information. Significant differences were found across different content types within each medium, and some mediating effects were detected among those using both newspapers and television.", "author" : [ { "dropping-particle" : "", "family" : "Guo", "given" : "Zhongshi", "non-dropping-particle" : "", "parse-names" : false, "suffix" : "" }, { "dropping-particle" : "", "family" : "Moy", "given" : "Patricia", "non-dropping-particle" : "", "parse-names" : false, "suffix" : "" } ], "container-title" : "International Journal of Public Opinion Research", "id" : "ITEM-1", "issue" : "1", "issued" : { "date-parts" : [ [ "1998" ] ] }, "page" : "25-50", "title" : "Medium or Message? Predicting Dimensions of Political Sophistication", "type" : "article-journal", "volume" : "10" }, "uris" : [ "http://www.mendeley.com/documents/?uuid=4e84dc45-4cef-4776-b48d-7d07cc8baec1" ] } ], "mendeley" : { "formattedCitation" : "(Guo and Moy, 1998)", "manualFormatting" : "Guo and Moy (1998, p.27)", "plainTextFormattedCitation" : "(Guo and Moy, 1998)", "previouslyFormattedCitation" : "(Guo and Moy, 1998)" }, "properties" : { "noteIndex" : 0 }, "schema" : "https://github.com/citation-style-language/schema/raw/master/csl-citation.json" }</w:instrText>
      </w:r>
      <w:r w:rsidR="007C221A" w:rsidRPr="008E2326">
        <w:rPr>
          <w:szCs w:val="24"/>
          <w:highlight w:val="lightGray"/>
        </w:rPr>
        <w:fldChar w:fldCharType="separate"/>
      </w:r>
      <w:r w:rsidR="007C221A" w:rsidRPr="008E2326">
        <w:rPr>
          <w:noProof/>
          <w:szCs w:val="24"/>
          <w:highlight w:val="lightGray"/>
        </w:rPr>
        <w:t>Guo and Moy (1998, p.27)</w:t>
      </w:r>
      <w:r w:rsidR="007C221A" w:rsidRPr="008E2326">
        <w:rPr>
          <w:szCs w:val="24"/>
          <w:highlight w:val="lightGray"/>
        </w:rPr>
        <w:fldChar w:fldCharType="end"/>
      </w:r>
      <w:r w:rsidR="007C221A" w:rsidRPr="008E2326">
        <w:rPr>
          <w:szCs w:val="24"/>
          <w:highlight w:val="lightGray"/>
        </w:rPr>
        <w:t xml:space="preserve"> suggest</w:t>
      </w:r>
      <w:r w:rsidR="00D0137C" w:rsidRPr="008E2326">
        <w:rPr>
          <w:szCs w:val="24"/>
          <w:highlight w:val="lightGray"/>
        </w:rPr>
        <w:t>ed</w:t>
      </w:r>
      <w:r w:rsidR="007C221A" w:rsidRPr="008E2326">
        <w:rPr>
          <w:szCs w:val="24"/>
          <w:highlight w:val="lightGray"/>
        </w:rPr>
        <w:t xml:space="preserve">, ‘a keen interest in politics may lead a person to think more critically about political information…and actively participate in political activities’ (see also </w:t>
      </w:r>
      <w:r w:rsidR="007C221A" w:rsidRPr="008E2326">
        <w:rPr>
          <w:szCs w:val="24"/>
          <w:highlight w:val="lightGray"/>
        </w:rPr>
        <w:fldChar w:fldCharType="begin" w:fldLock="1"/>
      </w:r>
      <w:r w:rsidR="00E63CC6" w:rsidRPr="008E2326">
        <w:rPr>
          <w:szCs w:val="24"/>
          <w:highlight w:val="lightGray"/>
        </w:rPr>
        <w:instrText>ADDIN CSL_CITATION { "citationItems" : [ { "id" : "ITEM-1", "itemData" : { "author" : [ { "dropping-particle" : "", "family" : "Brady", "given" : "H.E", "non-dropping-particle" : "", "parse-names" : false, "suffix" : "" }, { "dropping-particle" : "", "family" : "Verba", "given" : "S", "non-dropping-particle" : "", "parse-names" : false, "suffix" : "" }, { "dropping-particle" : "", "family" : "Schlozman", "given" : "K.L.", "non-dropping-particle" : "", "parse-names" : false, "suffix" : "" } ], "id" : "ITEM-1", "issued" : { "date-parts" : [ [ "1995" ] ] }, "publisher" : "Havard University Press", "publisher-place" : "Cambridge", "title" : "Voice and Equality: Civic Voluntarism in American Politics", "type" : "book" }, "uris" : [ "http://www.mendeley.com/documents/?uuid=cb196963-6b0c-4829-9a88-126d05bab108" ] }, { "id" : "ITEM-2", "itemData" : { "DOI" : "10.1037/0022-3514.37.10.1915", "ISBN" : "0022-3514", "ISSN" : "0022-3514", "abstract" : "Abstract 1. Two experiments with 96 undergraduates tested the hypothesis that high issue involvement enhances thinking about the content of a persuasive communication. Exp I varied involvement and the direction of a message (pro-or counterattitudinal). Increasing  ... \\n", "author" : [ { "dropping-particle" : "", "family" : "Petty", "given" : "Richard E", "non-dropping-particle" : "", "parse-names" : false, "suffix" : "" }, { "dropping-particle" : "", "family" : "Cacioppo", "given" : "John T", "non-dropping-particle" : "", "parse-names" : false, "suffix" : "" } ], "container-title" : "Journal of Personality and Social Psychology", "id" : "ITEM-2", "issue" : "10", "issued" : { "date-parts" : [ [ "1979" ] ] }, "page" : "1915-1926", "title" : "Issue involvement can increase or decrease persuasion by enhancing message-relevant cognitive responses.", "type" : "article-journal", "volume" : "37" }, "uris" : [ "http://www.mendeley.com/documents/?uuid=525db1fc-1d94-4fe5-8d37-e660044868d9" ] } ], "mendeley" : { "formattedCitation" : "(Petty and Cacioppo, 1979; Brady, Verba and Schlozman, 1995)", "manualFormatting" : "Verba et al. 1995; Petty &amp; Cacioppo 1979)", "plainTextFormattedCitation" : "(Petty and Cacioppo, 1979; Brady, Verba and Schlozman, 1995)", "previouslyFormattedCitation" : "(Petty and Cacioppo, 1979; Brady, Verba and Schlozman, 1995)" }, "properties" : { "noteIndex" : 0 }, "schema" : "https://github.com/citation-style-language/schema/raw/master/csl-citation.json" }</w:instrText>
      </w:r>
      <w:r w:rsidR="007C221A" w:rsidRPr="008E2326">
        <w:rPr>
          <w:szCs w:val="24"/>
          <w:highlight w:val="lightGray"/>
        </w:rPr>
        <w:fldChar w:fldCharType="separate"/>
      </w:r>
      <w:r w:rsidR="007C221A" w:rsidRPr="008E2326">
        <w:rPr>
          <w:noProof/>
          <w:szCs w:val="24"/>
          <w:highlight w:val="lightGray"/>
        </w:rPr>
        <w:t xml:space="preserve">Verba </w:t>
      </w:r>
      <w:r w:rsidR="00803848" w:rsidRPr="008E2326">
        <w:rPr>
          <w:noProof/>
          <w:szCs w:val="24"/>
          <w:highlight w:val="lightGray"/>
        </w:rPr>
        <w:t>et al</w:t>
      </w:r>
      <w:r w:rsidR="007C221A" w:rsidRPr="008E2326">
        <w:rPr>
          <w:noProof/>
          <w:szCs w:val="24"/>
          <w:highlight w:val="lightGray"/>
        </w:rPr>
        <w:t>. 1995; Petty &amp; Cacioppo 1979)</w:t>
      </w:r>
      <w:r w:rsidR="007C221A" w:rsidRPr="008E2326">
        <w:rPr>
          <w:szCs w:val="24"/>
          <w:highlight w:val="lightGray"/>
        </w:rPr>
        <w:fldChar w:fldCharType="end"/>
      </w:r>
      <w:r w:rsidR="007C221A" w:rsidRPr="008E2326">
        <w:rPr>
          <w:szCs w:val="24"/>
          <w:highlight w:val="lightGray"/>
        </w:rPr>
        <w:t>.</w:t>
      </w:r>
      <w:r w:rsidR="00857090" w:rsidRPr="008E2326">
        <w:rPr>
          <w:szCs w:val="24"/>
          <w:highlight w:val="lightGray"/>
        </w:rPr>
        <w:t xml:space="preserve"> S</w:t>
      </w:r>
      <w:r w:rsidR="007C221A" w:rsidRPr="008E2326">
        <w:rPr>
          <w:szCs w:val="24"/>
          <w:highlight w:val="lightGray"/>
        </w:rPr>
        <w:t>ince democracy is such a global term, particularly ‘liberal democracy’</w:t>
      </w:r>
      <w:r w:rsidR="00A23437" w:rsidRPr="008E2326">
        <w:rPr>
          <w:szCs w:val="24"/>
          <w:highlight w:val="lightGray"/>
        </w:rPr>
        <w:t>,</w:t>
      </w:r>
      <w:r w:rsidR="007C221A" w:rsidRPr="008E2326">
        <w:rPr>
          <w:szCs w:val="24"/>
          <w:highlight w:val="lightGray"/>
        </w:rPr>
        <w:t xml:space="preserve"> and is </w:t>
      </w:r>
      <w:r w:rsidR="00A23437" w:rsidRPr="008E2326">
        <w:rPr>
          <w:szCs w:val="24"/>
          <w:highlight w:val="lightGray"/>
        </w:rPr>
        <w:t xml:space="preserve">promoted by the United Nations </w:t>
      </w:r>
      <w:r w:rsidR="00A23437" w:rsidRPr="008E2326">
        <w:rPr>
          <w:szCs w:val="24"/>
          <w:highlight w:val="lightGray"/>
        </w:rPr>
        <w:fldChar w:fldCharType="begin" w:fldLock="1"/>
      </w:r>
      <w:r w:rsidR="00E63CC6" w:rsidRPr="008E2326">
        <w:rPr>
          <w:szCs w:val="24"/>
          <w:highlight w:val="lightGray"/>
        </w:rPr>
        <w:instrText>ADDIN CSL_CITATION { "citationItems" : [ { "id" : "ITEM-1", "itemData" : { "author" : [ { "dropping-particle" : "", "family" : "Newman", "given" : "E", "non-dropping-particle" : "", "parse-names" : false, "suffix" : "" }, { "dropping-particle" : "", "family" : "Rich", "given" : "R", "non-dropping-particle" : "", "parse-names" : false, "suffix" : "" } ], "id" : "ITEM-1", "issued" : { "date-parts" : [ [ "2004" ] ] }, "publisher" : "United Nations University", "publisher-place" : "USA", "title" : "The UN Role in Promoting Democracy - Between ideas and reality", "type" : "book" }, "uris" : [ "http://www.mendeley.com/documents/?uuid=4bf59c98-7329-4e6a-94ff-fb6a6b2a1031" ] } ], "mendeley" : { "formattedCitation" : "(Newman and Rich, 2004)", "plainTextFormattedCitation" : "(Newman and Rich, 2004)", "previouslyFormattedCitation" : "(Newman and Rich, 2004)" }, "properties" : { "noteIndex" : 0 }, "schema" : "https://github.com/citation-style-language/schema/raw/master/csl-citation.json" }</w:instrText>
      </w:r>
      <w:r w:rsidR="00A23437" w:rsidRPr="008E2326">
        <w:rPr>
          <w:szCs w:val="24"/>
          <w:highlight w:val="lightGray"/>
        </w:rPr>
        <w:fldChar w:fldCharType="separate"/>
      </w:r>
      <w:r w:rsidR="00E63CC6" w:rsidRPr="008E2326">
        <w:rPr>
          <w:noProof/>
          <w:szCs w:val="24"/>
          <w:highlight w:val="lightGray"/>
        </w:rPr>
        <w:t>(Newman and Rich, 2004)</w:t>
      </w:r>
      <w:r w:rsidR="00A23437" w:rsidRPr="008E2326">
        <w:rPr>
          <w:szCs w:val="24"/>
          <w:highlight w:val="lightGray"/>
        </w:rPr>
        <w:fldChar w:fldCharType="end"/>
      </w:r>
      <w:r w:rsidR="00A23437" w:rsidRPr="008E2326">
        <w:rPr>
          <w:szCs w:val="24"/>
          <w:highlight w:val="lightGray"/>
        </w:rPr>
        <w:t>, it might be expected that by being interested in politics, and searching out political information through sources such as the media, citizens might be expected to be more informed about democracy. This might also be exp</w:t>
      </w:r>
      <w:r w:rsidR="00EC5130" w:rsidRPr="008E2326">
        <w:rPr>
          <w:szCs w:val="24"/>
          <w:highlight w:val="lightGray"/>
        </w:rPr>
        <w:t>ected to form attitudes more in-</w:t>
      </w:r>
      <w:r w:rsidR="00A23437" w:rsidRPr="008E2326">
        <w:rPr>
          <w:szCs w:val="24"/>
          <w:highlight w:val="lightGray"/>
        </w:rPr>
        <w:t>line with the elite, theoretical approaches that shape liberal democracy.</w:t>
      </w:r>
    </w:p>
    <w:p w14:paraId="4AC2AA61" w14:textId="39515A9C" w:rsidR="00A61907" w:rsidRPr="008E2326" w:rsidRDefault="00A1018B" w:rsidP="003600BE">
      <w:pPr>
        <w:rPr>
          <w:szCs w:val="24"/>
          <w:highlight w:val="lightGray"/>
        </w:rPr>
      </w:pPr>
      <w:r w:rsidRPr="008E2326">
        <w:rPr>
          <w:szCs w:val="24"/>
          <w:highlight w:val="lightGray"/>
        </w:rPr>
        <w:t xml:space="preserve">This is also related to elements of the cognitive engagement theory – this is usually related to participation (see </w:t>
      </w:r>
      <w:r w:rsidRPr="008E2326">
        <w:rPr>
          <w:szCs w:val="24"/>
          <w:highlight w:val="lightGray"/>
        </w:rPr>
        <w:fldChar w:fldCharType="begin" w:fldLock="1"/>
      </w:r>
      <w:r w:rsidR="00E63CC6" w:rsidRPr="008E2326">
        <w:rPr>
          <w:szCs w:val="24"/>
          <w:highlight w:val="lightGray"/>
        </w:rPr>
        <w:instrText>ADDIN CSL_CITATION { "citationItems" : [ { "id" : "ITEM-1", "itemData" : { "author" : [ { "dropping-particle" : "", "family" : "Nie", "given" : "Norman H", "non-dropping-particle" : "", "parse-names" : false, "suffix" : "" }, { "dropping-particle" : "", "family" : "Junn", "given" : "J", "non-dropping-particle" : "", "parse-names" : false, "suffix" : "" }, { "dropping-particle" : "", "family" : "Stehlik-Barry", "given" : "K", "non-dropping-particle" : "", "parse-names" : false, "suffix" : "" } ], "id" : "ITEM-1", "issued" : { "date-parts" : [ [ "1996" ] ] }, "publisher" : "University of Chicago Press", "publisher-place" : "Chicago", "title" : "Education and Democratic Citizenship in America", "type" : "book" }, "uris" : [ "http://www.mendeley.com/documents/?uuid=c444f8a1-4303-42f8-8b01-9f2bc05e7e97" ] } ], "mendeley" : { "formattedCitation" : "(Nie, Junn and Stehlik-Barry, 1996)", "manualFormatting" : "Nie et al. 1996, and further discussion of this in Chapter 6, Section 2)", "plainTextFormattedCitation" : "(Nie, Junn and Stehlik-Barry, 1996)", "previouslyFormattedCitation" : "(Nie, Junn and Stehlik-Barry, 1996)" }, "properties" : { "noteIndex" : 0 }, "schema" : "https://github.com/citation-style-language/schema/raw/master/csl-citation.json" }</w:instrText>
      </w:r>
      <w:r w:rsidRPr="008E2326">
        <w:rPr>
          <w:szCs w:val="24"/>
          <w:highlight w:val="lightGray"/>
        </w:rPr>
        <w:fldChar w:fldCharType="separate"/>
      </w:r>
      <w:r w:rsidRPr="008E2326">
        <w:rPr>
          <w:noProof/>
          <w:szCs w:val="24"/>
          <w:highlight w:val="lightGray"/>
        </w:rPr>
        <w:t xml:space="preserve">Nie </w:t>
      </w:r>
      <w:r w:rsidR="00803848" w:rsidRPr="008E2326">
        <w:rPr>
          <w:noProof/>
          <w:szCs w:val="24"/>
          <w:highlight w:val="lightGray"/>
        </w:rPr>
        <w:t>et al</w:t>
      </w:r>
      <w:r w:rsidRPr="008E2326">
        <w:rPr>
          <w:noProof/>
          <w:szCs w:val="24"/>
          <w:highlight w:val="lightGray"/>
        </w:rPr>
        <w:t>. 1996, and further discussion of this in Chapter 6, Section 2)</w:t>
      </w:r>
      <w:r w:rsidRPr="008E2326">
        <w:rPr>
          <w:szCs w:val="24"/>
          <w:highlight w:val="lightGray"/>
        </w:rPr>
        <w:fldChar w:fldCharType="end"/>
      </w:r>
      <w:r w:rsidR="00A61907" w:rsidRPr="008E2326">
        <w:rPr>
          <w:szCs w:val="24"/>
          <w:highlight w:val="lightGray"/>
        </w:rPr>
        <w:t xml:space="preserve"> and has also been developed as a theory of citizenship </w:t>
      </w:r>
      <w:r w:rsidR="00A61907" w:rsidRPr="008E2326">
        <w:rPr>
          <w:szCs w:val="24"/>
          <w:highlight w:val="lightGray"/>
        </w:rPr>
        <w:fldChar w:fldCharType="begin" w:fldLock="1"/>
      </w:r>
      <w:r w:rsidR="00A61907" w:rsidRPr="008E2326">
        <w:rPr>
          <w:szCs w:val="24"/>
          <w:highlight w:val="lightGray"/>
        </w:rPr>
        <w:instrText>ADDIN CSL_CITATION { "citationItems" : [ { "id" : "ITEM-1",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"ITEM-1", "issued" : { "date-parts" : [ [ "2004" ] ] }, "publisher" : "Cambridge University Press", "publisher-place" : "Cambridge", "title" : "Citizenship in Britain", "type" : "book" }, "uris" : [ "http://www.mendeley.com/documents/?uuid=7ee55eb4-c098-4a41-8cae-776b65b64c9b" ] } ], "mendeley" : { "formattedCitation" : "(Pattie, Seyd and Whiteley, 2004)", "manualFormatting" : "(Pattie et al. 2004)", "plainTextFormattedCitation" : "(Pattie, Seyd and Whiteley, 2004)", "previouslyFormattedCitation" : "(Pattie, Seyd and Whiteley, 2004)" }, "properties" : { "noteIndex" : 0 }, "schema" : "https://github.com/citation-style-language/schema/raw/master/csl-citation.json" }</w:instrText>
      </w:r>
      <w:r w:rsidR="00A61907" w:rsidRPr="008E2326">
        <w:rPr>
          <w:szCs w:val="24"/>
          <w:highlight w:val="lightGray"/>
        </w:rPr>
        <w:fldChar w:fldCharType="separate"/>
      </w:r>
      <w:r w:rsidR="00A61907" w:rsidRPr="008E2326">
        <w:rPr>
          <w:noProof/>
          <w:szCs w:val="24"/>
          <w:highlight w:val="lightGray"/>
        </w:rPr>
        <w:t>(Pattie et al. 2004)</w:t>
      </w:r>
      <w:r w:rsidR="00A61907" w:rsidRPr="008E2326">
        <w:rPr>
          <w:szCs w:val="24"/>
          <w:highlight w:val="lightGray"/>
        </w:rPr>
        <w:fldChar w:fldCharType="end"/>
      </w:r>
      <w:r w:rsidRPr="008E2326">
        <w:rPr>
          <w:szCs w:val="24"/>
          <w:highlight w:val="lightGray"/>
        </w:rPr>
        <w:t xml:space="preserve">. </w:t>
      </w:r>
      <w:r w:rsidR="00EB308C" w:rsidRPr="008E2326">
        <w:rPr>
          <w:szCs w:val="24"/>
          <w:highlight w:val="lightGray"/>
        </w:rPr>
        <w:t>Growth of education alongside the wider available of information is central to cognitive mobilisation, and as Pattie et al. (2004, p.139) outline in more detail (regarding the context in Britain, a mature democracy):</w:t>
      </w:r>
      <w:r w:rsidR="00A61907" w:rsidRPr="008E2326">
        <w:rPr>
          <w:szCs w:val="24"/>
          <w:highlight w:val="lightGray"/>
        </w:rPr>
        <w:t xml:space="preserve"> </w:t>
      </w:r>
    </w:p>
    <w:p w14:paraId="276E74F5" w14:textId="2EC7D075" w:rsidR="00A61907" w:rsidRPr="008E2326" w:rsidRDefault="00A61907" w:rsidP="00FD525E">
      <w:pPr>
        <w:pStyle w:val="Quote"/>
        <w:rPr>
          <w:highlight w:val="lightGray"/>
        </w:rPr>
      </w:pPr>
      <w:r w:rsidRPr="008E2326">
        <w:rPr>
          <w:highlight w:val="lightGray"/>
        </w:rPr>
        <w:t>Media consumption is a key factor in this process</w:t>
      </w:r>
      <w:r w:rsidR="00EB308C" w:rsidRPr="008E2326">
        <w:rPr>
          <w:highlight w:val="lightGray"/>
        </w:rPr>
        <w:t>, since the cognitively engaged are likely to follow politics and public affairs in the media. Similarly, political knowledge is also important since the engaged are quite likely to be knowledgeable about how the system works…Cognitive mobilisation produces individuals who have an interest in politics and civic affairs, are politically knowledgeable and have a clear understanding of the norms and principles of democracy.”</w:t>
      </w:r>
    </w:p>
    <w:p w14:paraId="574F9DDC" w14:textId="6B5AA637" w:rsidR="00DB5259" w:rsidRPr="008E2326" w:rsidRDefault="00FD525E" w:rsidP="003600BE">
      <w:pPr>
        <w:rPr>
          <w:szCs w:val="24"/>
          <w:highlight w:val="lightGray"/>
        </w:rPr>
      </w:pPr>
      <w:r w:rsidRPr="008E2326">
        <w:rPr>
          <w:szCs w:val="24"/>
          <w:highlight w:val="lightGray"/>
        </w:rPr>
        <w:t>However, this theoretical expectation is premised on the UK context, a mature Western democracy with high levels of press freedom.  W</w:t>
      </w:r>
      <w:r w:rsidR="00DB5259" w:rsidRPr="008E2326">
        <w:rPr>
          <w:szCs w:val="24"/>
          <w:highlight w:val="lightGray"/>
        </w:rPr>
        <w:t xml:space="preserve">hen it comes to the media, it could be that the ‘information environment’ </w:t>
      </w:r>
      <w:bookmarkStart w:id="284" w:name="_Hlk490750845"/>
      <w:r w:rsidR="00DB5259" w:rsidRPr="008E2326">
        <w:rPr>
          <w:szCs w:val="24"/>
          <w:highlight w:val="lightGray"/>
        </w:rPr>
        <w:fldChar w:fldCharType="begin" w:fldLock="1"/>
      </w:r>
      <w:r w:rsidR="00E63CC6" w:rsidRPr="008E2326">
        <w:rPr>
          <w:szCs w:val="24"/>
          <w:highlight w:val="lightGray"/>
        </w:rPr>
        <w:instrText>ADDIN CSL_CITATION { "citationItems" : [ { "id" : "ITEM-1", "itemData" : { "author" : [ { "dropping-particle" : "", "family" : "Jerit", "given" : "Jennifer", "non-dropping-particle" : "", "parse-names" : false, "suffix" : "" }, { "dropping-particle" : "", "family" : "Barabas", "given" : "Jason", "non-dropping-particle" : "", "parse-names" : false, "suffix" : "" }, { "dropping-particle" : "", "family" : "Bolsen", "given" : "Toby", "non-dropping-particle" : "", "parse-names" : false, "suffix" : "" } ], "container-title" : "American Journal of Political Science", "id" : "ITEM-1", "issue" : "2", "issued" : { "date-parts" : [ [ "2006" ] ] }, "page" : "266-282", "title" : "Citizens, Knowledge, and the Information Environment", "type" : "article-journal", "volume" : "50" }, "uris" : [ "http://www.mendeley.com/documents/?uuid=e7ae7df9-86d1-4370-8568-003e0505aa9e" ] } ], "mendeley" : { "formattedCitation" : "(Jerit, Barabas and Bolsen, 2006)", "plainTextFormattedCitation" : "(Jerit, Barabas and Bolsen, 2006)", "previouslyFormattedCitation" : "(Jerit, Barabas and Bolsen, 2006)" }, "properties" : { "noteIndex" : 0 }, "schema" : "https://github.com/citation-style-language/schema/raw/master/csl-citation.json" }</w:instrText>
      </w:r>
      <w:r w:rsidR="00DB5259" w:rsidRPr="008E2326">
        <w:rPr>
          <w:szCs w:val="24"/>
          <w:highlight w:val="lightGray"/>
        </w:rPr>
        <w:fldChar w:fldCharType="separate"/>
      </w:r>
      <w:r w:rsidR="00E63CC6" w:rsidRPr="008E2326">
        <w:rPr>
          <w:noProof/>
          <w:szCs w:val="24"/>
          <w:highlight w:val="lightGray"/>
        </w:rPr>
        <w:t>(Jerit, Barabas and Bolsen, 2006)</w:t>
      </w:r>
      <w:r w:rsidR="00DB5259" w:rsidRPr="008E2326">
        <w:rPr>
          <w:szCs w:val="24"/>
          <w:highlight w:val="lightGray"/>
        </w:rPr>
        <w:fldChar w:fldCharType="end"/>
      </w:r>
      <w:bookmarkEnd w:id="284"/>
      <w:r w:rsidR="00DB5259" w:rsidRPr="008E2326">
        <w:rPr>
          <w:szCs w:val="24"/>
          <w:highlight w:val="lightGray"/>
        </w:rPr>
        <w:t xml:space="preserve"> available to citizens is skewed and that free and unbiased political information is not easily accessible. A clear example here would be when the press is not free and is controlled by the state under an authoritarian regime, but it would not even have to be that dramatic; for instance, </w:t>
      </w:r>
      <w:r w:rsidRPr="008E2326">
        <w:rPr>
          <w:szCs w:val="24"/>
          <w:highlight w:val="lightGray"/>
        </w:rPr>
        <w:t xml:space="preserve">returning to the UK, </w:t>
      </w:r>
      <w:r w:rsidR="00B27BDA" w:rsidRPr="008E2326">
        <w:rPr>
          <w:szCs w:val="24"/>
          <w:highlight w:val="lightGray"/>
        </w:rPr>
        <w:t>a recent report</w:t>
      </w:r>
      <w:r w:rsidR="00DB5259" w:rsidRPr="008E2326">
        <w:rPr>
          <w:szCs w:val="24"/>
          <w:highlight w:val="lightGray"/>
        </w:rPr>
        <w:t xml:space="preserve"> of the </w:t>
      </w:r>
      <w:r w:rsidR="00B27BDA" w:rsidRPr="008E2326">
        <w:rPr>
          <w:szCs w:val="24"/>
          <w:highlight w:val="lightGray"/>
        </w:rPr>
        <w:t>2015 general election by the Electoral Integrity Project</w:t>
      </w:r>
      <w:r w:rsidR="00DB5259" w:rsidRPr="008E2326">
        <w:rPr>
          <w:szCs w:val="24"/>
          <w:highlight w:val="lightGray"/>
        </w:rPr>
        <w:t xml:space="preserve"> highlight</w:t>
      </w:r>
      <w:r w:rsidR="00B27BDA" w:rsidRPr="008E2326">
        <w:rPr>
          <w:szCs w:val="24"/>
          <w:highlight w:val="lightGray"/>
        </w:rPr>
        <w:t>ed</w:t>
      </w:r>
      <w:r w:rsidR="00DB5259" w:rsidRPr="008E2326">
        <w:rPr>
          <w:szCs w:val="24"/>
          <w:highlight w:val="lightGray"/>
        </w:rPr>
        <w:t xml:space="preserve"> </w:t>
      </w:r>
      <w:r w:rsidR="00B27BDA" w:rsidRPr="008E2326">
        <w:rPr>
          <w:szCs w:val="24"/>
          <w:highlight w:val="lightGray"/>
        </w:rPr>
        <w:t xml:space="preserve">a problematic </w:t>
      </w:r>
      <w:r w:rsidR="00DB5259" w:rsidRPr="008E2326">
        <w:rPr>
          <w:szCs w:val="24"/>
          <w:highlight w:val="lightGray"/>
        </w:rPr>
        <w:t xml:space="preserve">lack of balance in the popular media </w:t>
      </w:r>
      <w:r w:rsidR="00353118" w:rsidRPr="008E2326">
        <w:rPr>
          <w:szCs w:val="24"/>
          <w:highlight w:val="lightGray"/>
        </w:rPr>
        <w:fldChar w:fldCharType="begin" w:fldLock="1"/>
      </w:r>
      <w:r w:rsidR="00E63CC6" w:rsidRPr="008E2326">
        <w:rPr>
          <w:szCs w:val="24"/>
          <w:highlight w:val="lightGray"/>
        </w:rPr>
        <w:instrText>ADDIN CSL_CITATION { "citationItems" : [ { "id" : "ITEM-1", "itemData" : { "ISBN" : "9780646934785", "author" : [ { "dropping-particle" : "", "family" : "Norris", "given" : "P", "non-dropping-particle" : "", "parse-names" : false, "suffix" : "" }, { "dropping-particle" : "", "family" : "Martinez i Coma", "given" : "F", "non-dropping-particle" : "", "parse-names" : false, "suffix" : "" }, { "dropping-particle" : "", "family" : "Nai", "given" : "A", "non-dropping-particle" : "", "parse-names" : false, "suffix" : "" }, { "dropping-particle" : "", "family" : "Gromping", "given" : "M", "non-dropping-particle" : "", "parse-names" : false, "suffix" : "" } ], "id" : "ITEM-1", "issued" : { "date-parts" : [ [ "2016" ] ] }, "number-of-pages" : "1-114", "title" : "The year in elections 2015", "type" : "report" }, "uris" : [ "http://www.mendeley.com/documents/?uuid=0df3a301-f7ad-4205-86fc-99f6acd8fafa" ] } ], "mendeley" : { "formattedCitation" : "(Norris &lt;i&gt;et al.&lt;/i&gt;, 2016)", "plainTextFormattedCitation" : "(Norris et al., 2016)", "previouslyFormattedCitation" : "(Norris &lt;i&gt;et al.&lt;/i&gt;, 2016)" }, "properties" : { "noteIndex" : 0 }, "schema" : "https://github.com/citation-style-language/schema/raw/master/csl-citation.json" }</w:instrText>
      </w:r>
      <w:r w:rsidR="00353118" w:rsidRPr="008E2326">
        <w:rPr>
          <w:szCs w:val="24"/>
          <w:highlight w:val="lightGray"/>
        </w:rPr>
        <w:fldChar w:fldCharType="separate"/>
      </w:r>
      <w:r w:rsidR="00E63CC6" w:rsidRPr="008E2326">
        <w:rPr>
          <w:noProof/>
          <w:szCs w:val="24"/>
          <w:highlight w:val="lightGray"/>
        </w:rPr>
        <w:t xml:space="preserve">(Norris </w:t>
      </w:r>
      <w:r w:rsidR="00E63CC6" w:rsidRPr="008E2326">
        <w:rPr>
          <w:i/>
          <w:noProof/>
          <w:szCs w:val="24"/>
          <w:highlight w:val="lightGray"/>
        </w:rPr>
        <w:t>et al.</w:t>
      </w:r>
      <w:r w:rsidR="00E63CC6" w:rsidRPr="008E2326">
        <w:rPr>
          <w:noProof/>
          <w:szCs w:val="24"/>
          <w:highlight w:val="lightGray"/>
        </w:rPr>
        <w:t>, 2016)</w:t>
      </w:r>
      <w:r w:rsidR="00353118" w:rsidRPr="008E2326">
        <w:rPr>
          <w:szCs w:val="24"/>
          <w:highlight w:val="lightGray"/>
        </w:rPr>
        <w:fldChar w:fldCharType="end"/>
      </w:r>
      <w:r w:rsidR="00353118" w:rsidRPr="008E2326">
        <w:rPr>
          <w:szCs w:val="24"/>
          <w:highlight w:val="lightGray"/>
        </w:rPr>
        <w:t>. Therefore,</w:t>
      </w:r>
      <w:r w:rsidR="00F72533" w:rsidRPr="008E2326">
        <w:rPr>
          <w:szCs w:val="24"/>
          <w:highlight w:val="lightGray"/>
        </w:rPr>
        <w:t xml:space="preserve"> </w:t>
      </w:r>
      <w:r w:rsidR="004D00C6" w:rsidRPr="008E2326">
        <w:rPr>
          <w:szCs w:val="24"/>
          <w:highlight w:val="lightGray"/>
        </w:rPr>
        <w:t>there is a</w:t>
      </w:r>
      <w:r w:rsidR="00F72533" w:rsidRPr="008E2326">
        <w:rPr>
          <w:szCs w:val="24"/>
          <w:highlight w:val="lightGray"/>
        </w:rPr>
        <w:t xml:space="preserve"> puzzle</w:t>
      </w:r>
      <w:r w:rsidR="004D00C6" w:rsidRPr="008E2326">
        <w:rPr>
          <w:szCs w:val="24"/>
          <w:highlight w:val="lightGray"/>
        </w:rPr>
        <w:t xml:space="preserve"> concerning the interaction between theories of cognitive engagement and wider context, and this</w:t>
      </w:r>
      <w:r w:rsidR="00F72533" w:rsidRPr="008E2326">
        <w:rPr>
          <w:szCs w:val="24"/>
          <w:highlight w:val="lightGray"/>
        </w:rPr>
        <w:t xml:space="preserve"> will be tested </w:t>
      </w:r>
      <w:r w:rsidR="004D00C6" w:rsidRPr="008E2326">
        <w:rPr>
          <w:szCs w:val="24"/>
          <w:highlight w:val="lightGray"/>
        </w:rPr>
        <w:t xml:space="preserve">in my MLM analysis </w:t>
      </w:r>
      <w:r w:rsidR="00F72533" w:rsidRPr="008E2326">
        <w:rPr>
          <w:szCs w:val="24"/>
          <w:highlight w:val="lightGray"/>
        </w:rPr>
        <w:t>with an interaction</w:t>
      </w:r>
      <w:r w:rsidR="004D00C6" w:rsidRPr="008E2326">
        <w:rPr>
          <w:szCs w:val="24"/>
          <w:highlight w:val="lightGray"/>
        </w:rPr>
        <w:t xml:space="preserve"> effect</w:t>
      </w:r>
      <w:r w:rsidR="00F72533" w:rsidRPr="008E2326">
        <w:rPr>
          <w:szCs w:val="24"/>
          <w:highlight w:val="lightGray"/>
        </w:rPr>
        <w:t xml:space="preserve"> with </w:t>
      </w:r>
      <w:r w:rsidR="00353118" w:rsidRPr="008E2326">
        <w:rPr>
          <w:szCs w:val="24"/>
          <w:highlight w:val="lightGray"/>
        </w:rPr>
        <w:t>the</w:t>
      </w:r>
      <w:r w:rsidR="004D00C6" w:rsidRPr="008E2326">
        <w:rPr>
          <w:szCs w:val="24"/>
          <w:highlight w:val="lightGray"/>
        </w:rPr>
        <w:t xml:space="preserve"> use of media sources at the individual level and</w:t>
      </w:r>
      <w:r w:rsidR="00353118" w:rsidRPr="008E2326">
        <w:rPr>
          <w:szCs w:val="24"/>
          <w:highlight w:val="lightGray"/>
        </w:rPr>
        <w:t xml:space="preserve"> freedom of the press at the national level (</w:t>
      </w:r>
      <w:r w:rsidR="00D73259">
        <w:rPr>
          <w:szCs w:val="24"/>
          <w:highlight w:val="lightGray"/>
        </w:rPr>
        <w:t xml:space="preserve">this variable is </w:t>
      </w:r>
      <w:r w:rsidR="00860158">
        <w:rPr>
          <w:szCs w:val="24"/>
          <w:highlight w:val="lightGray"/>
        </w:rPr>
        <w:t>discussed below</w:t>
      </w:r>
      <w:r w:rsidR="00F72533" w:rsidRPr="008E2326">
        <w:rPr>
          <w:szCs w:val="24"/>
          <w:highlight w:val="lightGray"/>
        </w:rPr>
        <w:t>)</w:t>
      </w:r>
      <w:r w:rsidR="00353118" w:rsidRPr="008E2326">
        <w:rPr>
          <w:szCs w:val="24"/>
          <w:highlight w:val="lightGray"/>
        </w:rPr>
        <w:t>.</w:t>
      </w:r>
    </w:p>
    <w:p w14:paraId="58EE3823" w14:textId="27F1B477" w:rsidR="003600BE" w:rsidRPr="008E2326" w:rsidRDefault="0022437C" w:rsidP="003600BE">
      <w:pPr>
        <w:rPr>
          <w:szCs w:val="24"/>
          <w:highlight w:val="lightGray"/>
        </w:rPr>
      </w:pPr>
      <w:r w:rsidRPr="008E2326">
        <w:rPr>
          <w:szCs w:val="24"/>
          <w:highlight w:val="lightGray"/>
        </w:rPr>
        <w:t xml:space="preserve">Overall however, </w:t>
      </w:r>
      <w:r w:rsidR="004D00C6" w:rsidRPr="008E2326">
        <w:rPr>
          <w:szCs w:val="24"/>
          <w:highlight w:val="lightGray"/>
        </w:rPr>
        <w:t>considering</w:t>
      </w:r>
      <w:r w:rsidR="003600BE" w:rsidRPr="008E2326">
        <w:rPr>
          <w:szCs w:val="24"/>
          <w:highlight w:val="lightGray"/>
        </w:rPr>
        <w:t xml:space="preserve"> the impact of political knowledge</w:t>
      </w:r>
      <w:r w:rsidR="00D73259" w:rsidRPr="00D73259">
        <w:rPr>
          <w:szCs w:val="24"/>
          <w:highlight w:val="lightGray"/>
        </w:rPr>
        <w:t xml:space="preserve"> </w:t>
      </w:r>
      <w:r w:rsidR="00D73259" w:rsidRPr="008E2326">
        <w:rPr>
          <w:szCs w:val="24"/>
          <w:highlight w:val="lightGray"/>
        </w:rPr>
        <w:t>in broader terms</w:t>
      </w:r>
      <w:r w:rsidR="003600BE" w:rsidRPr="008E2326">
        <w:rPr>
          <w:szCs w:val="24"/>
          <w:highlight w:val="lightGray"/>
        </w:rPr>
        <w:t xml:space="preserve">, the theoretical expectation is that those who are interested </w:t>
      </w:r>
      <w:r w:rsidR="00FB3029" w:rsidRPr="008E2326">
        <w:rPr>
          <w:szCs w:val="24"/>
          <w:highlight w:val="lightGray"/>
        </w:rPr>
        <w:t xml:space="preserve">enough in politics to </w:t>
      </w:r>
      <w:r w:rsidR="003600BE" w:rsidRPr="008E2326">
        <w:rPr>
          <w:szCs w:val="24"/>
          <w:highlight w:val="lightGray"/>
        </w:rPr>
        <w:t>inform themselves about news event</w:t>
      </w:r>
      <w:r w:rsidR="0090404E" w:rsidRPr="008E2326">
        <w:rPr>
          <w:szCs w:val="24"/>
          <w:highlight w:val="lightGray"/>
        </w:rPr>
        <w:t>s and politics</w:t>
      </w:r>
      <w:r w:rsidR="003600BE" w:rsidRPr="008E2326">
        <w:rPr>
          <w:szCs w:val="24"/>
          <w:highlight w:val="lightGray"/>
        </w:rPr>
        <w:t xml:space="preserve"> through the media are more likely to have </w:t>
      </w:r>
      <w:r w:rsidR="0090404E" w:rsidRPr="008E2326">
        <w:rPr>
          <w:szCs w:val="24"/>
          <w:highlight w:val="lightGray"/>
        </w:rPr>
        <w:t>a</w:t>
      </w:r>
      <w:r w:rsidR="003600BE" w:rsidRPr="008E2326">
        <w:rPr>
          <w:szCs w:val="24"/>
          <w:highlight w:val="lightGray"/>
        </w:rPr>
        <w:t xml:space="preserve"> liberal understanding of democracy</w:t>
      </w:r>
      <w:r w:rsidR="0090404E" w:rsidRPr="008E2326">
        <w:rPr>
          <w:szCs w:val="24"/>
          <w:highlight w:val="lightGray"/>
        </w:rPr>
        <w:t xml:space="preserve"> and so score higher on the compound understanding</w:t>
      </w:r>
      <w:r w:rsidR="003600BE" w:rsidRPr="008E2326">
        <w:rPr>
          <w:szCs w:val="24"/>
          <w:highlight w:val="lightGray"/>
        </w:rPr>
        <w:t>.</w:t>
      </w:r>
      <w:r w:rsidR="0090404E" w:rsidRPr="008E2326">
        <w:rPr>
          <w:szCs w:val="24"/>
          <w:highlight w:val="lightGray"/>
        </w:rPr>
        <w:t xml:space="preserve"> </w:t>
      </w:r>
      <w:r w:rsidR="00857090" w:rsidRPr="008E2326">
        <w:rPr>
          <w:szCs w:val="24"/>
          <w:highlight w:val="lightGray"/>
        </w:rPr>
        <w:t>T</w:t>
      </w:r>
      <w:r w:rsidR="0090404E" w:rsidRPr="008E2326">
        <w:rPr>
          <w:szCs w:val="24"/>
          <w:highlight w:val="lightGray"/>
        </w:rPr>
        <w:t>he</w:t>
      </w:r>
      <w:r w:rsidR="003600BE" w:rsidRPr="008E2326">
        <w:rPr>
          <w:szCs w:val="24"/>
          <w:highlight w:val="lightGray"/>
        </w:rPr>
        <w:t xml:space="preserve"> prediction is in the same direction as the SES measurements; higher levels of interest and engagement will be positively related to the mixed understanding of democracy, and negatively related to the authoritarian one.</w:t>
      </w:r>
    </w:p>
    <w:p w14:paraId="45EC7BB8" w14:textId="34A87E47" w:rsidR="003600BE" w:rsidRPr="008E2326" w:rsidRDefault="003600BE" w:rsidP="003600BE">
      <w:pPr>
        <w:rPr>
          <w:rFonts w:cstheme="majorBidi"/>
          <w:szCs w:val="24"/>
          <w:highlight w:val="lightGray"/>
        </w:rPr>
      </w:pPr>
      <w:r w:rsidRPr="008E2326">
        <w:rPr>
          <w:szCs w:val="24"/>
          <w:highlight w:val="lightGray"/>
        </w:rPr>
        <w:t xml:space="preserve">Two variables are used to </w:t>
      </w:r>
      <w:r w:rsidRPr="008E2326">
        <w:rPr>
          <w:rFonts w:cstheme="majorBidi"/>
          <w:szCs w:val="24"/>
          <w:highlight w:val="lightGray"/>
        </w:rPr>
        <w:t>examine this issue.</w:t>
      </w:r>
      <w:r w:rsidR="004D4718" w:rsidRPr="008E2326">
        <w:rPr>
          <w:rFonts w:cstheme="majorBidi"/>
          <w:szCs w:val="24"/>
          <w:highlight w:val="lightGray"/>
        </w:rPr>
        <w:t xml:space="preserve"> Firstly, following Welzel (2011, p.22</w:t>
      </w:r>
      <w:r w:rsidRPr="008E2326">
        <w:rPr>
          <w:rFonts w:cstheme="majorBidi"/>
          <w:szCs w:val="24"/>
          <w:highlight w:val="lightGray"/>
        </w:rPr>
        <w:t xml:space="preserve">), political interest is </w:t>
      </w:r>
      <w:r w:rsidR="00D705BB" w:rsidRPr="008E2326">
        <w:rPr>
          <w:rFonts w:cstheme="majorBidi"/>
          <w:szCs w:val="24"/>
          <w:highlight w:val="lightGray"/>
        </w:rPr>
        <w:t>measured</w:t>
      </w:r>
      <w:r w:rsidR="0090404E" w:rsidRPr="008E2326">
        <w:rPr>
          <w:rFonts w:cstheme="majorBidi"/>
          <w:szCs w:val="24"/>
          <w:highlight w:val="lightGray"/>
        </w:rPr>
        <w:t xml:space="preserve"> in an index built from</w:t>
      </w:r>
      <w:r w:rsidRPr="008E2326">
        <w:rPr>
          <w:rFonts w:cstheme="majorBidi"/>
          <w:szCs w:val="24"/>
          <w:highlight w:val="lightGray"/>
        </w:rPr>
        <w:t xml:space="preserve"> two questions. The firs</w:t>
      </w:r>
      <w:r w:rsidR="00D705BB" w:rsidRPr="008E2326">
        <w:rPr>
          <w:rFonts w:cstheme="majorBidi"/>
          <w:szCs w:val="24"/>
          <w:highlight w:val="lightGray"/>
        </w:rPr>
        <w:t>t asks ‘</w:t>
      </w:r>
      <w:r w:rsidR="00D705BB" w:rsidRPr="008E2326">
        <w:rPr>
          <w:rFonts w:cstheme="majorBidi"/>
          <w:i/>
          <w:szCs w:val="24"/>
          <w:highlight w:val="lightGray"/>
        </w:rPr>
        <w:t>How interested would you say you are in politics?</w:t>
      </w:r>
      <w:r w:rsidR="00D705BB" w:rsidRPr="008E2326">
        <w:rPr>
          <w:rFonts w:cstheme="majorBidi"/>
          <w:szCs w:val="24"/>
          <w:highlight w:val="lightGray"/>
        </w:rPr>
        <w:t>’</w:t>
      </w:r>
      <w:r w:rsidRPr="008E2326">
        <w:rPr>
          <w:rFonts w:cstheme="majorBidi"/>
          <w:szCs w:val="24"/>
          <w:highlight w:val="lightGray"/>
        </w:rPr>
        <w:t xml:space="preserve"> and </w:t>
      </w:r>
      <w:r w:rsidR="00D705BB" w:rsidRPr="008E2326">
        <w:rPr>
          <w:rFonts w:cstheme="majorBidi"/>
          <w:szCs w:val="24"/>
          <w:highlight w:val="lightGray"/>
        </w:rPr>
        <w:t>provides the following options:</w:t>
      </w:r>
      <w:r w:rsidRPr="008E2326">
        <w:rPr>
          <w:rFonts w:cstheme="majorBidi"/>
          <w:szCs w:val="24"/>
          <w:highlight w:val="lightGray"/>
        </w:rPr>
        <w:t xml:space="preserve"> </w:t>
      </w:r>
      <w:r w:rsidR="00D705BB" w:rsidRPr="008E2326">
        <w:rPr>
          <w:szCs w:val="24"/>
          <w:highlight w:val="lightGray"/>
        </w:rPr>
        <w:t>Very i</w:t>
      </w:r>
      <w:r w:rsidRPr="008E2326">
        <w:rPr>
          <w:szCs w:val="24"/>
          <w:highlight w:val="lightGray"/>
        </w:rPr>
        <w:t>nterested, Somewhat interested</w:t>
      </w:r>
      <w:r w:rsidR="00D705BB" w:rsidRPr="008E2326">
        <w:rPr>
          <w:szCs w:val="24"/>
          <w:highlight w:val="lightGray"/>
        </w:rPr>
        <w:t>, Not very interested and Not at all interested (plus Don’t know).</w:t>
      </w:r>
      <w:r w:rsidRPr="008E2326">
        <w:rPr>
          <w:szCs w:val="24"/>
          <w:highlight w:val="lightGray"/>
        </w:rPr>
        <w:t xml:space="preserve"> The second question asks </w:t>
      </w:r>
      <w:r w:rsidR="00D705BB" w:rsidRPr="008E2326">
        <w:rPr>
          <w:szCs w:val="24"/>
          <w:highlight w:val="lightGray"/>
        </w:rPr>
        <w:t>‘</w:t>
      </w:r>
      <w:r w:rsidR="00D705BB" w:rsidRPr="008E2326">
        <w:rPr>
          <w:i/>
          <w:szCs w:val="24"/>
          <w:highlight w:val="lightGray"/>
        </w:rPr>
        <w:t>For each of the following aspects, indicate how important it is in your life: Politics’</w:t>
      </w:r>
      <w:r w:rsidR="00D705BB" w:rsidRPr="008E2326">
        <w:rPr>
          <w:szCs w:val="24"/>
          <w:highlight w:val="lightGray"/>
        </w:rPr>
        <w:t xml:space="preserve"> with the following options:</w:t>
      </w:r>
      <w:r w:rsidRPr="008E2326">
        <w:rPr>
          <w:rFonts w:cstheme="majorBidi"/>
          <w:szCs w:val="24"/>
          <w:highlight w:val="lightGray"/>
        </w:rPr>
        <w:t xml:space="preserve"> </w:t>
      </w:r>
      <w:r w:rsidR="00D705BB" w:rsidRPr="008E2326">
        <w:rPr>
          <w:szCs w:val="24"/>
          <w:highlight w:val="lightGray"/>
        </w:rPr>
        <w:t>Very i</w:t>
      </w:r>
      <w:r w:rsidRPr="008E2326">
        <w:rPr>
          <w:szCs w:val="24"/>
          <w:highlight w:val="lightGray"/>
        </w:rPr>
        <w:t>mportant</w:t>
      </w:r>
      <w:r w:rsidR="00D705BB" w:rsidRPr="008E2326">
        <w:rPr>
          <w:szCs w:val="24"/>
          <w:highlight w:val="lightGray"/>
        </w:rPr>
        <w:t>, Rather i</w:t>
      </w:r>
      <w:r w:rsidRPr="008E2326">
        <w:rPr>
          <w:szCs w:val="24"/>
          <w:highlight w:val="lightGray"/>
        </w:rPr>
        <w:t>mportant</w:t>
      </w:r>
      <w:r w:rsidR="00D705BB" w:rsidRPr="008E2326">
        <w:rPr>
          <w:szCs w:val="24"/>
          <w:highlight w:val="lightGray"/>
        </w:rPr>
        <w:t>, Not very i</w:t>
      </w:r>
      <w:r w:rsidRPr="008E2326">
        <w:rPr>
          <w:szCs w:val="24"/>
          <w:highlight w:val="lightGray"/>
        </w:rPr>
        <w:t xml:space="preserve">mportant </w:t>
      </w:r>
      <w:r w:rsidR="00D705BB" w:rsidRPr="008E2326">
        <w:rPr>
          <w:szCs w:val="24"/>
          <w:highlight w:val="lightGray"/>
        </w:rPr>
        <w:t>and Not at all i</w:t>
      </w:r>
      <w:r w:rsidRPr="008E2326">
        <w:rPr>
          <w:szCs w:val="24"/>
          <w:highlight w:val="lightGray"/>
        </w:rPr>
        <w:t xml:space="preserve">mportant </w:t>
      </w:r>
      <w:r w:rsidR="00D705BB" w:rsidRPr="008E2326">
        <w:rPr>
          <w:szCs w:val="24"/>
          <w:highlight w:val="lightGray"/>
        </w:rPr>
        <w:t>(plus Don’t know)</w:t>
      </w:r>
      <w:r w:rsidRPr="008E2326">
        <w:rPr>
          <w:szCs w:val="24"/>
          <w:highlight w:val="lightGray"/>
        </w:rPr>
        <w:t xml:space="preserve">. The two variables were </w:t>
      </w:r>
      <w:r w:rsidR="00D705BB" w:rsidRPr="008E2326">
        <w:rPr>
          <w:szCs w:val="24"/>
          <w:highlight w:val="lightGray"/>
        </w:rPr>
        <w:t xml:space="preserve">combined into an index (alpha </w:t>
      </w:r>
      <w:r w:rsidR="0090404E" w:rsidRPr="008E2326">
        <w:rPr>
          <w:szCs w:val="24"/>
          <w:highlight w:val="lightGray"/>
        </w:rPr>
        <w:t>coefficient</w:t>
      </w:r>
      <w:r w:rsidR="00D705BB" w:rsidRPr="008E2326">
        <w:rPr>
          <w:szCs w:val="24"/>
          <w:highlight w:val="lightGray"/>
        </w:rPr>
        <w:t xml:space="preserve"> 0.74</w:t>
      </w:r>
      <w:r w:rsidR="00B27BDA" w:rsidRPr="008E2326">
        <w:rPr>
          <w:szCs w:val="24"/>
          <w:highlight w:val="lightGray"/>
        </w:rPr>
        <w:t>, with the ‘Don’t know’ answers dropped</w:t>
      </w:r>
      <w:r w:rsidR="00D705BB" w:rsidRPr="008E2326">
        <w:rPr>
          <w:szCs w:val="24"/>
          <w:highlight w:val="lightGray"/>
        </w:rPr>
        <w:t>) and converted to a scale from</w:t>
      </w:r>
      <w:r w:rsidRPr="008E2326">
        <w:rPr>
          <w:szCs w:val="24"/>
          <w:highlight w:val="lightGray"/>
        </w:rPr>
        <w:t xml:space="preserve"> 10 were the respondent thought politics was very important and they were very interested, to 1, where the respondent is somewhat apathetic, thinks politics is not all important and is not at all interested in it.</w:t>
      </w:r>
    </w:p>
    <w:p w14:paraId="1C5315FE" w14:textId="6AD0A0B2" w:rsidR="003600BE" w:rsidRDefault="0090404E" w:rsidP="0090404E">
      <w:pPr>
        <w:rPr>
          <w:szCs w:val="24"/>
        </w:rPr>
      </w:pPr>
      <w:r w:rsidRPr="008E2326">
        <w:rPr>
          <w:rFonts w:cstheme="majorBidi"/>
          <w:szCs w:val="24"/>
          <w:highlight w:val="lightGray"/>
        </w:rPr>
        <w:t xml:space="preserve">The second </w:t>
      </w:r>
      <w:r w:rsidR="00FB3029" w:rsidRPr="008E2326">
        <w:rPr>
          <w:rFonts w:cstheme="majorBidi"/>
          <w:szCs w:val="24"/>
          <w:highlight w:val="lightGray"/>
        </w:rPr>
        <w:t xml:space="preserve">aspect of political knowledge it tapped into by looking at media use of citizens. </w:t>
      </w:r>
      <w:r w:rsidRPr="008E2326">
        <w:rPr>
          <w:rFonts w:cstheme="majorBidi"/>
          <w:szCs w:val="24"/>
          <w:highlight w:val="lightGray"/>
        </w:rPr>
        <w:t xml:space="preserve"> M</w:t>
      </w:r>
      <w:r w:rsidR="003600BE" w:rsidRPr="008E2326">
        <w:rPr>
          <w:rFonts w:cstheme="majorBidi"/>
          <w:szCs w:val="24"/>
          <w:highlight w:val="lightGray"/>
        </w:rPr>
        <w:t xml:space="preserve">edia use is measured </w:t>
      </w:r>
      <w:r w:rsidRPr="008E2326">
        <w:rPr>
          <w:rFonts w:cstheme="majorBidi"/>
          <w:szCs w:val="24"/>
          <w:highlight w:val="lightGray"/>
        </w:rPr>
        <w:t>with the question: ‘</w:t>
      </w:r>
      <w:r w:rsidRPr="008E2326">
        <w:rPr>
          <w:rFonts w:cstheme="majorBidi"/>
          <w:i/>
          <w:szCs w:val="24"/>
          <w:highlight w:val="lightGray"/>
        </w:rPr>
        <w:t>People use different sources to learn what is going on in their country and the world. For each of the following sources, please indicate whether you used it last week</w:t>
      </w:r>
      <w:r w:rsidR="00035B59" w:rsidRPr="008E2326">
        <w:rPr>
          <w:rFonts w:cstheme="majorBidi"/>
          <w:i/>
          <w:szCs w:val="24"/>
          <w:highlight w:val="lightGray"/>
        </w:rPr>
        <w:t xml:space="preserve"> or did not use it last week to </w:t>
      </w:r>
      <w:r w:rsidRPr="008E2326">
        <w:rPr>
          <w:rFonts w:cstheme="majorBidi"/>
          <w:i/>
          <w:szCs w:val="24"/>
          <w:highlight w:val="lightGray"/>
        </w:rPr>
        <w:t>obtain information.</w:t>
      </w:r>
      <w:r w:rsidRPr="008E2326">
        <w:rPr>
          <w:rFonts w:cstheme="majorBidi"/>
          <w:szCs w:val="24"/>
          <w:highlight w:val="lightGray"/>
        </w:rPr>
        <w:t>’</w:t>
      </w:r>
      <w:r w:rsidR="003600BE" w:rsidRPr="008E2326">
        <w:rPr>
          <w:rFonts w:cstheme="majorBidi"/>
          <w:szCs w:val="24"/>
          <w:highlight w:val="lightGray"/>
        </w:rPr>
        <w:t xml:space="preserve"> The list of sources includes TV broadcasts, </w:t>
      </w:r>
      <w:r w:rsidR="003600BE" w:rsidRPr="008E2326">
        <w:rPr>
          <w:szCs w:val="24"/>
          <w:highlight w:val="lightGray"/>
        </w:rPr>
        <w:t>newspapers, magazines, reports, books, internet and colleagues. The variable is coded into categories: those who do not report using any (0), those who use 1-4 sources (1), and those who use 5 or more (2). These groupings are informed by the descriptive statistics in Chapter 3. Results here showed that a binary variable (use some vs use none) would not capture the distinctive pattern in the</w:t>
      </w:r>
      <w:r w:rsidR="00035B59" w:rsidRPr="008E2326">
        <w:rPr>
          <w:szCs w:val="24"/>
          <w:highlight w:val="lightGray"/>
        </w:rPr>
        <w:t xml:space="preserve"> data between general and heavy </w:t>
      </w:r>
      <w:r w:rsidR="003600BE" w:rsidRPr="008E2326">
        <w:rPr>
          <w:szCs w:val="24"/>
          <w:highlight w:val="lightGray"/>
        </w:rPr>
        <w:t>users of media.</w:t>
      </w:r>
    </w:p>
    <w:p w14:paraId="62235D5A" w14:textId="77777777" w:rsidR="009138D2" w:rsidRPr="009138D2" w:rsidRDefault="009138D2" w:rsidP="009138D2">
      <w:pPr>
        <w:rPr>
          <w:rFonts w:cstheme="majorBidi"/>
          <w:szCs w:val="24"/>
          <w:highlight w:val="lightGray"/>
        </w:rPr>
      </w:pPr>
      <w:r w:rsidRPr="009138D2">
        <w:rPr>
          <w:rFonts w:cstheme="majorBidi"/>
          <w:szCs w:val="24"/>
          <w:highlight w:val="lightGray"/>
        </w:rPr>
        <w:t>As the tests of individual cognitive engagement are heavily dependent on the use of media, it is important to check how free the media is in a country, and make sure that the media is not simply a state-controlled entity, a situation more likely in authoritarian regimes that use the media as an outlet for propaganda. Compiled by Reporters Without Borders, the Press Freedom Index is used to tap into this idea</w:t>
      </w:r>
      <w:r w:rsidRPr="009138D2">
        <w:rPr>
          <w:rStyle w:val="FootnoteReference"/>
          <w:highlight w:val="lightGray"/>
        </w:rPr>
        <w:footnoteReference w:id="18"/>
      </w:r>
      <w:r w:rsidRPr="009138D2">
        <w:rPr>
          <w:rFonts w:cstheme="majorBidi"/>
          <w:szCs w:val="24"/>
          <w:highlight w:val="lightGray"/>
        </w:rPr>
        <w:t xml:space="preserve"> The index is based on expert opinions and surveys with journalists, human rights organizations, researchers and jurists. The index is recoded to run from 0-100, with 100 being the most free, and 0 being the most repressed.</w:t>
      </w:r>
    </w:p>
    <w:p w14:paraId="01C123BC" w14:textId="77777777" w:rsidR="009138D2" w:rsidRPr="009138D2" w:rsidRDefault="009138D2" w:rsidP="009138D2">
      <w:pPr>
        <w:rPr>
          <w:rFonts w:cstheme="majorBidi"/>
          <w:szCs w:val="24"/>
          <w:highlight w:val="lightGray"/>
        </w:rPr>
      </w:pPr>
      <w:r w:rsidRPr="009138D2">
        <w:rPr>
          <w:rFonts w:cstheme="majorBidi"/>
          <w:szCs w:val="24"/>
          <w:highlight w:val="lightGray"/>
        </w:rPr>
        <w:t xml:space="preserve">The Press Freedom Index has been utilised in democracy studies, often to examine the impact of a free press and levels of democracy on corruption </w:t>
      </w:r>
      <w:r w:rsidRPr="009138D2">
        <w:rPr>
          <w:rFonts w:cstheme="majorBidi"/>
          <w:szCs w:val="24"/>
          <w:highlight w:val="lightGray"/>
        </w:rPr>
        <w:fldChar w:fldCharType="begin" w:fldLock="1"/>
      </w:r>
      <w:r w:rsidRPr="009138D2">
        <w:rPr>
          <w:rFonts w:cstheme="majorBidi"/>
          <w:szCs w:val="24"/>
          <w:highlight w:val="lightGray"/>
        </w:rPr>
        <w:instrText>ADDIN CSL_CITATION { "citationItems" : [ { "id" : "ITEM-1", "itemData" : { "author" : [ { "dropping-particle" : "", "family" : "Kalenborn", "given" : "Christine", "non-dropping-particle" : "", "parse-names" : false, "suffix" : "" }, { "dropping-particle" : "", "family" : "Lessman", "given" : "Christian", "non-dropping-particle" : "", "parse-names" : false, "suffix" : "" } ], "container-title" : "CESifo Working Paper", "id" : "ITEM-1", "issued" : { "date-parts" : [ [ "2012" ] ] }, "page" : "1-24", "title" : "The Impact of Democracy and Press Freedom on Corruption : Conditionality Matters", "type" : "article-journal", "volume" : "3917" }, "uris" : [ "http://www.mendeley.com/documents/?uuid=3520d824-ff4f-4c7a-8842-854f4ac2ec61" ] }, { "id" : "ITEM-2", "itemData" : { "author" : [ { "dropping-particle" : "", "family" : "Khrapavitski", "given" : "Andrei", "non-dropping-particle" : "", "parse-names" : false, "suffix" : "" }, { "dropping-particle" : "", "family" : "Tran", "given" : "Hai", "non-dropping-particle" : "", "parse-names" : false, "suffix" : "" }, { "dropping-particle" : "", "family" : "Ahmood", "given" : "Reaz", "non-dropping-particle" : "", "parse-names" : false, "suffix" : "" }, { "dropping-particle" : "", "family" : "Du", "given" : "Ying", "non-dropping-particle" : "", "parse-names" : false, "suffix" : "" } ], "container-title" : "International Journal of Communication", "id" : "ITEM-2", "issued" : { "date-parts" : [ [ "2011" ] ] }, "page" : "170-191", "title" : "Linking Measures of Global Press Freedom to Development and Culture : Implications from a Comparative Analysis California State University , Fresno University of North Carolina at Chapel Hill", "type" : "article-journal", "volume" : "5" }, "uris" : [ "http://www.mendeley.com/documents/?uuid=439a009b-9213-4919-bf26-8a354e8eb917" ] } ], "mendeley" : { "formattedCitation" : "(Khrapavitski &lt;i&gt;et al.&lt;/i&gt;, 2011; Kalenborn and Lessman, 2012)", "plainTextFormattedCitation" : "(Khrapavitski et al., 2011; Kalenborn and Lessman, 2012)", "previouslyFormattedCitation" : "(Khrapavitski &lt;i&gt;et al.&lt;/i&gt;, 2011; Kalenborn and Lessman, 2012)" }, "properties" : { "noteIndex" : 0 }, "schema" : "https://github.com/citation-style-language/schema/raw/master/csl-citation.json" }</w:instrText>
      </w:r>
      <w:r w:rsidRPr="009138D2">
        <w:rPr>
          <w:rFonts w:cstheme="majorBidi"/>
          <w:szCs w:val="24"/>
          <w:highlight w:val="lightGray"/>
        </w:rPr>
        <w:fldChar w:fldCharType="separate"/>
      </w:r>
      <w:r w:rsidRPr="009138D2">
        <w:rPr>
          <w:rFonts w:cstheme="majorBidi"/>
          <w:noProof/>
          <w:szCs w:val="24"/>
          <w:highlight w:val="lightGray"/>
        </w:rPr>
        <w:t xml:space="preserve">(Khrapavitski </w:t>
      </w:r>
      <w:r w:rsidRPr="009138D2">
        <w:rPr>
          <w:rFonts w:cstheme="majorBidi"/>
          <w:i/>
          <w:noProof/>
          <w:szCs w:val="24"/>
          <w:highlight w:val="lightGray"/>
        </w:rPr>
        <w:t>et al.</w:t>
      </w:r>
      <w:r w:rsidRPr="009138D2">
        <w:rPr>
          <w:rFonts w:cstheme="majorBidi"/>
          <w:noProof/>
          <w:szCs w:val="24"/>
          <w:highlight w:val="lightGray"/>
        </w:rPr>
        <w:t>, 2011; Kalenborn and Lessman, 2012)</w:t>
      </w:r>
      <w:r w:rsidRPr="009138D2">
        <w:rPr>
          <w:rFonts w:cstheme="majorBidi"/>
          <w:szCs w:val="24"/>
          <w:highlight w:val="lightGray"/>
        </w:rPr>
        <w:fldChar w:fldCharType="end"/>
      </w:r>
      <w:r w:rsidRPr="009138D2">
        <w:rPr>
          <w:rFonts w:cstheme="majorBidi"/>
          <w:szCs w:val="24"/>
          <w:highlight w:val="lightGray"/>
        </w:rPr>
        <w:t xml:space="preserve"> and sometimes used with democratic indexes to form more substantial measures of democracy </w:t>
      </w:r>
      <w:r w:rsidRPr="009138D2">
        <w:rPr>
          <w:rFonts w:cstheme="majorBidi"/>
          <w:szCs w:val="24"/>
          <w:highlight w:val="lightGray"/>
        </w:rPr>
        <w:fldChar w:fldCharType="begin" w:fldLock="1"/>
      </w:r>
      <w:r w:rsidRPr="009138D2">
        <w:rPr>
          <w:rFonts w:cstheme="majorBidi"/>
          <w:szCs w:val="24"/>
          <w:highlight w:val="lightGray"/>
        </w:rPr>
        <w:instrText>ADDIN CSL_CITATION { "citationItems" : [ { "id" : "ITEM-1", "itemData" : { "author" : [ { "dropping-particle" : "", "family" : "Sallie", "given" : "S", "non-dropping-particle" : "", "parse-names" : false, "suffix" : "" } ], "container-title" : "International Third World Studies Journal and Review", "id" : "ITEM-1", "issued" : { "date-parts" : [ [ "2001" ] ] }, "page" : "33-41", "title" : "Capitalist Globalization and Liberal Democratization in the Third World: A Cross-National Study", "type" : "article-journal", "volume" : "12" }, "uris" : [ "http://www.mendeley.com/documents/?uuid=363f0285-5832-4ca2-9a78-be42e8b113e6" ] } ], "mendeley" : { "formattedCitation" : "(Sallie, 2001)", "plainTextFormattedCitation" : "(Sallie, 2001)", "previouslyFormattedCitation" : "(Sallie, 2001)" }, "properties" : { "noteIndex" : 0 }, "schema" : "https://github.com/citation-style-language/schema/raw/master/csl-citation.json" }</w:instrText>
      </w:r>
      <w:r w:rsidRPr="009138D2">
        <w:rPr>
          <w:rFonts w:cstheme="majorBidi"/>
          <w:szCs w:val="24"/>
          <w:highlight w:val="lightGray"/>
        </w:rPr>
        <w:fldChar w:fldCharType="separate"/>
      </w:r>
      <w:r w:rsidRPr="009138D2">
        <w:rPr>
          <w:rFonts w:cstheme="majorBidi"/>
          <w:noProof/>
          <w:szCs w:val="24"/>
          <w:highlight w:val="lightGray"/>
        </w:rPr>
        <w:t>(Sallie, 2001)</w:t>
      </w:r>
      <w:r w:rsidRPr="009138D2">
        <w:rPr>
          <w:rFonts w:cstheme="majorBidi"/>
          <w:szCs w:val="24"/>
          <w:highlight w:val="lightGray"/>
        </w:rPr>
        <w:fldChar w:fldCharType="end"/>
      </w:r>
      <w:r w:rsidRPr="009138D2">
        <w:rPr>
          <w:rFonts w:cstheme="majorBidi"/>
          <w:szCs w:val="24"/>
          <w:highlight w:val="lightGray"/>
        </w:rPr>
        <w:t xml:space="preserve">. However, to my knowledge, this is one of the first usages of the Press Freedom Index to examine whether the quality of press that a citizen has access to affects their conceptualisation of democracy. </w:t>
      </w:r>
    </w:p>
    <w:p w14:paraId="30219673" w14:textId="5F9E8B7B" w:rsidR="009138D2" w:rsidRPr="009138D2" w:rsidRDefault="009138D2" w:rsidP="0090404E">
      <w:pPr>
        <w:rPr>
          <w:rFonts w:cstheme="majorBidi"/>
          <w:szCs w:val="24"/>
        </w:rPr>
      </w:pPr>
      <w:r w:rsidRPr="009138D2">
        <w:rPr>
          <w:rFonts w:cstheme="majorBidi"/>
          <w:szCs w:val="24"/>
          <w:highlight w:val="lightGray"/>
        </w:rPr>
        <w:t>This variable also allows us to test, when it comes to understandings of democracy, if whether the effect of using media in your country is mediated by the freedom of the press in the country. For instance, we might expect that those living in a country with a repressed media might not have access to media sources that will allow them to gain knowledge about liberal democracy, and may in fact come across understandings of democracy more in line with an authoritarian idea of democracy (although not a country in the dataset, an extreme example of this might be the available media in a country such as North Korea, which has the official title ‘The Democratic People’s Republic of Korea’).</w:t>
      </w:r>
      <w:r>
        <w:rPr>
          <w:rFonts w:cstheme="majorBidi"/>
          <w:szCs w:val="24"/>
        </w:rPr>
        <w:t xml:space="preserve"> </w:t>
      </w:r>
    </w:p>
    <w:p w14:paraId="3A7F6413" w14:textId="77777777" w:rsidR="003600BE" w:rsidRPr="00C761C8" w:rsidRDefault="003600BE" w:rsidP="002032DF">
      <w:pPr>
        <w:pStyle w:val="Heading3"/>
        <w:numPr>
          <w:ilvl w:val="2"/>
          <w:numId w:val="16"/>
        </w:numPr>
        <w:spacing w:line="268" w:lineRule="auto"/>
        <w:rPr>
          <w:highlight w:val="darkGray"/>
        </w:rPr>
      </w:pPr>
      <w:bookmarkStart w:id="285" w:name="_Toc441069236"/>
      <w:r w:rsidRPr="00C761C8">
        <w:rPr>
          <w:highlight w:val="darkGray"/>
        </w:rPr>
        <w:t>Social Capital</w:t>
      </w:r>
      <w:bookmarkEnd w:id="285"/>
    </w:p>
    <w:p w14:paraId="74FDECA2" w14:textId="4A6EC542" w:rsidR="00A31058" w:rsidRPr="00FD525E" w:rsidRDefault="002427CC" w:rsidP="004A02DE">
      <w:pPr>
        <w:rPr>
          <w:szCs w:val="24"/>
          <w:highlight w:val="lightGray"/>
        </w:rPr>
      </w:pPr>
      <w:r w:rsidRPr="00FD525E">
        <w:rPr>
          <w:szCs w:val="24"/>
          <w:highlight w:val="lightGray"/>
        </w:rPr>
        <w:t xml:space="preserve">The idea of social capital as a positive force for democratic good can be traced at least back to Tocqueville, and </w:t>
      </w:r>
      <w:r w:rsidR="0043334C" w:rsidRPr="00FD525E">
        <w:rPr>
          <w:szCs w:val="24"/>
          <w:highlight w:val="lightGray"/>
        </w:rPr>
        <w:t>the term itself was popularized</w:t>
      </w:r>
      <w:r w:rsidR="00AF4E85" w:rsidRPr="00FD525E">
        <w:rPr>
          <w:szCs w:val="24"/>
          <w:highlight w:val="lightGray"/>
        </w:rPr>
        <w:t xml:space="preserve"> </w:t>
      </w:r>
      <w:r w:rsidRPr="00FD525E">
        <w:rPr>
          <w:szCs w:val="24"/>
          <w:highlight w:val="lightGray"/>
        </w:rPr>
        <w:t xml:space="preserve">by </w:t>
      </w:r>
      <w:r w:rsidRPr="00FD525E">
        <w:rPr>
          <w:szCs w:val="24"/>
          <w:highlight w:val="lightGray"/>
        </w:rPr>
        <w:fldChar w:fldCharType="begin" w:fldLock="1"/>
      </w:r>
      <w:r w:rsidRPr="00FD525E">
        <w:rPr>
          <w:szCs w:val="24"/>
          <w:highlight w:val="lightGray"/>
        </w:rPr>
        <w:instrText>ADDIN CSL_CITATION { "citationItems" : [ { "id" : "ITEM-1", "itemData" : { "author" : [ { "dropping-particle" : "", "family" : "Putnam", "given" : "Robert D", "non-dropping-particle" : "", "parse-names" : false, "suffix" : "" } ], "container-title" : "Journal of Democracy", "id" : "ITEM-1", "issue" : "1", "issued" : { "date-parts" : [ [ "1995" ] ] }, "page" : "67-78", "title" : "Bowling Alone: America's Declining Social Capital", "type" : "article-journal", "volume" : "6" }, "uris" : [ "http://www.mendeley.com/documents/?uuid=2ec14bef-d02f-4f64-8180-440f642c3717" ] } ], "mendeley" : { "formattedCitation" : "(Putnam, 1995)", "manualFormatting" : "Putnam (1995)", "plainTextFormattedCitation" : "(Putnam, 1995)", "previouslyFormattedCitation" : "(Putnam, 1995)" }, "properties" : { "noteIndex" : 0 }, "schema" : "https://github.com/citation-style-language/schema/raw/master/csl-citation.json" }</w:instrText>
      </w:r>
      <w:r w:rsidRPr="00FD525E">
        <w:rPr>
          <w:szCs w:val="24"/>
          <w:highlight w:val="lightGray"/>
        </w:rPr>
        <w:fldChar w:fldCharType="separate"/>
      </w:r>
      <w:r w:rsidRPr="00FD525E">
        <w:rPr>
          <w:noProof/>
          <w:szCs w:val="24"/>
          <w:highlight w:val="lightGray"/>
        </w:rPr>
        <w:t>Putnam (1995)</w:t>
      </w:r>
      <w:r w:rsidRPr="00FD525E">
        <w:rPr>
          <w:szCs w:val="24"/>
          <w:highlight w:val="lightGray"/>
        </w:rPr>
        <w:fldChar w:fldCharType="end"/>
      </w:r>
      <w:r w:rsidRPr="00FD525E">
        <w:rPr>
          <w:szCs w:val="24"/>
          <w:highlight w:val="lightGray"/>
        </w:rPr>
        <w:t xml:space="preserve"> </w:t>
      </w:r>
      <w:r w:rsidR="00AF4E85" w:rsidRPr="00FD525E">
        <w:rPr>
          <w:szCs w:val="24"/>
          <w:highlight w:val="lightGray"/>
        </w:rPr>
        <w:t xml:space="preserve">in particular. </w:t>
      </w:r>
      <w:r w:rsidR="002E38B0" w:rsidRPr="00FD525E">
        <w:rPr>
          <w:szCs w:val="24"/>
          <w:highlight w:val="lightGray"/>
        </w:rPr>
        <w:t xml:space="preserve">Drawing from numerous summaries of social capital, Van Deth </w:t>
      </w:r>
      <w:r w:rsidR="002E38B0" w:rsidRPr="00FD525E">
        <w:rPr>
          <w:szCs w:val="24"/>
          <w:highlight w:val="lightGray"/>
        </w:rPr>
        <w:fldChar w:fldCharType="begin" w:fldLock="1"/>
      </w:r>
      <w:r w:rsidR="002E38B0" w:rsidRPr="00FD525E">
        <w:rPr>
          <w:szCs w:val="24"/>
          <w:highlight w:val="lightGray"/>
        </w:rPr>
        <w:instrText>ADDIN CSL_CITATION { "citationItems" : [ { "id" : "ITEM-1", "itemData" : { "DOI" : "10.1080/13645570305057", "ISBN" : "1364-5579", "ISSN" : "1364-5579", "abstract" : "Studying social capital is widely spread and the concept entered almost each and every fiel d of the social sciences in the last decade. An overview of the available research strategies an d empirical approaches of social capital is presented here. Surprisingly, the conceptua l heterogenuity is much less reflected in operational and empirical heterogenuity tha n expected. The field is characterized by several orthodoxies, mainly related to the dominan t position of polling methods and the use of straightforward survey questions. Availabl e alternative approaches are limited to the use of official statistics as inverse indicators and t o some experiments. The major pitfalls in empirical research on social capital are discussed . Urgently needed are multi-method and multi-level strategies in order to strengthen the rol e of empirical evidence in the debates on social capital, civil society, and citizenship .", "author" : [ { "dropping-particle" : "", "family" : "Deth", "given" : "Jan W.", "non-dropping-particle" : "Van", "parse-names" : false, "suffix" : "" } ], "container-title" : "International Journal of Social Research Methodology", "id" : "ITEM-1", "issue" : "1", "issued" : { "date-parts" : [ [ "2003" ] ] }, "page" : "79-92", "title" : "Measuring social capital: Orthodoxies and continuing controversies", "type" : "article-journal", "volume" : "6" }, "uris" : [ "http://www.mendeley.com/documents/?uuid=a7de211b-dd7f-4266-b282-00f6ba1a4c4e" ] } ], "mendeley" : { "formattedCitation" : "(Van Deth, 2003)", "manualFormatting" : "(2003, p.80)", "plainTextFormattedCitation" : "(Van Deth, 2003)", "previouslyFormattedCitation" : "(Van Deth, 2003)" }, "properties" : { "noteIndex" : 0 }, "schema" : "https://github.com/citation-style-language/schema/raw/master/csl-citation.json" }</w:instrText>
      </w:r>
      <w:r w:rsidR="002E38B0" w:rsidRPr="00FD525E">
        <w:rPr>
          <w:szCs w:val="24"/>
          <w:highlight w:val="lightGray"/>
        </w:rPr>
        <w:fldChar w:fldCharType="separate"/>
      </w:r>
      <w:r w:rsidR="002E38B0" w:rsidRPr="00FD525E">
        <w:rPr>
          <w:noProof/>
          <w:szCs w:val="24"/>
          <w:highlight w:val="lightGray"/>
        </w:rPr>
        <w:t>(2003, p.80)</w:t>
      </w:r>
      <w:r w:rsidR="002E38B0" w:rsidRPr="00FD525E">
        <w:rPr>
          <w:szCs w:val="24"/>
          <w:highlight w:val="lightGray"/>
        </w:rPr>
        <w:fldChar w:fldCharType="end"/>
      </w:r>
      <w:r w:rsidR="002E38B0" w:rsidRPr="00FD525E">
        <w:rPr>
          <w:szCs w:val="24"/>
          <w:highlight w:val="lightGray"/>
        </w:rPr>
        <w:t xml:space="preserve"> outlines how two main aspects of social capital are usually </w:t>
      </w:r>
      <w:r w:rsidR="00FC5588" w:rsidRPr="00FD525E">
        <w:rPr>
          <w:szCs w:val="24"/>
          <w:highlight w:val="lightGray"/>
        </w:rPr>
        <w:t>identified</w:t>
      </w:r>
      <w:r w:rsidR="002E38B0" w:rsidRPr="00FD525E">
        <w:rPr>
          <w:szCs w:val="24"/>
          <w:highlight w:val="lightGray"/>
        </w:rPr>
        <w:t xml:space="preserve">: </w:t>
      </w:r>
      <w:r w:rsidR="00A31058" w:rsidRPr="00FD525E">
        <w:rPr>
          <w:szCs w:val="24"/>
          <w:highlight w:val="lightGray"/>
        </w:rPr>
        <w:t>“social capital comprises both structural aspects (that is, connections or networks) as well as cultural aspects (that is, obligations, or social norms and values, and particularly trust).”</w:t>
      </w:r>
      <w:r w:rsidR="00FC5588" w:rsidRPr="00FD525E">
        <w:rPr>
          <w:szCs w:val="24"/>
          <w:highlight w:val="lightGray"/>
        </w:rPr>
        <w:t xml:space="preserve"> </w:t>
      </w:r>
      <w:r w:rsidR="008634EA" w:rsidRPr="00FD525E">
        <w:rPr>
          <w:szCs w:val="24"/>
          <w:highlight w:val="lightGray"/>
        </w:rPr>
        <w:t xml:space="preserve">In his study using principal components analysis on a </w:t>
      </w:r>
      <w:r w:rsidR="00291B69" w:rsidRPr="00FD525E">
        <w:rPr>
          <w:szCs w:val="24"/>
          <w:highlight w:val="lightGray"/>
        </w:rPr>
        <w:t>large battery of social capital-</w:t>
      </w:r>
      <w:r w:rsidR="008634EA" w:rsidRPr="00FD525E">
        <w:rPr>
          <w:szCs w:val="24"/>
          <w:highlight w:val="lightGray"/>
        </w:rPr>
        <w:t>related items</w:t>
      </w:r>
      <w:r w:rsidR="00291B69" w:rsidRPr="00FD525E">
        <w:rPr>
          <w:szCs w:val="24"/>
          <w:highlight w:val="lightGray"/>
        </w:rPr>
        <w:t>,</w:t>
      </w:r>
      <w:r w:rsidR="008634EA" w:rsidRPr="00FD525E">
        <w:rPr>
          <w:szCs w:val="24"/>
          <w:highlight w:val="lightGray"/>
        </w:rPr>
        <w:t xml:space="preserve"> </w:t>
      </w:r>
      <w:r w:rsidR="00291B69" w:rsidRPr="00FD525E">
        <w:rPr>
          <w:szCs w:val="24"/>
          <w:highlight w:val="lightGray"/>
        </w:rPr>
        <w:fldChar w:fldCharType="begin" w:fldLock="1"/>
      </w:r>
      <w:r w:rsidR="001855E3" w:rsidRPr="00FD525E">
        <w:rPr>
          <w:szCs w:val="24"/>
          <w:highlight w:val="lightGray"/>
        </w:rPr>
        <w:instrText>ADDIN CSL_CITATION { "citationItems" : [ { "id" : "ITEM-1", "itemData" : { "DOI" : "10.1016/j.ejpoleco.2005.05.006", "ISSN" : "01762680", "author" : [ { "dropping-particle" : "", "family" : "Bj\u00f8rnskov", "given" : "Christian", "non-dropping-particle" : "", "parse-names" : false, "suffix" : "" } ], "container-title" : "European Journal of Political Economy", "id" : "ITEM-1", "issue" : "1", "issued" : { "date-parts" : [ [ "2006", "3" ] ] }, "page" : "22-40", "title" : "The multiple facets of social capital", "type" : "article-journal", "volume" : "22" }, "uris" : [ "http://www.mendeley.com/documents/?uuid=99365f32-8b2c-4b9a-8d07-e7e7400b8c1a" ] } ], "mendeley" : { "formattedCitation" : "(Bj\u00f8rnskov, 2006)", "manualFormatting" : "Bj\u00f8rnskov (2006)", "plainTextFormattedCitation" : "(Bj\u00f8rnskov, 2006)", "previouslyFormattedCitation" : "(Bj\u00f8rnskov, 2006)" }, "properties" : { "noteIndex" : 0 }, "schema" : "https://github.com/citation-style-language/schema/raw/master/csl-citation.json" }</w:instrText>
      </w:r>
      <w:r w:rsidR="00291B69" w:rsidRPr="00FD525E">
        <w:rPr>
          <w:szCs w:val="24"/>
          <w:highlight w:val="lightGray"/>
        </w:rPr>
        <w:fldChar w:fldCharType="separate"/>
      </w:r>
      <w:r w:rsidR="00291B69" w:rsidRPr="00FD525E">
        <w:rPr>
          <w:noProof/>
          <w:szCs w:val="24"/>
          <w:highlight w:val="lightGray"/>
        </w:rPr>
        <w:t>Bjørnskov (2006)</w:t>
      </w:r>
      <w:r w:rsidR="00291B69" w:rsidRPr="00FD525E">
        <w:rPr>
          <w:szCs w:val="24"/>
          <w:highlight w:val="lightGray"/>
        </w:rPr>
        <w:fldChar w:fldCharType="end"/>
      </w:r>
      <w:r w:rsidR="00291B69" w:rsidRPr="00FD525E">
        <w:rPr>
          <w:szCs w:val="24"/>
          <w:highlight w:val="lightGray"/>
        </w:rPr>
        <w:t xml:space="preserve"> suggests that of the cultural dimensions, social trust and social norms constitute two empirically distinct facets. However, he notes that the social trust element alone helps explain effective governance and measures of life satisfaction.</w:t>
      </w:r>
    </w:p>
    <w:p w14:paraId="6BFE1719" w14:textId="65E19247" w:rsidR="002427CC" w:rsidRPr="00FD525E" w:rsidRDefault="00991B28" w:rsidP="003600BE">
      <w:pPr>
        <w:rPr>
          <w:szCs w:val="24"/>
          <w:highlight w:val="lightGray"/>
        </w:rPr>
      </w:pPr>
      <w:r w:rsidRPr="00FD525E">
        <w:rPr>
          <w:szCs w:val="24"/>
          <w:highlight w:val="lightGray"/>
        </w:rPr>
        <w:t xml:space="preserve">In this thesis I examine the influence of the structural element by examining the associational activity of individuals, whilst cultural facets are examined by looking at social trust from two </w:t>
      </w:r>
      <w:r w:rsidR="0043334C" w:rsidRPr="00FD525E">
        <w:rPr>
          <w:szCs w:val="24"/>
          <w:highlight w:val="lightGray"/>
        </w:rPr>
        <w:t>angles</w:t>
      </w:r>
      <w:r w:rsidRPr="00FD525E">
        <w:rPr>
          <w:szCs w:val="24"/>
          <w:highlight w:val="lightGray"/>
        </w:rPr>
        <w:t xml:space="preserve">: trust in society more generally, and </w:t>
      </w:r>
      <w:r w:rsidR="008B67C7" w:rsidRPr="00FD525E">
        <w:rPr>
          <w:szCs w:val="24"/>
          <w:highlight w:val="lightGray"/>
        </w:rPr>
        <w:t xml:space="preserve">confidence and </w:t>
      </w:r>
      <w:r w:rsidRPr="00FD525E">
        <w:rPr>
          <w:szCs w:val="24"/>
          <w:highlight w:val="lightGray"/>
        </w:rPr>
        <w:t>trust in institutions</w:t>
      </w:r>
      <w:r w:rsidR="008B67C7" w:rsidRPr="00FD525E">
        <w:rPr>
          <w:szCs w:val="24"/>
          <w:highlight w:val="lightGray"/>
        </w:rPr>
        <w:t xml:space="preserve"> (t</w:t>
      </w:r>
      <w:r w:rsidRPr="00FD525E">
        <w:rPr>
          <w:szCs w:val="24"/>
          <w:highlight w:val="lightGray"/>
        </w:rPr>
        <w:t>he details of the variables are discussed below</w:t>
      </w:r>
      <w:r w:rsidR="008B67C7" w:rsidRPr="00FD525E">
        <w:rPr>
          <w:szCs w:val="24"/>
          <w:highlight w:val="lightGray"/>
        </w:rPr>
        <w:t>)</w:t>
      </w:r>
      <w:r w:rsidRPr="00FD525E">
        <w:rPr>
          <w:szCs w:val="24"/>
          <w:highlight w:val="lightGray"/>
        </w:rPr>
        <w:t>.</w:t>
      </w:r>
      <w:r w:rsidR="008B67C7" w:rsidRPr="00FD525E">
        <w:rPr>
          <w:szCs w:val="24"/>
          <w:highlight w:val="lightGray"/>
        </w:rPr>
        <w:t xml:space="preserve"> </w:t>
      </w:r>
    </w:p>
    <w:p w14:paraId="354BE9DE" w14:textId="4BE1BEE8" w:rsidR="00642896" w:rsidRPr="00FD525E" w:rsidRDefault="008B67C7" w:rsidP="003600BE">
      <w:pPr>
        <w:rPr>
          <w:szCs w:val="24"/>
          <w:highlight w:val="lightGray"/>
        </w:rPr>
      </w:pPr>
      <w:r w:rsidRPr="00FD525E">
        <w:rPr>
          <w:szCs w:val="24"/>
          <w:highlight w:val="lightGray"/>
        </w:rPr>
        <w:t>T</w:t>
      </w:r>
      <w:r w:rsidR="00642896" w:rsidRPr="00FD525E">
        <w:rPr>
          <w:szCs w:val="24"/>
          <w:highlight w:val="lightGray"/>
        </w:rPr>
        <w:t xml:space="preserve">he expectation is that increased levels of social trust will lead people to the compound understanding of democracy, or, at least, away from the authoritarian understanding. </w:t>
      </w:r>
      <w:r w:rsidR="003600BE" w:rsidRPr="00FD525E">
        <w:rPr>
          <w:szCs w:val="24"/>
          <w:highlight w:val="lightGray"/>
        </w:rPr>
        <w:t xml:space="preserve">Increased levels of social capital are generally seen as beneficial for democracy </w:t>
      </w:r>
      <w:r w:rsidR="00FD7922" w:rsidRPr="00FD525E">
        <w:rPr>
          <w:szCs w:val="24"/>
          <w:highlight w:val="lightGray"/>
        </w:rPr>
        <w:fldChar w:fldCharType="begin" w:fldLock="1"/>
      </w:r>
      <w:r w:rsidR="00E63CC6" w:rsidRPr="00FD525E">
        <w:rPr>
          <w:szCs w:val="24"/>
          <w:highlight w:val="lightGray"/>
        </w:rPr>
        <w:instrText>ADDIN CSL_CITATION { "citationItems" : [ { "id" : "ITEM-1", "itemData" : { "DOI" : "10.1017/S1468109905001842", "ISSN" : "1468-1099", "author" : [ { "dropping-particle" : "", "family" : "Dalton", "given" : "R.", "non-dropping-particle" : "", "parse-names" : false, "suffix" : "" }, { "dropping-particle" : "", "family" : "Ong", "given" : "Nhu-Ngoc T.", "non-dropping-particle" : "", "parse-names" : false, "suffix" : "" } ], "container-title" : "Japanese Journal of Political Science", "id" : "ITEM-1", "issue" : "2", "issued" : { "date-parts" : [ [ "2005", "8", "2" ] ] }, "page" : "211-231", "title" : "Authority Orientations and Democratic Attitudes: A Test of the \u2018Asian Values\u2019 Hypothesis", "type" : "article-journal", "volume" : "6" }, "uris" : [ "http://www.mendeley.com/documents/?uuid=3e65a42f-af4a-4bb7-9592-e90b528ec12d" ] } ], "mendeley" : { "formattedCitation" : "(Dalton and Ong, 2005)", "manualFormatting" : "(Dalton &amp; Ong 2005: 13)", "plainTextFormattedCitation" : "(Dalton and Ong, 2005)", "previouslyFormattedCitation" : "(Dalton and Ong, 2005)" }, "properties" : { "noteIndex" : 0 }, "schema" : "https://github.com/citation-style-language/schema/raw/master/csl-citation.json" }</w:instrText>
      </w:r>
      <w:r w:rsidR="00FD7922" w:rsidRPr="00FD525E">
        <w:rPr>
          <w:szCs w:val="24"/>
          <w:highlight w:val="lightGray"/>
        </w:rPr>
        <w:fldChar w:fldCharType="separate"/>
      </w:r>
      <w:r w:rsidR="00FD7922" w:rsidRPr="00FD525E">
        <w:rPr>
          <w:noProof/>
          <w:szCs w:val="24"/>
          <w:highlight w:val="lightGray"/>
        </w:rPr>
        <w:t>(Dalton &amp; Ong 2005: 13)</w:t>
      </w:r>
      <w:r w:rsidR="00FD7922" w:rsidRPr="00FD525E">
        <w:rPr>
          <w:szCs w:val="24"/>
          <w:highlight w:val="lightGray"/>
        </w:rPr>
        <w:fldChar w:fldCharType="end"/>
      </w:r>
      <w:r w:rsidR="003600BE" w:rsidRPr="00FD525E">
        <w:rPr>
          <w:szCs w:val="24"/>
          <w:highlight w:val="lightGray"/>
        </w:rPr>
        <w:t>, particularly as increased social capital is seen as generating trust and reciprocity which lowers the transaction costs of collective action, which are central to democracy</w:t>
      </w:r>
      <w:r w:rsidR="00FD7922" w:rsidRPr="00FD525E">
        <w:rPr>
          <w:szCs w:val="24"/>
          <w:highlight w:val="lightGray"/>
        </w:rPr>
        <w:t xml:space="preserve"> </w:t>
      </w:r>
      <w:r w:rsidR="00FD7922" w:rsidRPr="00FD525E">
        <w:rPr>
          <w:szCs w:val="24"/>
          <w:highlight w:val="lightGray"/>
        </w:rPr>
        <w:fldChar w:fldCharType="begin" w:fldLock="1"/>
      </w:r>
      <w:r w:rsidR="00E63CC6" w:rsidRPr="00FD525E">
        <w:rPr>
          <w:szCs w:val="24"/>
          <w:highlight w:val="lightGray"/>
        </w:rPr>
        <w:instrText>ADDIN CSL_CITATION { "citationItems" : [ { "id" : "ITEM-1", "itemData" : { "DOI" : "10.1177/0002764209350827", "ISBN" : "0002-7642", "ISSN" : "0002-7642", "abstract" : "Debates about social capital usually focus on its presumed positive consequences. Although this expectation has been corroborated empirically, in many instances some less benign consequences of social capital have also been uncovered. Several explanations for the emergence and consequences of these dark sides of social capital are briefly presented here and, subsequently, put to empirical testing. The contributors to this issue of American Behavioral Scientist have a common understanding of these dark sides of social capital. Conceptualizing them as negative consequences or outcomes, the authors use various research strategies to scrutinize the nature of the effects of social capital in various situations. In each analysis, however, particular focus is placed on the importance of the contextual setting. Special attention is paid to the degree of democratization, the postcommunist legacy, different welfare state regimes, the saliency of political cleavages, and types and interconnectedness of voluntary associations. The findings suggest that the specific consequences of social capital largely depend on political and social conditions.", "author" : [ { "dropping-particle" : "", "family" : "Deth", "given" : "J. W.", "non-dropping-particle" : "van", "parse-names" : false, "suffix" : "" }, { "dropping-particle" : "", "family" : "Zmerli", "given" : "S.", "non-dropping-particle" : "", "parse-names" : false, "suffix" : "" } ], "container-title" : "American Behavioral Scientist", "id" : "ITEM-1", "issue" : "5", "issued" : { "date-parts" : [ [ "2010" ] ] }, "page" : "631-639", "title" : "Introduction: Civicness, Equality, and Democracy--A \"Dark Side\" of Social Capital?", "type" : "article-journal", "volume" : "53" }, "uris" : [ "http://www.mendeley.com/documents/?uuid=01a0529a-d6f7-4ac5-af7c-c13986d572de" ] } ], "mendeley" : { "formattedCitation" : "(van Deth and Zmerli, 2010)", "manualFormatting" : "(van Deth &amp; Zmerli 2010", "plainTextFormattedCitation" : "(van Deth and Zmerli, 2010)", "previouslyFormattedCitation" : "(van Deth and Zmerli, 2010)" }, "properties" : { "noteIndex" : 0 }, "schema" : "https://github.com/citation-style-language/schema/raw/master/csl-citation.json" }</w:instrText>
      </w:r>
      <w:r w:rsidR="00FD7922" w:rsidRPr="00FD525E">
        <w:rPr>
          <w:szCs w:val="24"/>
          <w:highlight w:val="lightGray"/>
        </w:rPr>
        <w:fldChar w:fldCharType="separate"/>
      </w:r>
      <w:r w:rsidR="00FD7922" w:rsidRPr="00FD525E">
        <w:rPr>
          <w:noProof/>
          <w:szCs w:val="24"/>
          <w:highlight w:val="lightGray"/>
        </w:rPr>
        <w:t>(van Deth &amp; Zmerli 2010</w:t>
      </w:r>
      <w:r w:rsidR="00FD7922" w:rsidRPr="00FD525E">
        <w:rPr>
          <w:szCs w:val="24"/>
          <w:highlight w:val="lightGray"/>
        </w:rPr>
        <w:fldChar w:fldCharType="end"/>
      </w:r>
      <w:r w:rsidR="00FD7922" w:rsidRPr="00FD525E">
        <w:rPr>
          <w:szCs w:val="24"/>
          <w:highlight w:val="lightGray"/>
        </w:rPr>
        <w:t xml:space="preserve">; </w:t>
      </w:r>
      <w:r w:rsidR="00FD7922" w:rsidRPr="00FD525E">
        <w:rPr>
          <w:szCs w:val="24"/>
          <w:highlight w:val="lightGray"/>
        </w:rPr>
        <w:fldChar w:fldCharType="begin" w:fldLock="1"/>
      </w:r>
      <w:r w:rsidR="00E63CC6" w:rsidRPr="00FD525E">
        <w:rPr>
          <w:szCs w:val="24"/>
          <w:highlight w:val="lightGray"/>
        </w:rPr>
        <w:instrText>ADDIN CSL_CITATION { "citationItems" : [ { "id" : "ITEM-1", "itemData" : { "DOI" : "10.1177/0002764209350829", "ISBN" : "0002-7642", "ISSN" : "0002-7642", "abstract" : "From a theoretical viewpoint, the consequences of social capital for norms of citizenship are usually perceived as benign. However, empirical evidence indicates that its impact may be detrimental. To investigate this phenomenon further, this article examines the specific nature of the relationships among social involvement, social trust, and four different types of norms of citizenship. Social capital acts on these norms in two different ways. First, it varies with the specific norms of citizenship. Second, the different components of social capital do not necessarily exert similar effects. In this article, the negative and significant relationships between social trust and norms of social order are revealed, indicating the \"dark sides\" of social capital. This finding challenges the common wisdom about the positive interrelationship between social capital and a citizenry's public spiritedness in a democratic state.", "author" : [ { "dropping-particle" : "", "family" : "Zmerli", "given" : "S.", "non-dropping-particle" : "", "parse-names" : false, "suffix" : "" } ], "container-title" : "American Behavioral Scientist", "id" : "ITEM-1", "issue" : "5", "issued" : { "date-parts" : [ [ "2010" ] ] }, "page" : "657-676", "title" : "Social Capital and Norms of Citizenship: An Ambiguous Relationship?", "type" : "article-journal", "volume" : "53" }, "uris" : [ "http://www.mendeley.com/documents/?uuid=e657340a-ec49-4608-bc76-3d82bb275c4b" ] } ], "mendeley" : { "formattedCitation" : "(Zmerli, 2010)", "manualFormatting" : "Zmerli 2010)", "plainTextFormattedCitation" : "(Zmerli, 2010)", "previouslyFormattedCitation" : "(Zmerli, 2010)" }, "properties" : { "noteIndex" : 0 }, "schema" : "https://github.com/citation-style-language/schema/raw/master/csl-citation.json" }</w:instrText>
      </w:r>
      <w:r w:rsidR="00FD7922" w:rsidRPr="00FD525E">
        <w:rPr>
          <w:szCs w:val="24"/>
          <w:highlight w:val="lightGray"/>
        </w:rPr>
        <w:fldChar w:fldCharType="separate"/>
      </w:r>
      <w:r w:rsidR="00FD7922" w:rsidRPr="00FD525E">
        <w:rPr>
          <w:noProof/>
          <w:szCs w:val="24"/>
          <w:highlight w:val="lightGray"/>
        </w:rPr>
        <w:t>Zmerli 2010)</w:t>
      </w:r>
      <w:r w:rsidR="00FD7922" w:rsidRPr="00FD525E">
        <w:rPr>
          <w:szCs w:val="24"/>
          <w:highlight w:val="lightGray"/>
        </w:rPr>
        <w:fldChar w:fldCharType="end"/>
      </w:r>
      <w:r w:rsidR="00D73259">
        <w:rPr>
          <w:szCs w:val="24"/>
          <w:highlight w:val="lightGray"/>
        </w:rPr>
        <w:t>.</w:t>
      </w:r>
      <w:r w:rsidR="003600BE" w:rsidRPr="00FD525E">
        <w:rPr>
          <w:szCs w:val="24"/>
          <w:highlight w:val="lightGray"/>
        </w:rPr>
        <w:t xml:space="preserve"> Social trust in general is argued to be a “key social resource that seems to oil the wheels of the market economy and democratic politics”</w:t>
      </w:r>
      <w:r w:rsidR="00233AFE" w:rsidRPr="00FD525E">
        <w:rPr>
          <w:szCs w:val="24"/>
          <w:highlight w:val="lightGray"/>
        </w:rPr>
        <w:t xml:space="preserve"> </w:t>
      </w:r>
      <w:r w:rsidR="00233AFE" w:rsidRPr="00FD525E">
        <w:rPr>
          <w:szCs w:val="24"/>
          <w:highlight w:val="lightGray"/>
        </w:rPr>
        <w:fldChar w:fldCharType="begin" w:fldLock="1"/>
      </w:r>
      <w:r w:rsidR="00E63CC6" w:rsidRPr="00FD525E">
        <w:rPr>
          <w:szCs w:val="24"/>
          <w:highlight w:val="lightGray"/>
        </w:rPr>
        <w:instrText>ADDIN CSL_CITATION { "citationItems" : [ { "id" : "ITEM-1", "itemData" : { "author" : [ { "dropping-particle" : "", "family" : "Stolle", "given" : "D", "non-dropping-particle" : "", "parse-names" : false, "suffix" : "" } ], "container-title" : "Generating Social Capital - Civil society and institutions in comparative perspective", "editor" : [ { "dropping-particle" : "", "family" : "Hooghe", "given" : "M.", "non-dropping-particle" : "", "parse-names" : false, "suffix" : "" }, { "dropping-particle" : "", "family" : "Stolle", "given" : "D", "non-dropping-particle" : "", "parse-names" : false, "suffix" : "" } ], "id" : "ITEM-1", "issued" : { "date-parts" : [ [ "2003" ] ] }, "page" : "19-42", "publisher" : "Palgrave Macmillan", "publisher-place" : "New York", "title" : "The sources of social capital", "type" : "chapter" }, "uris" : [ "http://www.mendeley.com/documents/?uuid=3ef94de2-ce24-4066-9bb2-b0249fa9f69c" ] } ], "mendeley" : { "formattedCitation" : "(Stolle, 2003)", "manualFormatting" : "(Stolle 2003, p.19)", "plainTextFormattedCitation" : "(Stolle, 2003)", "previouslyFormattedCitation" : "(Stolle, 2003)" }, "properties" : { "noteIndex" : 0 }, "schema" : "https://github.com/citation-style-language/schema/raw/master/csl-citation.json" }</w:instrText>
      </w:r>
      <w:r w:rsidR="00233AFE" w:rsidRPr="00FD525E">
        <w:rPr>
          <w:szCs w:val="24"/>
          <w:highlight w:val="lightGray"/>
        </w:rPr>
        <w:fldChar w:fldCharType="separate"/>
      </w:r>
      <w:r w:rsidR="00233AFE" w:rsidRPr="00FD525E">
        <w:rPr>
          <w:noProof/>
          <w:szCs w:val="24"/>
          <w:highlight w:val="lightGray"/>
        </w:rPr>
        <w:t>(Stolle 2003, p.19)</w:t>
      </w:r>
      <w:r w:rsidR="00233AFE" w:rsidRPr="00FD525E">
        <w:rPr>
          <w:szCs w:val="24"/>
          <w:highlight w:val="lightGray"/>
        </w:rPr>
        <w:fldChar w:fldCharType="end"/>
      </w:r>
      <w:r w:rsidR="00991B28" w:rsidRPr="00FD525E">
        <w:rPr>
          <w:szCs w:val="24"/>
          <w:highlight w:val="lightGray"/>
        </w:rPr>
        <w:t xml:space="preserve">. </w:t>
      </w:r>
    </w:p>
    <w:p w14:paraId="6DF16186" w14:textId="6C975322" w:rsidR="003600BE" w:rsidRPr="00FD525E" w:rsidRDefault="003600BE" w:rsidP="003600BE">
      <w:pPr>
        <w:rPr>
          <w:szCs w:val="24"/>
          <w:highlight w:val="lightGray"/>
        </w:rPr>
      </w:pPr>
      <w:r w:rsidRPr="00FD525E">
        <w:rPr>
          <w:szCs w:val="24"/>
          <w:highlight w:val="lightGray"/>
        </w:rPr>
        <w:t xml:space="preserve">However, recent studies of social capital have argued that there could be a ‘dark side’ to the </w:t>
      </w:r>
      <w:r w:rsidR="0046648E" w:rsidRPr="00FD525E">
        <w:rPr>
          <w:szCs w:val="24"/>
          <w:highlight w:val="lightGray"/>
        </w:rPr>
        <w:t xml:space="preserve">concept </w:t>
      </w:r>
      <w:r w:rsidR="00233AFE" w:rsidRPr="00FD525E">
        <w:rPr>
          <w:szCs w:val="24"/>
          <w:highlight w:val="lightGray"/>
        </w:rPr>
        <w:fldChar w:fldCharType="begin" w:fldLock="1"/>
      </w:r>
      <w:r w:rsidR="00E63CC6" w:rsidRPr="00FD525E">
        <w:rPr>
          <w:szCs w:val="24"/>
          <w:highlight w:val="lightGray"/>
        </w:rPr>
        <w:instrText>ADDIN CSL_CITATION { "citationItems" : [ { "id" : "ITEM-1", "itemData" : { "DOI" : "10.1177/0002764209350827", "ISBN" : "0002-7642", "ISSN" : "0002-7642", "abstract" : "Debates about social capital usually focus on its presumed positive consequences. Although this expectation has been corroborated empirically, in many instances some less benign consequences of social capital have also been uncovered. Several explanations for the emergence and consequences of these dark sides of social capital are briefly presented here and, subsequently, put to empirical testing. The contributors to this issue of American Behavioral Scientist have a common understanding of these dark sides of social capital. Conceptualizing them as negative consequences or outcomes, the authors use various research strategies to scrutinize the nature of the effects of social capital in various situations. In each analysis, however, particular focus is placed on the importance of the contextual setting. Special attention is paid to the degree of democratization, the postcommunist legacy, different welfare state regimes, the saliency of political cleavages, and types and interconnectedness of voluntary associations. The findings suggest that the specific consequences of social capital largely depend on political and social conditions.", "author" : [ { "dropping-particle" : "", "family" : "Deth", "given" : "J. W.", "non-dropping-particle" : "van", "parse-names" : false, "suffix" : "" }, { "dropping-particle" : "", "family" : "Zmerli", "given" : "S.", "non-dropping-particle" : "", "parse-names" : false, "suffix" : "" } ], "container-title" : "American Behavioral Scientist", "id" : "ITEM-1", "issue" : "5", "issued" : { "date-parts" : [ [ "2010" ] ] }, "page" : "631-639", "title" : "Introduction: Civicness, Equality, and Democracy--A \"Dark Side\" of Social Capital?", "type" : "article-journal", "volume" : "53" }, "uris" : [ "http://www.mendeley.com/documents/?uuid=01a0529a-d6f7-4ac5-af7c-c13986d572de" ] }, { "id" : "ITEM-2", "itemData" : { "DOI" : "10.1177/0002764209350829", "ISBN" : "0002-7642", "ISSN" : "0002-7642", "abstract" : "From a theoretical viewpoint, the consequences of social capital for norms of citizenship are usually perceived as benign. However, empirical evidence indicates that its impact may be detrimental. To investigate this phenomenon further, this article examines the specific nature of the relationships among social involvement, social trust, and four different types of norms of citizenship. Social capital acts on these norms in two different ways. First, it varies with the specific norms of citizenship. Second, the different components of social capital do not necessarily exert similar effects. In this article, the negative and significant relationships between social trust and norms of social order are revealed, indicating the \"dark sides\" of social capital. This finding challenges the common wisdom about the positive interrelationship between social capital and a citizenry's public spiritedness in a democratic state.", "author" : [ { "dropping-particle" : "", "family" : "Zmerli", "given" : "S.", "non-dropping-particle" : "", "parse-names" : false, "suffix" : "" } ], "container-title" : "American Behavioral Scientist", "id" : "ITEM-2", "issue" : "5", "issued" : { "date-parts" : [ [ "2010" ] ] }, "page" : "657-676", "title" : "Social Capital and Norms of Citizenship: An Ambiguous Relationship?", "type" : "article-journal", "volume" : "53" }, "uris" : [ "http://www.mendeley.com/documents/?uuid=e657340a-ec49-4608-bc76-3d82bb275c4b" ] }, { "id" : "ITEM-3", "itemData" : { "DOI" : "10.1017/S1537592705050310", "ISSN" : "1537-5927", "abstract" : "I offer a critical view of the social capital thesis, which frequently argues that more is better (and less is worse), by examining the ethics of social capital, using Pierre Bourdieu\u2019s understanding of networks as defined by their limits. I argue that social capital only assumes conceptual coherence when distinguished from its complementary opposite. I illustrate these theoretical points with a discussion of political reform in Thailand and the 2001 general election. The election exemplifies the benefits of the circulation of social capital: voter turnout and party membership were up, and civil society was active. Yet democratic achievements in Thailand were intimately tied to political corruption. In Thailand, democracy and vote buying are intimately related as examples of the productive dynamic of social capital and corruption; the civil and the uncivil often produce each other. This essay thus expands social capital theory\u2019s focus on the relations of people by examining the relationality of concepts. One has to examine the quality of social capital and the ethics of each network\u2019s inside/outside distinction.Thus rather than being a political solution, social capital is a theoretical problem, warranting further comparative research that examines how civil social capital interacts with the uncivil social capital of corruption, ethnocentrism, and sectarianism.", "author" : [ { "dropping-particle" : "", "family" : "Callahan", "given" : "William A.", "non-dropping-particle" : "", "parse-names" : false, "suffix" : "" } ], "container-title" : "Perspectives on Politics", "id" : "ITEM-3", "issue" : "03", "issued" : { "date-parts" : [ [ "2005" ] ] }, "page" : "495-508", "title" : "Social Capital and Corruption: Vote Buying and the Politics of Reform in Thailand", "type" : "article-journal", "volume" : "3" }, "uris" : [ "http://www.mendeley.com/documents/?uuid=e9475f22-dd85-434e-b380-58caa674f062" ] } ], "mendeley" : { "formattedCitation" : "(Callahan, 2005; van Deth and Zmerli, 2010; Zmerli, 2010)", "plainTextFormattedCitation" : "(Callahan, 2005; van Deth and Zmerli, 2010; Zmerli, 2010)", "previouslyFormattedCitation" : "(Callahan, 2005; van Deth and Zmerli, 2010; Zmerli, 2010)" }, "properties" : { "noteIndex" : 0 }, "schema" : "https://github.com/citation-style-language/schema/raw/master/csl-citation.json" }</w:instrText>
      </w:r>
      <w:r w:rsidR="00233AFE" w:rsidRPr="00FD525E">
        <w:rPr>
          <w:szCs w:val="24"/>
          <w:highlight w:val="lightGray"/>
        </w:rPr>
        <w:fldChar w:fldCharType="separate"/>
      </w:r>
      <w:r w:rsidR="00E63CC6" w:rsidRPr="00FD525E">
        <w:rPr>
          <w:noProof/>
          <w:szCs w:val="24"/>
          <w:highlight w:val="lightGray"/>
        </w:rPr>
        <w:t>(Callahan, 2005; van Deth and Zmerli, 2010; Zmerli, 2010)</w:t>
      </w:r>
      <w:r w:rsidR="00233AFE" w:rsidRPr="00FD525E">
        <w:rPr>
          <w:szCs w:val="24"/>
          <w:highlight w:val="lightGray"/>
        </w:rPr>
        <w:fldChar w:fldCharType="end"/>
      </w:r>
      <w:r w:rsidRPr="00FD525E">
        <w:rPr>
          <w:szCs w:val="24"/>
          <w:highlight w:val="lightGray"/>
        </w:rPr>
        <w:t>. Putnam noted the difference between ‘bridging’ and ‘bonding’ forms of social capital. Bridging social capital builds ties across different groups in society, whereas bonding strengthens ties within groups. The latter in particular has the potential to be problematic if it promotes a form of ‘group-think’, leading to intolerance of ‘outsiders’. Should citizens be more exposed to anti-democratic civil society groups this could lead to skewed understanding of democracy, and in</w:t>
      </w:r>
      <w:r w:rsidR="00A54DC8" w:rsidRPr="00FD525E">
        <w:rPr>
          <w:szCs w:val="24"/>
          <w:highlight w:val="lightGray"/>
        </w:rPr>
        <w:t xml:space="preserve"> this study, potentially lead</w:t>
      </w:r>
      <w:r w:rsidRPr="00FD525E">
        <w:rPr>
          <w:szCs w:val="24"/>
          <w:highlight w:val="lightGray"/>
        </w:rPr>
        <w:t xml:space="preserve"> to individuals scoring high on the authoritarian dimension, and low on the compound</w:t>
      </w:r>
      <w:r w:rsidR="00A54DC8" w:rsidRPr="00FD525E">
        <w:rPr>
          <w:szCs w:val="24"/>
          <w:highlight w:val="lightGray"/>
        </w:rPr>
        <w:t xml:space="preserve"> dimension</w:t>
      </w:r>
      <w:r w:rsidRPr="00FD525E">
        <w:rPr>
          <w:szCs w:val="24"/>
          <w:highlight w:val="lightGray"/>
        </w:rPr>
        <w:t xml:space="preserve">. </w:t>
      </w:r>
    </w:p>
    <w:p w14:paraId="60373D20" w14:textId="47D2F1EF" w:rsidR="003600BE" w:rsidRPr="00FD525E" w:rsidRDefault="003600BE" w:rsidP="003600BE">
      <w:pPr>
        <w:rPr>
          <w:szCs w:val="24"/>
          <w:highlight w:val="lightGray"/>
        </w:rPr>
      </w:pPr>
      <w:r w:rsidRPr="00FD525E">
        <w:rPr>
          <w:szCs w:val="24"/>
          <w:highlight w:val="lightGray"/>
        </w:rPr>
        <w:t xml:space="preserve">Indeed, </w:t>
      </w:r>
      <w:r w:rsidR="00233AFE" w:rsidRPr="00FD525E">
        <w:rPr>
          <w:szCs w:val="24"/>
          <w:highlight w:val="lightGray"/>
        </w:rPr>
        <w:fldChar w:fldCharType="begin" w:fldLock="1"/>
      </w:r>
      <w:r w:rsidR="00E63CC6" w:rsidRPr="00FD525E">
        <w:rPr>
          <w:szCs w:val="24"/>
          <w:highlight w:val="lightGray"/>
        </w:rPr>
        <w:instrText>ADDIN CSL_CITATION { "citationItems" : [ { "id" : "ITEM-1", "itemData" : { "DOI" : "10.1177/0002764209350835", "ISBN" : "0002-7642", "ISSN" : "0002-7642", "abstract" : "The notion of social capital has gained enthusiastic support from nongovernmental organizations, intergovernmental confederations, and supranational bodies such as the European Union, the World Bank, and the United Nations. They all believe that social capital might be a potent aid for democratization, for repairing defective democracies, and for undermining authoritarian regimes. This article examines whether social capital has such positive effects in countries where democracy is not yet established. Does social capital help in a country's move toward democratization, or is the link between democracy and social capital more dubious? Does social capital even contribute to the stabilization of nondemocratic regimes? This article analyzes 70 countries that participated in the third wave of the World Values Survey. The results are clear: Social capital functions as a stabilizer of authoritarian rule. Its effects are mainly negative. Social trust, in particular, might be a \"key resource for the market economy and democratic politics\" ( Stolle, 2003, p. 19). In nondemocratic contexts, however, it appears to throw a spanner in the works of democratization. Social participation and trust, specifically, increase the stability of nondemocratic leadership by generating popular support, by suppressing regime-threatening forms of protest activity, and by nourishing undemocratic ideals of governance.", "author" : [ { "dropping-particle" : "", "family" : "Rossteutscher", "given" : "S.", "non-dropping-particle" : "", "parse-names" : false, "suffix" : "" } ], "container-title" : "American Behavioral Scientist", "id" : "ITEM-1", "issue" : "5", "issued" : { "date-parts" : [ [ "2010" ] ] }, "page" : "737-757", "title" : "Social Capital Worldwide: Potential for Democratization or Stabilizer of Authoritarian Rule?", "type" : "article-journal", "volume" : "53" }, "uris" : [ "http://www.mendeley.com/documents/?uuid=9caed953-a9c2-4fc5-8e69-7d3e2af124ad" ] } ], "mendeley" : { "formattedCitation" : "(Rossteutscher, 2010)", "manualFormatting" : "Rossteutscher (2010, p.752)", "plainTextFormattedCitation" : "(Rossteutscher, 2010)", "previouslyFormattedCitation" : "(Rossteutscher, 2010)" }, "properties" : { "noteIndex" : 0 }, "schema" : "https://github.com/citation-style-language/schema/raw/master/csl-citation.json" }</w:instrText>
      </w:r>
      <w:r w:rsidR="00233AFE" w:rsidRPr="00FD525E">
        <w:rPr>
          <w:szCs w:val="24"/>
          <w:highlight w:val="lightGray"/>
        </w:rPr>
        <w:fldChar w:fldCharType="separate"/>
      </w:r>
      <w:r w:rsidR="00233AFE" w:rsidRPr="00FD525E">
        <w:rPr>
          <w:noProof/>
          <w:szCs w:val="24"/>
          <w:highlight w:val="lightGray"/>
        </w:rPr>
        <w:t>Rossteutscher (2010</w:t>
      </w:r>
      <w:r w:rsidR="00D72642" w:rsidRPr="00FD525E">
        <w:rPr>
          <w:noProof/>
          <w:szCs w:val="24"/>
          <w:highlight w:val="lightGray"/>
        </w:rPr>
        <w:t>, p.752</w:t>
      </w:r>
      <w:r w:rsidR="00233AFE" w:rsidRPr="00FD525E">
        <w:rPr>
          <w:noProof/>
          <w:szCs w:val="24"/>
          <w:highlight w:val="lightGray"/>
        </w:rPr>
        <w:t>)</w:t>
      </w:r>
      <w:r w:rsidR="00233AFE" w:rsidRPr="00FD525E">
        <w:rPr>
          <w:szCs w:val="24"/>
          <w:highlight w:val="lightGray"/>
        </w:rPr>
        <w:fldChar w:fldCharType="end"/>
      </w:r>
      <w:r w:rsidRPr="00FD525E">
        <w:rPr>
          <w:szCs w:val="24"/>
          <w:highlight w:val="lightGray"/>
        </w:rPr>
        <w:t xml:space="preserve"> </w:t>
      </w:r>
      <w:r w:rsidR="00233AFE" w:rsidRPr="00FD525E">
        <w:rPr>
          <w:szCs w:val="24"/>
          <w:highlight w:val="lightGray"/>
        </w:rPr>
        <w:t>has argued</w:t>
      </w:r>
      <w:r w:rsidRPr="00FD525E">
        <w:rPr>
          <w:szCs w:val="24"/>
          <w:highlight w:val="lightGray"/>
        </w:rPr>
        <w:t xml:space="preserve"> that social capital stabilizes </w:t>
      </w:r>
      <w:r w:rsidRPr="00FD525E">
        <w:rPr>
          <w:i/>
          <w:szCs w:val="24"/>
          <w:highlight w:val="lightGray"/>
        </w:rPr>
        <w:t>authoritarian</w:t>
      </w:r>
      <w:r w:rsidRPr="00FD525E">
        <w:rPr>
          <w:szCs w:val="24"/>
          <w:highlight w:val="lightGray"/>
        </w:rPr>
        <w:t xml:space="preserve"> regimes and in these contexts it actually ‘throws a spanner in the works of democratization’.  Indeed, in an authoritarian context, </w:t>
      </w:r>
      <w:r w:rsidR="0043334C" w:rsidRPr="00FD525E">
        <w:rPr>
          <w:szCs w:val="24"/>
          <w:highlight w:val="lightGray"/>
        </w:rPr>
        <w:t>s</w:t>
      </w:r>
      <w:r w:rsidRPr="00FD525E">
        <w:rPr>
          <w:szCs w:val="24"/>
          <w:highlight w:val="lightGray"/>
        </w:rPr>
        <w:t xml:space="preserve">he </w:t>
      </w:r>
      <w:r w:rsidR="00233AFE" w:rsidRPr="00FD525E">
        <w:rPr>
          <w:szCs w:val="24"/>
          <w:highlight w:val="lightGray"/>
        </w:rPr>
        <w:t>suggested that,</w:t>
      </w:r>
      <w:r w:rsidRPr="00FD525E">
        <w:rPr>
          <w:szCs w:val="24"/>
          <w:highlight w:val="lightGray"/>
        </w:rPr>
        <w:t xml:space="preserve"> ‘Trust increases the stability of nondemocratic leaderships by generating popular support, by suppressing regime-threatening forms of protest activity, and by nourishing undemocratic ideals concerning governance’ (</w:t>
      </w:r>
      <w:r w:rsidR="00170FB9" w:rsidRPr="00FD525E">
        <w:rPr>
          <w:szCs w:val="24"/>
          <w:highlight w:val="lightGray"/>
        </w:rPr>
        <w:t>i</w:t>
      </w:r>
      <w:r w:rsidR="00233AFE" w:rsidRPr="00FD525E">
        <w:rPr>
          <w:szCs w:val="24"/>
          <w:highlight w:val="lightGray"/>
        </w:rPr>
        <w:t>bid, p.</w:t>
      </w:r>
      <w:r w:rsidRPr="00FD525E">
        <w:rPr>
          <w:szCs w:val="24"/>
          <w:highlight w:val="lightGray"/>
        </w:rPr>
        <w:t xml:space="preserve">752). Furthermore, social capital as measured by involvement in the associational sector does not fare much better in </w:t>
      </w:r>
      <w:r w:rsidR="0043334C" w:rsidRPr="00FD525E">
        <w:rPr>
          <w:szCs w:val="24"/>
          <w:highlight w:val="lightGray"/>
        </w:rPr>
        <w:t>her</w:t>
      </w:r>
      <w:r w:rsidRPr="00FD525E">
        <w:rPr>
          <w:szCs w:val="24"/>
          <w:highlight w:val="lightGray"/>
        </w:rPr>
        <w:t xml:space="preserve"> analysis when it comes to authoritarian regimes. </w:t>
      </w:r>
    </w:p>
    <w:p w14:paraId="1E646DC2" w14:textId="3F429980" w:rsidR="0082194B" w:rsidRPr="00FD525E" w:rsidRDefault="003600BE" w:rsidP="003600BE">
      <w:pPr>
        <w:rPr>
          <w:szCs w:val="24"/>
          <w:highlight w:val="lightGray"/>
        </w:rPr>
      </w:pPr>
      <w:r w:rsidRPr="00FD525E">
        <w:rPr>
          <w:szCs w:val="24"/>
          <w:highlight w:val="lightGray"/>
        </w:rPr>
        <w:t xml:space="preserve">My examination of social capital looks at both trust and membership of associations. When it comes to trust I examine social and institutional </w:t>
      </w:r>
      <w:r w:rsidR="001E3FD2" w:rsidRPr="00FD525E">
        <w:rPr>
          <w:szCs w:val="24"/>
          <w:highlight w:val="lightGray"/>
        </w:rPr>
        <w:t>conceptualis</w:t>
      </w:r>
      <w:r w:rsidRPr="00FD525E">
        <w:rPr>
          <w:szCs w:val="24"/>
          <w:highlight w:val="lightGray"/>
        </w:rPr>
        <w:t>ations. Social trust is measured with a binary variable that asks people to say which of the following statements</w:t>
      </w:r>
      <w:r w:rsidR="00A54DC8" w:rsidRPr="00FD525E">
        <w:rPr>
          <w:szCs w:val="24"/>
          <w:highlight w:val="lightGray"/>
        </w:rPr>
        <w:t xml:space="preserve"> they most agree with: whether ‘</w:t>
      </w:r>
      <w:r w:rsidRPr="00FD525E">
        <w:rPr>
          <w:i/>
          <w:szCs w:val="24"/>
          <w:highlight w:val="lightGray"/>
        </w:rPr>
        <w:t>most people can be trusted</w:t>
      </w:r>
      <w:r w:rsidR="00A54DC8" w:rsidRPr="00FD525E">
        <w:rPr>
          <w:szCs w:val="24"/>
          <w:highlight w:val="lightGray"/>
        </w:rPr>
        <w:t>’</w:t>
      </w:r>
      <w:r w:rsidRPr="00FD525E">
        <w:rPr>
          <w:szCs w:val="24"/>
          <w:highlight w:val="lightGray"/>
        </w:rPr>
        <w:t xml:space="preserve"> (1</w:t>
      </w:r>
      <w:r w:rsidR="00A54DC8" w:rsidRPr="00FD525E">
        <w:rPr>
          <w:szCs w:val="24"/>
          <w:highlight w:val="lightGray"/>
        </w:rPr>
        <w:t>) or ‘</w:t>
      </w:r>
      <w:r w:rsidRPr="00FD525E">
        <w:rPr>
          <w:i/>
          <w:szCs w:val="24"/>
          <w:highlight w:val="lightGray"/>
        </w:rPr>
        <w:t>you can't be too careful</w:t>
      </w:r>
      <w:r w:rsidR="00A54DC8" w:rsidRPr="00FD525E">
        <w:rPr>
          <w:szCs w:val="24"/>
          <w:highlight w:val="lightGray"/>
        </w:rPr>
        <w:t>’</w:t>
      </w:r>
      <w:r w:rsidRPr="00FD525E">
        <w:rPr>
          <w:szCs w:val="24"/>
          <w:highlight w:val="lightGray"/>
        </w:rPr>
        <w:t xml:space="preserve"> (0).</w:t>
      </w:r>
      <w:r w:rsidR="00162764" w:rsidRPr="00FD525E">
        <w:rPr>
          <w:szCs w:val="24"/>
          <w:highlight w:val="lightGray"/>
        </w:rPr>
        <w:t xml:space="preserve"> </w:t>
      </w:r>
      <w:r w:rsidRPr="00FD525E">
        <w:rPr>
          <w:szCs w:val="24"/>
          <w:highlight w:val="lightGray"/>
        </w:rPr>
        <w:t>Acknowledging the complexities presented by different types of social capital and their potential adverse as well as positive effects, the prediction for these variables is still expected to be a positive one</w:t>
      </w:r>
      <w:r w:rsidR="00A54DC8" w:rsidRPr="00FD525E">
        <w:rPr>
          <w:szCs w:val="24"/>
          <w:highlight w:val="lightGray"/>
        </w:rPr>
        <w:t xml:space="preserve">, in that those who trust people </w:t>
      </w:r>
      <w:r w:rsidR="00C8297D" w:rsidRPr="00FD525E">
        <w:rPr>
          <w:szCs w:val="24"/>
          <w:highlight w:val="lightGray"/>
        </w:rPr>
        <w:t xml:space="preserve">will </w:t>
      </w:r>
      <w:r w:rsidR="00A54DC8" w:rsidRPr="00FD525E">
        <w:rPr>
          <w:szCs w:val="24"/>
          <w:highlight w:val="lightGray"/>
        </w:rPr>
        <w:t>score higher on the compound understanding of democracy</w:t>
      </w:r>
      <w:r w:rsidRPr="00FD525E">
        <w:rPr>
          <w:szCs w:val="24"/>
          <w:highlight w:val="lightGray"/>
        </w:rPr>
        <w:t xml:space="preserve">. </w:t>
      </w:r>
      <w:r w:rsidR="0082194B" w:rsidRPr="00FD525E">
        <w:rPr>
          <w:szCs w:val="24"/>
          <w:highlight w:val="lightGray"/>
        </w:rPr>
        <w:t xml:space="preserve">Should a significant result </w:t>
      </w:r>
      <w:r w:rsidR="00C8297D" w:rsidRPr="00FD525E">
        <w:rPr>
          <w:szCs w:val="24"/>
          <w:highlight w:val="lightGray"/>
        </w:rPr>
        <w:t>show up</w:t>
      </w:r>
      <w:r w:rsidR="0082194B" w:rsidRPr="00FD525E">
        <w:rPr>
          <w:szCs w:val="24"/>
          <w:highlight w:val="lightGray"/>
        </w:rPr>
        <w:t xml:space="preserve"> with the relationship in a negative direction, this would give credence to the notion that there is a dark, bonding element to social capital that might actually inhibit </w:t>
      </w:r>
      <w:r w:rsidR="00A54DC8" w:rsidRPr="00FD525E">
        <w:rPr>
          <w:szCs w:val="24"/>
          <w:highlight w:val="lightGray"/>
        </w:rPr>
        <w:t>ideas of liberal democracy. With the authoritarian understanding, there is expected to be a negative relationship as this understanding puts more faith in authorities than in people.</w:t>
      </w:r>
    </w:p>
    <w:p w14:paraId="42B8C534" w14:textId="68F0592F" w:rsidR="00DE393B" w:rsidRPr="00FD525E" w:rsidRDefault="00CD31DB" w:rsidP="001855E3">
      <w:pPr>
        <w:rPr>
          <w:szCs w:val="24"/>
          <w:highlight w:val="lightGray"/>
        </w:rPr>
      </w:pPr>
      <w:r w:rsidRPr="00FD525E">
        <w:rPr>
          <w:szCs w:val="24"/>
          <w:highlight w:val="lightGray"/>
        </w:rPr>
        <w:t xml:space="preserve">Following the argument </w:t>
      </w:r>
      <w:r w:rsidR="001855E3" w:rsidRPr="00FD525E">
        <w:rPr>
          <w:szCs w:val="24"/>
          <w:highlight w:val="lightGray"/>
        </w:rPr>
        <w:t>of</w:t>
      </w:r>
      <w:r w:rsidR="001855E3" w:rsidRPr="00FD525E">
        <w:rPr>
          <w:szCs w:val="24"/>
          <w:highlight w:val="lightGray"/>
        </w:rPr>
        <w:fldChar w:fldCharType="begin" w:fldLock="1"/>
      </w:r>
      <w:r w:rsidR="001855E3" w:rsidRPr="00FD525E">
        <w:rPr>
          <w:szCs w:val="24"/>
          <w:highlight w:val="lightGray"/>
        </w:rPr>
        <w:instrText>ADDIN CSL_CITATION { "citationItems" : [ { "id" : "ITEM-1", "itemData" : { "author" : [ { "dropping-particle" : "", "family" : "Newton", "given" : "Kenneth", "non-dropping-particle" : "", "parse-names" : false, "suffix" : "" } ], "container-title" : "Critical Citizens - Global Support for Democratic Governance", "editor" : [ { "dropping-particle" : "", "family" : "Norris", "given" : "Pippa", "non-dropping-particle" : "", "parse-names" : false, "suffix" : "" } ], "id" : "ITEM-1", "issued" : { "date-parts" : [ [ "1999" ] ] }, "page" : "169-187", "publisher" : "Oxford University Press", "title" : "Social and Political Trust in Established Democracries", "type" : "chapter" }, "uris" : [ "http://www.mendeley.com/documents/?uuid=5b3b075d-cbed-434d-b7d1-e0beab7f1657" ] } ], "mendeley" : { "formattedCitation" : "(Newton, 1999)", "manualFormatting" : " Newton (1999)", "plainTextFormattedCitation" : "(Newton, 1999)", "previouslyFormattedCitation" : "(Newton, 1999)" }, "properties" : { "noteIndex" : 0 }, "schema" : "https://github.com/citation-style-language/schema/raw/master/csl-citation.json" }</w:instrText>
      </w:r>
      <w:r w:rsidR="001855E3" w:rsidRPr="00FD525E">
        <w:rPr>
          <w:szCs w:val="24"/>
          <w:highlight w:val="lightGray"/>
        </w:rPr>
        <w:fldChar w:fldCharType="separate"/>
      </w:r>
      <w:r w:rsidR="001855E3" w:rsidRPr="00FD525E">
        <w:rPr>
          <w:noProof/>
          <w:szCs w:val="24"/>
          <w:highlight w:val="lightGray"/>
        </w:rPr>
        <w:t xml:space="preserve"> Newton (1999)</w:t>
      </w:r>
      <w:r w:rsidR="001855E3" w:rsidRPr="00FD525E">
        <w:rPr>
          <w:szCs w:val="24"/>
          <w:highlight w:val="lightGray"/>
        </w:rPr>
        <w:fldChar w:fldCharType="end"/>
      </w:r>
      <w:r w:rsidRPr="00FD525E">
        <w:rPr>
          <w:szCs w:val="24"/>
          <w:highlight w:val="lightGray"/>
        </w:rPr>
        <w:t>, confidence in institutions is examined as distinct from social trust and not seen as the other side of the same coin</w:t>
      </w:r>
      <w:r w:rsidR="001855E3" w:rsidRPr="00FD525E">
        <w:rPr>
          <w:szCs w:val="24"/>
          <w:highlight w:val="lightGray"/>
        </w:rPr>
        <w:t xml:space="preserve">. </w:t>
      </w:r>
      <w:r w:rsidRPr="00FD525E">
        <w:rPr>
          <w:szCs w:val="24"/>
          <w:highlight w:val="lightGray"/>
        </w:rPr>
        <w:t xml:space="preserve">Newton’s analysis </w:t>
      </w:r>
      <w:r w:rsidR="001855E3" w:rsidRPr="00FD525E">
        <w:rPr>
          <w:szCs w:val="24"/>
          <w:highlight w:val="lightGray"/>
        </w:rPr>
        <w:t xml:space="preserve">using World Values Survey and British Social Attitudes data demonstrates only very weak relationships between the two types of trust, and concludes that </w:t>
      </w:r>
      <w:r w:rsidRPr="00FD525E">
        <w:rPr>
          <w:szCs w:val="24"/>
          <w:highlight w:val="lightGray"/>
        </w:rPr>
        <w:t>‘political trust cannot be reduced to, or explained in terms of, social factors, such as membership of voluntary organisations, community involvement or social trust</w:t>
      </w:r>
      <w:r w:rsidR="001855E3" w:rsidRPr="00FD525E">
        <w:rPr>
          <w:szCs w:val="24"/>
          <w:highlight w:val="lightGray"/>
        </w:rPr>
        <w:t xml:space="preserve"> (</w:t>
      </w:r>
      <w:r w:rsidR="001855E3" w:rsidRPr="00FD525E">
        <w:rPr>
          <w:i/>
          <w:szCs w:val="24"/>
          <w:highlight w:val="lightGray"/>
        </w:rPr>
        <w:t>ibid</w:t>
      </w:r>
      <w:r w:rsidR="001855E3" w:rsidRPr="00FD525E">
        <w:rPr>
          <w:szCs w:val="24"/>
          <w:highlight w:val="lightGray"/>
        </w:rPr>
        <w:t>, p.183)</w:t>
      </w:r>
      <w:r w:rsidRPr="00FD525E">
        <w:rPr>
          <w:szCs w:val="24"/>
          <w:highlight w:val="lightGray"/>
        </w:rPr>
        <w:t>.</w:t>
      </w:r>
      <w:r w:rsidR="001855E3" w:rsidRPr="00FD525E">
        <w:rPr>
          <w:szCs w:val="24"/>
          <w:highlight w:val="lightGray"/>
        </w:rPr>
        <w:t xml:space="preserve"> Yet political trust is still an important category of trust,</w:t>
      </w:r>
      <w:r w:rsidR="00DE393B" w:rsidRPr="00FD525E">
        <w:rPr>
          <w:szCs w:val="24"/>
          <w:highlight w:val="lightGray"/>
        </w:rPr>
        <w:t xml:space="preserve"> more generally</w:t>
      </w:r>
      <w:r w:rsidR="001855E3" w:rsidRPr="00FD525E">
        <w:rPr>
          <w:szCs w:val="24"/>
          <w:highlight w:val="lightGray"/>
        </w:rPr>
        <w:t xml:space="preserve"> </w:t>
      </w:r>
      <w:r w:rsidR="00DE393B" w:rsidRPr="00FD525E">
        <w:rPr>
          <w:szCs w:val="24"/>
          <w:highlight w:val="lightGray"/>
        </w:rPr>
        <w:t>as it</w:t>
      </w:r>
      <w:r w:rsidR="001855E3" w:rsidRPr="00FD525E">
        <w:rPr>
          <w:szCs w:val="24"/>
          <w:highlight w:val="lightGray"/>
        </w:rPr>
        <w:t xml:space="preserve"> links to political support </w:t>
      </w:r>
      <w:r w:rsidR="00DE393B" w:rsidRPr="00FD525E">
        <w:rPr>
          <w:szCs w:val="24"/>
          <w:highlight w:val="lightGray"/>
        </w:rPr>
        <w:t xml:space="preserve">for the institutions of government, and the importance of this for responsive governance and a loyal citizenry </w:t>
      </w:r>
      <w:r w:rsidR="001855E3" w:rsidRPr="00FD525E">
        <w:rPr>
          <w:szCs w:val="24"/>
          <w:highlight w:val="lightGray"/>
        </w:rPr>
        <w:t>(see Section 3.2)</w:t>
      </w:r>
      <w:r w:rsidR="00DE393B" w:rsidRPr="00FD525E">
        <w:rPr>
          <w:szCs w:val="24"/>
          <w:highlight w:val="lightGray"/>
        </w:rPr>
        <w:t>. From this perspective, institutional trust is a positive in democracy and higher trust would be expected to align with the compound understanding. However, in an age of falling levels of institutional trust, arguments that question this assumption have grown in popularity.</w:t>
      </w:r>
    </w:p>
    <w:p w14:paraId="719236C5" w14:textId="52E634AD" w:rsidR="001855E3" w:rsidRPr="00FD525E" w:rsidRDefault="001855E3" w:rsidP="001855E3">
      <w:pPr>
        <w:rPr>
          <w:szCs w:val="24"/>
          <w:highlight w:val="lightGray"/>
        </w:rPr>
      </w:pPr>
      <w:r w:rsidRPr="00FD525E">
        <w:rPr>
          <w:szCs w:val="24"/>
          <w:highlight w:val="lightGray"/>
        </w:rPr>
        <w:t>Norris’s (2011) idea of the ‘critical citizen’</w:t>
      </w:r>
      <w:r w:rsidR="00DE393B" w:rsidRPr="00FD525E">
        <w:rPr>
          <w:szCs w:val="24"/>
          <w:highlight w:val="lightGray"/>
        </w:rPr>
        <w:t xml:space="preserve"> suggests that</w:t>
      </w:r>
      <w:r w:rsidRPr="00FD525E">
        <w:rPr>
          <w:szCs w:val="24"/>
          <w:highlight w:val="lightGray"/>
        </w:rPr>
        <w:t xml:space="preserve"> falling trust and confidence in institutions, particularly in democracies, can be seen in a positive light, in that citizens have the critical capacity to judge these institutions and do not follow them in a blind fashion. Indeed, </w:t>
      </w:r>
      <w:r w:rsidRPr="00FD525E">
        <w:rPr>
          <w:szCs w:val="24"/>
          <w:highlight w:val="lightGray"/>
        </w:rPr>
        <w:fldChar w:fldCharType="begin" w:fldLock="1"/>
      </w:r>
      <w:r w:rsidRPr="00FD525E">
        <w:rPr>
          <w:szCs w:val="24"/>
          <w:highlight w:val="lightGray"/>
        </w:rPr>
        <w:instrText>ADDIN CSL_CITATION { "citationItems" : [ { "id" : "ITEM-1", "itemData" : { "author" : [ { "dropping-particle" : "", "family" : "Citrin", "given" : "Jack", "non-dropping-particle" : "", "parse-names" : false, "suffix" : "" } ], "container-title" : "The American Political Science Review", "id" : "ITEM-1", "issue" : "3", "issued" : { "date-parts" : [ [ "1974" ] ] }, "page" : "973-988", "title" : "Comment : The Political Relevance of Trust in Government", "type" : "article-journal", "volume" : "68" }, "uris" : [ "http://www.mendeley.com/documents/?uuid=8dbc8914-0823-4ab8-9c1e-7bbf4f6a0d2b" ] } ], "mendeley" : { "formattedCitation" : "(Citrin, 1974)", "manualFormatting" : "Citrin (1974, p.988)", "plainTextFormattedCitation" : "(Citrin, 1974)", "previouslyFormattedCitation" : "(Citrin, 1974)" }, "properties" : { "noteIndex" : 0 }, "schema" : "https://github.com/citation-style-language/schema/raw/master/csl-citation.json" }</w:instrText>
      </w:r>
      <w:r w:rsidRPr="00FD525E">
        <w:rPr>
          <w:szCs w:val="24"/>
          <w:highlight w:val="lightGray"/>
        </w:rPr>
        <w:fldChar w:fldCharType="separate"/>
      </w:r>
      <w:r w:rsidRPr="00FD525E">
        <w:rPr>
          <w:noProof/>
          <w:szCs w:val="24"/>
          <w:highlight w:val="lightGray"/>
        </w:rPr>
        <w:t>Citrin (1974, p.988)</w:t>
      </w:r>
      <w:r w:rsidRPr="00FD525E">
        <w:rPr>
          <w:szCs w:val="24"/>
          <w:highlight w:val="lightGray"/>
        </w:rPr>
        <w:fldChar w:fldCharType="end"/>
      </w:r>
      <w:r w:rsidRPr="00FD525E">
        <w:rPr>
          <w:szCs w:val="24"/>
          <w:highlight w:val="lightGray"/>
        </w:rPr>
        <w:t xml:space="preserve"> outlined the principle behind this approach over forty years ago, drawing from ideas from 150 years ago:</w:t>
      </w:r>
    </w:p>
    <w:p w14:paraId="114C257F" w14:textId="34E5E9A8" w:rsidR="001855E3" w:rsidRPr="00FD525E" w:rsidRDefault="001855E3" w:rsidP="001855E3">
      <w:pPr>
        <w:pStyle w:val="Quote"/>
        <w:rPr>
          <w:highlight w:val="lightGray"/>
        </w:rPr>
      </w:pPr>
      <w:r w:rsidRPr="00FD525E">
        <w:rPr>
          <w:highlight w:val="lightGray"/>
        </w:rPr>
        <w:t xml:space="preserve">“It is worth recalling John Stuart Mill's belief that a democratic political culture is characterized by a vigilant </w:t>
      </w:r>
      <w:r w:rsidR="00D73259" w:rsidRPr="00FD525E">
        <w:rPr>
          <w:highlight w:val="lightGray"/>
        </w:rPr>
        <w:t>scepticism</w:t>
      </w:r>
      <w:r w:rsidRPr="00FD525E">
        <w:rPr>
          <w:highlight w:val="lightGray"/>
        </w:rPr>
        <w:t xml:space="preserve"> (or realistic cynicism) rather than an unquestioning faith in the motives and abilities of political authority.”</w:t>
      </w:r>
    </w:p>
    <w:p w14:paraId="46D7A59C" w14:textId="77777777" w:rsidR="00DE393B" w:rsidRPr="00FD525E" w:rsidRDefault="001855E3" w:rsidP="001855E3">
      <w:pPr>
        <w:rPr>
          <w:szCs w:val="24"/>
          <w:highlight w:val="lightGray"/>
        </w:rPr>
      </w:pPr>
      <w:r w:rsidRPr="00FD525E">
        <w:rPr>
          <w:szCs w:val="24"/>
          <w:highlight w:val="lightGray"/>
        </w:rPr>
        <w:t xml:space="preserve">In this sense there is some cross-over with the ideas of post-material/post-modern values and its concern with the expression of emancipative values, as opposed to acceptance of authority and submission </w:t>
      </w:r>
      <w:r w:rsidRPr="00FD525E">
        <w:rPr>
          <w:szCs w:val="24"/>
          <w:highlight w:val="lightGray"/>
        </w:rPr>
        <w:fldChar w:fldCharType="begin" w:fldLock="1"/>
      </w:r>
      <w:r w:rsidRPr="00FD525E">
        <w:rPr>
          <w:szCs w:val="24"/>
          <w:highlight w:val="lightGray"/>
        </w:rPr>
        <w:instrText>ADDIN CSL_CITATION { "citationItems" : [ { "id" : "ITEM-1", "itemData" : { "DOI" : "10.1017/S0007123411000421", "author" : [ { "dropping-particle" : "", "family" : "Welzel", "given" : "Christian", "non-dropping-particle" : "", "parse-names" : false, "suffix" : "" }, { "dropping-particle" : "", "family" : "Deutsch", "given" : "Franziska", "non-dropping-particle" : "", "parse-names" : false, "suffix" : "" } ], "id" : "ITEM-1", "issue" : "2012", "issued" : { "date-parts" : [ [ "2013" ] ] }, "title" : "Emancipative Values and Non \u00ad Violent Protest : The Importance of \u2018 Ecological \u2019 Effects Request Permissions : Click here Emancipative Values and Non-Violent Protest : The Importance of \u2018 Ecological \u2019 Effects", "type" : "article-journal" }, "uris" : [ "http://www.mendeley.com/documents/?uuid=af4ac336-40a2-436a-9ca8-061b7c2770a6" ] }, { "id" : "ITEM-2", "itemData" : { "DOI" : "10.1111/j.1475-6765.2006.00637.x", "ISSN" : "1475-6765", "abstract" : "Despite major differences, prevailing approaches in democratization research have one thing in common: they downplay the role of mass attitudes. This article criticizes the neglect of mass attitudes, arguing that it ignores the very essence of democratization. In light of human development theory, democratization is essentially an emancipative process, for it manifests human freedom by empowering people with civil and political rights. From this premise, the author concludes that democratization should be driven by emancipative forces in the population and that these forces are reflected in particular mass attitudes: liberty aspirations. Based on evidence from the Values Surveys, the analyses show that more widespread liberty aspirations facilitate progress and impede regress in the process of democratization. No other indicator 2013 including GDP/capita and social capital 2013 outperforms the effect of liberty aspirations on democratization. The article concludes that human development theory is useful because its emphasis on people empowerment highlights something that has been ignored in the democratization literature: emancipative motivational forces in the population.", "author" : [ { "dropping-particle" : "", "family" : "Welzel", "given" : "C.", "non-dropping-particle" : "", "parse-names" : false, "suffix" : "" } ], "container-title" : "European Journal of Political Research", "id" : "ITEM-2", "issue" : "6", "issued" : { "date-parts" : [ [ "2006" ] ] }, "page" : "871-896", "publisher-place" : "International University Bremen, Germany", "title" : "Democratization as an emancipative process: The neglected role of mass motivations", "type" : "article-journal", "volume" : "45" }, "uris" : [ "http://www.mendeley.com/documents/?uuid=31b60857-7d9d-4d9b-b9a9-0f4561f17424" ] }, { "id" : "ITEM-3", "itemData" : { "ISBN" : "9781107034709", "author" : [ { "dropping-particle" : "", "family" : "Welzel", "given" : "Christian", "non-dropping-particle" : "", "parse-names" : false, "suffix" : "" } ], "id" : "ITEM-3", "issued" : { "date-parts" : [ [ "2013" ] ] }, "publisher" : "Cambridge University Press", "publisher-place" : "Cambridge", "title" : "Freedom Rising Human Empowerment and the Quest for Emancipation", "type" : "book" }, "uris" : [ "http://www.mendeley.com/documents/?uuid=a04e4a97-3944-4d8e-ba77-b044563d9c7e" ] } ], "mendeley" : { "formattedCitation" : "(Welzel, 2006, 2013; Welzel and Deutsch, 2013)", "plainTextFormattedCitation" : "(Welzel, 2006, 2013; Welzel and Deutsch, 2013)", "previouslyFormattedCitation" : "(Welzel, 2006, 2013; Welzel and Deutsch, 2013)" }, "properties" : { "noteIndex" : 0 }, "schema" : "https://github.com/citation-style-language/schema/raw/master/csl-citation.json" }</w:instrText>
      </w:r>
      <w:r w:rsidRPr="00FD525E">
        <w:rPr>
          <w:szCs w:val="24"/>
          <w:highlight w:val="lightGray"/>
        </w:rPr>
        <w:fldChar w:fldCharType="separate"/>
      </w:r>
      <w:r w:rsidRPr="00FD525E">
        <w:rPr>
          <w:noProof/>
          <w:szCs w:val="24"/>
          <w:highlight w:val="lightGray"/>
        </w:rPr>
        <w:t>(Welzel, 2006, 2013; Welzel and Deutsch, 2013)</w:t>
      </w:r>
      <w:r w:rsidRPr="00FD525E">
        <w:rPr>
          <w:szCs w:val="24"/>
          <w:highlight w:val="lightGray"/>
        </w:rPr>
        <w:fldChar w:fldCharType="end"/>
      </w:r>
      <w:r w:rsidRPr="00FD525E">
        <w:rPr>
          <w:szCs w:val="24"/>
          <w:highlight w:val="lightGray"/>
        </w:rPr>
        <w:t xml:space="preserve">. </w:t>
      </w:r>
    </w:p>
    <w:p w14:paraId="6ABCCEC5" w14:textId="4F5FC9C6" w:rsidR="00CD31DB" w:rsidRPr="00FD525E" w:rsidRDefault="00015F02" w:rsidP="00CD31DB">
      <w:pPr>
        <w:rPr>
          <w:szCs w:val="24"/>
          <w:highlight w:val="lightGray"/>
        </w:rPr>
      </w:pPr>
      <w:r w:rsidRPr="00FD525E">
        <w:rPr>
          <w:szCs w:val="24"/>
          <w:highlight w:val="lightGray"/>
        </w:rPr>
        <w:t xml:space="preserve">As the authoritarian understanding is rooted in the idea of there being power given to authority figures and institutions, it is expected to have a positive relationship with institutional trust. However, </w:t>
      </w:r>
      <w:r w:rsidR="006640EF" w:rsidRPr="00FD525E">
        <w:rPr>
          <w:szCs w:val="24"/>
          <w:highlight w:val="lightGray"/>
        </w:rPr>
        <w:t>as the above conversation suggests, the relationship between institutional trust and the compound</w:t>
      </w:r>
      <w:r w:rsidR="00162764" w:rsidRPr="00FD525E">
        <w:rPr>
          <w:szCs w:val="24"/>
          <w:highlight w:val="lightGray"/>
        </w:rPr>
        <w:t xml:space="preserve"> understanding of democracy is un</w:t>
      </w:r>
      <w:r w:rsidR="006640EF" w:rsidRPr="00FD525E">
        <w:rPr>
          <w:szCs w:val="24"/>
          <w:highlight w:val="lightGray"/>
        </w:rPr>
        <w:t>clear.</w:t>
      </w:r>
    </w:p>
    <w:p w14:paraId="19CC3CA3" w14:textId="2AA5AC66" w:rsidR="00CD31DB" w:rsidRPr="00FD525E" w:rsidRDefault="006640EF" w:rsidP="003600BE">
      <w:pPr>
        <w:rPr>
          <w:szCs w:val="24"/>
          <w:highlight w:val="lightGray"/>
        </w:rPr>
      </w:pPr>
      <w:r w:rsidRPr="00FD525E">
        <w:rPr>
          <w:szCs w:val="24"/>
          <w:highlight w:val="lightGray"/>
        </w:rPr>
        <w:t>To test</w:t>
      </w:r>
      <w:r w:rsidR="00CD31DB" w:rsidRPr="00FD525E">
        <w:rPr>
          <w:szCs w:val="24"/>
          <w:highlight w:val="lightGray"/>
        </w:rPr>
        <w:t xml:space="preserve"> </w:t>
      </w:r>
      <w:r w:rsidRPr="00FD525E">
        <w:rPr>
          <w:szCs w:val="24"/>
          <w:highlight w:val="lightGray"/>
        </w:rPr>
        <w:t>the effect of institutional trust, I create an</w:t>
      </w:r>
      <w:r w:rsidR="00CD31DB" w:rsidRPr="00FD525E">
        <w:rPr>
          <w:szCs w:val="24"/>
          <w:highlight w:val="lightGray"/>
        </w:rPr>
        <w:t xml:space="preserve"> index variable created from the following question group: </w:t>
      </w:r>
      <w:r w:rsidR="00CD31DB" w:rsidRPr="00FD525E">
        <w:rPr>
          <w:i/>
          <w:szCs w:val="24"/>
          <w:highlight w:val="lightGray"/>
        </w:rPr>
        <w:t>‘I am going to name a number of organisations. For each one, could you tell me how much confidence you have in them?’</w:t>
      </w:r>
      <w:r w:rsidR="00CD31DB" w:rsidRPr="00FD525E">
        <w:rPr>
          <w:szCs w:val="24"/>
          <w:highlight w:val="lightGray"/>
        </w:rPr>
        <w:t xml:space="preserve"> Respondents were given the following numerical scores: A great deal, Quite a lot, Not very much and None at all (plus Don’t Know). The five institutions in the index were the justice system, government, parties, parliament, and civil service. The alpha coefficient for this index is a high 0.87 (with the Don’t Know option dropped). As before, the index in the model is converted into a 1-10 scale, with 10 being given to people who have a great deal of trust in all institutions, and 1 to people with no trust at all i</w:t>
      </w:r>
      <w:r w:rsidR="00162764" w:rsidRPr="00FD525E">
        <w:rPr>
          <w:szCs w:val="24"/>
          <w:highlight w:val="lightGray"/>
        </w:rPr>
        <w:t>n any of the five institutions.</w:t>
      </w:r>
    </w:p>
    <w:p w14:paraId="72ED9CD8" w14:textId="21806C5F" w:rsidR="003600BE" w:rsidRPr="00FD525E" w:rsidRDefault="003B12C2" w:rsidP="003600BE">
      <w:pPr>
        <w:rPr>
          <w:rFonts w:cstheme="majorBidi"/>
          <w:szCs w:val="24"/>
          <w:highlight w:val="lightGray"/>
        </w:rPr>
      </w:pPr>
      <w:r w:rsidRPr="00FD525E">
        <w:rPr>
          <w:szCs w:val="24"/>
          <w:highlight w:val="lightGray"/>
        </w:rPr>
        <w:t>When it comes to the</w:t>
      </w:r>
      <w:r w:rsidR="00162764" w:rsidRPr="00FD525E">
        <w:rPr>
          <w:szCs w:val="24"/>
          <w:highlight w:val="lightGray"/>
        </w:rPr>
        <w:t xml:space="preserve"> structural,</w:t>
      </w:r>
      <w:r w:rsidRPr="00FD525E">
        <w:rPr>
          <w:szCs w:val="24"/>
          <w:highlight w:val="lightGray"/>
        </w:rPr>
        <w:t xml:space="preserve"> </w:t>
      </w:r>
      <w:r w:rsidR="00991B28" w:rsidRPr="00FD525E">
        <w:rPr>
          <w:szCs w:val="24"/>
          <w:highlight w:val="lightGray"/>
        </w:rPr>
        <w:t xml:space="preserve">associational </w:t>
      </w:r>
      <w:r w:rsidRPr="00FD525E">
        <w:rPr>
          <w:szCs w:val="24"/>
          <w:highlight w:val="lightGray"/>
        </w:rPr>
        <w:t xml:space="preserve">element of social capital, </w:t>
      </w:r>
      <w:r w:rsidRPr="00FD525E">
        <w:rPr>
          <w:rFonts w:cstheme="majorBidi"/>
          <w:szCs w:val="24"/>
          <w:highlight w:val="lightGray"/>
        </w:rPr>
        <w:t xml:space="preserve">this is measured with a question which </w:t>
      </w:r>
      <w:r w:rsidR="003600BE" w:rsidRPr="00FD525E">
        <w:rPr>
          <w:rFonts w:cstheme="majorBidi"/>
          <w:szCs w:val="24"/>
          <w:highlight w:val="lightGray"/>
        </w:rPr>
        <w:t xml:space="preserve">asks whether respondents are an </w:t>
      </w:r>
      <w:r w:rsidR="003600BE" w:rsidRPr="00FD525E">
        <w:rPr>
          <w:rFonts w:cstheme="majorBidi"/>
          <w:i/>
          <w:szCs w:val="24"/>
          <w:highlight w:val="lightGray"/>
        </w:rPr>
        <w:t>active member</w:t>
      </w:r>
      <w:r w:rsidR="003600BE" w:rsidRPr="00FD525E">
        <w:rPr>
          <w:rFonts w:cstheme="majorBidi"/>
          <w:szCs w:val="24"/>
          <w:highlight w:val="lightGray"/>
        </w:rPr>
        <w:t xml:space="preserve">, an </w:t>
      </w:r>
      <w:r w:rsidR="003600BE" w:rsidRPr="00FD525E">
        <w:rPr>
          <w:rFonts w:cstheme="majorBidi"/>
          <w:i/>
          <w:szCs w:val="24"/>
          <w:highlight w:val="lightGray"/>
        </w:rPr>
        <w:t>inactive member</w:t>
      </w:r>
      <w:r w:rsidR="003600BE" w:rsidRPr="00FD525E">
        <w:rPr>
          <w:rFonts w:cstheme="majorBidi"/>
          <w:szCs w:val="24"/>
          <w:highlight w:val="lightGray"/>
        </w:rPr>
        <w:t xml:space="preserve"> or </w:t>
      </w:r>
      <w:r w:rsidR="003600BE" w:rsidRPr="00FD525E">
        <w:rPr>
          <w:rFonts w:cstheme="majorBidi"/>
          <w:i/>
          <w:szCs w:val="24"/>
          <w:highlight w:val="lightGray"/>
        </w:rPr>
        <w:t>not a member</w:t>
      </w:r>
      <w:r w:rsidR="003600BE" w:rsidRPr="00FD525E">
        <w:rPr>
          <w:rFonts w:cstheme="majorBidi"/>
          <w:szCs w:val="24"/>
          <w:highlight w:val="lightGray"/>
        </w:rPr>
        <w:t xml:space="preserve"> of </w:t>
      </w:r>
      <w:r w:rsidR="00C8297D" w:rsidRPr="00FD525E">
        <w:rPr>
          <w:rFonts w:cstheme="majorBidi"/>
          <w:szCs w:val="24"/>
          <w:highlight w:val="lightGray"/>
        </w:rPr>
        <w:t>seven civil society-type</w:t>
      </w:r>
      <w:r w:rsidR="003600BE" w:rsidRPr="00FD525E">
        <w:rPr>
          <w:rFonts w:cstheme="majorBidi"/>
          <w:szCs w:val="24"/>
          <w:highlight w:val="lightGray"/>
        </w:rPr>
        <w:t xml:space="preserve"> organisations including sports, religious, arts</w:t>
      </w:r>
      <w:r w:rsidR="00C8297D" w:rsidRPr="00FD525E">
        <w:rPr>
          <w:rFonts w:cstheme="majorBidi"/>
          <w:szCs w:val="24"/>
          <w:highlight w:val="lightGray"/>
        </w:rPr>
        <w:t>/music</w:t>
      </w:r>
      <w:r w:rsidR="003600BE" w:rsidRPr="00FD525E">
        <w:rPr>
          <w:rFonts w:cstheme="majorBidi"/>
          <w:szCs w:val="24"/>
          <w:highlight w:val="lightGray"/>
        </w:rPr>
        <w:t xml:space="preserve">, </w:t>
      </w:r>
      <w:r w:rsidR="00DA3DA5" w:rsidRPr="00FD525E">
        <w:rPr>
          <w:rFonts w:cstheme="majorBidi"/>
          <w:szCs w:val="24"/>
          <w:highlight w:val="lightGray"/>
        </w:rPr>
        <w:t xml:space="preserve">trade </w:t>
      </w:r>
      <w:r w:rsidR="003600BE" w:rsidRPr="00FD525E">
        <w:rPr>
          <w:rFonts w:cstheme="majorBidi"/>
          <w:szCs w:val="24"/>
          <w:highlight w:val="lightGray"/>
        </w:rPr>
        <w:t>unions</w:t>
      </w:r>
      <w:r w:rsidR="00C8297D" w:rsidRPr="00FD525E">
        <w:rPr>
          <w:rFonts w:cstheme="majorBidi"/>
          <w:szCs w:val="24"/>
          <w:highlight w:val="lightGray"/>
        </w:rPr>
        <w:t>,</w:t>
      </w:r>
      <w:r w:rsidR="003600BE" w:rsidRPr="00FD525E">
        <w:rPr>
          <w:rFonts w:cstheme="majorBidi"/>
          <w:szCs w:val="24"/>
          <w:highlight w:val="lightGray"/>
        </w:rPr>
        <w:t xml:space="preserve"> environmental groups</w:t>
      </w:r>
      <w:r w:rsidR="00C8297D" w:rsidRPr="00FD525E">
        <w:rPr>
          <w:rFonts w:cstheme="majorBidi"/>
          <w:szCs w:val="24"/>
          <w:highlight w:val="lightGray"/>
        </w:rPr>
        <w:t>, charitable organisation and professional organisations</w:t>
      </w:r>
      <w:r w:rsidR="003600BE" w:rsidRPr="00FD525E">
        <w:rPr>
          <w:rFonts w:cstheme="majorBidi"/>
          <w:szCs w:val="24"/>
          <w:highlight w:val="lightGray"/>
        </w:rPr>
        <w:t xml:space="preserve">. I take a strict approach to this category and only look at those who consider themselves to be ‘active’ members, </w:t>
      </w:r>
      <w:r w:rsidR="00DA3DA5" w:rsidRPr="00FD525E">
        <w:rPr>
          <w:rFonts w:cstheme="majorBidi"/>
          <w:szCs w:val="24"/>
          <w:highlight w:val="lightGray"/>
        </w:rPr>
        <w:t>with</w:t>
      </w:r>
      <w:r w:rsidR="003600BE" w:rsidRPr="00FD525E">
        <w:rPr>
          <w:rFonts w:cstheme="majorBidi"/>
          <w:szCs w:val="24"/>
          <w:highlight w:val="lightGray"/>
        </w:rPr>
        <w:t xml:space="preserve"> the </w:t>
      </w:r>
      <w:r w:rsidR="00DA3DA5" w:rsidRPr="00FD525E">
        <w:rPr>
          <w:rFonts w:cstheme="majorBidi"/>
          <w:szCs w:val="24"/>
          <w:highlight w:val="lightGray"/>
        </w:rPr>
        <w:t>justification</w:t>
      </w:r>
      <w:r w:rsidR="003600BE" w:rsidRPr="00FD525E">
        <w:rPr>
          <w:rFonts w:cstheme="majorBidi"/>
          <w:szCs w:val="24"/>
          <w:highlight w:val="lightGray"/>
        </w:rPr>
        <w:t xml:space="preserve"> that an inactive membership will not do enough to significant increase citizen engagement with other people</w:t>
      </w:r>
      <w:r w:rsidR="00C8297D" w:rsidRPr="00FD525E">
        <w:rPr>
          <w:rFonts w:cstheme="majorBidi"/>
          <w:szCs w:val="24"/>
          <w:highlight w:val="lightGray"/>
        </w:rPr>
        <w:t xml:space="preserve"> and improve any awareness of democratic practices</w:t>
      </w:r>
      <w:r w:rsidR="003600BE" w:rsidRPr="00FD525E">
        <w:rPr>
          <w:rFonts w:cstheme="majorBidi"/>
          <w:szCs w:val="24"/>
          <w:highlight w:val="lightGray"/>
        </w:rPr>
        <w:t>. The variable is then split into three – respondents who do not report being an active member of any group are coded as 0. Those who are active members of just one of these groups are classed as 1, and those who claim to be members of two or more are coded as 2.</w:t>
      </w:r>
    </w:p>
    <w:p w14:paraId="4056AC48" w14:textId="6DD00DBB" w:rsidR="00BD17C9" w:rsidRDefault="003600BE" w:rsidP="003600BE">
      <w:pPr>
        <w:rPr>
          <w:rFonts w:cstheme="majorBidi"/>
          <w:szCs w:val="24"/>
        </w:rPr>
      </w:pPr>
      <w:r w:rsidRPr="00FD525E">
        <w:rPr>
          <w:rFonts w:cstheme="majorBidi"/>
          <w:szCs w:val="24"/>
          <w:highlight w:val="lightGray"/>
        </w:rPr>
        <w:t>Considering its role in political participation and in ideas of a vibrant civil society, it is predicted that group membership has a positive relationship with the compound understanding of democracy, and negative with the authoritarian one.</w:t>
      </w:r>
      <w:r w:rsidR="00427AD4" w:rsidRPr="00FD525E">
        <w:rPr>
          <w:rFonts w:cstheme="majorBidi"/>
          <w:szCs w:val="24"/>
          <w:highlight w:val="lightGray"/>
        </w:rPr>
        <w:t xml:space="preserve"> </w:t>
      </w:r>
      <w:r w:rsidR="00857090" w:rsidRPr="00FD525E">
        <w:rPr>
          <w:rFonts w:cstheme="majorBidi"/>
          <w:szCs w:val="24"/>
          <w:highlight w:val="lightGray"/>
        </w:rPr>
        <w:t>A</w:t>
      </w:r>
      <w:r w:rsidR="00427AD4" w:rsidRPr="00FD525E">
        <w:rPr>
          <w:rFonts w:cstheme="majorBidi"/>
          <w:szCs w:val="24"/>
          <w:highlight w:val="lightGray"/>
        </w:rPr>
        <w:t>gain the prediction sides with the positive interpretation of social capital that group interaction boosts democratic knowledge, as opposed to it being an insulating activity.</w:t>
      </w:r>
      <w:r w:rsidR="00162764" w:rsidRPr="00FD525E">
        <w:rPr>
          <w:rFonts w:cstheme="majorBidi"/>
          <w:szCs w:val="24"/>
          <w:highlight w:val="lightGray"/>
        </w:rPr>
        <w:t xml:space="preserve">  Yet a</w:t>
      </w:r>
      <w:r w:rsidR="00BD17C9" w:rsidRPr="00FD525E">
        <w:rPr>
          <w:rFonts w:cstheme="majorBidi"/>
          <w:szCs w:val="24"/>
          <w:highlight w:val="lightGray"/>
        </w:rPr>
        <w:t xml:space="preserve"> puzzle has been raised throughout this section as to whether social capital may also operate differently under different contexts, and in particular whether it may actually support for strengthen authoritarian regimes </w:t>
      </w:r>
      <w:r w:rsidR="00BD17C9" w:rsidRPr="00FD525E">
        <w:rPr>
          <w:rFonts w:cstheme="majorBidi"/>
          <w:szCs w:val="24"/>
          <w:highlight w:val="lightGray"/>
        </w:rPr>
        <w:fldChar w:fldCharType="begin" w:fldLock="1"/>
      </w:r>
      <w:r w:rsidR="00E63CC6" w:rsidRPr="00FD525E">
        <w:rPr>
          <w:rFonts w:cstheme="majorBidi"/>
          <w:szCs w:val="24"/>
          <w:highlight w:val="lightGray"/>
        </w:rPr>
        <w:instrText>ADDIN CSL_CITATION { "citationItems" : [ { "id" : "ITEM-1", "itemData" : { "DOI" : "10.1177/0002764209350835", "ISBN" : "0002-7642", "ISSN" : "0002-7642", "abstract" : "The notion of social capital has gained enthusiastic support from nongovernmental organizations, intergovernmental confederations, and supranational bodies such as the European Union, the World Bank, and the United Nations. They all believe that social capital might be a potent aid for democratization, for repairing defective democracies, and for undermining authoritarian regimes. This article examines whether social capital has such positive effects in countries where democracy is not yet established. Does social capital help in a country's move toward democratization, or is the link between democracy and social capital more dubious? Does social capital even contribute to the stabilization of nondemocratic regimes? This article analyzes 70 countries that participated in the third wave of the World Values Survey. The results are clear: Social capital functions as a stabilizer of authoritarian rule. Its effects are mainly negative. Social trust, in particular, might be a \"key resource for the market economy and democratic politics\" ( Stolle, 2003, p. 19). In nondemocratic contexts, however, it appears to throw a spanner in the works of democratization. Social participation and trust, specifically, increase the stability of nondemocratic leadership by generating popular support, by suppressing regime-threatening forms of protest activity, and by nourishing undemocratic ideals of governance.", "author" : [ { "dropping-particle" : "", "family" : "Rossteutscher", "given" : "S.", "non-dropping-particle" : "", "parse-names" : false, "suffix" : "" } ], "container-title" : "American Behavioral Scientist", "id" : "ITEM-1", "issue" : "5", "issued" : { "date-parts" : [ [ "2010" ] ] }, "page" : "737-757", "title" : "Social Capital Worldwide: Potential for Democratization or Stabilizer of Authoritarian Rule?", "type" : "article-journal", "volume" : "53" }, "uris" : [ "http://www.mendeley.com/documents/?uuid=9caed953-a9c2-4fc5-8e69-7d3e2af124ad" ] } ], "mendeley" : { "formattedCitation" : "(Rossteutscher, 2010)", "plainTextFormattedCitation" : "(Rossteutscher, 2010)", "previouslyFormattedCitation" : "(Rossteutscher, 2010)" }, "properties" : { "noteIndex" : 0 }, "schema" : "https://github.com/citation-style-language/schema/raw/master/csl-citation.json" }</w:instrText>
      </w:r>
      <w:r w:rsidR="00BD17C9" w:rsidRPr="00FD525E">
        <w:rPr>
          <w:rFonts w:cstheme="majorBidi"/>
          <w:szCs w:val="24"/>
          <w:highlight w:val="lightGray"/>
        </w:rPr>
        <w:fldChar w:fldCharType="separate"/>
      </w:r>
      <w:r w:rsidR="00E63CC6" w:rsidRPr="00FD525E">
        <w:rPr>
          <w:rFonts w:cstheme="majorBidi"/>
          <w:noProof/>
          <w:szCs w:val="24"/>
          <w:highlight w:val="lightGray"/>
        </w:rPr>
        <w:t>(Rossteutscher, 2010)</w:t>
      </w:r>
      <w:r w:rsidR="00BD17C9" w:rsidRPr="00FD525E">
        <w:rPr>
          <w:rFonts w:cstheme="majorBidi"/>
          <w:szCs w:val="24"/>
          <w:highlight w:val="lightGray"/>
        </w:rPr>
        <w:fldChar w:fldCharType="end"/>
      </w:r>
      <w:r w:rsidR="00BD17C9" w:rsidRPr="00FD525E">
        <w:rPr>
          <w:rFonts w:cstheme="majorBidi"/>
          <w:szCs w:val="24"/>
          <w:highlight w:val="lightGray"/>
        </w:rPr>
        <w:t>. Therefore, a cross-level interaction will be used, between group membership at the individual level, and Free</w:t>
      </w:r>
      <w:r w:rsidR="00D73259">
        <w:rPr>
          <w:rFonts w:cstheme="majorBidi"/>
          <w:szCs w:val="24"/>
          <w:highlight w:val="lightGray"/>
        </w:rPr>
        <w:t>dom House at the national level</w:t>
      </w:r>
      <w:r w:rsidR="00D73259">
        <w:rPr>
          <w:rFonts w:cstheme="majorBidi"/>
          <w:szCs w:val="24"/>
        </w:rPr>
        <w:t>.</w:t>
      </w:r>
    </w:p>
    <w:p w14:paraId="43AA5626" w14:textId="77777777" w:rsidR="003600BE" w:rsidRDefault="003600BE" w:rsidP="002032DF">
      <w:pPr>
        <w:pStyle w:val="Heading3"/>
        <w:numPr>
          <w:ilvl w:val="2"/>
          <w:numId w:val="16"/>
        </w:numPr>
        <w:spacing w:line="268" w:lineRule="auto"/>
      </w:pPr>
      <w:bookmarkStart w:id="286" w:name="_Toc441069237"/>
      <w:r>
        <w:t>Religiosity</w:t>
      </w:r>
      <w:bookmarkEnd w:id="286"/>
    </w:p>
    <w:p w14:paraId="78B7BC87" w14:textId="432F88FF" w:rsidR="003600BE" w:rsidRDefault="003600BE" w:rsidP="003600BE">
      <w:pPr>
        <w:rPr>
          <w:rFonts w:cstheme="majorBidi"/>
          <w:noProof/>
          <w:szCs w:val="24"/>
        </w:rPr>
      </w:pPr>
      <w:r>
        <w:rPr>
          <w:rFonts w:cstheme="majorBidi"/>
          <w:szCs w:val="24"/>
        </w:rPr>
        <w:t>Finally, religiosity is examined. The discussion in Chapter 3 noted that the idea of democracy as a secular system of governance is overstated. However, studies have linked Protestantism to democratic development due to the general separation of church and state in such systems</w:t>
      </w:r>
      <w:r w:rsidR="00D169FF">
        <w:rPr>
          <w:rFonts w:cstheme="majorBidi"/>
          <w:szCs w:val="24"/>
        </w:rPr>
        <w:t xml:space="preserve"> </w:t>
      </w:r>
      <w:r w:rsidR="00D169FF">
        <w:rPr>
          <w:rFonts w:cstheme="majorBidi"/>
          <w:szCs w:val="24"/>
        </w:rPr>
        <w:fldChar w:fldCharType="begin" w:fldLock="1"/>
      </w:r>
      <w:r w:rsidR="00E63CC6">
        <w:rPr>
          <w:rFonts w:cstheme="majorBidi"/>
          <w:szCs w:val="24"/>
        </w:rPr>
        <w:instrText>ADDIN CSL_CITATION { "citationItems" : [ { "id" : "ITEM-1", "itemData" : { "author" : [ { "dropping-particle" : "", "family" : "Bollen", "given" : "Kenneth A", "non-dropping-particle" : "", "parse-names" : false, "suffix" : "" }, { "dropping-particle" : "", "family" : "Jackman", "given" : "Robert W", "non-dropping-particle" : "", "parse-names" : false, "suffix" : "" } ], "container-title" : "Research in Political Sociology", "id" : "ITEM-1", "issue" : "1", "issued" : { "date-parts" : [ [ "1985" ] ] }, "page" : "27-48", "title" : "Economic and noneconomic determinants of political democracy in the 1960s", "type" : "article-journal", "volume" : "1" }, "uris" : [ "http://www.mendeley.com/documents/?uuid=d01f40fe-feaf-4504-a350-322884a21107" ] } ], "mendeley" : { "formattedCitation" : "(Bollen and Jackman, 1985)", "manualFormatting" : "(Bollen &amp; Jackman 1985, p.42)", "plainTextFormattedCitation" : "(Bollen and Jackman, 1985)", "previouslyFormattedCitation" : "(Bollen and Jackman, 1985)" }, "properties" : { "noteIndex" : 0 }, "schema" : "https://github.com/citation-style-language/schema/raw/master/csl-citation.json" }</w:instrText>
      </w:r>
      <w:r w:rsidR="00D169FF">
        <w:rPr>
          <w:rFonts w:cstheme="majorBidi"/>
          <w:szCs w:val="24"/>
        </w:rPr>
        <w:fldChar w:fldCharType="separate"/>
      </w:r>
      <w:r w:rsidR="00D169FF" w:rsidRPr="00D169FF">
        <w:rPr>
          <w:rFonts w:cstheme="majorBidi"/>
          <w:noProof/>
          <w:szCs w:val="24"/>
        </w:rPr>
        <w:t>(Bollen &amp; Jackman 1985</w:t>
      </w:r>
      <w:r w:rsidR="00D169FF">
        <w:rPr>
          <w:rFonts w:cstheme="majorBidi"/>
          <w:noProof/>
          <w:szCs w:val="24"/>
        </w:rPr>
        <w:t>, p.42</w:t>
      </w:r>
      <w:r w:rsidR="00D169FF" w:rsidRPr="00D169FF">
        <w:rPr>
          <w:rFonts w:cstheme="majorBidi"/>
          <w:noProof/>
          <w:szCs w:val="24"/>
        </w:rPr>
        <w:t>)</w:t>
      </w:r>
      <w:r w:rsidR="00D169FF">
        <w:rPr>
          <w:rFonts w:cstheme="majorBidi"/>
          <w:szCs w:val="24"/>
        </w:rPr>
        <w:fldChar w:fldCharType="end"/>
      </w:r>
      <w:r>
        <w:rPr>
          <w:rFonts w:cstheme="majorBidi"/>
          <w:szCs w:val="24"/>
        </w:rPr>
        <w:t xml:space="preserve">. </w:t>
      </w:r>
      <w:r w:rsidR="0086393E">
        <w:rPr>
          <w:rFonts w:cstheme="majorBidi"/>
          <w:szCs w:val="24"/>
        </w:rPr>
        <w:t>When it comes to Catholicism it has been argued that “</w:t>
      </w:r>
      <w:r w:rsidR="0086393E" w:rsidRPr="0086393E">
        <w:rPr>
          <w:rFonts w:cstheme="majorBidi"/>
          <w:szCs w:val="24"/>
        </w:rPr>
        <w:t>both in doctrine and in organisation, the Catholic Church has been the historical antagonist to liberal democracy for much of Western modernity</w:t>
      </w:r>
      <w:r w:rsidR="0086393E">
        <w:rPr>
          <w:rFonts w:cstheme="majorBidi"/>
          <w:szCs w:val="24"/>
        </w:rPr>
        <w:t xml:space="preserve">” </w:t>
      </w:r>
      <w:r w:rsidR="0086393E" w:rsidRPr="0086393E">
        <w:rPr>
          <w:rFonts w:cstheme="majorBidi"/>
          <w:szCs w:val="24"/>
        </w:rPr>
        <w:fldChar w:fldCharType="begin" w:fldLock="1"/>
      </w:r>
      <w:r w:rsidR="00E63CC6">
        <w:rPr>
          <w:rFonts w:cstheme="majorBidi"/>
          <w:szCs w:val="24"/>
        </w:rPr>
        <w:instrText>ADDIN CSL_CITATION { "citationItems" : [ { "id" : "ITEM-1", "itemData" : { "DOI" : "10.1080/13691830701432731", "ISBN" : "1369183070", "ISSN" : "1369-183X", "author" : [ { "dropping-particle" : "", "family" : "Minkenberg", "given" : "Michael", "non-dropping-particle" : "", "parse-names" : false, "suffix" : "" } ], "container-title" : "Journal of Ethnic and Migration Studies", "id" : "ITEM-1", "issue" : "6", "issued" : { "date-parts" : [ [ "2007", "8" ] ] }, "page" : "887-909", "title" : "Democracy and Religion: Theoretical and Empirical Observations on the Relationship between Christianity, Islam and Liberal Democracy", "type" : "article-journal", "volume" : "33" }, "uris" : [ "http://www.mendeley.com/documents/?uuid=f58f2153-b453-42e1-b7e0-21009e97e300" ] } ], "mendeley" : { "formattedCitation" : "(Minkenberg, 2007)", "manualFormatting" : "(Minkenberg 2007)", "plainTextFormattedCitation" : "(Minkenberg, 2007)", "previouslyFormattedCitation" : "(Minkenberg, 2007)" }, "properties" : { "noteIndex" : 0 }, "schema" : "https://github.com/citation-style-language/schema/raw/master/csl-citation.json" }</w:instrText>
      </w:r>
      <w:r w:rsidR="0086393E" w:rsidRPr="0086393E">
        <w:rPr>
          <w:rFonts w:cstheme="majorBidi"/>
          <w:szCs w:val="24"/>
        </w:rPr>
        <w:fldChar w:fldCharType="separate"/>
      </w:r>
      <w:r w:rsidR="00A376E6">
        <w:rPr>
          <w:rFonts w:cstheme="majorBidi"/>
          <w:noProof/>
          <w:szCs w:val="24"/>
        </w:rPr>
        <w:t>(Minkenberg 2007</w:t>
      </w:r>
      <w:r w:rsidR="0086393E" w:rsidRPr="0086393E">
        <w:rPr>
          <w:rFonts w:cstheme="majorBidi"/>
          <w:noProof/>
          <w:szCs w:val="24"/>
        </w:rPr>
        <w:t>)</w:t>
      </w:r>
      <w:r w:rsidR="0086393E" w:rsidRPr="0086393E">
        <w:rPr>
          <w:rFonts w:cstheme="majorBidi"/>
          <w:szCs w:val="24"/>
        </w:rPr>
        <w:fldChar w:fldCharType="end"/>
      </w:r>
      <w:r>
        <w:rPr>
          <w:rFonts w:cstheme="majorBidi"/>
          <w:szCs w:val="24"/>
        </w:rPr>
        <w:t>. However more recently it has been repositioned as one agent of change against dictatorships in the ‘third wave’ of democracy, particularly in Spain, Portugal, Latin America and Poland</w:t>
      </w:r>
      <w:r w:rsidR="00D169FF">
        <w:rPr>
          <w:rFonts w:cstheme="majorBidi"/>
          <w:szCs w:val="24"/>
        </w:rPr>
        <w:t xml:space="preserve"> </w:t>
      </w:r>
      <w:r w:rsidR="00D169FF">
        <w:rPr>
          <w:rFonts w:cstheme="majorBidi"/>
          <w:szCs w:val="24"/>
        </w:rPr>
        <w:fldChar w:fldCharType="begin" w:fldLock="1"/>
      </w:r>
      <w:r w:rsidR="00E63CC6">
        <w:rPr>
          <w:rFonts w:cstheme="majorBidi"/>
          <w:szCs w:val="24"/>
        </w:rPr>
        <w:instrText>ADDIN CSL_CITATION { "citationItems" : [ { "id" : "ITEM-1", "itemData" : { "DOI" : "10.1353/jod.2004.0034", "ISSN" : "1086-3214", "author" : [ { "dropping-particle" : "", "family" : "Philpott", "given" : "Daniel", "non-dropping-particle" : "", "parse-names" : false, "suffix" : "" } ], "container-title" : "Journal of Democracy", "id" : "ITEM-1", "issue" : "2", "issued" : { "date-parts" : [ [ "2004" ] ] }, "page" : "32-46", "title" : "The Catholic Wave", "type" : "article-journal", "volume" : "15" }, "uris" : [ "http://www.mendeley.com/documents/?uuid=f5e3445c-c5ab-467d-a58c-fe8923fc4908" ] } ], "mendeley" : { "formattedCitation" : "(Philpott, 2004)", "plainTextFormattedCitation" : "(Philpott, 2004)", "previouslyFormattedCitation" : "(Philpott, 2004)" }, "properties" : { "noteIndex" : 0 }, "schema" : "https://github.com/citation-style-language/schema/raw/master/csl-citation.json" }</w:instrText>
      </w:r>
      <w:r w:rsidR="00D169FF">
        <w:rPr>
          <w:rFonts w:cstheme="majorBidi"/>
          <w:szCs w:val="24"/>
        </w:rPr>
        <w:fldChar w:fldCharType="separate"/>
      </w:r>
      <w:r w:rsidR="00E63CC6" w:rsidRPr="00E63CC6">
        <w:rPr>
          <w:rFonts w:cstheme="majorBidi"/>
          <w:noProof/>
          <w:szCs w:val="24"/>
        </w:rPr>
        <w:t>(Philpott, 2004)</w:t>
      </w:r>
      <w:r w:rsidR="00D169FF">
        <w:rPr>
          <w:rFonts w:cstheme="majorBidi"/>
          <w:szCs w:val="24"/>
        </w:rPr>
        <w:fldChar w:fldCharType="end"/>
      </w:r>
      <w:r w:rsidR="00D169FF">
        <w:rPr>
          <w:rFonts w:cstheme="majorBidi"/>
          <w:szCs w:val="24"/>
        </w:rPr>
        <w:t>.</w:t>
      </w:r>
    </w:p>
    <w:p w14:paraId="3BC8873F" w14:textId="5EB3BC39" w:rsidR="003600BE" w:rsidRDefault="003600BE" w:rsidP="003600BE">
      <w:pPr>
        <w:rPr>
          <w:rFonts w:cstheme="majorBidi"/>
          <w:szCs w:val="24"/>
        </w:rPr>
      </w:pPr>
      <w:r>
        <w:rPr>
          <w:rFonts w:cstheme="majorBidi"/>
          <w:szCs w:val="24"/>
        </w:rPr>
        <w:t>In contrast, Muslim, Orthodox and Confucian religions have all been described as blocks to democratic development, most famously by Huntington (1993, 1996). Arguments have been made that perhaps the most problematic religion</w:t>
      </w:r>
      <w:r w:rsidR="00F12D84">
        <w:rPr>
          <w:rFonts w:cstheme="majorBidi"/>
          <w:szCs w:val="24"/>
        </w:rPr>
        <w:t xml:space="preserve"> when it comes to its relationship with democracy</w:t>
      </w:r>
      <w:r>
        <w:rPr>
          <w:rFonts w:cstheme="majorBidi"/>
          <w:szCs w:val="24"/>
        </w:rPr>
        <w:t xml:space="preserve"> is Islam, with the</w:t>
      </w:r>
      <w:r>
        <w:rPr>
          <w:rFonts w:cstheme="majorBidi"/>
          <w:iCs/>
          <w:szCs w:val="24"/>
        </w:rPr>
        <w:t xml:space="preserve"> negative correlation between Islam and liberal democracy across the Middle East frequently cited as an example of this</w:t>
      </w:r>
      <w:r w:rsidR="00B07282">
        <w:rPr>
          <w:rFonts w:cstheme="majorBidi"/>
          <w:iCs/>
          <w:szCs w:val="24"/>
        </w:rPr>
        <w:t xml:space="preserve"> </w:t>
      </w:r>
      <w:r w:rsidR="00B07282">
        <w:rPr>
          <w:rFonts w:cstheme="majorBidi"/>
          <w:iCs/>
          <w:szCs w:val="24"/>
        </w:rPr>
        <w:fldChar w:fldCharType="begin" w:fldLock="1"/>
      </w:r>
      <w:r w:rsidR="00E63CC6">
        <w:rPr>
          <w:rFonts w:cstheme="majorBidi"/>
          <w:iCs/>
          <w:szCs w:val="24"/>
        </w:rPr>
        <w:instrText>ADDIN CSL_CITATION { "citationItems" : [ { "id" : "ITEM-1", "itemData" : { "author" : [ { "dropping-particle" : "", "family" : "Barro", "given" : "RJ", "non-dropping-particle" : "", "parse-names" : false, "suffix" : "" } ], "container-title" : "Journal of Political Economy", "id" : "ITEM-1", "issue" : "6", "issued" : { "date-parts" : [ [ "1999" ] ] }, "page" : "158-183", "title" : "Determinants of democracy", "type" : "article-journal", "volume" : "107" }, "uris" : [ "http://www.mendeley.com/documents/?uuid=42b57880-e8e2-46e4-8cd1-31c76152ac21" ] }, { "id" : "ITEM-2", "itemData" : { "author" : [ { "dropping-particle" : "", "family" : "Midlarksy", "given" : "M", "non-dropping-particle" : "", "parse-names" : false, "suffix" : "" } ], "container-title" : "International Studies Quarterly", "id" : "ITEM-2", "issue" : "3", "issued" : { "date-parts" : [ [ "1998" ] ] }, "page" : "485-511", "title" : "Democracy and Islam : Implications for Civilizational Conflict and the Democratic Peace", "type" : "article-journal", "volume" : "42" }, "uris" : [ "http://www.mendeley.com/documents/?uuid=bbbb3cfc-7e7f-4c7a-b3cd-213bc5f916ac" ] } ], "mendeley" : { "formattedCitation" : "(Midlarksy, 1998; Barro, 1999)", "plainTextFormattedCitation" : "(Midlarksy, 1998; Barro, 1999)", "previouslyFormattedCitation" : "(Midlarksy, 1998; Barro, 1999)" }, "properties" : { "noteIndex" : 0 }, "schema" : "https://github.com/citation-style-language/schema/raw/master/csl-citation.json" }</w:instrText>
      </w:r>
      <w:r w:rsidR="00B07282">
        <w:rPr>
          <w:rFonts w:cstheme="majorBidi"/>
          <w:iCs/>
          <w:szCs w:val="24"/>
        </w:rPr>
        <w:fldChar w:fldCharType="separate"/>
      </w:r>
      <w:r w:rsidR="00E63CC6" w:rsidRPr="00E63CC6">
        <w:rPr>
          <w:rFonts w:cstheme="majorBidi"/>
          <w:iCs/>
          <w:noProof/>
          <w:szCs w:val="24"/>
        </w:rPr>
        <w:t>(Midlarksy, 1998; Barro, 1999)</w:t>
      </w:r>
      <w:r w:rsidR="00B07282">
        <w:rPr>
          <w:rFonts w:cstheme="majorBidi"/>
          <w:iCs/>
          <w:szCs w:val="24"/>
        </w:rPr>
        <w:fldChar w:fldCharType="end"/>
      </w:r>
      <w:r>
        <w:rPr>
          <w:rFonts w:cstheme="majorBidi"/>
          <w:iCs/>
          <w:szCs w:val="24"/>
        </w:rPr>
        <w:t xml:space="preserve">. </w:t>
      </w:r>
      <w:r>
        <w:rPr>
          <w:rFonts w:cstheme="majorBidi"/>
          <w:szCs w:val="24"/>
        </w:rPr>
        <w:t xml:space="preserve">However, recent research </w:t>
      </w:r>
      <w:r w:rsidR="00D169FF">
        <w:rPr>
          <w:rFonts w:cstheme="majorBidi"/>
          <w:szCs w:val="24"/>
        </w:rPr>
        <w:t>has questioned</w:t>
      </w:r>
      <w:r>
        <w:rPr>
          <w:rFonts w:cstheme="majorBidi"/>
          <w:szCs w:val="24"/>
        </w:rPr>
        <w:t xml:space="preserve"> Huntington’s reductionist arguments and conclusions. For instance, Ben-Num Bloom </w:t>
      </w:r>
      <w:r w:rsidR="00B07282">
        <w:rPr>
          <w:rFonts w:cstheme="majorBidi"/>
          <w:szCs w:val="24"/>
        </w:rPr>
        <w:t xml:space="preserve">and colleagues </w:t>
      </w:r>
      <w:r w:rsidR="00B07282">
        <w:rPr>
          <w:rFonts w:cstheme="majorBidi"/>
          <w:szCs w:val="24"/>
        </w:rPr>
        <w:fldChar w:fldCharType="begin" w:fldLock="1"/>
      </w:r>
      <w:r w:rsidR="00E63CC6">
        <w:rPr>
          <w:rFonts w:cstheme="majorBidi"/>
          <w:szCs w:val="24"/>
        </w:rPr>
        <w:instrText>ADDIN CSL_CITATION { "citationItems" : [ { "id" : "ITEM-1", "itemData" : { "DOI" : "10.1007/s11109-011-9157-x", "author" : [ { "dropping-particle" : "", "family" : "Ben-Num Bloom", "given" : "P", "non-dropping-particle" : "", "parse-names" : false, "suffix" : "" }, { "dropping-particle" : "", "family" : "Arikan", "given" : "G", "non-dropping-particle" : "", "parse-names" : false, "suffix" : "" } ], "id" : "ITEM-1", "issued" : { "date-parts" : [ [ "2012" ] ] }, "page" : "249-276", "title" : "A Two-edged Sword : The Differential Effect of Religious Belief and Religious Social Context on Attitudes towards Democracy", "type" : "article-journal" }, "uris" : [ "http://www.mendeley.com/documents/?uuid=6de0abf1-8099-4116-8c16-405a023e34d5" ] }, { "id" : "ITEM-2", "itemData" : { "author" : [ { "dropping-particle" : "", "family" : "Ben-Nun Bloom", "given" : "P", "non-dropping-particle" : "", "parse-names" : false, "suffix" : "" }, { "dropping-particle" : "", "family" : "Zemach", "given" : "M", "non-dropping-particle" : "", "parse-names" : false, "suffix" : "" }, { "dropping-particle" : "", "family" : "Arian", "given" : "A", "non-dropping-particle" : "", "parse-names" : false, "suffix" : "" } ], "container-title" : "Democratization", "id" : "ITEM-2", "issue" : "1", "issued" : { "date-parts" : [ [ "2011" ] ] }, "page" : "25-51", "title" : "The religious experience as affecting ambivalence : the case of democratic performance evaluation in Israel", "type" : "article-journal", "volume" : "18" }, "uris" : [ "http://www.mendeley.com/documents/?uuid=6427dde8-220f-4ab2-8e98-3a2ab176197c" ] }, { "id" : "ITEM-3", "itemData" : { "DOI" : "10.1017/S0007123412000427", "ISBN" : "0007123412000", "ISSN" : "0007-1234", "author" : [ { "dropping-particle" : "", "family" : "Ben-Nun Bloom", "given" : "Pazit", "non-dropping-particle" : "", "parse-names" : false, "suffix" : "" }, { "dropping-particle" : "", "family" : "Arikan", "given" : "Gizem", "non-dropping-particle" : "", "parse-names" : false, "suffix" : "" } ], "container-title" : "British Journal of Political Science", "id" : "ITEM-3", "issue" : "2", "issued" : { "date-parts" : [ [ "2013", "9", "24" ] ] }, "page" : "375-397", "title" : "Religion and Support for Democracy: A Cross-National Test of the Mediating Mechanisms", "type" : "article-journal", "volume" : "43" }, "uris" : [ "http://www.mendeley.com/documents/?uuid=1297f16e-e0d8-46b1-acee-b12b6d3018af" ] } ], "mendeley" : { "formattedCitation" : "(Ben-Nun Bloom, Zemach and Arian, 2011; Ben-Num Bloom and Arikan, 2012; Ben-Nun Bloom and Arikan, 2013)", "manualFormatting" : "(Ben-Nun Bloom &amp; Arikan 2013; Ben-Num Bloom &amp; Arikan 2012; Ben-Nun Bloom et al. 2011)", "plainTextFormattedCitation" : "(Ben-Nun Bloom, Zemach and Arian, 2011; Ben-Num Bloom and Arikan, 2012; Ben-Nun Bloom and Arikan, 2013)", "previouslyFormattedCitation" : "(Ben-Nun Bloom, Zemach and Arian, 2011; Ben-Num Bloom and Arikan, 2012; Ben-Nun Bloom and Arikan, 2013)" }, "properties" : { "noteIndex" : 0 }, "schema" : "https://github.com/citation-style-language/schema/raw/master/csl-citation.json" }</w:instrText>
      </w:r>
      <w:r w:rsidR="00B07282">
        <w:rPr>
          <w:rFonts w:cstheme="majorBidi"/>
          <w:szCs w:val="24"/>
        </w:rPr>
        <w:fldChar w:fldCharType="separate"/>
      </w:r>
      <w:r w:rsidR="00B07282" w:rsidRPr="00B07282">
        <w:rPr>
          <w:rFonts w:cstheme="majorBidi"/>
          <w:noProof/>
          <w:szCs w:val="24"/>
        </w:rPr>
        <w:t>(Ben-Nun Bloom &amp; Arikan 2013</w:t>
      </w:r>
      <w:r w:rsidR="00B07282">
        <w:rPr>
          <w:rFonts w:cstheme="majorBidi"/>
          <w:noProof/>
          <w:szCs w:val="24"/>
        </w:rPr>
        <w:t xml:space="preserve">; Ben-Num Bloom &amp; Arikan 2012; Ben-Nun Bloom </w:t>
      </w:r>
      <w:r w:rsidR="00803848">
        <w:rPr>
          <w:rFonts w:cstheme="majorBidi"/>
          <w:noProof/>
          <w:szCs w:val="24"/>
        </w:rPr>
        <w:t>et al</w:t>
      </w:r>
      <w:r w:rsidR="00B07282">
        <w:rPr>
          <w:rFonts w:cstheme="majorBidi"/>
          <w:noProof/>
          <w:szCs w:val="24"/>
        </w:rPr>
        <w:t>. 2011</w:t>
      </w:r>
      <w:r w:rsidR="00B07282" w:rsidRPr="00B07282">
        <w:rPr>
          <w:rFonts w:cstheme="majorBidi"/>
          <w:noProof/>
          <w:szCs w:val="24"/>
        </w:rPr>
        <w:t>)</w:t>
      </w:r>
      <w:r w:rsidR="00B07282">
        <w:rPr>
          <w:rFonts w:cstheme="majorBidi"/>
          <w:szCs w:val="24"/>
        </w:rPr>
        <w:fldChar w:fldCharType="end"/>
      </w:r>
      <w:r>
        <w:rPr>
          <w:rFonts w:cstheme="majorBidi"/>
          <w:szCs w:val="24"/>
        </w:rPr>
        <w:t xml:space="preserve"> suggest that although some characteristics of religious individuals can increase ambivalence towards democracy, at the group level religious communities can be beneficial for democratic support. The overall impacts of religious attitudes are also potentially negligible when the mediating effects of distinct auth</w:t>
      </w:r>
      <w:r w:rsidR="00B07282">
        <w:rPr>
          <w:rFonts w:cstheme="majorBidi"/>
          <w:szCs w:val="24"/>
        </w:rPr>
        <w:t>oritarian values are considered</w:t>
      </w:r>
      <w:r>
        <w:rPr>
          <w:rFonts w:cstheme="majorBidi"/>
          <w:szCs w:val="24"/>
        </w:rPr>
        <w:t xml:space="preserve"> </w:t>
      </w:r>
      <w:r w:rsidR="00B07282">
        <w:rPr>
          <w:rFonts w:cstheme="majorBidi"/>
          <w:szCs w:val="24"/>
        </w:rPr>
        <w:fldChar w:fldCharType="begin" w:fldLock="1"/>
      </w:r>
      <w:r w:rsidR="00E63CC6">
        <w:rPr>
          <w:rFonts w:cstheme="majorBidi"/>
          <w:szCs w:val="24"/>
        </w:rPr>
        <w:instrText>ADDIN CSL_CITATION { "citationItems" : [ { "id" : "ITEM-1", "itemData" : { "DOI" : "10.1007/s11109-004-0901-3", "ISSN" : "0190-9320", "author" : [ { "dropping-particle" : "", "family" : "Canetti-Nisim", "given" : "Daphna", "non-dropping-particle" : "", "parse-names" : false, "suffix" : "" } ], "container-title" : "Political Behavior", "id" : "ITEM-1", "issue" : "4", "issued" : { "date-parts" : [ [ "2004", "12" ] ] }, "page" : "377-398", "title" : "The Effect of Religiosity on Endorsement of Democratic Values: The Mediating Influence of Authoritarianism", "type" : "article-journal", "volume" : "26" }, "uris" : [ "http://www.mendeley.com/documents/?uuid=7ffa439d-4ed3-43f8-a764-539dbe9e4f7f" ] } ], "mendeley" : { "formattedCitation" : "(Canetti-Nisim, 2004)", "plainTextFormattedCitation" : "(Canetti-Nisim, 2004)", "previouslyFormattedCitation" : "(Canetti-Nisim, 2004)" }, "properties" : { "noteIndex" : 0 }, "schema" : "https://github.com/citation-style-language/schema/raw/master/csl-citation.json" }</w:instrText>
      </w:r>
      <w:r w:rsidR="00B07282">
        <w:rPr>
          <w:rFonts w:cstheme="majorBidi"/>
          <w:szCs w:val="24"/>
        </w:rPr>
        <w:fldChar w:fldCharType="separate"/>
      </w:r>
      <w:r w:rsidR="00E63CC6" w:rsidRPr="00E63CC6">
        <w:rPr>
          <w:rFonts w:cstheme="majorBidi"/>
          <w:noProof/>
          <w:szCs w:val="24"/>
        </w:rPr>
        <w:t>(Canetti-Nisim, 2004)</w:t>
      </w:r>
      <w:r w:rsidR="00B07282">
        <w:rPr>
          <w:rFonts w:cstheme="majorBidi"/>
          <w:szCs w:val="24"/>
        </w:rPr>
        <w:fldChar w:fldCharType="end"/>
      </w:r>
      <w:r w:rsidR="00B07282">
        <w:rPr>
          <w:rFonts w:cstheme="majorBidi"/>
          <w:szCs w:val="24"/>
        </w:rPr>
        <w:t xml:space="preserve"> </w:t>
      </w:r>
      <w:r>
        <w:rPr>
          <w:rFonts w:cstheme="majorBidi"/>
          <w:szCs w:val="24"/>
        </w:rPr>
        <w:t>and numerous surveys suggest Muslims do not hold different political values to non-Muslims</w:t>
      </w:r>
      <w:r w:rsidR="00B07282">
        <w:rPr>
          <w:rFonts w:cstheme="majorBidi"/>
          <w:szCs w:val="24"/>
        </w:rPr>
        <w:t xml:space="preserve"> </w:t>
      </w:r>
      <w:r w:rsidR="00B07282">
        <w:rPr>
          <w:rFonts w:cstheme="majorBidi"/>
          <w:szCs w:val="24"/>
        </w:rPr>
        <w:fldChar w:fldCharType="begin" w:fldLock="1"/>
      </w:r>
      <w:r w:rsidR="00E63CC6">
        <w:rPr>
          <w:rFonts w:cstheme="majorBidi"/>
          <w:szCs w:val="24"/>
        </w:rPr>
        <w:instrText>ADDIN CSL_CITATION { "citationItems" : [ { "id" : "ITEM-1", "itemData" : { "DOI" : "10.1007/s11127-008-9393-8", "ISSN" : "0048-5829", "author" : [ { "dropping-particle" : "", "family" : "Rowley", "given" : "Charles K.", "non-dropping-particle" : "", "parse-names" : false, "suffix" : "" }, { "dropping-particle" : "", "family" : "Smith", "given" : "Nathanael", "non-dropping-particle" : "", "parse-names" : false, "suffix" : "" } ], "container-title" : "Public Choice", "id" : "ITEM-1", "issue" : "3-4", "issued" : { "date-parts" : [ [ "2009", "1", "20" ] ] }, "page" : "273-299", "title" : "Islam\u2019s democracy paradox: Muslims claim to like democracy, so why do they have so little?", "type" : "article-journal", "volume" : "139" }, "uris" : [ "http://www.mendeley.com/documents/?uuid=adf9330a-a34f-4401-ab79-1764713183d7" ] }, { "id" : "ITEM-2", "itemData" : { "author" : [ { "dropping-particle" : "", "family" : "Norris", "given" : "Pippa", "non-dropping-particle" : "", "parse-names" : false, "suffix" : "" }, { "dropping-particle" : "", "family" : "Inglehart", "given" : "Ronald F", "non-dropping-particle" : "", "parse-names" : false, "suffix" : "" } ], "container-title" : "Comparative S", "id" : "ITEM-2", "issue" : "3-4", "issued" : { "date-parts" : [ [ "2002" ] ] }, "page" : "235-263", "title" : "Islamic Culture and Democracy : Testing the \u2018 Clash of Civilizations \u2019 Thesis", "type" : "article-journal", "volume" : "1" }, "uris" : [ "http://www.mendeley.com/documents/?uuid=9d566570-5ee8-428a-9ebc-ff72ecb5b0c3" ] } ], "mendeley" : { "formattedCitation" : "(Norris and Inglehart, 2002; Rowley and Smith, 2009)", "plainTextFormattedCitation" : "(Norris and Inglehart, 2002; Rowley and Smith, 2009)", "previouslyFormattedCitation" : "(Norris and Inglehart, 2002; Rowley and Smith, 2009)" }, "properties" : { "noteIndex" : 0 }, "schema" : "https://github.com/citation-style-language/schema/raw/master/csl-citation.json" }</w:instrText>
      </w:r>
      <w:r w:rsidR="00B07282">
        <w:rPr>
          <w:rFonts w:cstheme="majorBidi"/>
          <w:szCs w:val="24"/>
        </w:rPr>
        <w:fldChar w:fldCharType="separate"/>
      </w:r>
      <w:r w:rsidR="00E63CC6" w:rsidRPr="00E63CC6">
        <w:rPr>
          <w:rFonts w:cstheme="majorBidi"/>
          <w:noProof/>
          <w:szCs w:val="24"/>
        </w:rPr>
        <w:t>(Norris and Inglehart, 2002; Rowley and Smith, 2009)</w:t>
      </w:r>
      <w:r w:rsidR="00B07282">
        <w:rPr>
          <w:rFonts w:cstheme="majorBidi"/>
          <w:szCs w:val="24"/>
        </w:rPr>
        <w:fldChar w:fldCharType="end"/>
      </w:r>
      <w:r>
        <w:rPr>
          <w:rFonts w:cstheme="majorBidi"/>
          <w:szCs w:val="24"/>
        </w:rPr>
        <w:t>. Arguments have also been made that the non-democratic nature of the Middle East is best understood as a legacy of patriarchal, geopolitical and regional developments, rather than a distaste for democracy</w:t>
      </w:r>
      <w:r w:rsidR="00B07282">
        <w:rPr>
          <w:rFonts w:cstheme="majorBidi"/>
          <w:szCs w:val="24"/>
        </w:rPr>
        <w:t xml:space="preserve"> </w:t>
      </w:r>
      <w:r w:rsidR="00B07282">
        <w:rPr>
          <w:rFonts w:cstheme="majorBidi"/>
          <w:szCs w:val="24"/>
        </w:rPr>
        <w:fldChar w:fldCharType="begin" w:fldLock="1"/>
      </w:r>
      <w:r w:rsidR="00E63CC6">
        <w:rPr>
          <w:rFonts w:cstheme="majorBidi"/>
          <w:szCs w:val="24"/>
        </w:rPr>
        <w:instrText>ADDIN CSL_CITATION { "citationItems" : [ { "id" : "ITEM-1", "itemData" : { "DOI" : "10.1080/13691830701432731", "ISBN" : "1369183070", "ISSN" : "1369-183X", "author" : [ { "dropping-particle" : "", "family" : "Minkenberg", "given" : "Michael", "non-dropping-particle" : "", "parse-names" : false, "suffix" : "" } ], "container-title" : "Journal of Ethnic and Migration Studies", "id" : "ITEM-1", "issue" : "6", "issued" : { "date-parts" : [ [ "2007", "8" ] ] }, "page" : "887-909", "title" : "Democracy and Religion: Theoretical and Empirical Observations on the Relationship between Christianity, Islam and Liberal Democracy", "type" : "article-journal", "volume" : "33" }, "uris" : [ "http://www.mendeley.com/documents/?uuid=f58f2153-b453-42e1-b7e0-21009e97e300" ] } ], "mendeley" : { "formattedCitation" : "(Minkenberg, 2007)", "plainTextFormattedCitation" : "(Minkenberg, 2007)", "previouslyFormattedCitation" : "(Minkenberg, 2007)" }, "properties" : { "noteIndex" : 0 }, "schema" : "https://github.com/citation-style-language/schema/raw/master/csl-citation.json" }</w:instrText>
      </w:r>
      <w:r w:rsidR="00B07282">
        <w:rPr>
          <w:rFonts w:cstheme="majorBidi"/>
          <w:szCs w:val="24"/>
        </w:rPr>
        <w:fldChar w:fldCharType="separate"/>
      </w:r>
      <w:r w:rsidR="00E63CC6" w:rsidRPr="00E63CC6">
        <w:rPr>
          <w:rFonts w:cstheme="majorBidi"/>
          <w:noProof/>
          <w:szCs w:val="24"/>
        </w:rPr>
        <w:t>(Minkenberg, 2007)</w:t>
      </w:r>
      <w:r w:rsidR="00B07282">
        <w:rPr>
          <w:rFonts w:cstheme="majorBidi"/>
          <w:szCs w:val="24"/>
        </w:rPr>
        <w:fldChar w:fldCharType="end"/>
      </w:r>
      <w:r w:rsidR="00B07282">
        <w:rPr>
          <w:rFonts w:cstheme="majorBidi"/>
          <w:szCs w:val="24"/>
        </w:rPr>
        <w:t>.</w:t>
      </w:r>
    </w:p>
    <w:p w14:paraId="16F94DA3" w14:textId="3C8F15DD" w:rsidR="003600BE" w:rsidRDefault="003600BE" w:rsidP="003600BE">
      <w:pPr>
        <w:rPr>
          <w:rFonts w:cstheme="majorBidi"/>
          <w:szCs w:val="24"/>
        </w:rPr>
      </w:pPr>
      <w:r>
        <w:rPr>
          <w:rFonts w:cstheme="majorBidi"/>
          <w:szCs w:val="24"/>
        </w:rPr>
        <w:t xml:space="preserve">Accordingly the jury is out on how religious beliefs affect understandings of democracy. I test for people’s religious faith using a categorical variable that groups people into those who associate themselves as Protestant, Catholic, Muslim, Hindu, Orthodox, Buddhist and Other, with those who are Non-Affiliated as a reference group. The number of Confucians in the sample was unfortunately not high enough to examine separately and so followers of this faith are included in the </w:t>
      </w:r>
      <w:r w:rsidR="00C30B02">
        <w:rPr>
          <w:rFonts w:cstheme="majorBidi"/>
          <w:szCs w:val="24"/>
        </w:rPr>
        <w:t>‘</w:t>
      </w:r>
      <w:r>
        <w:rPr>
          <w:rFonts w:cstheme="majorBidi"/>
          <w:szCs w:val="24"/>
        </w:rPr>
        <w:t>Other</w:t>
      </w:r>
      <w:r w:rsidR="00C30B02">
        <w:rPr>
          <w:rFonts w:cstheme="majorBidi"/>
          <w:szCs w:val="24"/>
        </w:rPr>
        <w:t>’</w:t>
      </w:r>
      <w:r>
        <w:rPr>
          <w:rFonts w:cstheme="majorBidi"/>
          <w:szCs w:val="24"/>
        </w:rPr>
        <w:t xml:space="preserve"> category. </w:t>
      </w:r>
    </w:p>
    <w:p w14:paraId="75242035" w14:textId="69081A23" w:rsidR="003600BE" w:rsidRDefault="003600BE" w:rsidP="003600BE">
      <w:pPr>
        <w:rPr>
          <w:rFonts w:cstheme="majorBidi"/>
          <w:szCs w:val="24"/>
        </w:rPr>
      </w:pPr>
      <w:r>
        <w:rPr>
          <w:rFonts w:cstheme="majorBidi"/>
          <w:szCs w:val="24"/>
        </w:rPr>
        <w:t xml:space="preserve">Furthermore, it has been argued that it is not simply which religion an individual follows that matters for this kind of test, but also religiosity, i.e. how strictly someone adheres to their religious beliefs, or how strong a believer they are (see Bloom &amp; Arikan 2011). </w:t>
      </w:r>
      <w:r w:rsidR="000D2F92">
        <w:rPr>
          <w:rFonts w:cstheme="majorBidi"/>
          <w:szCs w:val="24"/>
        </w:rPr>
        <w:t>T</w:t>
      </w:r>
      <w:r>
        <w:rPr>
          <w:rFonts w:cstheme="majorBidi"/>
          <w:szCs w:val="24"/>
        </w:rPr>
        <w:t>his study also tests a religiosity variable which is conceptualised as the opposite measurement to Welzel’s ‘Se</w:t>
      </w:r>
      <w:r w:rsidR="00DA3DA5">
        <w:rPr>
          <w:rFonts w:cstheme="majorBidi"/>
          <w:szCs w:val="24"/>
        </w:rPr>
        <w:t>cularist’ variable (Welzel 2013).</w:t>
      </w:r>
      <w:r w:rsidRPr="00AD1B56">
        <w:rPr>
          <w:rStyle w:val="FootnoteReference"/>
        </w:rPr>
        <w:footnoteReference w:id="19"/>
      </w:r>
      <w:r>
        <w:rPr>
          <w:rFonts w:cstheme="majorBidi"/>
          <w:szCs w:val="24"/>
        </w:rPr>
        <w:t xml:space="preserve">  This variable is coded from two variables. The first is a measure of how important the respondent thinks religion is in their life</w:t>
      </w:r>
      <w:r w:rsidR="00880F9C">
        <w:rPr>
          <w:rFonts w:cstheme="majorBidi"/>
          <w:szCs w:val="24"/>
        </w:rPr>
        <w:t>, which is part of the battery which also includes how important ‘politics’ is (see above).</w:t>
      </w:r>
      <w:r>
        <w:rPr>
          <w:rFonts w:cstheme="majorBidi"/>
          <w:szCs w:val="24"/>
        </w:rPr>
        <w:t xml:space="preserve"> The sec</w:t>
      </w:r>
      <w:r w:rsidR="00DA3DA5">
        <w:rPr>
          <w:rFonts w:cstheme="majorBidi"/>
          <w:szCs w:val="24"/>
        </w:rPr>
        <w:t>ond variable asks, independent</w:t>
      </w:r>
      <w:r>
        <w:rPr>
          <w:rFonts w:cstheme="majorBidi"/>
          <w:szCs w:val="24"/>
        </w:rPr>
        <w:t xml:space="preserve"> of church attendance, how religious the respondent thinks they are (A religious person, not a religious person or a convinced atheist). The </w:t>
      </w:r>
      <w:r w:rsidR="00880F9C">
        <w:rPr>
          <w:rFonts w:cstheme="majorBidi"/>
          <w:szCs w:val="24"/>
        </w:rPr>
        <w:t>index has an alpha coefficient of 0.62 and is converted into a</w:t>
      </w:r>
      <w:r>
        <w:rPr>
          <w:rFonts w:cstheme="majorBidi"/>
          <w:szCs w:val="24"/>
        </w:rPr>
        <w:t xml:space="preserve"> 1-10</w:t>
      </w:r>
      <w:r w:rsidR="00880F9C">
        <w:rPr>
          <w:rFonts w:cstheme="majorBidi"/>
          <w:szCs w:val="24"/>
        </w:rPr>
        <w:t xml:space="preserve"> scale</w:t>
      </w:r>
      <w:r>
        <w:rPr>
          <w:rFonts w:cstheme="majorBidi"/>
          <w:szCs w:val="24"/>
        </w:rPr>
        <w:t>, where somewhere scoring 10 considered themselves to be a religious person and thought it was very important in their life, and someone scoring 1 were atheist (or not religious), and thought religion as not at all important to them.</w:t>
      </w:r>
    </w:p>
    <w:p w14:paraId="05F481BA" w14:textId="43584EC4" w:rsidR="003600BE" w:rsidRDefault="003600BE" w:rsidP="003600BE">
      <w:pPr>
        <w:rPr>
          <w:rFonts w:cstheme="majorBidi"/>
          <w:szCs w:val="24"/>
        </w:rPr>
      </w:pPr>
      <w:r>
        <w:rPr>
          <w:rFonts w:cstheme="majorBidi"/>
          <w:szCs w:val="24"/>
        </w:rPr>
        <w:t xml:space="preserve">As outlined here and in Chapter 3, Section 3.2, the expected relationship of religion and religiosity with understandings of democracy is not clear. Since higher levels of religiosity are linked to greater faith in non-accountable institutions and higher powers, I predict a positive relationship with the authoritarian understanding of democracy, but expect it to be negatively related with the compound understanding. However, </w:t>
      </w:r>
      <w:r w:rsidR="00C30B02">
        <w:rPr>
          <w:rFonts w:cstheme="majorBidi"/>
          <w:szCs w:val="24"/>
        </w:rPr>
        <w:t xml:space="preserve">since </w:t>
      </w:r>
      <w:r>
        <w:rPr>
          <w:rFonts w:cstheme="majorBidi"/>
          <w:szCs w:val="24"/>
        </w:rPr>
        <w:t xml:space="preserve">the effects of belonging to different religions are not consistently argued within the literature, </w:t>
      </w:r>
      <w:r w:rsidR="00C30B02">
        <w:rPr>
          <w:rFonts w:cstheme="majorBidi"/>
          <w:szCs w:val="24"/>
        </w:rPr>
        <w:t>I am not able to make a prediction</w:t>
      </w:r>
      <w:r>
        <w:rPr>
          <w:rFonts w:cstheme="majorBidi"/>
          <w:szCs w:val="24"/>
        </w:rPr>
        <w:t>.</w:t>
      </w:r>
    </w:p>
    <w:p w14:paraId="2DD299FC" w14:textId="77777777" w:rsidR="00860158" w:rsidRDefault="00860158" w:rsidP="003600BE">
      <w:pPr>
        <w:rPr>
          <w:rFonts w:cstheme="majorBidi"/>
          <w:szCs w:val="24"/>
        </w:rPr>
      </w:pPr>
    </w:p>
    <w:p w14:paraId="1021626A" w14:textId="77777777" w:rsidR="003600BE" w:rsidRDefault="003600BE" w:rsidP="002032DF">
      <w:pPr>
        <w:pStyle w:val="Heading3"/>
        <w:numPr>
          <w:ilvl w:val="2"/>
          <w:numId w:val="16"/>
        </w:numPr>
        <w:spacing w:line="268" w:lineRule="auto"/>
      </w:pPr>
      <w:bookmarkStart w:id="287" w:name="_Toc441069238"/>
      <w:r>
        <w:t>Summary</w:t>
      </w:r>
      <w:bookmarkEnd w:id="287"/>
    </w:p>
    <w:p w14:paraId="3D80951C" w14:textId="20A8568A" w:rsidR="00895D42" w:rsidRPr="00895D42" w:rsidRDefault="003600BE" w:rsidP="00895D42">
      <w:r>
        <w:rPr>
          <w:szCs w:val="24"/>
        </w:rPr>
        <w:t xml:space="preserve">Figure 5.1 summarizes the predicted relationship between the individual-level theories, as well as the variables </w:t>
      </w:r>
      <w:r w:rsidR="00895D42">
        <w:rPr>
          <w:szCs w:val="24"/>
        </w:rPr>
        <w:t>being used in regression models whilst Figure 5.2 outlines the interaction examinations that will be examined.</w:t>
      </w:r>
      <w:r w:rsidR="00125E37">
        <w:rPr>
          <w:szCs w:val="24"/>
        </w:rPr>
        <w:t xml:space="preserve"> All the variable measures are outlined in the Appendix, Section D.</w:t>
      </w:r>
    </w:p>
    <w:p w14:paraId="50FFF359" w14:textId="0D90DFE6" w:rsidR="00883B18" w:rsidRPr="003A5664" w:rsidRDefault="003600BE" w:rsidP="00883B18">
      <w:pPr>
        <w:pStyle w:val="Caption"/>
        <w:rPr>
          <w:rFonts w:ascii="Segoe UI" w:hAnsi="Segoe UI" w:cs="Segoe UI"/>
          <w:i w:val="0"/>
        </w:rPr>
      </w:pPr>
      <w:bookmarkStart w:id="288" w:name="_Toc494687166"/>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5</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D73259" w:rsidRPr="003A5664">
        <w:rPr>
          <w:rFonts w:ascii="Segoe UI" w:hAnsi="Segoe UI" w:cs="Segoe UI"/>
          <w:i w:val="0"/>
          <w:noProof/>
        </w:rPr>
        <w:t>1</w:t>
      </w:r>
      <w:r w:rsidR="00994662" w:rsidRPr="003A5664">
        <w:rPr>
          <w:rFonts w:ascii="Segoe UI" w:hAnsi="Segoe UI" w:cs="Segoe UI"/>
          <w:i w:val="0"/>
          <w:noProof/>
        </w:rPr>
        <w:fldChar w:fldCharType="end"/>
      </w:r>
      <w:r w:rsidRPr="003A5664">
        <w:rPr>
          <w:rFonts w:ascii="Segoe UI" w:hAnsi="Segoe UI" w:cs="Segoe UI"/>
          <w:i w:val="0"/>
        </w:rPr>
        <w:t xml:space="preserve"> Theoretical Predictions and Variables</w:t>
      </w:r>
      <w:r w:rsidR="001B6FEE" w:rsidRPr="003A5664">
        <w:rPr>
          <w:rFonts w:ascii="Segoe UI" w:hAnsi="Segoe UI" w:cs="Segoe UI"/>
          <w:i w:val="0"/>
        </w:rPr>
        <w:t xml:space="preserve"> for individual and national level variables</w:t>
      </w:r>
      <w:bookmarkEnd w:id="288"/>
    </w:p>
    <w:tbl>
      <w:tblPr>
        <w:tblW w:w="9242" w:type="dxa"/>
        <w:tblLook w:val="04A0" w:firstRow="1" w:lastRow="0" w:firstColumn="1" w:lastColumn="0" w:noHBand="0" w:noVBand="1"/>
      </w:tblPr>
      <w:tblGrid>
        <w:gridCol w:w="2943"/>
        <w:gridCol w:w="1560"/>
        <w:gridCol w:w="567"/>
        <w:gridCol w:w="1984"/>
        <w:gridCol w:w="2188"/>
      </w:tblGrid>
      <w:tr w:rsidR="00883B18" w:rsidRPr="004F6301" w14:paraId="4D4406EC" w14:textId="77777777" w:rsidTr="00883B18">
        <w:trPr>
          <w:trHeight w:val="404"/>
        </w:trPr>
        <w:tc>
          <w:tcPr>
            <w:tcW w:w="2943" w:type="dxa"/>
            <w:tcBorders>
              <w:bottom w:val="single" w:sz="4" w:space="0" w:color="auto"/>
              <w:right w:val="single" w:sz="4" w:space="0" w:color="auto"/>
            </w:tcBorders>
          </w:tcPr>
          <w:p w14:paraId="092C628E" w14:textId="7EA848D7" w:rsidR="00883B18" w:rsidRPr="004F6301" w:rsidRDefault="00860158" w:rsidP="00505A0B">
            <w:pPr>
              <w:pStyle w:val="NoSpacing"/>
              <w:rPr>
                <w:b/>
                <w:color w:val="000000" w:themeColor="text1"/>
              </w:rPr>
            </w:pPr>
            <w:bookmarkStart w:id="289" w:name="_Toc441069239"/>
            <w:bookmarkStart w:id="290" w:name="_Toc441069035"/>
            <w:bookmarkStart w:id="291" w:name="_Toc439171187"/>
            <w:bookmarkEnd w:id="277"/>
            <w:r w:rsidRPr="002D0640">
              <w:rPr>
                <w:i/>
                <w:color w:val="000000" w:themeColor="text1"/>
              </w:rPr>
              <w:t xml:space="preserve">Individual level </w:t>
            </w:r>
          </w:p>
        </w:tc>
        <w:tc>
          <w:tcPr>
            <w:tcW w:w="2127" w:type="dxa"/>
            <w:gridSpan w:val="2"/>
            <w:tcBorders>
              <w:left w:val="single" w:sz="4" w:space="0" w:color="auto"/>
              <w:bottom w:val="single" w:sz="4" w:space="0" w:color="auto"/>
            </w:tcBorders>
          </w:tcPr>
          <w:p w14:paraId="06CD8FE5" w14:textId="18FF5838" w:rsidR="00883B18" w:rsidRPr="002D0640" w:rsidRDefault="00860158" w:rsidP="00505A0B">
            <w:pPr>
              <w:pStyle w:val="NoSpacing"/>
              <w:rPr>
                <w:i/>
                <w:color w:val="000000" w:themeColor="text1"/>
              </w:rPr>
            </w:pPr>
            <w:r w:rsidRPr="002D0640">
              <w:rPr>
                <w:i/>
                <w:color w:val="000000" w:themeColor="text1"/>
              </w:rPr>
              <w:t>Variable</w:t>
            </w:r>
          </w:p>
        </w:tc>
        <w:tc>
          <w:tcPr>
            <w:tcW w:w="1984" w:type="dxa"/>
            <w:tcBorders>
              <w:bottom w:val="single" w:sz="4" w:space="0" w:color="auto"/>
            </w:tcBorders>
            <w:hideMark/>
          </w:tcPr>
          <w:p w14:paraId="17160169" w14:textId="77777777" w:rsidR="00883B18" w:rsidRPr="004F6301" w:rsidRDefault="00883B18" w:rsidP="00505A0B">
            <w:pPr>
              <w:pStyle w:val="NoSpacing"/>
              <w:jc w:val="center"/>
              <w:rPr>
                <w:b/>
                <w:i/>
                <w:color w:val="000000" w:themeColor="text1"/>
              </w:rPr>
            </w:pPr>
            <w:r w:rsidRPr="004F6301">
              <w:rPr>
                <w:b/>
                <w:i/>
                <w:color w:val="000000" w:themeColor="text1"/>
              </w:rPr>
              <w:t>Compound</w:t>
            </w:r>
          </w:p>
        </w:tc>
        <w:tc>
          <w:tcPr>
            <w:tcW w:w="2188" w:type="dxa"/>
            <w:tcBorders>
              <w:bottom w:val="single" w:sz="4" w:space="0" w:color="auto"/>
            </w:tcBorders>
            <w:hideMark/>
          </w:tcPr>
          <w:p w14:paraId="4240DBFB" w14:textId="77777777" w:rsidR="00883B18" w:rsidRPr="004F6301" w:rsidRDefault="00883B18" w:rsidP="00505A0B">
            <w:pPr>
              <w:pStyle w:val="NoSpacing"/>
              <w:jc w:val="center"/>
              <w:rPr>
                <w:b/>
                <w:i/>
                <w:color w:val="000000" w:themeColor="text1"/>
              </w:rPr>
            </w:pPr>
            <w:r w:rsidRPr="004F6301">
              <w:rPr>
                <w:b/>
                <w:i/>
                <w:color w:val="000000" w:themeColor="text1"/>
              </w:rPr>
              <w:t>Authoritarian</w:t>
            </w:r>
          </w:p>
        </w:tc>
      </w:tr>
      <w:tr w:rsidR="00883B18" w:rsidRPr="004F6301" w14:paraId="59F452CB" w14:textId="77777777" w:rsidTr="00883B18">
        <w:trPr>
          <w:trHeight w:val="404"/>
        </w:trPr>
        <w:tc>
          <w:tcPr>
            <w:tcW w:w="2943" w:type="dxa"/>
            <w:tcBorders>
              <w:top w:val="single" w:sz="4" w:space="0" w:color="auto"/>
              <w:right w:val="single" w:sz="4" w:space="0" w:color="auto"/>
            </w:tcBorders>
            <w:hideMark/>
          </w:tcPr>
          <w:p w14:paraId="45CA644D" w14:textId="77777777" w:rsidR="00883B18" w:rsidRPr="004F6301" w:rsidRDefault="00883B18" w:rsidP="00505A0B">
            <w:pPr>
              <w:pStyle w:val="NoSpacing"/>
              <w:rPr>
                <w:b/>
              </w:rPr>
            </w:pPr>
            <w:r w:rsidRPr="004F6301">
              <w:rPr>
                <w:b/>
              </w:rPr>
              <w:t>Modernization</w:t>
            </w:r>
          </w:p>
        </w:tc>
        <w:tc>
          <w:tcPr>
            <w:tcW w:w="2127" w:type="dxa"/>
            <w:gridSpan w:val="2"/>
            <w:tcBorders>
              <w:top w:val="single" w:sz="4" w:space="0" w:color="auto"/>
              <w:left w:val="single" w:sz="4" w:space="0" w:color="auto"/>
            </w:tcBorders>
            <w:hideMark/>
          </w:tcPr>
          <w:p w14:paraId="0076AC47" w14:textId="77777777" w:rsidR="00883B18" w:rsidRPr="004F6301" w:rsidRDefault="00883B18" w:rsidP="00505A0B">
            <w:pPr>
              <w:pStyle w:val="NoSpacing"/>
            </w:pPr>
            <w:r w:rsidRPr="004F6301">
              <w:t>Education</w:t>
            </w:r>
          </w:p>
          <w:p w14:paraId="63BBCC26" w14:textId="77777777" w:rsidR="00883B18" w:rsidRPr="004F6301" w:rsidRDefault="00883B18" w:rsidP="00505A0B">
            <w:pPr>
              <w:pStyle w:val="NoSpacing"/>
            </w:pPr>
            <w:r w:rsidRPr="004F6301">
              <w:t>Perceived Income</w:t>
            </w:r>
          </w:p>
        </w:tc>
        <w:tc>
          <w:tcPr>
            <w:tcW w:w="1984" w:type="dxa"/>
            <w:tcBorders>
              <w:top w:val="single" w:sz="4" w:space="0" w:color="auto"/>
            </w:tcBorders>
            <w:hideMark/>
          </w:tcPr>
          <w:p w14:paraId="3693BC07" w14:textId="77777777" w:rsidR="00883B18" w:rsidRPr="004F6301" w:rsidRDefault="00883B18" w:rsidP="00505A0B">
            <w:pPr>
              <w:pStyle w:val="NoSpacing"/>
              <w:jc w:val="center"/>
            </w:pPr>
            <w:r w:rsidRPr="004F6301">
              <w:t xml:space="preserve">Positive </w:t>
            </w:r>
          </w:p>
          <w:p w14:paraId="5CA11EE6" w14:textId="77777777" w:rsidR="00883B18" w:rsidRPr="004F6301" w:rsidRDefault="00883B18" w:rsidP="00505A0B">
            <w:pPr>
              <w:pStyle w:val="NoSpacing"/>
              <w:jc w:val="center"/>
            </w:pPr>
            <w:r w:rsidRPr="004F6301">
              <w:t>Positive</w:t>
            </w:r>
          </w:p>
        </w:tc>
        <w:tc>
          <w:tcPr>
            <w:tcW w:w="2188" w:type="dxa"/>
            <w:tcBorders>
              <w:top w:val="single" w:sz="4" w:space="0" w:color="auto"/>
            </w:tcBorders>
            <w:hideMark/>
          </w:tcPr>
          <w:p w14:paraId="2C2B4CE6" w14:textId="77777777" w:rsidR="00883B18" w:rsidRPr="004F6301" w:rsidRDefault="00883B18" w:rsidP="00505A0B">
            <w:pPr>
              <w:pStyle w:val="NoSpacing"/>
              <w:jc w:val="center"/>
            </w:pPr>
            <w:r w:rsidRPr="004F6301">
              <w:t xml:space="preserve">Negative </w:t>
            </w:r>
          </w:p>
          <w:p w14:paraId="1431EA40" w14:textId="77777777" w:rsidR="00883B18" w:rsidRPr="004F6301" w:rsidRDefault="00883B18" w:rsidP="00505A0B">
            <w:pPr>
              <w:pStyle w:val="NoSpacing"/>
              <w:jc w:val="center"/>
            </w:pPr>
            <w:r w:rsidRPr="004F6301">
              <w:t>Negative</w:t>
            </w:r>
          </w:p>
        </w:tc>
      </w:tr>
      <w:tr w:rsidR="00883B18" w:rsidRPr="004F6301" w14:paraId="097AAB1B" w14:textId="77777777" w:rsidTr="00883B18">
        <w:trPr>
          <w:trHeight w:val="404"/>
        </w:trPr>
        <w:tc>
          <w:tcPr>
            <w:tcW w:w="2943" w:type="dxa"/>
            <w:tcBorders>
              <w:right w:val="single" w:sz="4" w:space="0" w:color="auto"/>
            </w:tcBorders>
            <w:shd w:val="clear" w:color="auto" w:fill="F2F2F2" w:themeFill="background1" w:themeFillShade="F2"/>
            <w:hideMark/>
          </w:tcPr>
          <w:p w14:paraId="0D1922C5" w14:textId="1153ACA1" w:rsidR="00883B18" w:rsidRPr="004F6301" w:rsidRDefault="002D0640" w:rsidP="00505A0B">
            <w:pPr>
              <w:pStyle w:val="NoSpacing"/>
              <w:rPr>
                <w:b/>
              </w:rPr>
            </w:pPr>
            <w:r>
              <w:rPr>
                <w:b/>
              </w:rPr>
              <w:t>Cognitive Engagement</w:t>
            </w:r>
          </w:p>
        </w:tc>
        <w:tc>
          <w:tcPr>
            <w:tcW w:w="2127" w:type="dxa"/>
            <w:gridSpan w:val="2"/>
            <w:tcBorders>
              <w:left w:val="single" w:sz="4" w:space="0" w:color="auto"/>
            </w:tcBorders>
            <w:shd w:val="clear" w:color="auto" w:fill="F2F2F2" w:themeFill="background1" w:themeFillShade="F2"/>
            <w:hideMark/>
          </w:tcPr>
          <w:p w14:paraId="18579E0F" w14:textId="77777777" w:rsidR="00883B18" w:rsidRPr="004F6301" w:rsidRDefault="00883B18" w:rsidP="00505A0B">
            <w:pPr>
              <w:pStyle w:val="NoSpacing"/>
            </w:pPr>
            <w:r w:rsidRPr="004F6301">
              <w:t>Political Interest</w:t>
            </w:r>
          </w:p>
          <w:p w14:paraId="74576BA7" w14:textId="77777777" w:rsidR="00883B18" w:rsidRPr="004F6301" w:rsidRDefault="00883B18" w:rsidP="00505A0B">
            <w:pPr>
              <w:pStyle w:val="NoSpacing"/>
            </w:pPr>
            <w:r w:rsidRPr="004F6301">
              <w:t>Media Use</w:t>
            </w:r>
          </w:p>
        </w:tc>
        <w:tc>
          <w:tcPr>
            <w:tcW w:w="1984" w:type="dxa"/>
            <w:shd w:val="clear" w:color="auto" w:fill="F2F2F2" w:themeFill="background1" w:themeFillShade="F2"/>
            <w:hideMark/>
          </w:tcPr>
          <w:p w14:paraId="58C9ED70" w14:textId="77777777" w:rsidR="00883B18" w:rsidRPr="004F6301" w:rsidRDefault="00883B18" w:rsidP="00505A0B">
            <w:pPr>
              <w:pStyle w:val="NoSpacing"/>
              <w:jc w:val="center"/>
            </w:pPr>
            <w:r w:rsidRPr="004F6301">
              <w:t>Positive</w:t>
            </w:r>
          </w:p>
          <w:p w14:paraId="55A6C09F" w14:textId="77777777" w:rsidR="00883B18" w:rsidRPr="004F6301" w:rsidRDefault="00883B18" w:rsidP="00505A0B">
            <w:pPr>
              <w:pStyle w:val="NoSpacing"/>
              <w:jc w:val="center"/>
            </w:pPr>
            <w:r w:rsidRPr="004F6301">
              <w:t>Positive</w:t>
            </w:r>
          </w:p>
        </w:tc>
        <w:tc>
          <w:tcPr>
            <w:tcW w:w="2188" w:type="dxa"/>
            <w:shd w:val="clear" w:color="auto" w:fill="F2F2F2" w:themeFill="background1" w:themeFillShade="F2"/>
            <w:hideMark/>
          </w:tcPr>
          <w:p w14:paraId="793872EB" w14:textId="77777777" w:rsidR="00883B18" w:rsidRPr="004F6301" w:rsidRDefault="00883B18" w:rsidP="00505A0B">
            <w:pPr>
              <w:pStyle w:val="NoSpacing"/>
              <w:jc w:val="center"/>
            </w:pPr>
            <w:r w:rsidRPr="004F6301">
              <w:t>Negative</w:t>
            </w:r>
          </w:p>
          <w:p w14:paraId="059D9570" w14:textId="77777777" w:rsidR="00883B18" w:rsidRPr="004F6301" w:rsidRDefault="00883B18" w:rsidP="00505A0B">
            <w:pPr>
              <w:pStyle w:val="NoSpacing"/>
              <w:jc w:val="center"/>
            </w:pPr>
            <w:r w:rsidRPr="004F6301">
              <w:t>Negative</w:t>
            </w:r>
          </w:p>
        </w:tc>
      </w:tr>
      <w:tr w:rsidR="00883B18" w:rsidRPr="004F6301" w14:paraId="59A17510" w14:textId="77777777" w:rsidTr="00883B18">
        <w:trPr>
          <w:trHeight w:val="404"/>
        </w:trPr>
        <w:tc>
          <w:tcPr>
            <w:tcW w:w="2943" w:type="dxa"/>
            <w:tcBorders>
              <w:right w:val="single" w:sz="4" w:space="0" w:color="auto"/>
            </w:tcBorders>
            <w:hideMark/>
          </w:tcPr>
          <w:p w14:paraId="4202CDE0" w14:textId="77777777" w:rsidR="00883B18" w:rsidRPr="004F6301" w:rsidRDefault="00883B18" w:rsidP="00505A0B">
            <w:pPr>
              <w:pStyle w:val="NoSpacing"/>
              <w:rPr>
                <w:b/>
              </w:rPr>
            </w:pPr>
            <w:r w:rsidRPr="004F6301">
              <w:rPr>
                <w:b/>
              </w:rPr>
              <w:t>Social Capital</w:t>
            </w:r>
          </w:p>
        </w:tc>
        <w:tc>
          <w:tcPr>
            <w:tcW w:w="2127" w:type="dxa"/>
            <w:gridSpan w:val="2"/>
            <w:tcBorders>
              <w:left w:val="single" w:sz="4" w:space="0" w:color="auto"/>
            </w:tcBorders>
            <w:hideMark/>
          </w:tcPr>
          <w:p w14:paraId="00A0E485" w14:textId="77777777" w:rsidR="00883B18" w:rsidRPr="004F6301" w:rsidRDefault="00883B18" w:rsidP="00505A0B">
            <w:pPr>
              <w:pStyle w:val="NoSpacing"/>
            </w:pPr>
            <w:r w:rsidRPr="004F6301">
              <w:t>Institutional Trust</w:t>
            </w:r>
          </w:p>
          <w:p w14:paraId="376B6323" w14:textId="77777777" w:rsidR="00883B18" w:rsidRPr="004F6301" w:rsidRDefault="00883B18" w:rsidP="00505A0B">
            <w:pPr>
              <w:pStyle w:val="NoSpacing"/>
            </w:pPr>
            <w:r w:rsidRPr="004F6301">
              <w:t>Social Trust</w:t>
            </w:r>
          </w:p>
          <w:p w14:paraId="2DC6FE9F" w14:textId="77777777" w:rsidR="00883B18" w:rsidRPr="004F6301" w:rsidRDefault="00883B18" w:rsidP="00505A0B">
            <w:pPr>
              <w:pStyle w:val="NoSpacing"/>
            </w:pPr>
            <w:r w:rsidRPr="004F6301">
              <w:t>Group Membership</w:t>
            </w:r>
          </w:p>
        </w:tc>
        <w:tc>
          <w:tcPr>
            <w:tcW w:w="1984" w:type="dxa"/>
            <w:hideMark/>
          </w:tcPr>
          <w:p w14:paraId="4622F4F3" w14:textId="29CE4A8C" w:rsidR="00883B18" w:rsidRPr="004F6301" w:rsidRDefault="006640EF" w:rsidP="00505A0B">
            <w:pPr>
              <w:pStyle w:val="NoSpacing"/>
              <w:jc w:val="center"/>
            </w:pPr>
            <w:r>
              <w:t>Unclear</w:t>
            </w:r>
          </w:p>
          <w:p w14:paraId="461BEA4A" w14:textId="77777777" w:rsidR="00883B18" w:rsidRPr="004F6301" w:rsidRDefault="00883B18" w:rsidP="00505A0B">
            <w:pPr>
              <w:pStyle w:val="NoSpacing"/>
              <w:jc w:val="center"/>
            </w:pPr>
            <w:r w:rsidRPr="004F6301">
              <w:t>Positive</w:t>
            </w:r>
          </w:p>
          <w:p w14:paraId="37F7F4D2" w14:textId="77777777" w:rsidR="00883B18" w:rsidRPr="004F6301" w:rsidRDefault="00883B18" w:rsidP="00505A0B">
            <w:pPr>
              <w:pStyle w:val="NoSpacing"/>
              <w:jc w:val="center"/>
            </w:pPr>
            <w:r w:rsidRPr="004F6301">
              <w:t>Positive</w:t>
            </w:r>
          </w:p>
        </w:tc>
        <w:tc>
          <w:tcPr>
            <w:tcW w:w="2188" w:type="dxa"/>
            <w:hideMark/>
          </w:tcPr>
          <w:p w14:paraId="3E77F142" w14:textId="77777777" w:rsidR="00883B18" w:rsidRPr="004F6301" w:rsidRDefault="00883B18" w:rsidP="00505A0B">
            <w:pPr>
              <w:pStyle w:val="NoSpacing"/>
              <w:jc w:val="center"/>
            </w:pPr>
            <w:r w:rsidRPr="004F6301">
              <w:t>Positive</w:t>
            </w:r>
          </w:p>
          <w:p w14:paraId="1A6F4A12" w14:textId="77777777" w:rsidR="00883B18" w:rsidRPr="004F6301" w:rsidRDefault="00883B18" w:rsidP="00505A0B">
            <w:pPr>
              <w:pStyle w:val="NoSpacing"/>
              <w:jc w:val="center"/>
            </w:pPr>
            <w:r w:rsidRPr="004F6301">
              <w:t>Negative</w:t>
            </w:r>
          </w:p>
          <w:p w14:paraId="3A7946E4" w14:textId="77777777" w:rsidR="00883B18" w:rsidRPr="004F6301" w:rsidRDefault="00883B18" w:rsidP="00505A0B">
            <w:pPr>
              <w:pStyle w:val="NoSpacing"/>
              <w:jc w:val="center"/>
            </w:pPr>
            <w:r w:rsidRPr="004F6301">
              <w:t>Negative</w:t>
            </w:r>
          </w:p>
        </w:tc>
      </w:tr>
      <w:tr w:rsidR="00883B18" w:rsidRPr="004F6301" w14:paraId="2363E380" w14:textId="77777777" w:rsidTr="001B6FEE">
        <w:trPr>
          <w:trHeight w:val="404"/>
        </w:trPr>
        <w:tc>
          <w:tcPr>
            <w:tcW w:w="2943" w:type="dxa"/>
            <w:tcBorders>
              <w:bottom w:val="single" w:sz="4" w:space="0" w:color="auto"/>
              <w:right w:val="single" w:sz="4" w:space="0" w:color="auto"/>
            </w:tcBorders>
            <w:shd w:val="clear" w:color="auto" w:fill="F2F2F2" w:themeFill="background1" w:themeFillShade="F2"/>
            <w:hideMark/>
          </w:tcPr>
          <w:p w14:paraId="2214D7A8" w14:textId="77777777" w:rsidR="00883B18" w:rsidRPr="004F6301" w:rsidRDefault="00883B18" w:rsidP="00505A0B">
            <w:pPr>
              <w:pStyle w:val="NoSpacing"/>
              <w:rPr>
                <w:b/>
              </w:rPr>
            </w:pPr>
            <w:r w:rsidRPr="004F6301">
              <w:rPr>
                <w:b/>
              </w:rPr>
              <w:t>Religion</w:t>
            </w:r>
          </w:p>
        </w:tc>
        <w:tc>
          <w:tcPr>
            <w:tcW w:w="2127" w:type="dxa"/>
            <w:gridSpan w:val="2"/>
            <w:tcBorders>
              <w:left w:val="single" w:sz="4" w:space="0" w:color="auto"/>
              <w:bottom w:val="single" w:sz="4" w:space="0" w:color="auto"/>
            </w:tcBorders>
            <w:shd w:val="clear" w:color="auto" w:fill="F2F2F2" w:themeFill="background1" w:themeFillShade="F2"/>
            <w:hideMark/>
          </w:tcPr>
          <w:p w14:paraId="14A210A4" w14:textId="77777777" w:rsidR="00883B18" w:rsidRPr="004F6301" w:rsidRDefault="00883B18" w:rsidP="00505A0B">
            <w:pPr>
              <w:pStyle w:val="NoSpacing"/>
            </w:pPr>
            <w:r w:rsidRPr="004F6301">
              <w:t>Religiosity</w:t>
            </w:r>
          </w:p>
          <w:p w14:paraId="2865176E" w14:textId="77777777" w:rsidR="00883B18" w:rsidRPr="004F6301" w:rsidRDefault="00883B18" w:rsidP="00505A0B">
            <w:pPr>
              <w:pStyle w:val="NoSpacing"/>
            </w:pPr>
            <w:r w:rsidRPr="004F6301">
              <w:t>Religion</w:t>
            </w:r>
          </w:p>
        </w:tc>
        <w:tc>
          <w:tcPr>
            <w:tcW w:w="1984" w:type="dxa"/>
            <w:tcBorders>
              <w:bottom w:val="single" w:sz="4" w:space="0" w:color="auto"/>
            </w:tcBorders>
            <w:shd w:val="clear" w:color="auto" w:fill="F2F2F2" w:themeFill="background1" w:themeFillShade="F2"/>
            <w:hideMark/>
          </w:tcPr>
          <w:p w14:paraId="4940A51C" w14:textId="77777777" w:rsidR="00883B18" w:rsidRPr="004F6301" w:rsidRDefault="00883B18" w:rsidP="00505A0B">
            <w:pPr>
              <w:pStyle w:val="NoSpacing"/>
              <w:jc w:val="center"/>
            </w:pPr>
            <w:r w:rsidRPr="004F6301">
              <w:t>Negative</w:t>
            </w:r>
          </w:p>
          <w:p w14:paraId="500B0E52" w14:textId="77777777" w:rsidR="00883B18" w:rsidRPr="004F6301" w:rsidRDefault="00883B18" w:rsidP="00505A0B">
            <w:pPr>
              <w:pStyle w:val="NoSpacing"/>
              <w:jc w:val="center"/>
            </w:pPr>
            <w:r w:rsidRPr="004F6301">
              <w:t>Unclear</w:t>
            </w:r>
          </w:p>
        </w:tc>
        <w:tc>
          <w:tcPr>
            <w:tcW w:w="2188" w:type="dxa"/>
            <w:tcBorders>
              <w:bottom w:val="single" w:sz="4" w:space="0" w:color="auto"/>
            </w:tcBorders>
            <w:shd w:val="clear" w:color="auto" w:fill="F2F2F2" w:themeFill="background1" w:themeFillShade="F2"/>
            <w:hideMark/>
          </w:tcPr>
          <w:p w14:paraId="53312FE3" w14:textId="77777777" w:rsidR="00883B18" w:rsidRPr="004F6301" w:rsidRDefault="00883B18" w:rsidP="00505A0B">
            <w:pPr>
              <w:pStyle w:val="NoSpacing"/>
              <w:jc w:val="center"/>
            </w:pPr>
            <w:r w:rsidRPr="004F6301">
              <w:t>Positive</w:t>
            </w:r>
          </w:p>
          <w:p w14:paraId="2106F7FA" w14:textId="77777777" w:rsidR="00883B18" w:rsidRPr="004F6301" w:rsidRDefault="00883B18" w:rsidP="00505A0B">
            <w:pPr>
              <w:pStyle w:val="NoSpacing"/>
              <w:jc w:val="center"/>
            </w:pPr>
            <w:r w:rsidRPr="004F6301">
              <w:t>Unclear</w:t>
            </w:r>
          </w:p>
        </w:tc>
      </w:tr>
      <w:tr w:rsidR="002D0640" w:rsidRPr="00E7206E" w14:paraId="3B188E34" w14:textId="77777777" w:rsidTr="001B6FEE">
        <w:trPr>
          <w:trHeight w:val="404"/>
        </w:trPr>
        <w:tc>
          <w:tcPr>
            <w:tcW w:w="2943" w:type="dxa"/>
            <w:tcBorders>
              <w:top w:val="single" w:sz="4" w:space="0" w:color="auto"/>
              <w:bottom w:val="single" w:sz="4" w:space="0" w:color="auto"/>
              <w:right w:val="single" w:sz="4" w:space="0" w:color="auto"/>
            </w:tcBorders>
          </w:tcPr>
          <w:p w14:paraId="3F6698C8" w14:textId="6E59D0DB" w:rsidR="002D0640" w:rsidRPr="00E7206E" w:rsidRDefault="00860158" w:rsidP="002D0640">
            <w:pPr>
              <w:pStyle w:val="NoSpacing"/>
              <w:rPr>
                <w:rFonts w:cs="Segoe UI"/>
                <w:color w:val="000000" w:themeColor="text1"/>
              </w:rPr>
            </w:pPr>
            <w:r w:rsidRPr="001B6FEE">
              <w:rPr>
                <w:rFonts w:cs="Segoe UI"/>
                <w:i/>
                <w:color w:val="000000" w:themeColor="text1"/>
              </w:rPr>
              <w:t>Country level</w:t>
            </w:r>
          </w:p>
        </w:tc>
        <w:tc>
          <w:tcPr>
            <w:tcW w:w="1560" w:type="dxa"/>
            <w:tcBorders>
              <w:top w:val="single" w:sz="4" w:space="0" w:color="auto"/>
              <w:left w:val="single" w:sz="4" w:space="0" w:color="auto"/>
              <w:bottom w:val="single" w:sz="4" w:space="0" w:color="auto"/>
            </w:tcBorders>
          </w:tcPr>
          <w:p w14:paraId="5E001895" w14:textId="44B54AF6" w:rsidR="002D0640" w:rsidRPr="001B6FEE" w:rsidRDefault="00860158" w:rsidP="002D0640">
            <w:pPr>
              <w:pStyle w:val="NoSpacing"/>
              <w:rPr>
                <w:rFonts w:cs="Segoe UI"/>
                <w:i/>
                <w:color w:val="000000" w:themeColor="text1"/>
              </w:rPr>
            </w:pPr>
            <w:r>
              <w:rPr>
                <w:rFonts w:cs="Segoe UI"/>
                <w:i/>
                <w:color w:val="000000" w:themeColor="text1"/>
              </w:rPr>
              <w:t>Va</w:t>
            </w:r>
            <w:r w:rsidR="002D0640" w:rsidRPr="001B6FEE">
              <w:rPr>
                <w:rFonts w:cs="Segoe UI"/>
                <w:i/>
                <w:color w:val="000000" w:themeColor="text1"/>
              </w:rPr>
              <w:t>riable</w:t>
            </w:r>
          </w:p>
        </w:tc>
        <w:tc>
          <w:tcPr>
            <w:tcW w:w="2551" w:type="dxa"/>
            <w:gridSpan w:val="2"/>
            <w:tcBorders>
              <w:top w:val="single" w:sz="4" w:space="0" w:color="auto"/>
              <w:bottom w:val="single" w:sz="4" w:space="0" w:color="auto"/>
            </w:tcBorders>
            <w:hideMark/>
          </w:tcPr>
          <w:p w14:paraId="44BBE37F" w14:textId="77777777" w:rsidR="002D0640" w:rsidRPr="00E7206E" w:rsidRDefault="002D0640" w:rsidP="002D0640">
            <w:pPr>
              <w:pStyle w:val="NoSpacing"/>
              <w:jc w:val="center"/>
              <w:rPr>
                <w:rFonts w:cs="Segoe UI"/>
                <w:b/>
                <w:i/>
                <w:color w:val="000000" w:themeColor="text1"/>
              </w:rPr>
            </w:pPr>
            <w:r w:rsidRPr="00E7206E">
              <w:rPr>
                <w:rFonts w:cs="Segoe UI"/>
                <w:b/>
                <w:i/>
                <w:color w:val="000000" w:themeColor="text1"/>
              </w:rPr>
              <w:t>Compound</w:t>
            </w:r>
          </w:p>
        </w:tc>
        <w:tc>
          <w:tcPr>
            <w:tcW w:w="2188" w:type="dxa"/>
            <w:tcBorders>
              <w:top w:val="single" w:sz="4" w:space="0" w:color="auto"/>
              <w:bottom w:val="single" w:sz="4" w:space="0" w:color="auto"/>
            </w:tcBorders>
            <w:hideMark/>
          </w:tcPr>
          <w:p w14:paraId="77135108" w14:textId="77777777" w:rsidR="002D0640" w:rsidRPr="00E7206E" w:rsidRDefault="002D0640" w:rsidP="002D0640">
            <w:pPr>
              <w:pStyle w:val="NoSpacing"/>
              <w:jc w:val="center"/>
              <w:rPr>
                <w:rFonts w:cs="Segoe UI"/>
                <w:b/>
                <w:i/>
                <w:color w:val="000000" w:themeColor="text1"/>
              </w:rPr>
            </w:pPr>
            <w:r w:rsidRPr="00E7206E">
              <w:rPr>
                <w:rFonts w:cs="Segoe UI"/>
                <w:b/>
                <w:i/>
                <w:color w:val="000000" w:themeColor="text1"/>
              </w:rPr>
              <w:t>Authoritarian</w:t>
            </w:r>
          </w:p>
        </w:tc>
      </w:tr>
      <w:tr w:rsidR="002D0640" w:rsidRPr="00E7206E" w14:paraId="004F283D" w14:textId="77777777" w:rsidTr="002D0640">
        <w:trPr>
          <w:trHeight w:val="404"/>
        </w:trPr>
        <w:tc>
          <w:tcPr>
            <w:tcW w:w="2943" w:type="dxa"/>
            <w:tcBorders>
              <w:top w:val="single" w:sz="4" w:space="0" w:color="auto"/>
              <w:right w:val="single" w:sz="4" w:space="0" w:color="auto"/>
            </w:tcBorders>
            <w:hideMark/>
          </w:tcPr>
          <w:p w14:paraId="381422C1" w14:textId="0F708038" w:rsidR="002D0640" w:rsidRPr="00E7206E" w:rsidRDefault="002D0640" w:rsidP="002D0640">
            <w:pPr>
              <w:pStyle w:val="NoSpacing"/>
              <w:rPr>
                <w:rFonts w:cs="Segoe UI"/>
                <w:b/>
              </w:rPr>
            </w:pPr>
            <w:r w:rsidRPr="00E7206E">
              <w:rPr>
                <w:rFonts w:cs="Segoe UI"/>
                <w:b/>
              </w:rPr>
              <w:t>Modernization</w:t>
            </w:r>
            <w:r w:rsidR="001B6FEE">
              <w:rPr>
                <w:rFonts w:cs="Segoe UI"/>
                <w:b/>
              </w:rPr>
              <w:t>/</w:t>
            </w:r>
          </w:p>
        </w:tc>
        <w:tc>
          <w:tcPr>
            <w:tcW w:w="1560" w:type="dxa"/>
            <w:tcBorders>
              <w:top w:val="single" w:sz="4" w:space="0" w:color="auto"/>
              <w:left w:val="single" w:sz="4" w:space="0" w:color="auto"/>
            </w:tcBorders>
            <w:hideMark/>
          </w:tcPr>
          <w:p w14:paraId="778612FD" w14:textId="77777777" w:rsidR="002D0640" w:rsidRPr="00E7206E" w:rsidRDefault="002D0640" w:rsidP="002D0640">
            <w:pPr>
              <w:pStyle w:val="NoSpacing"/>
              <w:rPr>
                <w:rFonts w:cs="Segoe UI"/>
              </w:rPr>
            </w:pPr>
            <w:r w:rsidRPr="00E7206E">
              <w:rPr>
                <w:rFonts w:cs="Segoe UI"/>
              </w:rPr>
              <w:t>HDI</w:t>
            </w:r>
          </w:p>
        </w:tc>
        <w:tc>
          <w:tcPr>
            <w:tcW w:w="2551" w:type="dxa"/>
            <w:gridSpan w:val="2"/>
            <w:tcBorders>
              <w:top w:val="single" w:sz="4" w:space="0" w:color="auto"/>
            </w:tcBorders>
            <w:hideMark/>
          </w:tcPr>
          <w:p w14:paraId="6D935BAF" w14:textId="77777777" w:rsidR="002D0640" w:rsidRPr="00E7206E" w:rsidRDefault="002D0640" w:rsidP="002D0640">
            <w:pPr>
              <w:pStyle w:val="NoSpacing"/>
              <w:jc w:val="center"/>
              <w:rPr>
                <w:rFonts w:cs="Segoe UI"/>
              </w:rPr>
            </w:pPr>
            <w:r w:rsidRPr="00E7206E">
              <w:rPr>
                <w:rFonts w:cs="Segoe UI"/>
              </w:rPr>
              <w:t>Positive</w:t>
            </w:r>
          </w:p>
        </w:tc>
        <w:tc>
          <w:tcPr>
            <w:tcW w:w="2188" w:type="dxa"/>
            <w:tcBorders>
              <w:top w:val="single" w:sz="4" w:space="0" w:color="auto"/>
            </w:tcBorders>
            <w:hideMark/>
          </w:tcPr>
          <w:p w14:paraId="49313871" w14:textId="77777777" w:rsidR="002D0640" w:rsidRPr="00E7206E" w:rsidRDefault="002D0640" w:rsidP="002D0640">
            <w:pPr>
              <w:pStyle w:val="NoSpacing"/>
              <w:jc w:val="center"/>
              <w:rPr>
                <w:rFonts w:cs="Segoe UI"/>
              </w:rPr>
            </w:pPr>
            <w:r w:rsidRPr="00E7206E">
              <w:rPr>
                <w:rFonts w:cs="Segoe UI"/>
              </w:rPr>
              <w:t>Negative</w:t>
            </w:r>
          </w:p>
        </w:tc>
      </w:tr>
      <w:tr w:rsidR="002D0640" w:rsidRPr="00E7206E" w14:paraId="5BF849D0" w14:textId="77777777" w:rsidTr="002D0640">
        <w:trPr>
          <w:trHeight w:val="404"/>
        </w:trPr>
        <w:tc>
          <w:tcPr>
            <w:tcW w:w="2943" w:type="dxa"/>
            <w:tcBorders>
              <w:right w:val="single" w:sz="4" w:space="0" w:color="auto"/>
            </w:tcBorders>
            <w:shd w:val="clear" w:color="auto" w:fill="F2F2F2" w:themeFill="background1" w:themeFillShade="F2"/>
            <w:hideMark/>
          </w:tcPr>
          <w:p w14:paraId="77C74FD3" w14:textId="77777777" w:rsidR="002D0640" w:rsidRPr="00E7206E" w:rsidRDefault="002D0640" w:rsidP="002D0640">
            <w:pPr>
              <w:pStyle w:val="NoSpacing"/>
              <w:rPr>
                <w:rFonts w:cs="Segoe UI"/>
                <w:b/>
              </w:rPr>
            </w:pPr>
            <w:r w:rsidRPr="00E7206E">
              <w:rPr>
                <w:rFonts w:cs="Segoe UI"/>
                <w:b/>
              </w:rPr>
              <w:t>Socialization</w:t>
            </w:r>
          </w:p>
        </w:tc>
        <w:tc>
          <w:tcPr>
            <w:tcW w:w="1560" w:type="dxa"/>
            <w:tcBorders>
              <w:left w:val="single" w:sz="4" w:space="0" w:color="auto"/>
            </w:tcBorders>
            <w:shd w:val="clear" w:color="auto" w:fill="F2F2F2" w:themeFill="background1" w:themeFillShade="F2"/>
            <w:hideMark/>
          </w:tcPr>
          <w:p w14:paraId="344E3D2D" w14:textId="77777777" w:rsidR="002D0640" w:rsidRPr="00E7206E" w:rsidRDefault="002D0640" w:rsidP="002D0640">
            <w:pPr>
              <w:pStyle w:val="NoSpacing"/>
              <w:rPr>
                <w:rFonts w:cs="Segoe UI"/>
              </w:rPr>
            </w:pPr>
            <w:r w:rsidRPr="00E7206E">
              <w:rPr>
                <w:rFonts w:cs="Segoe UI"/>
              </w:rPr>
              <w:t>Democratic History</w:t>
            </w:r>
          </w:p>
        </w:tc>
        <w:tc>
          <w:tcPr>
            <w:tcW w:w="2551" w:type="dxa"/>
            <w:gridSpan w:val="2"/>
            <w:shd w:val="clear" w:color="auto" w:fill="F2F2F2" w:themeFill="background1" w:themeFillShade="F2"/>
            <w:hideMark/>
          </w:tcPr>
          <w:p w14:paraId="388DC263" w14:textId="77777777" w:rsidR="002D0640" w:rsidRPr="00E7206E" w:rsidRDefault="002D0640" w:rsidP="002D0640">
            <w:pPr>
              <w:pStyle w:val="NoSpacing"/>
              <w:jc w:val="center"/>
              <w:rPr>
                <w:rFonts w:cs="Segoe UI"/>
              </w:rPr>
            </w:pPr>
            <w:r w:rsidRPr="00E7206E">
              <w:rPr>
                <w:rFonts w:cs="Segoe UI"/>
              </w:rPr>
              <w:t>Positive</w:t>
            </w:r>
          </w:p>
        </w:tc>
        <w:tc>
          <w:tcPr>
            <w:tcW w:w="2188" w:type="dxa"/>
            <w:shd w:val="clear" w:color="auto" w:fill="F2F2F2" w:themeFill="background1" w:themeFillShade="F2"/>
            <w:hideMark/>
          </w:tcPr>
          <w:p w14:paraId="31671E0B" w14:textId="77777777" w:rsidR="002D0640" w:rsidRPr="00E7206E" w:rsidRDefault="002D0640" w:rsidP="002D0640">
            <w:pPr>
              <w:pStyle w:val="NoSpacing"/>
              <w:jc w:val="center"/>
              <w:rPr>
                <w:rFonts w:cs="Segoe UI"/>
              </w:rPr>
            </w:pPr>
            <w:r w:rsidRPr="00E7206E">
              <w:rPr>
                <w:rFonts w:cs="Segoe UI"/>
              </w:rPr>
              <w:t>Negative</w:t>
            </w:r>
          </w:p>
        </w:tc>
      </w:tr>
      <w:tr w:rsidR="002D0640" w:rsidRPr="00E7206E" w14:paraId="352F64DB" w14:textId="77777777" w:rsidTr="002D0640">
        <w:trPr>
          <w:trHeight w:val="404"/>
        </w:trPr>
        <w:tc>
          <w:tcPr>
            <w:tcW w:w="2943" w:type="dxa"/>
            <w:tcBorders>
              <w:right w:val="single" w:sz="4" w:space="0" w:color="auto"/>
            </w:tcBorders>
            <w:shd w:val="clear" w:color="auto" w:fill="F2F2F2" w:themeFill="background1" w:themeFillShade="F2"/>
          </w:tcPr>
          <w:p w14:paraId="5F3484C8" w14:textId="77777777" w:rsidR="002D0640" w:rsidRPr="00E7206E" w:rsidRDefault="002D0640" w:rsidP="002D0640">
            <w:pPr>
              <w:pStyle w:val="NoSpacing"/>
              <w:rPr>
                <w:rFonts w:cs="Segoe UI"/>
                <w:b/>
              </w:rPr>
            </w:pPr>
          </w:p>
        </w:tc>
        <w:tc>
          <w:tcPr>
            <w:tcW w:w="1560" w:type="dxa"/>
            <w:tcBorders>
              <w:left w:val="single" w:sz="4" w:space="0" w:color="auto"/>
            </w:tcBorders>
            <w:shd w:val="clear" w:color="auto" w:fill="F2F2F2" w:themeFill="background1" w:themeFillShade="F2"/>
            <w:hideMark/>
          </w:tcPr>
          <w:p w14:paraId="7CD6CCC9" w14:textId="77777777" w:rsidR="002D0640" w:rsidRPr="00E7206E" w:rsidRDefault="002D0640" w:rsidP="002D0640">
            <w:pPr>
              <w:pStyle w:val="NoSpacing"/>
              <w:rPr>
                <w:rFonts w:cs="Segoe UI"/>
              </w:rPr>
            </w:pPr>
            <w:r w:rsidRPr="00E7206E">
              <w:rPr>
                <w:rFonts w:cs="Segoe UI"/>
              </w:rPr>
              <w:t>Freedom House</w:t>
            </w:r>
          </w:p>
        </w:tc>
        <w:tc>
          <w:tcPr>
            <w:tcW w:w="2551" w:type="dxa"/>
            <w:gridSpan w:val="2"/>
            <w:shd w:val="clear" w:color="auto" w:fill="F2F2F2" w:themeFill="background1" w:themeFillShade="F2"/>
            <w:hideMark/>
          </w:tcPr>
          <w:p w14:paraId="577B3CF2" w14:textId="77777777" w:rsidR="002D0640" w:rsidRPr="00E7206E" w:rsidRDefault="002D0640" w:rsidP="002D0640">
            <w:pPr>
              <w:pStyle w:val="NoSpacing"/>
              <w:jc w:val="center"/>
              <w:rPr>
                <w:rFonts w:cs="Segoe UI"/>
              </w:rPr>
            </w:pPr>
            <w:r w:rsidRPr="00E7206E">
              <w:rPr>
                <w:rFonts w:cs="Segoe UI"/>
              </w:rPr>
              <w:t>Positive</w:t>
            </w:r>
          </w:p>
        </w:tc>
        <w:tc>
          <w:tcPr>
            <w:tcW w:w="2188" w:type="dxa"/>
            <w:shd w:val="clear" w:color="auto" w:fill="F2F2F2" w:themeFill="background1" w:themeFillShade="F2"/>
            <w:hideMark/>
          </w:tcPr>
          <w:p w14:paraId="2DDDE88E" w14:textId="77777777" w:rsidR="002D0640" w:rsidRPr="00E7206E" w:rsidRDefault="002D0640" w:rsidP="002D0640">
            <w:pPr>
              <w:pStyle w:val="NoSpacing"/>
              <w:jc w:val="center"/>
              <w:rPr>
                <w:rFonts w:cs="Segoe UI"/>
              </w:rPr>
            </w:pPr>
            <w:r w:rsidRPr="00E7206E">
              <w:rPr>
                <w:rFonts w:cs="Segoe UI"/>
              </w:rPr>
              <w:t>Negative</w:t>
            </w:r>
          </w:p>
        </w:tc>
      </w:tr>
      <w:tr w:rsidR="002D0640" w:rsidRPr="00E7206E" w14:paraId="0064A9A0" w14:textId="77777777" w:rsidTr="002D0640">
        <w:trPr>
          <w:trHeight w:val="404"/>
        </w:trPr>
        <w:tc>
          <w:tcPr>
            <w:tcW w:w="2943" w:type="dxa"/>
            <w:tcBorders>
              <w:right w:val="single" w:sz="4" w:space="0" w:color="auto"/>
            </w:tcBorders>
            <w:shd w:val="clear" w:color="auto" w:fill="F2F2F2" w:themeFill="background1" w:themeFillShade="F2"/>
          </w:tcPr>
          <w:p w14:paraId="763CF428" w14:textId="77777777" w:rsidR="002D0640" w:rsidRPr="00E7206E" w:rsidRDefault="002D0640" w:rsidP="002D0640">
            <w:pPr>
              <w:pStyle w:val="NoSpacing"/>
              <w:rPr>
                <w:rFonts w:cs="Segoe UI"/>
                <w:b/>
              </w:rPr>
            </w:pPr>
          </w:p>
        </w:tc>
        <w:tc>
          <w:tcPr>
            <w:tcW w:w="1560" w:type="dxa"/>
            <w:tcBorders>
              <w:left w:val="single" w:sz="4" w:space="0" w:color="auto"/>
            </w:tcBorders>
            <w:shd w:val="clear" w:color="auto" w:fill="F2F2F2" w:themeFill="background1" w:themeFillShade="F2"/>
            <w:hideMark/>
          </w:tcPr>
          <w:p w14:paraId="1B6F9121" w14:textId="77777777" w:rsidR="002D0640" w:rsidRPr="00E7206E" w:rsidRDefault="002D0640" w:rsidP="002D0640">
            <w:pPr>
              <w:pStyle w:val="NoSpacing"/>
              <w:rPr>
                <w:rFonts w:cs="Segoe UI"/>
              </w:rPr>
            </w:pPr>
            <w:r w:rsidRPr="00E7206E">
              <w:rPr>
                <w:rFonts w:cs="Segoe UI"/>
              </w:rPr>
              <w:t>Communist</w:t>
            </w:r>
          </w:p>
        </w:tc>
        <w:tc>
          <w:tcPr>
            <w:tcW w:w="2551" w:type="dxa"/>
            <w:gridSpan w:val="2"/>
            <w:shd w:val="clear" w:color="auto" w:fill="F2F2F2" w:themeFill="background1" w:themeFillShade="F2"/>
            <w:hideMark/>
          </w:tcPr>
          <w:p w14:paraId="221F565D" w14:textId="77777777" w:rsidR="002D0640" w:rsidRPr="00E7206E" w:rsidRDefault="002D0640" w:rsidP="002D0640">
            <w:pPr>
              <w:pStyle w:val="NoSpacing"/>
              <w:jc w:val="center"/>
              <w:rPr>
                <w:rFonts w:cs="Segoe UI"/>
              </w:rPr>
            </w:pPr>
            <w:r w:rsidRPr="00E7206E">
              <w:rPr>
                <w:rFonts w:cs="Segoe UI"/>
              </w:rPr>
              <w:t>Negative</w:t>
            </w:r>
          </w:p>
        </w:tc>
        <w:tc>
          <w:tcPr>
            <w:tcW w:w="2188" w:type="dxa"/>
            <w:shd w:val="clear" w:color="auto" w:fill="F2F2F2" w:themeFill="background1" w:themeFillShade="F2"/>
            <w:hideMark/>
          </w:tcPr>
          <w:p w14:paraId="2740EA2E" w14:textId="77777777" w:rsidR="002D0640" w:rsidRPr="00E7206E" w:rsidRDefault="002D0640" w:rsidP="002D0640">
            <w:pPr>
              <w:pStyle w:val="NoSpacing"/>
              <w:jc w:val="center"/>
              <w:rPr>
                <w:rFonts w:cs="Segoe UI"/>
              </w:rPr>
            </w:pPr>
            <w:r w:rsidRPr="00E7206E">
              <w:rPr>
                <w:rFonts w:cs="Segoe UI"/>
              </w:rPr>
              <w:t>Positive</w:t>
            </w:r>
          </w:p>
        </w:tc>
      </w:tr>
      <w:tr w:rsidR="002D0640" w:rsidRPr="00E7206E" w14:paraId="0F733541" w14:textId="77777777" w:rsidTr="002D0640">
        <w:trPr>
          <w:trHeight w:val="404"/>
        </w:trPr>
        <w:tc>
          <w:tcPr>
            <w:tcW w:w="2943" w:type="dxa"/>
            <w:tcBorders>
              <w:right w:val="single" w:sz="4" w:space="0" w:color="auto"/>
            </w:tcBorders>
            <w:hideMark/>
          </w:tcPr>
          <w:p w14:paraId="30CC1A78" w14:textId="77777777" w:rsidR="002D0640" w:rsidRPr="00E7206E" w:rsidRDefault="002D0640" w:rsidP="002D0640">
            <w:pPr>
              <w:pStyle w:val="NoSpacing"/>
              <w:rPr>
                <w:rFonts w:cs="Segoe UI"/>
                <w:b/>
              </w:rPr>
            </w:pPr>
            <w:r w:rsidRPr="00E7206E">
              <w:rPr>
                <w:rFonts w:cs="Segoe UI"/>
                <w:b/>
              </w:rPr>
              <w:t>Inequality</w:t>
            </w:r>
          </w:p>
        </w:tc>
        <w:tc>
          <w:tcPr>
            <w:tcW w:w="1560" w:type="dxa"/>
            <w:tcBorders>
              <w:left w:val="single" w:sz="4" w:space="0" w:color="auto"/>
            </w:tcBorders>
            <w:hideMark/>
          </w:tcPr>
          <w:p w14:paraId="2120420B" w14:textId="77777777" w:rsidR="002D0640" w:rsidRPr="00E7206E" w:rsidRDefault="002D0640" w:rsidP="002D0640">
            <w:pPr>
              <w:pStyle w:val="NoSpacing"/>
              <w:rPr>
                <w:rFonts w:cs="Segoe UI"/>
              </w:rPr>
            </w:pPr>
            <w:r w:rsidRPr="00E7206E">
              <w:rPr>
                <w:rFonts w:cs="Segoe UI"/>
              </w:rPr>
              <w:t>Gini</w:t>
            </w:r>
          </w:p>
        </w:tc>
        <w:tc>
          <w:tcPr>
            <w:tcW w:w="2551" w:type="dxa"/>
            <w:gridSpan w:val="2"/>
            <w:hideMark/>
          </w:tcPr>
          <w:p w14:paraId="6D9256B1" w14:textId="77777777" w:rsidR="002D0640" w:rsidRPr="00E7206E" w:rsidRDefault="002D0640" w:rsidP="002D0640">
            <w:pPr>
              <w:pStyle w:val="NoSpacing"/>
              <w:jc w:val="center"/>
              <w:rPr>
                <w:rFonts w:cs="Segoe UI"/>
              </w:rPr>
            </w:pPr>
            <w:r w:rsidRPr="00E7206E">
              <w:rPr>
                <w:rFonts w:cs="Segoe UI"/>
              </w:rPr>
              <w:t>Unclear</w:t>
            </w:r>
          </w:p>
        </w:tc>
        <w:tc>
          <w:tcPr>
            <w:tcW w:w="2188" w:type="dxa"/>
            <w:hideMark/>
          </w:tcPr>
          <w:p w14:paraId="2214B512" w14:textId="77777777" w:rsidR="002D0640" w:rsidRPr="00E7206E" w:rsidRDefault="002D0640" w:rsidP="002D0640">
            <w:pPr>
              <w:pStyle w:val="NoSpacing"/>
              <w:jc w:val="center"/>
              <w:rPr>
                <w:rFonts w:cs="Segoe UI"/>
              </w:rPr>
            </w:pPr>
            <w:r w:rsidRPr="00E7206E">
              <w:rPr>
                <w:rFonts w:cs="Segoe UI"/>
              </w:rPr>
              <w:t>Unclear</w:t>
            </w:r>
          </w:p>
        </w:tc>
      </w:tr>
      <w:tr w:rsidR="002D0640" w:rsidRPr="00E7206E" w14:paraId="003BC2F0" w14:textId="77777777" w:rsidTr="002D0640">
        <w:trPr>
          <w:trHeight w:val="404"/>
        </w:trPr>
        <w:tc>
          <w:tcPr>
            <w:tcW w:w="2943" w:type="dxa"/>
            <w:tcBorders>
              <w:right w:val="single" w:sz="4" w:space="0" w:color="auto"/>
            </w:tcBorders>
            <w:shd w:val="clear" w:color="auto" w:fill="F2F2F2" w:themeFill="background1" w:themeFillShade="F2"/>
            <w:hideMark/>
          </w:tcPr>
          <w:p w14:paraId="51CEBD8D" w14:textId="77777777" w:rsidR="002D0640" w:rsidRPr="00E7206E" w:rsidRDefault="002D0640" w:rsidP="002D0640">
            <w:pPr>
              <w:pStyle w:val="NoSpacing"/>
              <w:rPr>
                <w:rFonts w:cs="Segoe UI"/>
                <w:b/>
              </w:rPr>
            </w:pPr>
            <w:r w:rsidRPr="00E7206E">
              <w:rPr>
                <w:rFonts w:cs="Segoe UI"/>
                <w:b/>
              </w:rPr>
              <w:t>Access to Information</w:t>
            </w:r>
          </w:p>
        </w:tc>
        <w:tc>
          <w:tcPr>
            <w:tcW w:w="1560" w:type="dxa"/>
            <w:tcBorders>
              <w:left w:val="single" w:sz="4" w:space="0" w:color="auto"/>
            </w:tcBorders>
            <w:shd w:val="clear" w:color="auto" w:fill="F2F2F2" w:themeFill="background1" w:themeFillShade="F2"/>
            <w:hideMark/>
          </w:tcPr>
          <w:p w14:paraId="034ABA3F" w14:textId="77777777" w:rsidR="002D0640" w:rsidRPr="00E7206E" w:rsidRDefault="002D0640" w:rsidP="002D0640">
            <w:pPr>
              <w:pStyle w:val="NoSpacing"/>
              <w:rPr>
                <w:rFonts w:cs="Segoe UI"/>
              </w:rPr>
            </w:pPr>
            <w:r w:rsidRPr="00E7206E">
              <w:rPr>
                <w:rFonts w:cs="Segoe UI"/>
              </w:rPr>
              <w:t>Press Freedom</w:t>
            </w:r>
          </w:p>
        </w:tc>
        <w:tc>
          <w:tcPr>
            <w:tcW w:w="2551" w:type="dxa"/>
            <w:gridSpan w:val="2"/>
            <w:shd w:val="clear" w:color="auto" w:fill="F2F2F2" w:themeFill="background1" w:themeFillShade="F2"/>
            <w:hideMark/>
          </w:tcPr>
          <w:p w14:paraId="64D7A534" w14:textId="77777777" w:rsidR="002D0640" w:rsidRPr="00E7206E" w:rsidRDefault="002D0640" w:rsidP="002D0640">
            <w:pPr>
              <w:pStyle w:val="NoSpacing"/>
              <w:jc w:val="center"/>
              <w:rPr>
                <w:rFonts w:cs="Segoe UI"/>
              </w:rPr>
            </w:pPr>
            <w:r w:rsidRPr="00E7206E">
              <w:rPr>
                <w:rFonts w:cs="Segoe UI"/>
              </w:rPr>
              <w:t>Positive</w:t>
            </w:r>
          </w:p>
        </w:tc>
        <w:tc>
          <w:tcPr>
            <w:tcW w:w="2188" w:type="dxa"/>
            <w:shd w:val="clear" w:color="auto" w:fill="F2F2F2" w:themeFill="background1" w:themeFillShade="F2"/>
            <w:hideMark/>
          </w:tcPr>
          <w:p w14:paraId="3FE99D13" w14:textId="77777777" w:rsidR="002D0640" w:rsidRPr="00E7206E" w:rsidRDefault="002D0640" w:rsidP="002D0640">
            <w:pPr>
              <w:pStyle w:val="NoSpacing"/>
              <w:jc w:val="center"/>
              <w:rPr>
                <w:rFonts w:cs="Segoe UI"/>
              </w:rPr>
            </w:pPr>
            <w:r w:rsidRPr="00E7206E">
              <w:rPr>
                <w:rFonts w:cs="Segoe UI"/>
              </w:rPr>
              <w:t>Negative</w:t>
            </w:r>
          </w:p>
        </w:tc>
      </w:tr>
    </w:tbl>
    <w:p w14:paraId="700C121C" w14:textId="77777777" w:rsidR="00895D42" w:rsidRDefault="00895D42" w:rsidP="00D9151E">
      <w:pPr>
        <w:pStyle w:val="Caption"/>
      </w:pPr>
      <w:bookmarkStart w:id="292" w:name="_Toc441069240"/>
      <w:bookmarkStart w:id="293" w:name="_Toc441069036"/>
      <w:bookmarkStart w:id="294" w:name="_Toc439171188"/>
      <w:bookmarkEnd w:id="289"/>
      <w:bookmarkEnd w:id="290"/>
      <w:bookmarkEnd w:id="291"/>
    </w:p>
    <w:p w14:paraId="695CDE6C" w14:textId="77777777" w:rsidR="00895D42" w:rsidRDefault="00895D42" w:rsidP="00D9151E">
      <w:pPr>
        <w:pStyle w:val="Caption"/>
      </w:pPr>
    </w:p>
    <w:p w14:paraId="6FF2BDA2" w14:textId="77777777" w:rsidR="00895D42" w:rsidRDefault="00895D42" w:rsidP="00D9151E">
      <w:pPr>
        <w:pStyle w:val="Caption"/>
      </w:pPr>
    </w:p>
    <w:p w14:paraId="4E1BEBF7" w14:textId="77777777" w:rsidR="00895D42" w:rsidRDefault="00895D42" w:rsidP="00D9151E">
      <w:pPr>
        <w:pStyle w:val="Caption"/>
      </w:pPr>
    </w:p>
    <w:p w14:paraId="05399D83" w14:textId="77777777" w:rsidR="00895D42" w:rsidRDefault="00895D42" w:rsidP="00D9151E">
      <w:pPr>
        <w:pStyle w:val="Caption"/>
      </w:pPr>
    </w:p>
    <w:p w14:paraId="6579CFE6" w14:textId="570958AC" w:rsidR="00895D42" w:rsidRDefault="00895D42" w:rsidP="00D9151E">
      <w:pPr>
        <w:pStyle w:val="Caption"/>
      </w:pPr>
    </w:p>
    <w:p w14:paraId="1C9B934E" w14:textId="77777777" w:rsidR="00895D42" w:rsidRPr="00895D42" w:rsidRDefault="00895D42" w:rsidP="00895D42"/>
    <w:p w14:paraId="0327A34E" w14:textId="607423BD" w:rsidR="0022437C" w:rsidRPr="003A5664" w:rsidRDefault="00D9151E" w:rsidP="00D9151E">
      <w:pPr>
        <w:pStyle w:val="Caption"/>
        <w:rPr>
          <w:rFonts w:ascii="Segoe UI" w:hAnsi="Segoe UI" w:cs="Segoe UI"/>
          <w:i w:val="0"/>
        </w:rPr>
      </w:pPr>
      <w:bookmarkStart w:id="295" w:name="_Toc494687167"/>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5</w:t>
      </w:r>
      <w:r w:rsidR="00994662" w:rsidRPr="003A5664">
        <w:rPr>
          <w:rFonts w:ascii="Segoe UI" w:hAnsi="Segoe UI" w:cs="Segoe UI"/>
          <w:i w:val="0"/>
          <w:noProof/>
        </w:rPr>
        <w:fldChar w:fldCharType="end"/>
      </w:r>
      <w:r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306E67" w:rsidRPr="003A5664">
        <w:rPr>
          <w:rFonts w:ascii="Segoe UI" w:hAnsi="Segoe UI" w:cs="Segoe UI"/>
          <w:i w:val="0"/>
          <w:noProof/>
        </w:rPr>
        <w:t>3</w:t>
      </w:r>
      <w:r w:rsidR="00994662" w:rsidRPr="003A5664">
        <w:rPr>
          <w:rFonts w:ascii="Segoe UI" w:hAnsi="Segoe UI" w:cs="Segoe UI"/>
          <w:i w:val="0"/>
          <w:noProof/>
        </w:rPr>
        <w:fldChar w:fldCharType="end"/>
      </w:r>
      <w:r w:rsidRPr="003A5664">
        <w:rPr>
          <w:rFonts w:ascii="Segoe UI" w:hAnsi="Segoe UI" w:cs="Segoe UI"/>
          <w:i w:val="0"/>
        </w:rPr>
        <w:t xml:space="preserve"> Theoretical puzzles and interaction tests</w:t>
      </w:r>
      <w:bookmarkEnd w:id="295"/>
    </w:p>
    <w:p w14:paraId="6F04033D" w14:textId="2ECA3206" w:rsidR="00981CBC" w:rsidRPr="00981CBC" w:rsidRDefault="00981CBC" w:rsidP="00981CBC"/>
    <w:tbl>
      <w:tblPr>
        <w:tblW w:w="9242" w:type="dxa"/>
        <w:tblLook w:val="04A0" w:firstRow="1" w:lastRow="0" w:firstColumn="1" w:lastColumn="0" w:noHBand="0" w:noVBand="1"/>
      </w:tblPr>
      <w:tblGrid>
        <w:gridCol w:w="4753"/>
        <w:gridCol w:w="4489"/>
      </w:tblGrid>
      <w:tr w:rsidR="0022437C" w:rsidRPr="00AF5F50" w14:paraId="3402EEB1" w14:textId="77777777" w:rsidTr="001345F6">
        <w:trPr>
          <w:trHeight w:val="404"/>
        </w:trPr>
        <w:tc>
          <w:tcPr>
            <w:tcW w:w="4753" w:type="dxa"/>
            <w:tcBorders>
              <w:top w:val="nil"/>
              <w:left w:val="nil"/>
              <w:bottom w:val="single" w:sz="4" w:space="0" w:color="auto"/>
              <w:right w:val="single" w:sz="4" w:space="0" w:color="auto"/>
            </w:tcBorders>
            <w:hideMark/>
          </w:tcPr>
          <w:p w14:paraId="2BA87CFD" w14:textId="77777777" w:rsidR="0022437C" w:rsidRPr="00AF5F50" w:rsidRDefault="0022437C">
            <w:pPr>
              <w:pStyle w:val="NoSpacing"/>
              <w:rPr>
                <w:b/>
                <w:color w:val="000000" w:themeColor="text1"/>
              </w:rPr>
            </w:pPr>
            <w:r w:rsidRPr="00AF5F50">
              <w:rPr>
                <w:b/>
                <w:color w:val="000000" w:themeColor="text1"/>
              </w:rPr>
              <w:t>Puzzle:</w:t>
            </w:r>
          </w:p>
        </w:tc>
        <w:tc>
          <w:tcPr>
            <w:tcW w:w="4489" w:type="dxa"/>
            <w:tcBorders>
              <w:top w:val="nil"/>
              <w:left w:val="single" w:sz="4" w:space="0" w:color="auto"/>
              <w:bottom w:val="single" w:sz="4" w:space="0" w:color="auto"/>
              <w:right w:val="nil"/>
            </w:tcBorders>
            <w:hideMark/>
          </w:tcPr>
          <w:p w14:paraId="79CFCD46" w14:textId="2C3991DC" w:rsidR="0022437C" w:rsidRPr="00AF5F50" w:rsidRDefault="0022437C">
            <w:pPr>
              <w:pStyle w:val="NoSpacing"/>
              <w:rPr>
                <w:color w:val="000000" w:themeColor="text1"/>
              </w:rPr>
            </w:pPr>
            <w:r w:rsidRPr="00AF5F50">
              <w:rPr>
                <w:color w:val="000000" w:themeColor="text1"/>
              </w:rPr>
              <w:t>Interaction (individual</w:t>
            </w:r>
            <w:r w:rsidRPr="00AF5F50">
              <w:rPr>
                <w:i/>
                <w:color w:val="000000" w:themeColor="text1"/>
              </w:rPr>
              <w:t xml:space="preserve"> x</w:t>
            </w:r>
            <w:r w:rsidRPr="00AF5F50">
              <w:rPr>
                <w:color w:val="000000" w:themeColor="text1"/>
              </w:rPr>
              <w:t xml:space="preserve"> national)</w:t>
            </w:r>
          </w:p>
        </w:tc>
      </w:tr>
      <w:tr w:rsidR="001345F6" w:rsidRPr="00AF5F50" w14:paraId="25FDAE44" w14:textId="77777777" w:rsidTr="001345F6">
        <w:trPr>
          <w:trHeight w:val="404"/>
        </w:trPr>
        <w:tc>
          <w:tcPr>
            <w:tcW w:w="4753" w:type="dxa"/>
            <w:tcBorders>
              <w:top w:val="single" w:sz="4" w:space="0" w:color="auto"/>
              <w:left w:val="nil"/>
              <w:right w:val="single" w:sz="4" w:space="0" w:color="auto"/>
            </w:tcBorders>
          </w:tcPr>
          <w:p w14:paraId="0B28B76E" w14:textId="371A172F" w:rsidR="001345F6" w:rsidRPr="00AF5F50" w:rsidRDefault="001345F6" w:rsidP="001345F6">
            <w:pPr>
              <w:pStyle w:val="NoSpacing"/>
              <w:rPr>
                <w:b/>
              </w:rPr>
            </w:pPr>
            <w:r w:rsidRPr="00AF5F50">
              <w:rPr>
                <w:b/>
              </w:rPr>
              <w:t>Do individual perceptions of income have different effects in different contexts of development and inequality?</w:t>
            </w:r>
          </w:p>
        </w:tc>
        <w:tc>
          <w:tcPr>
            <w:tcW w:w="4489" w:type="dxa"/>
            <w:tcBorders>
              <w:top w:val="single" w:sz="4" w:space="0" w:color="auto"/>
              <w:left w:val="single" w:sz="4" w:space="0" w:color="auto"/>
              <w:right w:val="nil"/>
            </w:tcBorders>
          </w:tcPr>
          <w:p w14:paraId="7EF848E7" w14:textId="77777777" w:rsidR="001345F6" w:rsidRPr="00AF5F50" w:rsidRDefault="001345F6" w:rsidP="001345F6">
            <w:pPr>
              <w:pStyle w:val="NoSpacing"/>
            </w:pPr>
            <w:r w:rsidRPr="00AF5F50">
              <w:t>Income*Gini</w:t>
            </w:r>
          </w:p>
          <w:p w14:paraId="3411B29B" w14:textId="1611B62A" w:rsidR="001345F6" w:rsidRPr="00AF5F50" w:rsidRDefault="001345F6" w:rsidP="001345F6">
            <w:pPr>
              <w:pStyle w:val="NoSpacing"/>
            </w:pPr>
            <w:r w:rsidRPr="00AF5F50">
              <w:t>Income*HDI</w:t>
            </w:r>
          </w:p>
        </w:tc>
      </w:tr>
      <w:tr w:rsidR="001345F6" w:rsidRPr="00AF5F50" w14:paraId="1B1DD12A" w14:textId="77777777" w:rsidTr="001345F6">
        <w:trPr>
          <w:trHeight w:val="404"/>
        </w:trPr>
        <w:tc>
          <w:tcPr>
            <w:tcW w:w="4753" w:type="dxa"/>
            <w:tcBorders>
              <w:left w:val="nil"/>
              <w:bottom w:val="nil"/>
              <w:right w:val="single" w:sz="4" w:space="0" w:color="auto"/>
            </w:tcBorders>
            <w:shd w:val="clear" w:color="auto" w:fill="F2F2F2" w:themeFill="background1" w:themeFillShade="F2"/>
            <w:hideMark/>
          </w:tcPr>
          <w:p w14:paraId="14DBDE93" w14:textId="77777777" w:rsidR="001345F6" w:rsidRDefault="001345F6" w:rsidP="001345F6">
            <w:pPr>
              <w:pStyle w:val="NoSpacing"/>
              <w:rPr>
                <w:b/>
              </w:rPr>
            </w:pPr>
            <w:r w:rsidRPr="00AF5F50">
              <w:rPr>
                <w:b/>
              </w:rPr>
              <w:t>Will the effect of media use vary when the press is not free?</w:t>
            </w:r>
          </w:p>
          <w:p w14:paraId="6F8BC44E" w14:textId="77777777" w:rsidR="001345F6" w:rsidRPr="00AF5F50" w:rsidRDefault="001345F6" w:rsidP="001345F6">
            <w:pPr>
              <w:pStyle w:val="NoSpacing"/>
              <w:rPr>
                <w:b/>
              </w:rPr>
            </w:pPr>
          </w:p>
        </w:tc>
        <w:tc>
          <w:tcPr>
            <w:tcW w:w="4489" w:type="dxa"/>
            <w:tcBorders>
              <w:left w:val="single" w:sz="4" w:space="0" w:color="auto"/>
              <w:bottom w:val="nil"/>
              <w:right w:val="nil"/>
            </w:tcBorders>
            <w:shd w:val="clear" w:color="auto" w:fill="F2F2F2" w:themeFill="background1" w:themeFillShade="F2"/>
            <w:hideMark/>
          </w:tcPr>
          <w:p w14:paraId="5FF6D387" w14:textId="77777777" w:rsidR="001345F6" w:rsidRPr="00AF5F50" w:rsidRDefault="001345F6" w:rsidP="001345F6">
            <w:pPr>
              <w:pStyle w:val="NoSpacing"/>
            </w:pPr>
            <w:r w:rsidRPr="00AF5F50">
              <w:t>Media use*Press Freedom</w:t>
            </w:r>
          </w:p>
        </w:tc>
      </w:tr>
      <w:tr w:rsidR="001345F6" w:rsidRPr="00AF5F50" w14:paraId="3479709A" w14:textId="77777777" w:rsidTr="001345F6">
        <w:trPr>
          <w:trHeight w:val="404"/>
        </w:trPr>
        <w:tc>
          <w:tcPr>
            <w:tcW w:w="4753" w:type="dxa"/>
            <w:tcBorders>
              <w:top w:val="nil"/>
              <w:left w:val="nil"/>
              <w:bottom w:val="nil"/>
              <w:right w:val="single" w:sz="4" w:space="0" w:color="auto"/>
            </w:tcBorders>
            <w:shd w:val="clear" w:color="auto" w:fill="FFFFFF" w:themeFill="background1"/>
            <w:hideMark/>
          </w:tcPr>
          <w:p w14:paraId="51F670B0" w14:textId="77777777" w:rsidR="001345F6" w:rsidRDefault="001345F6" w:rsidP="001345F6">
            <w:pPr>
              <w:pStyle w:val="NoSpacing"/>
              <w:rPr>
                <w:b/>
              </w:rPr>
            </w:pPr>
            <w:r w:rsidRPr="00AF5F50">
              <w:rPr>
                <w:b/>
              </w:rPr>
              <w:t xml:space="preserve">Might social capital operate differently under an authoritarian regime? </w:t>
            </w:r>
          </w:p>
          <w:p w14:paraId="61EDFA0B" w14:textId="77777777" w:rsidR="001345F6" w:rsidRPr="00AF5F50" w:rsidRDefault="001345F6" w:rsidP="001345F6">
            <w:pPr>
              <w:pStyle w:val="NoSpacing"/>
              <w:rPr>
                <w:b/>
              </w:rPr>
            </w:pPr>
          </w:p>
        </w:tc>
        <w:tc>
          <w:tcPr>
            <w:tcW w:w="4489" w:type="dxa"/>
            <w:tcBorders>
              <w:top w:val="nil"/>
              <w:left w:val="single" w:sz="4" w:space="0" w:color="auto"/>
              <w:bottom w:val="nil"/>
              <w:right w:val="nil"/>
            </w:tcBorders>
            <w:shd w:val="clear" w:color="auto" w:fill="FFFFFF" w:themeFill="background1"/>
            <w:hideMark/>
          </w:tcPr>
          <w:p w14:paraId="019E6446" w14:textId="77777777" w:rsidR="001345F6" w:rsidRPr="00AF5F50" w:rsidRDefault="001345F6" w:rsidP="001345F6">
            <w:pPr>
              <w:pStyle w:val="NoSpacing"/>
            </w:pPr>
            <w:r w:rsidRPr="00AF5F50">
              <w:t>Group Member*Freedom House</w:t>
            </w:r>
          </w:p>
        </w:tc>
      </w:tr>
      <w:tr w:rsidR="001345F6" w:rsidRPr="00AF5F50" w14:paraId="47F7A953" w14:textId="77777777" w:rsidTr="001345F6">
        <w:trPr>
          <w:trHeight w:val="125"/>
        </w:trPr>
        <w:tc>
          <w:tcPr>
            <w:tcW w:w="4753" w:type="dxa"/>
            <w:tcBorders>
              <w:top w:val="nil"/>
              <w:left w:val="nil"/>
              <w:bottom w:val="nil"/>
              <w:right w:val="single" w:sz="4" w:space="0" w:color="auto"/>
            </w:tcBorders>
          </w:tcPr>
          <w:p w14:paraId="31E18D01" w14:textId="6468272E" w:rsidR="001345F6" w:rsidRPr="00AF5F50" w:rsidRDefault="001345F6" w:rsidP="001345F6">
            <w:pPr>
              <w:pStyle w:val="NoSpacing"/>
              <w:rPr>
                <w:b/>
              </w:rPr>
            </w:pPr>
          </w:p>
        </w:tc>
        <w:tc>
          <w:tcPr>
            <w:tcW w:w="4489" w:type="dxa"/>
            <w:tcBorders>
              <w:top w:val="nil"/>
              <w:left w:val="single" w:sz="4" w:space="0" w:color="auto"/>
              <w:bottom w:val="nil"/>
              <w:right w:val="nil"/>
            </w:tcBorders>
          </w:tcPr>
          <w:p w14:paraId="3B8A6955" w14:textId="08DB696D" w:rsidR="001345F6" w:rsidRPr="00AF5F50" w:rsidRDefault="001345F6" w:rsidP="001345F6">
            <w:pPr>
              <w:pStyle w:val="NoSpacing"/>
            </w:pPr>
          </w:p>
        </w:tc>
      </w:tr>
    </w:tbl>
    <w:p w14:paraId="5B3C22B6" w14:textId="013B848D" w:rsidR="003600BE" w:rsidRDefault="00B67477" w:rsidP="002032DF">
      <w:pPr>
        <w:pStyle w:val="Heading2"/>
        <w:numPr>
          <w:ilvl w:val="1"/>
          <w:numId w:val="16"/>
        </w:numPr>
      </w:pPr>
      <w:bookmarkStart w:id="296" w:name="_Toc494034228"/>
      <w:r>
        <w:t>5.2</w:t>
      </w:r>
      <w:r w:rsidR="003600BE">
        <w:t>: Method – Multilevel Regression Modelling</w:t>
      </w:r>
      <w:bookmarkEnd w:id="292"/>
      <w:bookmarkEnd w:id="293"/>
      <w:bookmarkEnd w:id="294"/>
      <w:bookmarkEnd w:id="296"/>
    </w:p>
    <w:p w14:paraId="7C376A86" w14:textId="5BF52F11" w:rsidR="00857090" w:rsidRPr="00001766" w:rsidRDefault="001A3B7D" w:rsidP="00981CBC">
      <w:pPr>
        <w:rPr>
          <w:szCs w:val="24"/>
        </w:rPr>
      </w:pPr>
      <w:r>
        <w:rPr>
          <w:szCs w:val="24"/>
        </w:rPr>
        <w:t>As</w:t>
      </w:r>
      <w:r w:rsidR="003600BE">
        <w:rPr>
          <w:szCs w:val="24"/>
        </w:rPr>
        <w:t xml:space="preserve"> I am interested in how people might behave differently across numerous different countries, I need a type of regression </w:t>
      </w:r>
      <w:r w:rsidR="00F50C02">
        <w:rPr>
          <w:szCs w:val="24"/>
        </w:rPr>
        <w:t xml:space="preserve">analysis </w:t>
      </w:r>
      <w:r w:rsidR="003600BE">
        <w:rPr>
          <w:szCs w:val="24"/>
        </w:rPr>
        <w:t>which takes into account group-level contextual effects. For this I turn to mu</w:t>
      </w:r>
      <w:bookmarkStart w:id="297" w:name="_Toc441069241"/>
      <w:bookmarkStart w:id="298" w:name="_Toc393447154"/>
      <w:r w:rsidR="00001766">
        <w:rPr>
          <w:szCs w:val="24"/>
        </w:rPr>
        <w:t xml:space="preserve">ltilevel regression modelling. </w:t>
      </w:r>
    </w:p>
    <w:p w14:paraId="09980205" w14:textId="77777777" w:rsidR="003600BE" w:rsidRDefault="003600BE" w:rsidP="00981CBC">
      <w:pPr>
        <w:pStyle w:val="Heading3"/>
        <w:numPr>
          <w:ilvl w:val="2"/>
          <w:numId w:val="16"/>
        </w:numPr>
        <w:spacing w:line="268" w:lineRule="auto"/>
      </w:pPr>
      <w:r>
        <w:t>Using Multilevel Regression Modelling</w:t>
      </w:r>
      <w:bookmarkEnd w:id="297"/>
      <w:bookmarkEnd w:id="298"/>
      <w:r>
        <w:t xml:space="preserve"> </w:t>
      </w:r>
    </w:p>
    <w:p w14:paraId="27923AA2" w14:textId="776FCA7E" w:rsidR="003600BE" w:rsidRDefault="003600BE" w:rsidP="004D2AF2">
      <w:r>
        <w:t>Social science research that explores responses at the individual level is often also interested (</w:t>
      </w:r>
      <w:r w:rsidR="004D2AF2">
        <w:t>even if just implicitly</w:t>
      </w:r>
      <w:r>
        <w:t>) in the effect of contextual variables associated with another level of analysis (e.g. households, schools, neighbourhoods, regions, countries etc.) or longitudinal data with the same individua</w:t>
      </w:r>
      <w:r w:rsidR="001D1949">
        <w:t xml:space="preserve">ls surveyed at different times </w:t>
      </w:r>
      <w:r w:rsidR="001D1949">
        <w:fldChar w:fldCharType="begin" w:fldLock="1"/>
      </w:r>
      <w:r w:rsidR="00E63CC6">
        <w:instrText>ADDIN CSL_CITATION { "citationItems" : [ { "id" : "ITEM-1", "itemData" : { "DOI" : "10.1177/0049124194022003001", "author" : [ { "dropping-particle" : "", "family" : "Hox", "given" : "Joop J.", "non-dropping-particle" : "", "parse-names" : false, "suffix" : "" }, { "dropping-particle" : "", "family" : "Kreft", "given" : "I. G. G.", "non-dropping-particle" : "", "parse-names" : false, "suffix" : "" } ], "container-title" : "Sociological Methods &amp; Research", "id" : "ITEM-1", "issue" : "3", "issued" : { "date-parts" : [ [ "1994" ] ] }, "page" : "283-299", "title" : "Multilevel Analysis Methods", "type" : "article-journal", "volume" : "22" }, "uris" : [ "http://www.mendeley.com/documents/?uuid=7e3161ac-ae68-497d-b6c7-f62ff48eb1f9" ] } ], "mendeley" : { "formattedCitation" : "(Hox and Kreft, 1994)", "plainTextFormattedCitation" : "(Hox and Kreft, 1994)", "previouslyFormattedCitation" : "(Hox and Kreft, 1994)" }, "properties" : { "noteIndex" : 0 }, "schema" : "https://github.com/citation-style-language/schema/raw/master/csl-citation.json" }</w:instrText>
      </w:r>
      <w:r w:rsidR="001D1949">
        <w:fldChar w:fldCharType="separate"/>
      </w:r>
      <w:r w:rsidR="00E63CC6" w:rsidRPr="00E63CC6">
        <w:rPr>
          <w:noProof/>
        </w:rPr>
        <w:t>(Hox and Kreft, 1994)</w:t>
      </w:r>
      <w:r w:rsidR="001D1949">
        <w:fldChar w:fldCharType="end"/>
      </w:r>
      <w:r>
        <w:t xml:space="preserve">. </w:t>
      </w:r>
    </w:p>
    <w:p w14:paraId="2FE010E6" w14:textId="042FC5BF" w:rsidR="003600BE" w:rsidRDefault="003600BE" w:rsidP="004D2AF2">
      <w:r>
        <w:t>The dimensions of democratic understanding produced in Chapter 4 are generated from the WVS2008 survey data, which is collected from many thousands of respondents. However, it is a cross-national survey and so it is also a collection of representative samples from numerous countries. This is a hugely important characteristic of the data. The issue with conventional regression modelling is that a primary assumption of the technique requires all the data points to be independent. However, nation states are extremely influential spatial ‘containers’ of people. That ‘place’ can have an impact upon people is an underlying principle of geographical analysis, but less so in political science. However, it undoubtedly plays a huge part in any kind of cross-sectional comparative analysis</w:t>
      </w:r>
      <w:r w:rsidR="00D0137C">
        <w:t xml:space="preserve"> across countries</w:t>
      </w:r>
      <w:r>
        <w:t xml:space="preserve"> and in a </w:t>
      </w:r>
      <w:r w:rsidR="007D4A8D">
        <w:t>sense,</w:t>
      </w:r>
      <w:r>
        <w:t xml:space="preserve"> is encapsulated neatly in the research field of ‘geopolitics’. A huge amount of data is collected at the national level, from economic growth to press freedom to life expectancy.</w:t>
      </w:r>
    </w:p>
    <w:p w14:paraId="41F51C4C" w14:textId="17795BC6" w:rsidR="003600BE" w:rsidRDefault="003600BE" w:rsidP="004D2AF2">
      <w:r>
        <w:t xml:space="preserve">By ignoring this issue and using a single-level regression analysis on multilevel data, “the parameter estimates are </w:t>
      </w:r>
      <w:r w:rsidRPr="007D4A8D">
        <w:rPr>
          <w:rFonts w:cs="Segoe UI"/>
        </w:rPr>
        <w:t>unbiased but ineﬃcient,</w:t>
      </w:r>
      <w:r w:rsidRPr="004D2AF2">
        <w:t xml:space="preserve"> and the standard errors are negatively biased, which results in spuriously ‘signiﬁcant’ </w:t>
      </w:r>
      <w:r w:rsidR="004D2AF2">
        <w:t>effects</w:t>
      </w:r>
      <w:r>
        <w:rPr>
          <w:rFonts w:cs="Segoe UI"/>
        </w:rPr>
        <w:t>”</w:t>
      </w:r>
      <w:r>
        <w:t xml:space="preserve"> </w:t>
      </w:r>
      <w:r w:rsidR="001D1949">
        <w:fldChar w:fldCharType="begin" w:fldLock="1"/>
      </w:r>
      <w:r w:rsidR="00E63CC6">
        <w:instrText>ADDIN CSL_CITATION { "citationItems" : [ { "id" : "ITEM-1", "itemData" : { "DOI" : "10.1046/j.0039-0402.2003.00252.x", "ISSN" : "0039-0402", "author" : [ { "dropping-particle" : "", "family" : "Maas", "given" : "Cora J. M.", "non-dropping-particle" : "", "parse-names" : false, "suffix" : "" }, { "dropping-particle" : "", "family" : "Hox", "given" : "Joop J.", "non-dropping-particle" : "", "parse-names" : false, "suffix" : "" } ], "container-title" : "Statistica Neerlandica", "id" : "ITEM-1", "issue" : "2", "issued" : { "date-parts" : [ [ "2004", "5" ] ] }, "page" : "127-137", "title" : "Robustness issues in multilevel regression analysis", "type" : "article-journal", "volume" : "58" }, "uris" : [ "http://www.mendeley.com/documents/?uuid=8a6a7f4f-8c17-4144-a4cf-929cf353c0ee" ] } ], "mendeley" : { "formattedCitation" : "(Maas and Hox, 2004)", "manualFormatting" : "(Maas &amp; Hox 2004, p.128)", "plainTextFormattedCitation" : "(Maas and Hox, 2004)", "previouslyFormattedCitation" : "(Maas and Hox, 2004)" }, "properties" : { "noteIndex" : 0 }, "schema" : "https://github.com/citation-style-language/schema/raw/master/csl-citation.json" }</w:instrText>
      </w:r>
      <w:r w:rsidR="001D1949">
        <w:fldChar w:fldCharType="separate"/>
      </w:r>
      <w:r w:rsidR="001D1949" w:rsidRPr="001D1949">
        <w:rPr>
          <w:noProof/>
        </w:rPr>
        <w:t>(Maas &amp; Hox 2004</w:t>
      </w:r>
      <w:r w:rsidR="001D1949">
        <w:rPr>
          <w:noProof/>
        </w:rPr>
        <w:t>, p.128</w:t>
      </w:r>
      <w:r w:rsidR="001D1949" w:rsidRPr="001D1949">
        <w:rPr>
          <w:noProof/>
        </w:rPr>
        <w:t>)</w:t>
      </w:r>
      <w:r w:rsidR="001D1949">
        <w:fldChar w:fldCharType="end"/>
      </w:r>
      <w:r w:rsidR="001D1949">
        <w:t>.</w:t>
      </w:r>
    </w:p>
    <w:p w14:paraId="2FA4B001" w14:textId="1C7A347A" w:rsidR="003419C0" w:rsidRDefault="00857090" w:rsidP="004D2AF2">
      <w:r>
        <w:t>M</w:t>
      </w:r>
      <w:r w:rsidR="003600BE">
        <w:t>y statistical approach to analysing the characteristics of individuals and their understanding of democracy cannot assume</w:t>
      </w:r>
      <w:r w:rsidR="004D2AF2">
        <w:t xml:space="preserve"> that</w:t>
      </w:r>
      <w:r w:rsidR="00D0137C">
        <w:t>,</w:t>
      </w:r>
      <w:r w:rsidR="004D2AF2">
        <w:t xml:space="preserve"> </w:t>
      </w:r>
      <w:r w:rsidR="003600BE">
        <w:t>across the entire dataset</w:t>
      </w:r>
      <w:r w:rsidR="00D0137C">
        <w:t>,</w:t>
      </w:r>
      <w:r w:rsidR="003600BE">
        <w:t xml:space="preserve"> these individuals are a completely randomised selection. There is an important grouping within the data that must be accounted for. Not only should this be accounted for in principle, but by accounting for it I am then able to test what characteristics at this level are also having an effect. This is where multilevel modelling (MLM) steps in.</w:t>
      </w:r>
      <w:bookmarkStart w:id="299" w:name="_Toc393447155"/>
      <w:r w:rsidR="00F50C02">
        <w:t xml:space="preserve"> Also called hierarchical</w:t>
      </w:r>
      <w:r w:rsidR="003600BE">
        <w:t xml:space="preserve"> modelling, MLM is becoming the standard in research that uses such data structures with multiple levels </w:t>
      </w:r>
      <w:r w:rsidR="003666B6">
        <w:fldChar w:fldCharType="begin" w:fldLock="1"/>
      </w:r>
      <w:r w:rsidR="00E63CC6">
        <w:instrText>ADDIN CSL_CITATION { "citationItems" : [ { "id" : "ITEM-1", "itemData" : { "author" : [ { "dropping-particle" : "", "family" : "Grasso", "given" : "Maria T.", "non-dropping-particle" : "", "parse-names" : false, "suffix" : "" } ], "id" : "ITEM-1", "issued" : { "date-parts" : [ [ "2016" ] ] }, "publisher" : "Routledge", "publisher-place" : "London", "title" : "Generations, Political Participation and Social Change in Western Europe", "type" : "book" }, "uris" : [ "http://www.mendeley.com/documents/?uuid=25cb3826-b3da-40c9-b255-967eaa538d0c" ] }, { "id" : "ITEM-2", "itemData" : { "DOI" : "10.1016/j.electstud.2013.06.003", "ISSN" : "02613794", "author" : [ { "dropping-particle" : "", "family" : "Grasso", "given" : "Maria T.", "non-dropping-particle" : "", "parse-names" : false, "suffix" : "" } ], "container-title" : "Electoral Studies", "id" : "ITEM-2", "issued" : { "date-parts" : [ [ "2014", "3" ] ] }, "page" : "63-76", "publisher" : "Elsevier Ltd", "title" : "Age, period and cohort analysis in a comparative context: Political generations and political participation repertoires in Western Europe", "type" : "article-journal", "volume" : "33" }, "uris" : [ "http://www.mendeley.com/documents/?uuid=7dfebb4a-f982-4aa8-9938-208c9f420340" ] } ], "mendeley" : { "formattedCitation" : "(Grasso, 2014, 2016)", "manualFormatting" : "(some social science examples include Grasso 2016; Grasso 2014", "plainTextFormattedCitation" : "(Grasso, 2014, 2016)", "previouslyFormattedCitation" : "(Grasso, 2014, 2016)" }, "properties" : { "noteIndex" : 0 }, "schema" : "https://github.com/citation-style-language/schema/raw/master/csl-citation.json" }</w:instrText>
      </w:r>
      <w:r w:rsidR="003666B6">
        <w:fldChar w:fldCharType="separate"/>
      </w:r>
      <w:r w:rsidR="003666B6" w:rsidRPr="003666B6">
        <w:rPr>
          <w:noProof/>
        </w:rPr>
        <w:t>(</w:t>
      </w:r>
      <w:r w:rsidR="003666B6">
        <w:rPr>
          <w:noProof/>
        </w:rPr>
        <w:t xml:space="preserve">some social science examples include </w:t>
      </w:r>
      <w:r w:rsidR="003666B6" w:rsidRPr="003666B6">
        <w:rPr>
          <w:noProof/>
        </w:rPr>
        <w:t>Grasso 2016; Grasso 2014</w:t>
      </w:r>
      <w:r w:rsidR="003666B6">
        <w:fldChar w:fldCharType="end"/>
      </w:r>
      <w:r w:rsidR="003666B6">
        <w:t>;</w:t>
      </w:r>
      <w:r w:rsidR="003419C0">
        <w:t xml:space="preserve"> </w:t>
      </w:r>
      <w:r w:rsidR="003419C0">
        <w:fldChar w:fldCharType="begin" w:fldLock="1"/>
      </w:r>
      <w:r w:rsidR="00E63CC6">
        <w:instrText>ADDIN CSL_CITATION { "citationItems" : [ { "id" : "ITEM-1", "itemData" : { "author" : [ { "dropping-particle" : "", "family" : "Keller", "given" : "Smith", "non-dropping-particle" : "", "parse-names" : false, "suffix" : "" } ], "container-title" : "Studia UBB Sociologia", "id" : "ITEM-1", "issue" : "1", "issued" : { "date-parts" : [ [ "2013" ] ] }, "page" : "55-68", "title" : "Elite Attitudes, Mass Nationalism and European integration: A Multi-level Approach", "type" : "article-journal", "volume" : "LVIII" }, "uris" : [ "http://www.mendeley.com/documents/?uuid=bbaa00ca-9a1c-4ef8-b221-5894c4f3ffad" ] }, { "id" : "ITEM-2", "itemData" : { "author" : [ { "dropping-particle" : "", "family" : "Persson", "given" : "Mikael", "non-dropping-particle" : "", "parse-names" : false, "suffix" : "" } ], "container-title" : "Journal of Elections, Public Opinion &amp; Parties", "id" : "ITEM-2", "issue" : "2", "issued" : { "date-parts" : [ [ "2012" ] ] }, "page" : "111-133", "title" : "Journal of Elections , Public Opinion &amp; Parties Is the Effect of Education on Voter Turnout Absolute or Relative ? A Multi-level Analysis of 37 Countries", "type" : "article-journal", "volume" : "23" }, "uris" : [ "http://www.mendeley.com/documents/?uuid=98ad39de-1479-49b6-9c1b-ab64897ee479" ] }, { "id" : "ITEM-3", "itemData" : { "DOI" : "10.1111/j.1469-8129.2011.00532.x", "ISSN" : "13545078", "author" : [ { "dropping-particle" : "", "family" : "Ariely", "given" : "Gal", "non-dropping-particle" : "", "parse-names" : false, "suffix" : "" } ], "container-title" : "Nations and Nationalism", "id" : "ITEM-3", "issue" : "3", "issued" : { "date-parts" : [ [ "2012", "7", "10" ] ] }, "page" : "461-482", "title" : "Globalisation and the decline of national identity? An exploration across sixty-three countries", "type" : "article-journal", "volume" : "18" }, "uris" : [ "http://www.mendeley.com/documents/?uuid=634dcfb6-dc29-4a65-9ba9-5a7271c903da" ] }, { "id" : "ITEM-4", "itemData" : { "author" : [ { "dropping-particle" : "", "family" : "Canache", "given" : "D", "non-dropping-particle" : "", "parse-names" : false, "suffix" : "" }, { "dropping-particle" : "", "family" : "Mondak", "given" : "Jeffery J", "non-dropping-particle" : "", "parse-names" : false, "suffix" : "" }, { "dropping-particle" : "", "family" : "Seligson", "given" : "Mitchell A", "non-dropping-particle" : "", "parse-names" : false, "suffix" : "" } ], "container-title" : "Public Opinion Quarterly", "id" : "ITEM-4", "issued" : { "date-parts" : [ [ "2001" ] ] }, "page" : "506-528", "title" : "Meaning and Measurement in Cross-National Research on Satisfaction with Dremocracy", "type" : "article-journal", "volume" : "65" }, "uris" : [ "http://www.mendeley.com/documents/?uuid=25e67e16-65e7-4431-ad90-506c4852bf33" ] }, { "id" : "ITEM-5", "itemData" : { "DOI" : "10.1177/0192512110382016", "abstract" : "As voter turnout is steadily declining in western democracies, various authors have expressed concern about the stratification in electoral participation that this trend might entail. Some research suggests that specific categories of potential voters refrain from voting, leading to the electoral dominance of more privileged groups within the population. In this article, we investigate whether systems of compulsory voting are associated with more equal participation in elections. We study 36 countries that participated in the 2004 International Social Survey Programme. The analysis shows that compulsory voting is associated with higher turnout rates, but we do not observe any significant differences in electoral participation based on gender or educational level. However, we find a significant interaction effect between age and compulsory voting, suggesting that young age cohorts are unlikely to be affected by the dynamics of the civic duty argument that is inherent in systems of compulsory voting.", "author" : [ { "dropping-particle" : "", "family" : "Quintelier", "given" : "Ellen", "non-dropping-particle" : "", "parse-names" : false, "suffix" : "" }, { "dropping-particle" : "", "family" : "Hooghe", "given" : "Marc", "non-dropping-particle" : "", "parse-names" : false, "suffix" : "" }, { "dropping-particle" : "", "family" : "Marien", "given" : "Sofie", "non-dropping-particle" : "", "parse-names" : false, "suffix" : "" } ], "container-title" : "International Political Science Review", "id" : "ITEM-5", "issue" : "4", "issued" : { "date-parts" : [ [ "2011", "9" ] ] }, "page" : "396-416", "title" : "The Effect of Compulsory Voting on Turnout Stratification Patterns: A Cross-national Analysis", "type" : "article-journal", "volume" : "32" }, "uris" : [ "http://www.mendeley.com/documents/?uuid=1552baa3-0ba3-445f-9250-d29d7f702eeb" ] }, { "id" : "ITEM-6", "itemData" : { "DOI" : "10.1111/j.1467-9248.2009.00801.x", "ISSN" : "00323217", "author" : [ { "dropping-particle" : "", "family" : "Marien", "given" : "Sofie", "non-dropping-particle" : "", "parse-names" : false, "suffix" : "" }, { "dropping-particle" : "", "family" : "Hooghe", "given" : "Marc", "non-dropping-particle" : "", "parse-names" : false, "suffix" : "" }, { "dropping-particle" : "", "family" : "Quintelier", "given" : "Ellen", "non-dropping-particle" : "", "parse-names" : false, "suffix" : "" } ], "container-title" : "Political Studies", "id" : "ITEM-6", "issue" : "1", "issued" : { "date-parts" : [ [ "2010", "2" ] ] }, "page" : "187-213", "title" : "Inequalities in Non-institutionalised Forms of Political Participation: A Multi-level Analysis of 25 countries", "type" : "article-journal", "volume" : "58" }, "uris" : [ "http://www.mendeley.com/documents/?uuid=a7bdbe87-38c2-43f0-aabb-006c84961785" ] }, { "id" : "ITEM-7", "itemData" : { "DOI" : "10.2307/4148059", "ISSN" : "10659129", "abstract" : "Previous research, using standard regression analyses, suggests that national context affects citizens' satisfaction with democracy. We note that these standard techniques are inappropriate for examining the interaction between national and individual-level data, and we show empirically that these techniques have in fact led to severely biased findings in past studies. We therefore utilize a multi-level model to reassess existing theoretical claims. We find support for the claim that a consensual political system reduces the difference in democratic satisfaction between winners and losers. We do not find support, however, for existing arguments that citizen satisfaction is influenced by economic growth, corruption, democratic longevity, or changes in political freedoms. More generally, we argue that the bias produced by traditional statistical techniques is so severe that scholars must discontinue their use in future research.", "author" : [ { "dropping-particle" : "", "family" : "Wells", "given" : "Jason M", "non-dropping-particle" : "", "parse-names" : false, "suffix" : "" }, { "dropping-particle" : "", "family" : "Krieckhaus", "given" : "Jonathan", "non-dropping-particle" : "", "parse-names" : false, "suffix" : "" } ], "container-title" : "Political Research Quarterly", "id" : "ITEM-7", "issue" : "4", "issued" : { "date-parts" : [ [ "2006" ] ] }, "page" : "569-578", "publisher" : "Sage Publications, Inc. on behalf of the University of Utah", "title" : "Does National Context Influence Democratic Satisfaction? A Multi-Level Analysis", "type" : "article-journal", "volume" : "59" }, "uris" : [ "http://www.mendeley.com/documents/?uuid=fbb97fe8-ee31-4ac7-9240-2731bffab19f" ] }, { "id" : "ITEM-8", "itemData" : { "author" : [ { "dropping-particle" : "", "family" : "Steenbergen", "given" : "Marco R.", "non-dropping-particle" : "", "parse-names" : false, "suffix" : "" }, { "dropping-particle" : "", "family" : "Jones", "given" : "BS", "non-dropping-particle" : "", "parse-names" : false, "suffix" : "" } ], "container-title" : "American Journal of Political Science", "id" : "ITEM-8", "issue" : "1", "issued" : { "date-parts" : [ [ "2002" ] ] }, "page" : "218-237", "title" : "Modeling Multilevel Data Structures", "type" : "article-journal", "volume" : "46" }, "uris" : [ "http://www.mendeley.com/documents/?uuid=e1d7d970-7b59-43e5-ba9a-b13a1fd88d84" ] } ], "mendeley" : { "formattedCitation" : "(Canache, Mondak and Seligson, 2001; Steenbergen and Jones, 2002; Wells and Krieckhaus, 2006; Marien, Hooghe and Quintelier, 2010; Quintelier, Hooghe and Marien, 2011; Ariely, 2012; Persson, 2012; Keller, 2013)", "manualFormatting" : "Keller 2013; Semyonov et al. 2013; Dahl &amp; van der Wel 2013; Persson 2012; Ariely 2012; Quintelier et al. 2011; Huijts et al. 2011; Marien et al. 2010; Wells &amp; Krieckhaus 2006; Steenbergen &amp; Jones 2002; Canche et al. 2001", "plainTextFormattedCitation" : "(Canache, Mondak and Seligson, 2001; Steenbergen and Jones, 2002; Wells and Krieckhaus, 2006; Marien, Hooghe and Quintelier, 2010; Quintelier, Hooghe and Marien, 2011; Ariely, 2012; Persson, 2012; Keller, 2013)", "previouslyFormattedCitation" : "(Canache, Mondak and Seligson, 2001; Steenbergen and Jones, 2002; Wells and Krieckhaus, 2006; Marien, Hooghe and Quintelier, 2010; Quintelier, Hooghe and Marien, 2011; Ariely, 2012; Persson, 2012; Keller, 2013)" }, "properties" : { "noteIndex" : 0 }, "schema" : "https://github.com/citation-style-language/schema/raw/master/csl-citation.json" }</w:instrText>
      </w:r>
      <w:r w:rsidR="003419C0">
        <w:fldChar w:fldCharType="separate"/>
      </w:r>
      <w:r w:rsidR="003419C0" w:rsidRPr="003419C0">
        <w:rPr>
          <w:noProof/>
        </w:rPr>
        <w:t xml:space="preserve">Keller 2013; Semyonov </w:t>
      </w:r>
      <w:r w:rsidR="00803848">
        <w:rPr>
          <w:noProof/>
        </w:rPr>
        <w:t>et al</w:t>
      </w:r>
      <w:r w:rsidR="003419C0" w:rsidRPr="003419C0">
        <w:rPr>
          <w:noProof/>
        </w:rPr>
        <w:t>. 2013</w:t>
      </w:r>
      <w:r w:rsidR="003419C0">
        <w:rPr>
          <w:noProof/>
        </w:rPr>
        <w:t xml:space="preserve">; </w:t>
      </w:r>
      <w:r w:rsidR="003419C0" w:rsidRPr="003419C0">
        <w:rPr>
          <w:noProof/>
        </w:rPr>
        <w:t>Dahl &amp; van der Wel 2013;</w:t>
      </w:r>
      <w:r w:rsidR="003419C0">
        <w:rPr>
          <w:noProof/>
        </w:rPr>
        <w:t xml:space="preserve"> </w:t>
      </w:r>
      <w:r w:rsidR="003419C0" w:rsidRPr="003419C0">
        <w:rPr>
          <w:noProof/>
        </w:rPr>
        <w:t xml:space="preserve">Persson 2012; Ariely 2012; Quintelier </w:t>
      </w:r>
      <w:r w:rsidR="00803848">
        <w:rPr>
          <w:noProof/>
        </w:rPr>
        <w:t>et al</w:t>
      </w:r>
      <w:r w:rsidR="003419C0" w:rsidRPr="003419C0">
        <w:rPr>
          <w:noProof/>
        </w:rPr>
        <w:t xml:space="preserve">. 2011; Huijts </w:t>
      </w:r>
      <w:r w:rsidR="00803848">
        <w:rPr>
          <w:noProof/>
        </w:rPr>
        <w:t>et al</w:t>
      </w:r>
      <w:r w:rsidR="003419C0" w:rsidRPr="003419C0">
        <w:rPr>
          <w:noProof/>
        </w:rPr>
        <w:t>. 2011;</w:t>
      </w:r>
      <w:r w:rsidR="003419C0">
        <w:rPr>
          <w:noProof/>
        </w:rPr>
        <w:t xml:space="preserve"> </w:t>
      </w:r>
      <w:r w:rsidR="003419C0" w:rsidRPr="003419C0">
        <w:rPr>
          <w:noProof/>
        </w:rPr>
        <w:t xml:space="preserve">Marien </w:t>
      </w:r>
      <w:r w:rsidR="00803848">
        <w:rPr>
          <w:noProof/>
        </w:rPr>
        <w:t>et al</w:t>
      </w:r>
      <w:r w:rsidR="003419C0" w:rsidRPr="003419C0">
        <w:rPr>
          <w:noProof/>
        </w:rPr>
        <w:t xml:space="preserve">. 2010; Wells &amp; Krieckhaus 2006; Steenbergen &amp; Jones 2002; Canche </w:t>
      </w:r>
      <w:r w:rsidR="00803848">
        <w:rPr>
          <w:noProof/>
        </w:rPr>
        <w:t>et al</w:t>
      </w:r>
      <w:r w:rsidR="003419C0" w:rsidRPr="003419C0">
        <w:rPr>
          <w:noProof/>
        </w:rPr>
        <w:t>. 2001</w:t>
      </w:r>
      <w:r w:rsidR="003419C0">
        <w:fldChar w:fldCharType="end"/>
      </w:r>
      <w:r w:rsidR="003419C0">
        <w:fldChar w:fldCharType="begin" w:fldLock="1"/>
      </w:r>
      <w:r w:rsidR="00E63CC6">
        <w:instrText>ADDIN CSL_CITATION { "citationItems" : [ { "id" : "ITEM-1", "itemData" : { "DOI" : "10.1093/esr/jcr037", "ISSN" : "0266-7215", "author" : [ { "dropping-particle" : "", "family" : "Huijts", "given" : "T.", "non-dropping-particle" : "", "parse-names" : false, "suffix" : "" }, { "dropping-particle" : "", "family" : "Kraaykamp", "given" : "G.", "non-dropping-particle" : "", "parse-names" : false, "suffix" : "" }, { "dropping-particle" : "V.", "family" : "Subramanian", "given" : "S.", "non-dropping-particle" : "", "parse-names" : false, "suffix" : "" } ], "container-title" : "European Sociological Review", "id" : "ITEM-1", "issue" : "1", "issued" : { "date-parts" : [ [ "2011", "5", "12" ] ] }, "page" : "32-47", "title" : "Childlessness and Psychological Well-Being in Context: A Multilevel Study on 24 European Countries", "type" : "article-journal", "volume" : "29" }, "uris" : [ "http://www.mendeley.com/documents/?uuid=fd91abef-776f-4f40-bab5-e52b7ee32d49" ] }, { "id" : "ITEM-2", "itemData" : { "DOI" : "10.1016/j.socscimed.2012.12.010", "ISSN" : "1873-5347", "PMID" : "23305722", "abstract" : "A puzzle in comparative health inequality research is the finding that egalitarian welfare states do not necessarily demonstrate narrow health inequalities. This paper interrogates into this puzzle by moving beyond welfare regimes to examine how welfare spending affect inequalities in self-rated across Europe. We operationalise welfare spending in four different ways and compare both absolute and relative health inequalities, as well as the level of poor self-rated health in the low education group across varying levels of social spending. The paper employs data from the EU Statistics of Income and Living Conditions (EU-SILC) and includes a sample of approximately 245,000 individuals aged 25-80+ years from 18 European countries. The data were examined by means of gender stratified multilevel logistic regression analyses. The results show that social expenditures are associated with lower health inequalities among women and, to a lesser degree, among men. Especially those with primary education benefit from high social transfers as compared with those who have tertiary education. This means that lower educational inequalities in health - in absolute and relative terms- are linked to higher social spending. The four different operationalisations of social spending produce similar patterns.", "author" : [ { "dropping-particle" : "", "family" : "Dahl", "given" : "Espen", "non-dropping-particle" : "", "parse-names" : false, "suffix" : "" }, { "dropping-particle" : "", "family" : "Wel", "given" : "Kjetil a", "non-dropping-particle" : "van der", "parse-names" : false, "suffix" : "" } ], "container-title" : "Social science &amp; medicine", "id" : "ITEM-2", "issue" : "1", "issued" : { "date-parts" : [ [ "2013", "3" ] ] }, "page" : "60-9", "publisher" : "Elsevier Ltd", "title" : "Educational inequalities in health in European welfare states: a social expenditure approach.", "type" : "article-journal", "volume" : "81" }, "uris" : [ "http://www.mendeley.com/documents/?uuid=6569d302-797e-4bb9-82ad-fe3e9de37309" ] }, { "id" : "ITEM-3", "itemData" : { "DOI" : "10.1016/j.socscimed.2013.01.010", "ISSN" : "1873-5347", "PMID" : "23422055", "abstract" : "Researchers have long demonstrated that persons of high economic status are likely to be healthier than persons of low socioeconomic standing. Cross-national studies have also demonstrated that health of the population tends to increase with country's level of economic development and to decline with level of economic inequality. The present research utilizes data for 16 national samples (of populations fifty years of age and over) to examine whether the relationship between wealth and health at the individual-level is systematically associated with country's level of economic development and country's level of income inequality. The analysis reveals that in all countries rich persons tend to be healthier than poor persons. Furthermore, in all countries the positive association between wealth and health holds even after controlling for socio-demographic attributes and household income. Hierarchical regression analysis leads to two major conclusions: first, country's economic resources increase average health of the population but do not weaken the tie between wealth and health; second, a more equal distribution of economic resources (greater egalitarianism) does not raise health levels of the population but weakens the tie between wealth and health. The latter findings can be mostly attributed to the uniqueness of the US case. The findings and their significance are discussed in light of previous research and theory.", "author" : [ { "dropping-particle" : "", "family" : "Semyonov", "given" : "Moshe", "non-dropping-particle" : "", "parse-names" : false, "suffix" : "" }, { "dropping-particle" : "", "family" : "Lewin-Epstein", "given" : "Noah", "non-dropping-particle" : "", "parse-names" : false, "suffix" : "" }, { "dropping-particle" : "", "family" : "Maskileyson", "given" : "Dina", "non-dropping-particle" : "", "parse-names" : false, "suffix" : "" } ], "container-title" : "Social science &amp; medicine", "id" : "ITEM-3", "issue" : "1", "issued" : { "date-parts" : [ [ "2013", "3" ] ] }, "page" : "10-7", "publisher" : "Elsevier Ltd", "title" : "Where wealth matters more for health: the wealth-health gradient in 16 countries.", "type" : "article-journal", "volume" : "81" }, "uris" : [ "http://www.mendeley.com/documents/?uuid=c795e355-474e-4e80-9ec4-0dec07e84793" ] } ], "mendeley" : { "formattedCitation" : "(Huijts, Kraaykamp and Subramanian, 2011; Dahl and van der Wel, 2013; Semyonov, Lewin-Epstein and Maskileyson, 2013)", "manualFormatting" : ")", "plainTextFormattedCitation" : "(Huijts, Kraaykamp and Subramanian, 2011; Dahl and van der Wel, 2013; Semyonov, Lewin-Epstein and Maskileyson, 2013)", "previouslyFormattedCitation" : "(Huijts, Kraaykamp and Subramanian, 2011; Dahl and van der Wel, 2013; Semyonov, Lewin-Epstein and Maskileyson, 2013)" }, "properties" : { "noteIndex" : 0 }, "schema" : "https://github.com/citation-style-language/schema/raw/master/csl-citation.json" }</w:instrText>
      </w:r>
      <w:r w:rsidR="003419C0">
        <w:fldChar w:fldCharType="separate"/>
      </w:r>
      <w:r w:rsidR="003419C0" w:rsidRPr="003419C0">
        <w:rPr>
          <w:noProof/>
        </w:rPr>
        <w:t>)</w:t>
      </w:r>
      <w:r w:rsidR="003419C0">
        <w:fldChar w:fldCharType="end"/>
      </w:r>
      <w:r w:rsidR="003419C0">
        <w:t>.</w:t>
      </w:r>
    </w:p>
    <w:p w14:paraId="319A359C" w14:textId="77777777" w:rsidR="003600BE" w:rsidRDefault="003600BE" w:rsidP="002032DF">
      <w:pPr>
        <w:pStyle w:val="Heading3"/>
        <w:numPr>
          <w:ilvl w:val="2"/>
          <w:numId w:val="16"/>
        </w:numPr>
        <w:spacing w:line="268" w:lineRule="auto"/>
      </w:pPr>
      <w:bookmarkStart w:id="300" w:name="_Toc441069242"/>
      <w:r>
        <w:t>How Multilevel Regression Modelling Works</w:t>
      </w:r>
      <w:bookmarkEnd w:id="299"/>
      <w:bookmarkEnd w:id="300"/>
    </w:p>
    <w:p w14:paraId="04077CDD" w14:textId="60267C76" w:rsidR="003600BE" w:rsidRDefault="003600BE" w:rsidP="003600BE">
      <w:pPr>
        <w:jc w:val="both"/>
        <w:rPr>
          <w:szCs w:val="24"/>
        </w:rPr>
      </w:pPr>
      <w:r>
        <w:rPr>
          <w:szCs w:val="24"/>
        </w:rPr>
        <w:t xml:space="preserve">MLM is </w:t>
      </w:r>
      <w:r w:rsidR="007328C7">
        <w:rPr>
          <w:szCs w:val="24"/>
        </w:rPr>
        <w:t>a</w:t>
      </w:r>
      <w:r>
        <w:rPr>
          <w:szCs w:val="24"/>
        </w:rPr>
        <w:t xml:space="preserve"> way of extending ordinary regression</w:t>
      </w:r>
      <w:r w:rsidR="001D1949">
        <w:rPr>
          <w:szCs w:val="24"/>
        </w:rPr>
        <w:t xml:space="preserve"> </w:t>
      </w:r>
      <w:r w:rsidR="001D1949">
        <w:rPr>
          <w:szCs w:val="24"/>
        </w:rPr>
        <w:fldChar w:fldCharType="begin" w:fldLock="1"/>
      </w:r>
      <w:r w:rsidR="00E63CC6">
        <w:rPr>
          <w:szCs w:val="24"/>
        </w:rPr>
        <w:instrText>ADDIN CSL_CITATION { "citationItems" : [ { "id" : "ITEM-1", "itemData" : { "author" : [ { "dropping-particle" : "", "family" : "Goldstein", "given" : "Harvey", "non-dropping-particle" : "", "parse-names" : false, "suffix" : "" }, { "dropping-particle" : "", "family" : "Paterson", "given" : "L", "non-dropping-particle" : "", "parse-names" : false, "suffix" : "" } ], "container-title" : "British Educational Research Journal", "id" : "ITEM-1", "issue" : "4", "issued" : { "date-parts" : [ [ "1991" ] ] }, "page" : "387-393", "title" : "New Statistical Methods for Analysing Social Structures : An Introduction to Multilevel Models New Statistical Methods", "type" : "article-journal", "volume" : "17" }, "uris" : [ "http://www.mendeley.com/documents/?uuid=4cd5e43c-7435-40b2-8046-ec74f986b12a" ] } ], "mendeley" : { "formattedCitation" : "(Goldstein and Paterson, 1991)", "manualFormatting" : "(Goldstein &amp; Paterson 1991, p.387)", "plainTextFormattedCitation" : "(Goldstein and Paterson, 1991)", "previouslyFormattedCitation" : "(Goldstein and Paterson, 1991)" }, "properties" : { "noteIndex" : 0 }, "schema" : "https://github.com/citation-style-language/schema/raw/master/csl-citation.json" }</w:instrText>
      </w:r>
      <w:r w:rsidR="001D1949">
        <w:rPr>
          <w:szCs w:val="24"/>
        </w:rPr>
        <w:fldChar w:fldCharType="separate"/>
      </w:r>
      <w:r w:rsidR="001D1949" w:rsidRPr="001D1949">
        <w:rPr>
          <w:noProof/>
          <w:szCs w:val="24"/>
        </w:rPr>
        <w:t>(Goldstein &amp; Paterson 1991</w:t>
      </w:r>
      <w:r w:rsidR="001D1949">
        <w:rPr>
          <w:noProof/>
          <w:szCs w:val="24"/>
        </w:rPr>
        <w:t>, p.387</w:t>
      </w:r>
      <w:r w:rsidR="001D1949" w:rsidRPr="001D1949">
        <w:rPr>
          <w:noProof/>
          <w:szCs w:val="24"/>
        </w:rPr>
        <w:t>)</w:t>
      </w:r>
      <w:r w:rsidR="001D1949">
        <w:rPr>
          <w:szCs w:val="24"/>
        </w:rPr>
        <w:fldChar w:fldCharType="end"/>
      </w:r>
      <w:r w:rsidR="001D1949">
        <w:rPr>
          <w:szCs w:val="24"/>
        </w:rPr>
        <w:t xml:space="preserve">; </w:t>
      </w:r>
      <w:r>
        <w:rPr>
          <w:szCs w:val="24"/>
        </w:rPr>
        <w:t xml:space="preserve">it differs from single level regression as it fully incorporates the group clusters and their errors into the analysis. Instead of treating these groups of variance as a “nuisance”, they become interesting in their own right. Some of its earliest uses were in educational studies, where it is particularly useful </w:t>
      </w:r>
      <w:r w:rsidR="007328C7">
        <w:rPr>
          <w:szCs w:val="24"/>
        </w:rPr>
        <w:t>to separate</w:t>
      </w:r>
      <w:r>
        <w:rPr>
          <w:szCs w:val="24"/>
        </w:rPr>
        <w:t xml:space="preserve"> out the impact of the individual and the impact of the school on attainment (</w:t>
      </w:r>
      <w:r w:rsidR="00170FB9">
        <w:rPr>
          <w:szCs w:val="24"/>
        </w:rPr>
        <w:t>i</w:t>
      </w:r>
      <w:r w:rsidR="003419C0" w:rsidRPr="00170FB9">
        <w:rPr>
          <w:szCs w:val="24"/>
        </w:rPr>
        <w:t>bid</w:t>
      </w:r>
      <w:r w:rsidR="003419C0">
        <w:rPr>
          <w:i/>
          <w:szCs w:val="24"/>
        </w:rPr>
        <w:t>.</w:t>
      </w:r>
      <w:r>
        <w:rPr>
          <w:szCs w:val="24"/>
        </w:rPr>
        <w:t>).</w:t>
      </w:r>
    </w:p>
    <w:p w14:paraId="3F81AB1C" w14:textId="63A3B747" w:rsidR="007D4A8D" w:rsidRDefault="007D4A8D" w:rsidP="003600BE">
      <w:pPr>
        <w:jc w:val="both"/>
        <w:rPr>
          <w:szCs w:val="24"/>
        </w:rPr>
      </w:pPr>
    </w:p>
    <w:p w14:paraId="1ABB060C" w14:textId="1B739576" w:rsidR="007D4A8D" w:rsidRDefault="007D4A8D" w:rsidP="003600BE">
      <w:pPr>
        <w:jc w:val="both"/>
        <w:rPr>
          <w:szCs w:val="24"/>
        </w:rPr>
      </w:pPr>
    </w:p>
    <w:p w14:paraId="3C399B19" w14:textId="3E8F9D6A" w:rsidR="007D4A8D" w:rsidRDefault="007D4A8D" w:rsidP="003600BE">
      <w:pPr>
        <w:jc w:val="both"/>
        <w:rPr>
          <w:szCs w:val="24"/>
        </w:rPr>
      </w:pPr>
    </w:p>
    <w:p w14:paraId="2696B0D2" w14:textId="77777777" w:rsidR="003A5664" w:rsidRDefault="003A5664" w:rsidP="003600BE">
      <w:pPr>
        <w:jc w:val="both"/>
        <w:rPr>
          <w:szCs w:val="24"/>
        </w:rPr>
      </w:pPr>
    </w:p>
    <w:p w14:paraId="2E4DDFEF" w14:textId="0B02F37D" w:rsidR="003600BE" w:rsidRPr="003A5664" w:rsidRDefault="003600BE" w:rsidP="003600BE">
      <w:pPr>
        <w:pStyle w:val="Caption"/>
        <w:jc w:val="both"/>
        <w:rPr>
          <w:rFonts w:ascii="Segoe UI" w:hAnsi="Segoe UI" w:cs="Segoe UI"/>
          <w:i w:val="0"/>
        </w:rPr>
      </w:pPr>
      <w:bookmarkStart w:id="301" w:name="_Toc494687168"/>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5</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7D4A8D" w:rsidRPr="003A5664">
        <w:rPr>
          <w:rFonts w:ascii="Segoe UI" w:hAnsi="Segoe UI" w:cs="Segoe UI"/>
          <w:i w:val="0"/>
          <w:noProof/>
        </w:rPr>
        <w:t>3</w:t>
      </w:r>
      <w:r w:rsidR="00994662" w:rsidRPr="003A5664">
        <w:rPr>
          <w:rFonts w:ascii="Segoe UI" w:hAnsi="Segoe UI" w:cs="Segoe UI"/>
          <w:i w:val="0"/>
          <w:noProof/>
        </w:rPr>
        <w:fldChar w:fldCharType="end"/>
      </w:r>
      <w:r w:rsidRPr="003A5664">
        <w:rPr>
          <w:rFonts w:ascii="Segoe UI" w:hAnsi="Segoe UI" w:cs="Segoe UI"/>
          <w:i w:val="0"/>
        </w:rPr>
        <w:t xml:space="preserve"> Single-Level and Multi-Level data</w:t>
      </w:r>
      <w:bookmarkEnd w:id="301"/>
    </w:p>
    <w:p w14:paraId="7C94AFC2" w14:textId="35B8760D" w:rsidR="003600BE" w:rsidRDefault="003600BE" w:rsidP="003600BE">
      <w:pPr>
        <w:jc w:val="both"/>
        <w:rPr>
          <w:szCs w:val="24"/>
        </w:rPr>
      </w:pPr>
      <w:r>
        <w:rPr>
          <w:noProof/>
          <w:lang w:eastAsia="zh-CN"/>
        </w:rPr>
        <mc:AlternateContent>
          <mc:Choice Requires="wpg">
            <w:drawing>
              <wp:inline distT="0" distB="0" distL="0" distR="0" wp14:anchorId="1927DC9A" wp14:editId="50B11D28">
                <wp:extent cx="4464685" cy="2808605"/>
                <wp:effectExtent l="0" t="0" r="12065" b="1079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685" cy="2808605"/>
                          <a:chOff x="0" y="0"/>
                          <a:chExt cx="44644" cy="28083"/>
                        </a:xfrm>
                      </wpg:grpSpPr>
                      <wps:wsp>
                        <wps:cNvPr id="31" name="Rectangle 2"/>
                        <wps:cNvSpPr>
                          <a:spLocks noChangeArrowheads="1"/>
                        </wps:cNvSpPr>
                        <wps:spPr bwMode="auto">
                          <a:xfrm>
                            <a:off x="0" y="14401"/>
                            <a:ext cx="44644" cy="13682"/>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32" name="Group 3"/>
                        <wpg:cNvGrpSpPr>
                          <a:grpSpLocks/>
                        </wpg:cNvGrpSpPr>
                        <wpg:grpSpPr bwMode="auto">
                          <a:xfrm>
                            <a:off x="0" y="0"/>
                            <a:ext cx="44644" cy="26384"/>
                            <a:chOff x="0" y="0"/>
                            <a:chExt cx="44644" cy="26384"/>
                          </a:xfrm>
                        </wpg:grpSpPr>
                        <wps:wsp>
                          <wps:cNvPr id="33" name="Rectangle 4"/>
                          <wps:cNvSpPr>
                            <a:spLocks noChangeArrowheads="1"/>
                          </wps:cNvSpPr>
                          <wps:spPr bwMode="auto">
                            <a:xfrm>
                              <a:off x="0" y="3600"/>
                              <a:ext cx="44644" cy="504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 name="TextBox 3"/>
                          <wps:cNvSpPr txBox="1">
                            <a:spLocks noChangeArrowheads="1"/>
                          </wps:cNvSpPr>
                          <wps:spPr bwMode="auto">
                            <a:xfrm>
                              <a:off x="2160"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E6D0" w14:textId="77777777" w:rsidR="00C65616" w:rsidRDefault="00C65616" w:rsidP="003600BE">
                                <w:pPr>
                                  <w:pStyle w:val="NormalWeb"/>
                                  <w:spacing w:before="0" w:after="0"/>
                                </w:pPr>
                                <w:r>
                                  <w:rPr>
                                    <w:rFonts w:asciiTheme="minorHAnsi" w:hAnsi="Calibri"/>
                                    <w:color w:val="000000" w:themeColor="text1"/>
                                    <w:kern w:val="24"/>
                                    <w:szCs w:val="22"/>
                                  </w:rPr>
                                  <w:t>ST  1</w:t>
                                </w:r>
                              </w:p>
                            </w:txbxContent>
                          </wps:txbx>
                          <wps:bodyPr rot="0" vert="horz" wrap="square" lIns="91440" tIns="45720" rIns="91440" bIns="45720" anchor="t" anchorCtr="0" upright="1">
                            <a:spAutoFit/>
                          </wps:bodyPr>
                        </wps:wsp>
                        <wps:wsp>
                          <wps:cNvPr id="35" name="TextBox 5"/>
                          <wps:cNvSpPr txBox="1">
                            <a:spLocks noChangeArrowheads="1"/>
                          </wps:cNvSpPr>
                          <wps:spPr bwMode="auto">
                            <a:xfrm>
                              <a:off x="7200"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2698" w14:textId="77777777" w:rsidR="00C65616" w:rsidRDefault="00C65616" w:rsidP="003600BE">
                                <w:pPr>
                                  <w:pStyle w:val="NormalWeb"/>
                                  <w:spacing w:before="0" w:after="0"/>
                                </w:pPr>
                                <w:r>
                                  <w:rPr>
                                    <w:rFonts w:asciiTheme="minorHAnsi" w:hAnsi="Calibri"/>
                                    <w:color w:val="000000" w:themeColor="text1"/>
                                    <w:kern w:val="24"/>
                                    <w:szCs w:val="22"/>
                                  </w:rPr>
                                  <w:t>ST  2</w:t>
                                </w:r>
                              </w:p>
                            </w:txbxContent>
                          </wps:txbx>
                          <wps:bodyPr rot="0" vert="horz" wrap="square" lIns="91440" tIns="45720" rIns="91440" bIns="45720" anchor="t" anchorCtr="0" upright="1">
                            <a:spAutoFit/>
                          </wps:bodyPr>
                        </wps:wsp>
                        <wps:wsp>
                          <wps:cNvPr id="36" name="TextBox 6"/>
                          <wps:cNvSpPr txBox="1">
                            <a:spLocks noChangeArrowheads="1"/>
                          </wps:cNvSpPr>
                          <wps:spPr bwMode="auto">
                            <a:xfrm>
                              <a:off x="12241"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0B920" w14:textId="77777777" w:rsidR="00C65616" w:rsidRDefault="00C65616" w:rsidP="003600BE">
                                <w:pPr>
                                  <w:pStyle w:val="NormalWeb"/>
                                  <w:spacing w:before="0" w:after="0"/>
                                </w:pPr>
                                <w:r>
                                  <w:rPr>
                                    <w:rFonts w:asciiTheme="minorHAnsi" w:hAnsi="Calibri"/>
                                    <w:color w:val="000000" w:themeColor="text1"/>
                                    <w:kern w:val="24"/>
                                    <w:szCs w:val="22"/>
                                  </w:rPr>
                                  <w:t>ST  3</w:t>
                                </w:r>
                              </w:p>
                            </w:txbxContent>
                          </wps:txbx>
                          <wps:bodyPr rot="0" vert="horz" wrap="square" lIns="91440" tIns="45720" rIns="91440" bIns="45720" anchor="t" anchorCtr="0" upright="1">
                            <a:spAutoFit/>
                          </wps:bodyPr>
                        </wps:wsp>
                        <wps:wsp>
                          <wps:cNvPr id="37" name="TextBox 7"/>
                          <wps:cNvSpPr txBox="1">
                            <a:spLocks noChangeArrowheads="1"/>
                          </wps:cNvSpPr>
                          <wps:spPr bwMode="auto">
                            <a:xfrm>
                              <a:off x="18002"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9C021" w14:textId="77777777" w:rsidR="00C65616" w:rsidRDefault="00C65616" w:rsidP="003600BE">
                                <w:pPr>
                                  <w:pStyle w:val="NormalWeb"/>
                                  <w:spacing w:before="0" w:after="0"/>
                                </w:pPr>
                                <w:r>
                                  <w:rPr>
                                    <w:rFonts w:asciiTheme="minorHAnsi" w:hAnsi="Calibri"/>
                                    <w:color w:val="000000" w:themeColor="text1"/>
                                    <w:kern w:val="24"/>
                                    <w:szCs w:val="22"/>
                                  </w:rPr>
                                  <w:t>ST  4</w:t>
                                </w:r>
                              </w:p>
                            </w:txbxContent>
                          </wps:txbx>
                          <wps:bodyPr rot="0" vert="horz" wrap="square" lIns="91440" tIns="45720" rIns="91440" bIns="45720" anchor="t" anchorCtr="0" upright="1">
                            <a:spAutoFit/>
                          </wps:bodyPr>
                        </wps:wsp>
                        <wps:wsp>
                          <wps:cNvPr id="38" name="TextBox 8"/>
                          <wps:cNvSpPr txBox="1">
                            <a:spLocks noChangeArrowheads="1"/>
                          </wps:cNvSpPr>
                          <wps:spPr bwMode="auto">
                            <a:xfrm>
                              <a:off x="23042"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00F0" w14:textId="77777777" w:rsidR="00C65616" w:rsidRDefault="00C65616" w:rsidP="003600BE">
                                <w:pPr>
                                  <w:pStyle w:val="NormalWeb"/>
                                  <w:spacing w:before="0" w:after="0"/>
                                </w:pPr>
                                <w:r>
                                  <w:rPr>
                                    <w:rFonts w:asciiTheme="minorHAnsi" w:hAnsi="Calibri"/>
                                    <w:color w:val="000000" w:themeColor="text1"/>
                                    <w:kern w:val="24"/>
                                    <w:szCs w:val="22"/>
                                  </w:rPr>
                                  <w:t>ST 5</w:t>
                                </w:r>
                              </w:p>
                            </w:txbxContent>
                          </wps:txbx>
                          <wps:bodyPr rot="0" vert="horz" wrap="square" lIns="91440" tIns="45720" rIns="91440" bIns="45720" anchor="t" anchorCtr="0" upright="1">
                            <a:spAutoFit/>
                          </wps:bodyPr>
                        </wps:wsp>
                        <wps:wsp>
                          <wps:cNvPr id="39" name="TextBox 9"/>
                          <wps:cNvSpPr txBox="1">
                            <a:spLocks noChangeArrowheads="1"/>
                          </wps:cNvSpPr>
                          <wps:spPr bwMode="auto">
                            <a:xfrm>
                              <a:off x="28083"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551B" w14:textId="77777777" w:rsidR="00C65616" w:rsidRDefault="00C65616" w:rsidP="003600BE">
                                <w:pPr>
                                  <w:pStyle w:val="NormalWeb"/>
                                  <w:spacing w:before="0" w:after="0"/>
                                </w:pPr>
                                <w:r>
                                  <w:rPr>
                                    <w:rFonts w:asciiTheme="minorHAnsi" w:hAnsi="Calibri"/>
                                    <w:color w:val="000000" w:themeColor="text1"/>
                                    <w:kern w:val="24"/>
                                    <w:szCs w:val="22"/>
                                  </w:rPr>
                                  <w:t>ST  6</w:t>
                                </w:r>
                              </w:p>
                            </w:txbxContent>
                          </wps:txbx>
                          <wps:bodyPr rot="0" vert="horz" wrap="square" lIns="91440" tIns="45720" rIns="91440" bIns="45720" anchor="t" anchorCtr="0" upright="1">
                            <a:spAutoFit/>
                          </wps:bodyPr>
                        </wps:wsp>
                        <wps:wsp>
                          <wps:cNvPr id="40" name="TextBox 10"/>
                          <wps:cNvSpPr txBox="1">
                            <a:spLocks noChangeArrowheads="1"/>
                          </wps:cNvSpPr>
                          <wps:spPr bwMode="auto">
                            <a:xfrm>
                              <a:off x="31683"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3B48" w14:textId="77777777" w:rsidR="00C65616" w:rsidRDefault="00C65616" w:rsidP="003600BE">
                                <w:pPr>
                                  <w:pStyle w:val="NormalWeb"/>
                                  <w:spacing w:before="0" w:after="0"/>
                                </w:pPr>
                                <w:r>
                                  <w:rPr>
                                    <w:rFonts w:asciiTheme="minorHAnsi" w:hAnsi="Calibri"/>
                                    <w:color w:val="000000" w:themeColor="text1"/>
                                    <w:kern w:val="24"/>
                                    <w:szCs w:val="22"/>
                                  </w:rPr>
                                  <w:t>ST  7</w:t>
                                </w:r>
                              </w:p>
                            </w:txbxContent>
                          </wps:txbx>
                          <wps:bodyPr rot="0" vert="horz" wrap="square" lIns="91440" tIns="45720" rIns="91440" bIns="45720" anchor="t" anchorCtr="0" upright="1">
                            <a:spAutoFit/>
                          </wps:bodyPr>
                        </wps:wsp>
                        <wps:wsp>
                          <wps:cNvPr id="41" name="TextBox 11"/>
                          <wps:cNvSpPr txBox="1">
                            <a:spLocks noChangeArrowheads="1"/>
                          </wps:cNvSpPr>
                          <wps:spPr bwMode="auto">
                            <a:xfrm>
                              <a:off x="36724" y="5040"/>
                              <a:ext cx="528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361D" w14:textId="77777777" w:rsidR="00C65616" w:rsidRDefault="00C65616" w:rsidP="003600BE">
                                <w:pPr>
                                  <w:pStyle w:val="NormalWeb"/>
                                  <w:spacing w:before="0" w:after="0"/>
                                </w:pPr>
                                <w:r>
                                  <w:rPr>
                                    <w:rFonts w:asciiTheme="minorHAnsi" w:hAnsi="Calibri"/>
                                    <w:color w:val="000000" w:themeColor="text1"/>
                                    <w:kern w:val="24"/>
                                    <w:szCs w:val="22"/>
                                  </w:rPr>
                                  <w:t>ST  8</w:t>
                                </w:r>
                              </w:p>
                            </w:txbxContent>
                          </wps:txbx>
                          <wps:bodyPr rot="0" vert="horz" wrap="square" lIns="91440" tIns="45720" rIns="91440" bIns="45720" anchor="t" anchorCtr="0" upright="1">
                            <a:spAutoFit/>
                          </wps:bodyPr>
                        </wps:wsp>
                        <wps:wsp>
                          <wps:cNvPr id="42" name="TextBox 13"/>
                          <wps:cNvSpPr txBox="1">
                            <a:spLocks noChangeArrowheads="1"/>
                          </wps:cNvSpPr>
                          <wps:spPr bwMode="auto">
                            <a:xfrm>
                              <a:off x="1440" y="23762"/>
                              <a:ext cx="504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1EC8" w14:textId="77777777" w:rsidR="00C65616" w:rsidRDefault="00C65616" w:rsidP="003600BE">
                                <w:pPr>
                                  <w:pStyle w:val="NormalWeb"/>
                                  <w:spacing w:before="0" w:after="0"/>
                                </w:pPr>
                                <w:r>
                                  <w:rPr>
                                    <w:rFonts w:asciiTheme="minorHAnsi" w:hAnsi="Calibri"/>
                                    <w:color w:val="000000" w:themeColor="text1"/>
                                    <w:kern w:val="24"/>
                                    <w:szCs w:val="22"/>
                                  </w:rPr>
                                  <w:t>ST  1</w:t>
                                </w:r>
                              </w:p>
                            </w:txbxContent>
                          </wps:txbx>
                          <wps:bodyPr rot="0" vert="horz" wrap="square" lIns="91440" tIns="45720" rIns="91440" bIns="45720" anchor="t" anchorCtr="0" upright="1">
                            <a:spAutoFit/>
                          </wps:bodyPr>
                        </wps:wsp>
                        <wps:wsp>
                          <wps:cNvPr id="46" name="TextBox 14"/>
                          <wps:cNvSpPr txBox="1">
                            <a:spLocks noChangeArrowheads="1"/>
                          </wps:cNvSpPr>
                          <wps:spPr bwMode="auto">
                            <a:xfrm>
                              <a:off x="6480" y="23762"/>
                              <a:ext cx="503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5C8AF" w14:textId="77777777" w:rsidR="00C65616" w:rsidRDefault="00C65616" w:rsidP="003600BE">
                                <w:pPr>
                                  <w:pStyle w:val="NormalWeb"/>
                                  <w:spacing w:before="0" w:after="0"/>
                                </w:pPr>
                                <w:r>
                                  <w:rPr>
                                    <w:rFonts w:asciiTheme="minorHAnsi" w:hAnsi="Calibri"/>
                                    <w:color w:val="000000" w:themeColor="text1"/>
                                    <w:kern w:val="24"/>
                                    <w:szCs w:val="22"/>
                                  </w:rPr>
                                  <w:t>ST  2</w:t>
                                </w:r>
                              </w:p>
                            </w:txbxContent>
                          </wps:txbx>
                          <wps:bodyPr rot="0" vert="horz" wrap="square" lIns="91440" tIns="45720" rIns="91440" bIns="45720" anchor="t" anchorCtr="0" upright="1">
                            <a:spAutoFit/>
                          </wps:bodyPr>
                        </wps:wsp>
                        <wps:wsp>
                          <wps:cNvPr id="47" name="TextBox 15"/>
                          <wps:cNvSpPr txBox="1">
                            <a:spLocks noChangeArrowheads="1"/>
                          </wps:cNvSpPr>
                          <wps:spPr bwMode="auto">
                            <a:xfrm>
                              <a:off x="11521" y="23762"/>
                              <a:ext cx="5048"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AE90" w14:textId="77777777" w:rsidR="00C65616" w:rsidRDefault="00C65616" w:rsidP="003600BE">
                                <w:pPr>
                                  <w:pStyle w:val="NormalWeb"/>
                                  <w:spacing w:before="0" w:after="0"/>
                                </w:pPr>
                                <w:r>
                                  <w:rPr>
                                    <w:rFonts w:asciiTheme="minorHAnsi" w:hAnsi="Calibri"/>
                                    <w:color w:val="000000" w:themeColor="text1"/>
                                    <w:kern w:val="24"/>
                                    <w:szCs w:val="22"/>
                                  </w:rPr>
                                  <w:t>ST  3</w:t>
                                </w:r>
                              </w:p>
                            </w:txbxContent>
                          </wps:txbx>
                          <wps:bodyPr rot="0" vert="horz" wrap="square" lIns="91440" tIns="45720" rIns="91440" bIns="45720" anchor="t" anchorCtr="0" upright="1">
                            <a:spAutoFit/>
                          </wps:bodyPr>
                        </wps:wsp>
                        <wps:wsp>
                          <wps:cNvPr id="48" name="TextBox 16"/>
                          <wps:cNvSpPr txBox="1">
                            <a:spLocks noChangeArrowheads="1"/>
                          </wps:cNvSpPr>
                          <wps:spPr bwMode="auto">
                            <a:xfrm>
                              <a:off x="17281" y="23762"/>
                              <a:ext cx="503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22D5" w14:textId="77777777" w:rsidR="00C65616" w:rsidRDefault="00C65616" w:rsidP="003600BE">
                                <w:pPr>
                                  <w:pStyle w:val="NormalWeb"/>
                                  <w:spacing w:before="0" w:after="0"/>
                                </w:pPr>
                                <w:r>
                                  <w:rPr>
                                    <w:rFonts w:asciiTheme="minorHAnsi" w:hAnsi="Calibri"/>
                                    <w:color w:val="000000" w:themeColor="text1"/>
                                    <w:kern w:val="24"/>
                                    <w:szCs w:val="22"/>
                                  </w:rPr>
                                  <w:t>ST  4</w:t>
                                </w:r>
                              </w:p>
                            </w:txbxContent>
                          </wps:txbx>
                          <wps:bodyPr rot="0" vert="horz" wrap="square" lIns="91440" tIns="45720" rIns="91440" bIns="45720" anchor="t" anchorCtr="0" upright="1">
                            <a:spAutoFit/>
                          </wps:bodyPr>
                        </wps:wsp>
                        <wps:wsp>
                          <wps:cNvPr id="49" name="TextBox 17"/>
                          <wps:cNvSpPr txBox="1">
                            <a:spLocks noChangeArrowheads="1"/>
                          </wps:cNvSpPr>
                          <wps:spPr bwMode="auto">
                            <a:xfrm>
                              <a:off x="22322" y="23762"/>
                              <a:ext cx="502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4E60" w14:textId="77777777" w:rsidR="00C65616" w:rsidRDefault="00C65616" w:rsidP="003600BE">
                                <w:pPr>
                                  <w:pStyle w:val="NormalWeb"/>
                                  <w:spacing w:before="0" w:after="0"/>
                                </w:pPr>
                                <w:r>
                                  <w:rPr>
                                    <w:rFonts w:asciiTheme="minorHAnsi" w:hAnsi="Calibri"/>
                                    <w:color w:val="000000" w:themeColor="text1"/>
                                    <w:kern w:val="24"/>
                                    <w:szCs w:val="22"/>
                                  </w:rPr>
                                  <w:t>ST 5</w:t>
                                </w:r>
                              </w:p>
                            </w:txbxContent>
                          </wps:txbx>
                          <wps:bodyPr rot="0" vert="horz" wrap="square" lIns="91440" tIns="45720" rIns="91440" bIns="45720" anchor="t" anchorCtr="0" upright="1">
                            <a:spAutoFit/>
                          </wps:bodyPr>
                        </wps:wsp>
                        <wps:wsp>
                          <wps:cNvPr id="50" name="TextBox 18"/>
                          <wps:cNvSpPr txBox="1">
                            <a:spLocks noChangeArrowheads="1"/>
                          </wps:cNvSpPr>
                          <wps:spPr bwMode="auto">
                            <a:xfrm>
                              <a:off x="27363" y="23762"/>
                              <a:ext cx="504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D1DE" w14:textId="77777777" w:rsidR="00C65616" w:rsidRDefault="00C65616" w:rsidP="003600BE">
                                <w:pPr>
                                  <w:pStyle w:val="NormalWeb"/>
                                  <w:spacing w:before="0" w:after="0"/>
                                </w:pPr>
                                <w:r>
                                  <w:rPr>
                                    <w:rFonts w:asciiTheme="minorHAnsi" w:hAnsi="Calibri"/>
                                    <w:color w:val="000000" w:themeColor="text1"/>
                                    <w:kern w:val="24"/>
                                    <w:szCs w:val="22"/>
                                  </w:rPr>
                                  <w:t>ST  6</w:t>
                                </w:r>
                              </w:p>
                            </w:txbxContent>
                          </wps:txbx>
                          <wps:bodyPr rot="0" vert="horz" wrap="square" lIns="91440" tIns="45720" rIns="91440" bIns="45720" anchor="t" anchorCtr="0" upright="1">
                            <a:spAutoFit/>
                          </wps:bodyPr>
                        </wps:wsp>
                        <wps:wsp>
                          <wps:cNvPr id="51" name="TextBox 19"/>
                          <wps:cNvSpPr txBox="1">
                            <a:spLocks noChangeArrowheads="1"/>
                          </wps:cNvSpPr>
                          <wps:spPr bwMode="auto">
                            <a:xfrm>
                              <a:off x="31683" y="23762"/>
                              <a:ext cx="504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F5E5" w14:textId="77777777" w:rsidR="00C65616" w:rsidRDefault="00C65616" w:rsidP="003600BE">
                                <w:pPr>
                                  <w:pStyle w:val="NormalWeb"/>
                                  <w:spacing w:before="0" w:after="0"/>
                                </w:pPr>
                                <w:r>
                                  <w:rPr>
                                    <w:rFonts w:asciiTheme="minorHAnsi" w:hAnsi="Calibri"/>
                                    <w:color w:val="000000" w:themeColor="text1"/>
                                    <w:kern w:val="24"/>
                                    <w:szCs w:val="22"/>
                                  </w:rPr>
                                  <w:t>ST  7</w:t>
                                </w:r>
                              </w:p>
                            </w:txbxContent>
                          </wps:txbx>
                          <wps:bodyPr rot="0" vert="horz" wrap="square" lIns="91440" tIns="45720" rIns="91440" bIns="45720" anchor="t" anchorCtr="0" upright="1">
                            <a:spAutoFit/>
                          </wps:bodyPr>
                        </wps:wsp>
                        <wps:wsp>
                          <wps:cNvPr id="52" name="TextBox 20"/>
                          <wps:cNvSpPr txBox="1">
                            <a:spLocks noChangeArrowheads="1"/>
                          </wps:cNvSpPr>
                          <wps:spPr bwMode="auto">
                            <a:xfrm>
                              <a:off x="36724" y="23762"/>
                              <a:ext cx="503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61FF" w14:textId="77777777" w:rsidR="00C65616" w:rsidRDefault="00C65616" w:rsidP="003600BE">
                                <w:pPr>
                                  <w:pStyle w:val="NormalWeb"/>
                                  <w:spacing w:before="0" w:after="0"/>
                                </w:pPr>
                                <w:r>
                                  <w:rPr>
                                    <w:rFonts w:asciiTheme="minorHAnsi" w:hAnsi="Calibri"/>
                                    <w:color w:val="000000" w:themeColor="text1"/>
                                    <w:kern w:val="24"/>
                                    <w:szCs w:val="22"/>
                                  </w:rPr>
                                  <w:t>ST  8</w:t>
                                </w:r>
                              </w:p>
                            </w:txbxContent>
                          </wps:txbx>
                          <wps:bodyPr rot="0" vert="horz" wrap="square" lIns="91440" tIns="45720" rIns="91440" bIns="45720" anchor="t" anchorCtr="0" upright="1">
                            <a:spAutoFit/>
                          </wps:bodyPr>
                        </wps:wsp>
                        <wps:wsp>
                          <wps:cNvPr id="53" name="TextBox 21"/>
                          <wps:cNvSpPr txBox="1">
                            <a:spLocks noChangeArrowheads="1"/>
                          </wps:cNvSpPr>
                          <wps:spPr bwMode="auto">
                            <a:xfrm>
                              <a:off x="5040" y="15121"/>
                              <a:ext cx="575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E587" w14:textId="77777777" w:rsidR="00C65616" w:rsidRDefault="00C65616" w:rsidP="003600BE">
                                <w:pPr>
                                  <w:pStyle w:val="NormalWeb"/>
                                  <w:spacing w:before="0" w:after="0"/>
                                </w:pPr>
                                <w:r>
                                  <w:rPr>
                                    <w:rFonts w:asciiTheme="minorHAnsi" w:hAnsi="Calibri"/>
                                    <w:color w:val="000000" w:themeColor="text1"/>
                                    <w:kern w:val="24"/>
                                    <w:szCs w:val="22"/>
                                  </w:rPr>
                                  <w:t>SCH 1</w:t>
                                </w:r>
                              </w:p>
                            </w:txbxContent>
                          </wps:txbx>
                          <wps:bodyPr rot="0" vert="horz" wrap="square" lIns="91440" tIns="45720" rIns="91440" bIns="45720" anchor="t" anchorCtr="0" upright="1">
                            <a:spAutoFit/>
                          </wps:bodyPr>
                        </wps:wsp>
                        <wps:wsp>
                          <wps:cNvPr id="54" name="TextBox 23"/>
                          <wps:cNvSpPr txBox="1">
                            <a:spLocks noChangeArrowheads="1"/>
                          </wps:cNvSpPr>
                          <wps:spPr bwMode="auto">
                            <a:xfrm>
                              <a:off x="17281" y="15121"/>
                              <a:ext cx="575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5B871" w14:textId="77777777" w:rsidR="00C65616" w:rsidRDefault="00C65616" w:rsidP="003600BE">
                                <w:pPr>
                                  <w:pStyle w:val="NormalWeb"/>
                                  <w:spacing w:before="0" w:after="0"/>
                                </w:pPr>
                                <w:r>
                                  <w:rPr>
                                    <w:rFonts w:asciiTheme="minorHAnsi" w:hAnsi="Calibri"/>
                                    <w:color w:val="000000" w:themeColor="text1"/>
                                    <w:kern w:val="24"/>
                                    <w:szCs w:val="22"/>
                                  </w:rPr>
                                  <w:t>SCH 2</w:t>
                                </w:r>
                              </w:p>
                            </w:txbxContent>
                          </wps:txbx>
                          <wps:bodyPr rot="0" vert="horz" wrap="square" lIns="91440" tIns="45720" rIns="91440" bIns="45720" anchor="t" anchorCtr="0" upright="1">
                            <a:spAutoFit/>
                          </wps:bodyPr>
                        </wps:wsp>
                        <wps:wsp>
                          <wps:cNvPr id="55" name="TextBox 24"/>
                          <wps:cNvSpPr txBox="1">
                            <a:spLocks noChangeArrowheads="1"/>
                          </wps:cNvSpPr>
                          <wps:spPr bwMode="auto">
                            <a:xfrm>
                              <a:off x="30243" y="15121"/>
                              <a:ext cx="5759"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D3E9" w14:textId="77777777" w:rsidR="00C65616" w:rsidRDefault="00C65616" w:rsidP="003600BE">
                                <w:pPr>
                                  <w:pStyle w:val="NormalWeb"/>
                                  <w:spacing w:before="0" w:after="0"/>
                                </w:pPr>
                                <w:r>
                                  <w:rPr>
                                    <w:rFonts w:asciiTheme="minorHAnsi" w:hAnsi="Calibri"/>
                                    <w:color w:val="000000" w:themeColor="text1"/>
                                    <w:kern w:val="24"/>
                                    <w:szCs w:val="22"/>
                                  </w:rPr>
                                  <w:t>SCH 3</w:t>
                                </w:r>
                              </w:p>
                            </w:txbxContent>
                          </wps:txbx>
                          <wps:bodyPr rot="0" vert="horz" wrap="square" lIns="91440" tIns="45720" rIns="91440" bIns="45720" anchor="t" anchorCtr="0" upright="1">
                            <a:spAutoFit/>
                          </wps:bodyPr>
                        </wps:wsp>
                        <wps:wsp>
                          <wps:cNvPr id="56" name="Straight Connector 24"/>
                          <wps:cNvCnPr>
                            <a:cxnSpLocks noChangeShapeType="1"/>
                            <a:stCxn id="42" idx="0"/>
                          </wps:cNvCnPr>
                          <wps:spPr bwMode="auto">
                            <a:xfrm rot="5400000" flipH="1" flipV="1">
                              <a:off x="2700" y="19262"/>
                              <a:ext cx="5760" cy="324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7" name="Straight Connector 25"/>
                          <wps:cNvCnPr>
                            <a:cxnSpLocks noChangeShapeType="1"/>
                            <a:stCxn id="46" idx="0"/>
                          </wps:cNvCnPr>
                          <wps:spPr bwMode="auto">
                            <a:xfrm rot="16200000" flipV="1">
                              <a:off x="5221" y="19981"/>
                              <a:ext cx="5760" cy="180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 name="Straight Connector 26"/>
                          <wps:cNvCnPr>
                            <a:cxnSpLocks noChangeShapeType="1"/>
                            <a:stCxn id="47" idx="0"/>
                          </wps:cNvCnPr>
                          <wps:spPr bwMode="auto">
                            <a:xfrm rot="5400000" flipH="1" flipV="1">
                              <a:off x="14222" y="17821"/>
                              <a:ext cx="5760" cy="612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 name="Straight Connector 27"/>
                          <wps:cNvCnPr>
                            <a:cxnSpLocks noChangeShapeType="1"/>
                          </wps:cNvCnPr>
                          <wps:spPr bwMode="auto">
                            <a:xfrm rot="5400000" flipH="1" flipV="1">
                              <a:off x="17642" y="20522"/>
                              <a:ext cx="504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 name="Straight Connector 28"/>
                          <wps:cNvCnPr>
                            <a:cxnSpLocks noChangeShapeType="1"/>
                          </wps:cNvCnPr>
                          <wps:spPr bwMode="auto">
                            <a:xfrm rot="16200000" flipV="1">
                              <a:off x="19802" y="18362"/>
                              <a:ext cx="5040" cy="432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 name="Straight Connector 29"/>
                          <wps:cNvCnPr>
                            <a:cxnSpLocks noChangeShapeType="1"/>
                          </wps:cNvCnPr>
                          <wps:spPr bwMode="auto">
                            <a:xfrm rot="5400000" flipH="1" flipV="1">
                              <a:off x="29163" y="19082"/>
                              <a:ext cx="5040" cy="288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 name="Straight Connector 30"/>
                          <wps:cNvCnPr>
                            <a:cxnSpLocks noChangeShapeType="1"/>
                          </wps:cNvCnPr>
                          <wps:spPr bwMode="auto">
                            <a:xfrm rot="16200000" flipV="1">
                              <a:off x="30963" y="20162"/>
                              <a:ext cx="5040" cy="72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3" name="Straight Connector 31"/>
                          <wps:cNvCnPr>
                            <a:cxnSpLocks noChangeShapeType="1"/>
                            <a:stCxn id="52" idx="0"/>
                          </wps:cNvCnPr>
                          <wps:spPr bwMode="auto">
                            <a:xfrm rot="16200000" flipV="1">
                              <a:off x="33304" y="17821"/>
                              <a:ext cx="5760" cy="612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8" name="TextBox 60"/>
                          <wps:cNvSpPr txBox="1">
                            <a:spLocks noChangeArrowheads="1"/>
                          </wps:cNvSpPr>
                          <wps:spPr bwMode="auto">
                            <a:xfrm>
                              <a:off x="0" y="0"/>
                              <a:ext cx="2520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CB5A" w14:textId="77777777" w:rsidR="00C65616" w:rsidRDefault="00C65616" w:rsidP="003600BE">
                                <w:pPr>
                                  <w:pStyle w:val="NormalWeb"/>
                                  <w:spacing w:before="0" w:after="0"/>
                                </w:pPr>
                                <w:r>
                                  <w:rPr>
                                    <w:rFonts w:asciiTheme="minorHAnsi" w:hAnsi="Calibri"/>
                                    <w:color w:val="000000" w:themeColor="text1"/>
                                    <w:kern w:val="24"/>
                                    <w:szCs w:val="22"/>
                                  </w:rPr>
                                  <w:t>Students in Single-Level Data Set</w:t>
                                </w:r>
                              </w:p>
                            </w:txbxContent>
                          </wps:txbx>
                          <wps:bodyPr rot="0" vert="horz" wrap="square" lIns="91440" tIns="45720" rIns="91440" bIns="45720" anchor="t" anchorCtr="0" upright="1">
                            <a:spAutoFit/>
                          </wps:bodyPr>
                        </wps:wsp>
                        <wps:wsp>
                          <wps:cNvPr id="289" name="TextBox 61"/>
                          <wps:cNvSpPr txBox="1">
                            <a:spLocks noChangeArrowheads="1"/>
                          </wps:cNvSpPr>
                          <wps:spPr bwMode="auto">
                            <a:xfrm>
                              <a:off x="0" y="10801"/>
                              <a:ext cx="367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2105" w14:textId="56009BC9" w:rsidR="00C65616" w:rsidRDefault="00C65616" w:rsidP="003600BE">
                                <w:pPr>
                                  <w:pStyle w:val="NormalWeb"/>
                                  <w:spacing w:before="0" w:after="0"/>
                                </w:pPr>
                                <w:r>
                                  <w:rPr>
                                    <w:rFonts w:asciiTheme="minorHAnsi" w:hAnsi="Calibri"/>
                                    <w:color w:val="000000" w:themeColor="text1"/>
                                    <w:kern w:val="24"/>
                                    <w:szCs w:val="22"/>
                                  </w:rPr>
                                  <w:t>Students Nested Within Schools in Two-Level Data Set</w:t>
                                </w:r>
                              </w:p>
                            </w:txbxContent>
                          </wps:txbx>
                          <wps:bodyPr rot="0" vert="horz" wrap="square" lIns="91440" tIns="45720" rIns="91440" bIns="45720" anchor="t" anchorCtr="0" upright="1">
                            <a:sp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927DC9A" id="Group 30" o:spid="_x0000_s1030" style="width:351.55pt;height:221.15pt;mso-position-horizontal-relative:char;mso-position-vertical-relative:line" coordsize="44644,2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">
                <v:rect id="Rectangle 2" o:spid="_x0000_s1031" style="position:absolute;top:14401;width:44644;height:1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QYwwAAANsAAAAPAAAAZHJzL2Rvd25yZXYueG1sRI9fa8JA&#10;EMTfhX6HYwu+6UUF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zLgEGMMAAADbAAAADwAA&#10;AAAAAAAAAAAAAAAHAgAAZHJzL2Rvd25yZXYueG1sUEsFBgAAAAADAAMAtwAAAPcCAAAAAA==&#10;" fillcolor="white [3212]" strokecolor="black [3213]" strokeweight="1pt"/>
                <v:group id="Group 3" o:spid="_x0000_s1032" style="position:absolute;width:44644;height:26384" coordsize="4464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 o:spid="_x0000_s1033" style="position:absolute;top:3600;width:4464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0wwAAANsAAAAPAAAAZHJzL2Rvd25yZXYueG1sRI9fa8JA&#10;EMTfhX6HYwt900sV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UyY/9MMAAADbAAAADwAA&#10;AAAAAAAAAAAAAAAHAgAAZHJzL2Rvd25yZXYueG1sUEsFBgAAAAADAAMAtwAAAPcCAAAAAA==&#10;" fillcolor="white [3212]" strokecolor="black [3213]" strokeweight="1pt"/>
                  <v:shape id="TextBox 3" o:spid="_x0000_s1034" type="#_x0000_t202" style="position:absolute;left:2160;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FBFE6D0" w14:textId="77777777" w:rsidR="00C65616" w:rsidRDefault="00C65616" w:rsidP="003600BE">
                          <w:pPr>
                            <w:pStyle w:val="NormalWeb"/>
                            <w:spacing w:before="0" w:after="0"/>
                          </w:pPr>
                          <w:r>
                            <w:rPr>
                              <w:rFonts w:asciiTheme="minorHAnsi" w:hAnsi="Calibri"/>
                              <w:color w:val="000000" w:themeColor="text1"/>
                              <w:kern w:val="24"/>
                              <w:szCs w:val="22"/>
                            </w:rPr>
                            <w:t>ST  1</w:t>
                          </w:r>
                        </w:p>
                      </w:txbxContent>
                    </v:textbox>
                  </v:shape>
                  <v:shape id="TextBox 5" o:spid="_x0000_s1035" type="#_x0000_t202" style="position:absolute;left:7200;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A3A2698" w14:textId="77777777" w:rsidR="00C65616" w:rsidRDefault="00C65616" w:rsidP="003600BE">
                          <w:pPr>
                            <w:pStyle w:val="NormalWeb"/>
                            <w:spacing w:before="0" w:after="0"/>
                          </w:pPr>
                          <w:r>
                            <w:rPr>
                              <w:rFonts w:asciiTheme="minorHAnsi" w:hAnsi="Calibri"/>
                              <w:color w:val="000000" w:themeColor="text1"/>
                              <w:kern w:val="24"/>
                              <w:szCs w:val="22"/>
                            </w:rPr>
                            <w:t>ST  2</w:t>
                          </w:r>
                        </w:p>
                      </w:txbxContent>
                    </v:textbox>
                  </v:shape>
                  <v:shape id="TextBox 6" o:spid="_x0000_s1036" type="#_x0000_t202" style="position:absolute;left:12241;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7190B920" w14:textId="77777777" w:rsidR="00C65616" w:rsidRDefault="00C65616" w:rsidP="003600BE">
                          <w:pPr>
                            <w:pStyle w:val="NormalWeb"/>
                            <w:spacing w:before="0" w:after="0"/>
                          </w:pPr>
                          <w:r>
                            <w:rPr>
                              <w:rFonts w:asciiTheme="minorHAnsi" w:hAnsi="Calibri"/>
                              <w:color w:val="000000" w:themeColor="text1"/>
                              <w:kern w:val="24"/>
                              <w:szCs w:val="22"/>
                            </w:rPr>
                            <w:t>ST  3</w:t>
                          </w:r>
                        </w:p>
                      </w:txbxContent>
                    </v:textbox>
                  </v:shape>
                  <v:shape id="TextBox 7" o:spid="_x0000_s1037" type="#_x0000_t202" style="position:absolute;left:18002;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1E29C021" w14:textId="77777777" w:rsidR="00C65616" w:rsidRDefault="00C65616" w:rsidP="003600BE">
                          <w:pPr>
                            <w:pStyle w:val="NormalWeb"/>
                            <w:spacing w:before="0" w:after="0"/>
                          </w:pPr>
                          <w:r>
                            <w:rPr>
                              <w:rFonts w:asciiTheme="minorHAnsi" w:hAnsi="Calibri"/>
                              <w:color w:val="000000" w:themeColor="text1"/>
                              <w:kern w:val="24"/>
                              <w:szCs w:val="22"/>
                            </w:rPr>
                            <w:t>ST  4</w:t>
                          </w:r>
                        </w:p>
                      </w:txbxContent>
                    </v:textbox>
                  </v:shape>
                  <v:shape id="TextBox 8" o:spid="_x0000_s1038" type="#_x0000_t202" style="position:absolute;left:23042;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555300F0" w14:textId="77777777" w:rsidR="00C65616" w:rsidRDefault="00C65616" w:rsidP="003600BE">
                          <w:pPr>
                            <w:pStyle w:val="NormalWeb"/>
                            <w:spacing w:before="0" w:after="0"/>
                          </w:pPr>
                          <w:r>
                            <w:rPr>
                              <w:rFonts w:asciiTheme="minorHAnsi" w:hAnsi="Calibri"/>
                              <w:color w:val="000000" w:themeColor="text1"/>
                              <w:kern w:val="24"/>
                              <w:szCs w:val="22"/>
                            </w:rPr>
                            <w:t>ST 5</w:t>
                          </w:r>
                        </w:p>
                      </w:txbxContent>
                    </v:textbox>
                  </v:shape>
                  <v:shape id="TextBox 9" o:spid="_x0000_s1039" type="#_x0000_t202" style="position:absolute;left:28083;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01E6551B" w14:textId="77777777" w:rsidR="00C65616" w:rsidRDefault="00C65616" w:rsidP="003600BE">
                          <w:pPr>
                            <w:pStyle w:val="NormalWeb"/>
                            <w:spacing w:before="0" w:after="0"/>
                          </w:pPr>
                          <w:r>
                            <w:rPr>
                              <w:rFonts w:asciiTheme="minorHAnsi" w:hAnsi="Calibri"/>
                              <w:color w:val="000000" w:themeColor="text1"/>
                              <w:kern w:val="24"/>
                              <w:szCs w:val="22"/>
                            </w:rPr>
                            <w:t>ST  6</w:t>
                          </w:r>
                        </w:p>
                      </w:txbxContent>
                    </v:textbox>
                  </v:shape>
                  <v:shape id="TextBox 10" o:spid="_x0000_s1040" type="#_x0000_t202" style="position:absolute;left:31683;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5FF33B48" w14:textId="77777777" w:rsidR="00C65616" w:rsidRDefault="00C65616" w:rsidP="003600BE">
                          <w:pPr>
                            <w:pStyle w:val="NormalWeb"/>
                            <w:spacing w:before="0" w:after="0"/>
                          </w:pPr>
                          <w:r>
                            <w:rPr>
                              <w:rFonts w:asciiTheme="minorHAnsi" w:hAnsi="Calibri"/>
                              <w:color w:val="000000" w:themeColor="text1"/>
                              <w:kern w:val="24"/>
                              <w:szCs w:val="22"/>
                            </w:rPr>
                            <w:t>ST  7</w:t>
                          </w:r>
                        </w:p>
                      </w:txbxContent>
                    </v:textbox>
                  </v:shape>
                  <v:shape id="TextBox 11" o:spid="_x0000_s1041" type="#_x0000_t202" style="position:absolute;left:36724;top:5040;width:52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64F6361D" w14:textId="77777777" w:rsidR="00C65616" w:rsidRDefault="00C65616" w:rsidP="003600BE">
                          <w:pPr>
                            <w:pStyle w:val="NormalWeb"/>
                            <w:spacing w:before="0" w:after="0"/>
                          </w:pPr>
                          <w:r>
                            <w:rPr>
                              <w:rFonts w:asciiTheme="minorHAnsi" w:hAnsi="Calibri"/>
                              <w:color w:val="000000" w:themeColor="text1"/>
                              <w:kern w:val="24"/>
                              <w:szCs w:val="22"/>
                            </w:rPr>
                            <w:t>ST  8</w:t>
                          </w:r>
                        </w:p>
                      </w:txbxContent>
                    </v:textbox>
                  </v:shape>
                  <v:shape id="TextBox 13" o:spid="_x0000_s1042" type="#_x0000_t202" style="position:absolute;left:1440;top:23762;width:504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563C1EC8" w14:textId="77777777" w:rsidR="00C65616" w:rsidRDefault="00C65616" w:rsidP="003600BE">
                          <w:pPr>
                            <w:pStyle w:val="NormalWeb"/>
                            <w:spacing w:before="0" w:after="0"/>
                          </w:pPr>
                          <w:r>
                            <w:rPr>
                              <w:rFonts w:asciiTheme="minorHAnsi" w:hAnsi="Calibri"/>
                              <w:color w:val="000000" w:themeColor="text1"/>
                              <w:kern w:val="24"/>
                              <w:szCs w:val="22"/>
                            </w:rPr>
                            <w:t>ST  1</w:t>
                          </w:r>
                        </w:p>
                      </w:txbxContent>
                    </v:textbox>
                  </v:shape>
                  <v:shape id="TextBox 14" o:spid="_x0000_s1043" type="#_x0000_t202" style="position:absolute;left:6480;top:23762;width:503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51C5C8AF" w14:textId="77777777" w:rsidR="00C65616" w:rsidRDefault="00C65616" w:rsidP="003600BE">
                          <w:pPr>
                            <w:pStyle w:val="NormalWeb"/>
                            <w:spacing w:before="0" w:after="0"/>
                          </w:pPr>
                          <w:r>
                            <w:rPr>
                              <w:rFonts w:asciiTheme="minorHAnsi" w:hAnsi="Calibri"/>
                              <w:color w:val="000000" w:themeColor="text1"/>
                              <w:kern w:val="24"/>
                              <w:szCs w:val="22"/>
                            </w:rPr>
                            <w:t>ST  2</w:t>
                          </w:r>
                        </w:p>
                      </w:txbxContent>
                    </v:textbox>
                  </v:shape>
                  <v:shape id="TextBox 15" o:spid="_x0000_s1044" type="#_x0000_t202" style="position:absolute;left:11521;top:23762;width:50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3515AE90" w14:textId="77777777" w:rsidR="00C65616" w:rsidRDefault="00C65616" w:rsidP="003600BE">
                          <w:pPr>
                            <w:pStyle w:val="NormalWeb"/>
                            <w:spacing w:before="0" w:after="0"/>
                          </w:pPr>
                          <w:r>
                            <w:rPr>
                              <w:rFonts w:asciiTheme="minorHAnsi" w:hAnsi="Calibri"/>
                              <w:color w:val="000000" w:themeColor="text1"/>
                              <w:kern w:val="24"/>
                              <w:szCs w:val="22"/>
                            </w:rPr>
                            <w:t>ST  3</w:t>
                          </w:r>
                        </w:p>
                      </w:txbxContent>
                    </v:textbox>
                  </v:shape>
                  <v:shape id="TextBox 16" o:spid="_x0000_s1045" type="#_x0000_t202" style="position:absolute;left:17281;top:23762;width:503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112E22D5" w14:textId="77777777" w:rsidR="00C65616" w:rsidRDefault="00C65616" w:rsidP="003600BE">
                          <w:pPr>
                            <w:pStyle w:val="NormalWeb"/>
                            <w:spacing w:before="0" w:after="0"/>
                          </w:pPr>
                          <w:r>
                            <w:rPr>
                              <w:rFonts w:asciiTheme="minorHAnsi" w:hAnsi="Calibri"/>
                              <w:color w:val="000000" w:themeColor="text1"/>
                              <w:kern w:val="24"/>
                              <w:szCs w:val="22"/>
                            </w:rPr>
                            <w:t>ST  4</w:t>
                          </w:r>
                        </w:p>
                      </w:txbxContent>
                    </v:textbox>
                  </v:shape>
                  <v:shape id="TextBox 17" o:spid="_x0000_s1046" type="#_x0000_t202" style="position:absolute;left:22322;top:23762;width:50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02804E60" w14:textId="77777777" w:rsidR="00C65616" w:rsidRDefault="00C65616" w:rsidP="003600BE">
                          <w:pPr>
                            <w:pStyle w:val="NormalWeb"/>
                            <w:spacing w:before="0" w:after="0"/>
                          </w:pPr>
                          <w:r>
                            <w:rPr>
                              <w:rFonts w:asciiTheme="minorHAnsi" w:hAnsi="Calibri"/>
                              <w:color w:val="000000" w:themeColor="text1"/>
                              <w:kern w:val="24"/>
                              <w:szCs w:val="22"/>
                            </w:rPr>
                            <w:t>ST 5</w:t>
                          </w:r>
                        </w:p>
                      </w:txbxContent>
                    </v:textbox>
                  </v:shape>
                  <v:shape id="TextBox 18" o:spid="_x0000_s1047" type="#_x0000_t202" style="position:absolute;left:27363;top:23762;width:504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5AE1D1DE" w14:textId="77777777" w:rsidR="00C65616" w:rsidRDefault="00C65616" w:rsidP="003600BE">
                          <w:pPr>
                            <w:pStyle w:val="NormalWeb"/>
                            <w:spacing w:before="0" w:after="0"/>
                          </w:pPr>
                          <w:r>
                            <w:rPr>
                              <w:rFonts w:asciiTheme="minorHAnsi" w:hAnsi="Calibri"/>
                              <w:color w:val="000000" w:themeColor="text1"/>
                              <w:kern w:val="24"/>
                              <w:szCs w:val="22"/>
                            </w:rPr>
                            <w:t>ST  6</w:t>
                          </w:r>
                        </w:p>
                      </w:txbxContent>
                    </v:textbox>
                  </v:shape>
                  <v:shape id="TextBox 19" o:spid="_x0000_s1048" type="#_x0000_t202" style="position:absolute;left:31683;top:23762;width:504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59A2F5E5" w14:textId="77777777" w:rsidR="00C65616" w:rsidRDefault="00C65616" w:rsidP="003600BE">
                          <w:pPr>
                            <w:pStyle w:val="NormalWeb"/>
                            <w:spacing w:before="0" w:after="0"/>
                          </w:pPr>
                          <w:r>
                            <w:rPr>
                              <w:rFonts w:asciiTheme="minorHAnsi" w:hAnsi="Calibri"/>
                              <w:color w:val="000000" w:themeColor="text1"/>
                              <w:kern w:val="24"/>
                              <w:szCs w:val="22"/>
                            </w:rPr>
                            <w:t>ST  7</w:t>
                          </w:r>
                        </w:p>
                      </w:txbxContent>
                    </v:textbox>
                  </v:shape>
                  <v:shape id="TextBox 20" o:spid="_x0000_s1049" type="#_x0000_t202" style="position:absolute;left:36724;top:23762;width:503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764661FF" w14:textId="77777777" w:rsidR="00C65616" w:rsidRDefault="00C65616" w:rsidP="003600BE">
                          <w:pPr>
                            <w:pStyle w:val="NormalWeb"/>
                            <w:spacing w:before="0" w:after="0"/>
                          </w:pPr>
                          <w:r>
                            <w:rPr>
                              <w:rFonts w:asciiTheme="minorHAnsi" w:hAnsi="Calibri"/>
                              <w:color w:val="000000" w:themeColor="text1"/>
                              <w:kern w:val="24"/>
                              <w:szCs w:val="22"/>
                            </w:rPr>
                            <w:t>ST  8</w:t>
                          </w:r>
                        </w:p>
                      </w:txbxContent>
                    </v:textbox>
                  </v:shape>
                  <v:shape id="TextBox 21" o:spid="_x0000_s1050" type="#_x0000_t202" style="position:absolute;left:5040;top:15121;width:575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49A4E587" w14:textId="77777777" w:rsidR="00C65616" w:rsidRDefault="00C65616" w:rsidP="003600BE">
                          <w:pPr>
                            <w:pStyle w:val="NormalWeb"/>
                            <w:spacing w:before="0" w:after="0"/>
                          </w:pPr>
                          <w:r>
                            <w:rPr>
                              <w:rFonts w:asciiTheme="minorHAnsi" w:hAnsi="Calibri"/>
                              <w:color w:val="000000" w:themeColor="text1"/>
                              <w:kern w:val="24"/>
                              <w:szCs w:val="22"/>
                            </w:rPr>
                            <w:t>SCH 1</w:t>
                          </w:r>
                        </w:p>
                      </w:txbxContent>
                    </v:textbox>
                  </v:shape>
                  <v:shape id="TextBox 23" o:spid="_x0000_s1051" type="#_x0000_t202" style="position:absolute;left:17281;top:15121;width:575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7A5B871" w14:textId="77777777" w:rsidR="00C65616" w:rsidRDefault="00C65616" w:rsidP="003600BE">
                          <w:pPr>
                            <w:pStyle w:val="NormalWeb"/>
                            <w:spacing w:before="0" w:after="0"/>
                          </w:pPr>
                          <w:r>
                            <w:rPr>
                              <w:rFonts w:asciiTheme="minorHAnsi" w:hAnsi="Calibri"/>
                              <w:color w:val="000000" w:themeColor="text1"/>
                              <w:kern w:val="24"/>
                              <w:szCs w:val="22"/>
                            </w:rPr>
                            <w:t>SCH 2</w:t>
                          </w:r>
                        </w:p>
                      </w:txbxContent>
                    </v:textbox>
                  </v:shape>
                  <v:shape id="TextBox 24" o:spid="_x0000_s1052" type="#_x0000_t202" style="position:absolute;left:30243;top:15121;width:575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409DD3E9" w14:textId="77777777" w:rsidR="00C65616" w:rsidRDefault="00C65616" w:rsidP="003600BE">
                          <w:pPr>
                            <w:pStyle w:val="NormalWeb"/>
                            <w:spacing w:before="0" w:after="0"/>
                          </w:pPr>
                          <w:r>
                            <w:rPr>
                              <w:rFonts w:asciiTheme="minorHAnsi" w:hAnsi="Calibri"/>
                              <w:color w:val="000000" w:themeColor="text1"/>
                              <w:kern w:val="24"/>
                              <w:szCs w:val="22"/>
                            </w:rPr>
                            <w:t>SCH 3</w:t>
                          </w:r>
                        </w:p>
                      </w:txbxContent>
                    </v:textbox>
                  </v:shape>
                  <v:line id="Straight Connector 24" o:spid="_x0000_s1053" style="position:absolute;rotation:90;flip:x y;visibility:visible;mso-wrap-style:square" from="2700,19262" to="8460,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" strokecolor="black [3213]" strokeweight=".5pt">
                    <v:stroke joinstyle="miter"/>
                  </v:line>
                  <v:line id="Straight Connector 25" o:spid="_x0000_s1054" style="position:absolute;rotation:90;flip:y;visibility:visible;mso-wrap-style:square" from="5221,19981" to="10981,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" strokecolor="black [3213]" strokeweight=".5pt">
                    <v:stroke joinstyle="miter"/>
                  </v:line>
                  <v:line id="Straight Connector 26" o:spid="_x0000_s1055" style="position:absolute;rotation:90;flip:x y;visibility:visible;mso-wrap-style:square" from="14222,17821" to="19982,2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" strokecolor="black [3213]" strokeweight=".5pt">
                    <v:stroke joinstyle="miter"/>
                  </v:line>
                  <v:line id="Straight Connector 27" o:spid="_x0000_s1056" style="position:absolute;rotation:90;flip:x y;visibility:visible;mso-wrap-style:square" from="17642,20522" to="22682,2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" strokecolor="black [3213]" strokeweight=".5pt">
                    <v:stroke joinstyle="miter"/>
                  </v:line>
                  <v:line id="Straight Connector 28" o:spid="_x0000_s1057" style="position:absolute;rotation:90;flip:y;visibility:visible;mso-wrap-style:square" from="19802,18362" to="24842,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" strokecolor="black [3213]" strokeweight=".5pt">
                    <v:stroke joinstyle="miter"/>
                  </v:line>
                  <v:line id="Straight Connector 29" o:spid="_x0000_s1058" style="position:absolute;rotation:90;flip:x y;visibility:visible;mso-wrap-style:square" from="29163,19082" to="34203,2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" strokecolor="black [3213]" strokeweight=".5pt">
                    <v:stroke joinstyle="miter"/>
                  </v:line>
                  <v:line id="Straight Connector 30" o:spid="_x0000_s1059" style="position:absolute;rotation:90;flip:y;visibility:visible;mso-wrap-style:square" from="30963,20162" to="36003,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" strokecolor="black [3213]" strokeweight=".5pt">
                    <v:stroke joinstyle="miter"/>
                  </v:line>
                  <v:line id="Straight Connector 31" o:spid="_x0000_s1060" style="position:absolute;rotation:90;flip:y;visibility:visible;mso-wrap-style:square" from="33304,17821" to="39064,2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" strokecolor="black [3213]" strokeweight=".5pt">
                    <v:stroke joinstyle="miter"/>
                  </v:line>
                  <v:shape id="TextBox 60" o:spid="_x0000_s1061" type="#_x0000_t202" style="position:absolute;width:2520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CFECB5A" w14:textId="77777777" w:rsidR="00C65616" w:rsidRDefault="00C65616" w:rsidP="003600BE">
                          <w:pPr>
                            <w:pStyle w:val="NormalWeb"/>
                            <w:spacing w:before="0" w:after="0"/>
                          </w:pPr>
                          <w:r>
                            <w:rPr>
                              <w:rFonts w:asciiTheme="minorHAnsi" w:hAnsi="Calibri"/>
                              <w:color w:val="000000" w:themeColor="text1"/>
                              <w:kern w:val="24"/>
                              <w:szCs w:val="22"/>
                            </w:rPr>
                            <w:t>Students in Single-Level Data Set</w:t>
                          </w:r>
                        </w:p>
                      </w:txbxContent>
                    </v:textbox>
                  </v:shape>
                  <v:shape id="TextBox 61" o:spid="_x0000_s1062" type="#_x0000_t202" style="position:absolute;top:10801;width:3672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52D02105" w14:textId="56009BC9" w:rsidR="00C65616" w:rsidRDefault="00C65616" w:rsidP="003600BE">
                          <w:pPr>
                            <w:pStyle w:val="NormalWeb"/>
                            <w:spacing w:before="0" w:after="0"/>
                          </w:pPr>
                          <w:r>
                            <w:rPr>
                              <w:rFonts w:asciiTheme="minorHAnsi" w:hAnsi="Calibri"/>
                              <w:color w:val="000000" w:themeColor="text1"/>
                              <w:kern w:val="24"/>
                              <w:szCs w:val="22"/>
                            </w:rPr>
                            <w:t>Students Nested Within Schools in Two-Level Data Set</w:t>
                          </w:r>
                        </w:p>
                      </w:txbxContent>
                    </v:textbox>
                  </v:shape>
                </v:group>
                <w10:anchorlock/>
              </v:group>
            </w:pict>
          </mc:Fallback>
        </mc:AlternateContent>
      </w:r>
    </w:p>
    <w:p w14:paraId="6F27A0CE" w14:textId="7AABCA45" w:rsidR="003600BE" w:rsidRDefault="007D4A8D" w:rsidP="003600BE">
      <w:pPr>
        <w:jc w:val="both"/>
        <w:rPr>
          <w:szCs w:val="24"/>
        </w:rPr>
      </w:pPr>
      <w:r>
        <w:rPr>
          <w:szCs w:val="24"/>
        </w:rPr>
        <w:t>Figure 5.3</w:t>
      </w:r>
      <w:r w:rsidR="003600BE">
        <w:rPr>
          <w:szCs w:val="24"/>
        </w:rPr>
        <w:t xml:space="preserve"> provides a simple way of visualising the difference between a single level model and a multilevel model. In the top half of the diagram, the eight students are simply independent of each other, and we assume they have no connections. In this scenario they might well be affected by their school environment, but since we only have one school in the dataset, we cannot analyse this context to see if it has an impact on the students.</w:t>
      </w:r>
    </w:p>
    <w:p w14:paraId="5E50FE4A" w14:textId="5B7528B5" w:rsidR="003600BE" w:rsidRDefault="003600BE" w:rsidP="003600BE">
      <w:pPr>
        <w:jc w:val="both"/>
        <w:rPr>
          <w:szCs w:val="24"/>
        </w:rPr>
      </w:pPr>
      <w:r>
        <w:rPr>
          <w:szCs w:val="24"/>
        </w:rPr>
        <w:t xml:space="preserve">In the bottom half of the </w:t>
      </w:r>
      <w:r w:rsidR="007D4A8D">
        <w:rPr>
          <w:szCs w:val="24"/>
        </w:rPr>
        <w:t>figure</w:t>
      </w:r>
      <w:r>
        <w:rPr>
          <w:szCs w:val="24"/>
        </w:rPr>
        <w:t xml:space="preserve">, we can see eight students again, but this time they are from three different schools. Now if the students are representative of their school (or alternatively we have access to the whole population of the school), we can begin to look at the characteristics of the students </w:t>
      </w:r>
      <w:r>
        <w:rPr>
          <w:i/>
          <w:szCs w:val="24"/>
        </w:rPr>
        <w:t>and</w:t>
      </w:r>
      <w:r>
        <w:rPr>
          <w:szCs w:val="24"/>
        </w:rPr>
        <w:t xml:space="preserve"> the characteristics of the school as having some explanatory power. It is easy to see the implications of this for developing studies to examine, for instance, pupil attainment that takes into account gender, ethnicity and socioeconomic class at the individual level, and then </w:t>
      </w:r>
      <w:r>
        <w:rPr>
          <w:i/>
          <w:szCs w:val="24"/>
        </w:rPr>
        <w:t>also</w:t>
      </w:r>
      <w:r>
        <w:rPr>
          <w:szCs w:val="24"/>
        </w:rPr>
        <w:t xml:space="preserve"> considers </w:t>
      </w:r>
      <w:r w:rsidR="004D2AF2">
        <w:rPr>
          <w:szCs w:val="24"/>
        </w:rPr>
        <w:t xml:space="preserve">teacher-pupil ratio and private/public </w:t>
      </w:r>
      <w:r>
        <w:rPr>
          <w:szCs w:val="24"/>
        </w:rPr>
        <w:t>school status at the school level.</w:t>
      </w:r>
    </w:p>
    <w:p w14:paraId="643835AC" w14:textId="6F2BF310" w:rsidR="003600BE" w:rsidRDefault="003600BE" w:rsidP="003600BE">
      <w:pPr>
        <w:jc w:val="both"/>
        <w:rPr>
          <w:szCs w:val="24"/>
        </w:rPr>
      </w:pPr>
      <w:r>
        <w:rPr>
          <w:szCs w:val="24"/>
        </w:rPr>
        <w:t>Consequently, in mathematical terms, we can compare a simple single level regression equation with a multilevel one to see where the important differences lie:</w:t>
      </w:r>
    </w:p>
    <w:p w14:paraId="041893B1" w14:textId="39E9A0BA" w:rsidR="007D4A8D" w:rsidRDefault="007D4A8D" w:rsidP="003600BE">
      <w:pPr>
        <w:jc w:val="both"/>
        <w:rPr>
          <w:szCs w:val="24"/>
        </w:rPr>
      </w:pPr>
    </w:p>
    <w:p w14:paraId="52C7E313" w14:textId="1297081D" w:rsidR="007D4A8D" w:rsidRDefault="007D4A8D" w:rsidP="003600BE">
      <w:pPr>
        <w:jc w:val="both"/>
        <w:rPr>
          <w:szCs w:val="24"/>
        </w:rPr>
      </w:pPr>
    </w:p>
    <w:p w14:paraId="471F071E" w14:textId="77777777" w:rsidR="007D4A8D" w:rsidRDefault="007D4A8D" w:rsidP="003600BE">
      <w:pPr>
        <w:jc w:val="both"/>
        <w:rPr>
          <w:szCs w:val="24"/>
        </w:rPr>
      </w:pPr>
    </w:p>
    <w:tbl>
      <w:tblPr>
        <w:tblW w:w="0" w:type="auto"/>
        <w:tblLook w:val="04A0" w:firstRow="1" w:lastRow="0" w:firstColumn="1" w:lastColumn="0" w:noHBand="0" w:noVBand="1"/>
      </w:tblPr>
      <w:tblGrid>
        <w:gridCol w:w="8669"/>
      </w:tblGrid>
      <w:tr w:rsidR="003600BE" w14:paraId="6F8B4EA8" w14:textId="77777777" w:rsidTr="003600BE">
        <w:tc>
          <w:tcPr>
            <w:tcW w:w="9016" w:type="dxa"/>
            <w:hideMark/>
          </w:tcPr>
          <w:p w14:paraId="5B6FEAB0" w14:textId="77777777" w:rsidR="003600BE" w:rsidRDefault="003600BE">
            <w:pPr>
              <w:jc w:val="center"/>
              <w:rPr>
                <w:b/>
                <w:bCs/>
                <w:i/>
                <w:iCs/>
                <w:szCs w:val="24"/>
              </w:rPr>
            </w:pPr>
            <w:r>
              <w:rPr>
                <w:b/>
                <w:bCs/>
                <w:i/>
                <w:iCs/>
                <w:szCs w:val="24"/>
              </w:rPr>
              <w:t>Single Level Regression Equation</w:t>
            </w:r>
          </w:p>
        </w:tc>
      </w:tr>
      <w:tr w:rsidR="003600BE" w14:paraId="3F11A391" w14:textId="77777777" w:rsidTr="003600BE">
        <w:tc>
          <w:tcPr>
            <w:tcW w:w="9016" w:type="dxa"/>
            <w:hideMark/>
          </w:tcPr>
          <w:p w14:paraId="4E557260" w14:textId="77777777" w:rsidR="003600BE" w:rsidRDefault="003600BE">
            <w:pPr>
              <w:jc w:val="center"/>
              <w:rPr>
                <w:bCs/>
                <w:i/>
                <w:iCs/>
                <w:szCs w:val="24"/>
              </w:rPr>
            </w:pPr>
            <w:r>
              <w:rPr>
                <w:bCs/>
                <w:i/>
                <w:iCs/>
                <w:szCs w:val="24"/>
              </w:rPr>
              <w:t>y</w:t>
            </w:r>
            <w:r>
              <w:rPr>
                <w:bCs/>
                <w:i/>
                <w:iCs/>
                <w:szCs w:val="24"/>
                <w:vertAlign w:val="subscript"/>
              </w:rPr>
              <w:t>i</w:t>
            </w:r>
            <w:r>
              <w:rPr>
                <w:bCs/>
                <w:i/>
                <w:iCs/>
                <w:szCs w:val="24"/>
              </w:rPr>
              <w:t xml:space="preserve"> = b</w:t>
            </w:r>
            <w:r>
              <w:rPr>
                <w:bCs/>
                <w:i/>
                <w:iCs/>
                <w:szCs w:val="24"/>
                <w:vertAlign w:val="subscript"/>
              </w:rPr>
              <w:t>0</w:t>
            </w:r>
            <w:r>
              <w:rPr>
                <w:bCs/>
                <w:i/>
                <w:iCs/>
                <w:szCs w:val="24"/>
              </w:rPr>
              <w:t xml:space="preserve"> + b</w:t>
            </w:r>
            <w:r>
              <w:rPr>
                <w:bCs/>
                <w:i/>
                <w:iCs/>
                <w:szCs w:val="24"/>
                <w:vertAlign w:val="subscript"/>
              </w:rPr>
              <w:t>1</w:t>
            </w:r>
            <w:r>
              <w:rPr>
                <w:bCs/>
                <w:i/>
                <w:iCs/>
                <w:szCs w:val="24"/>
              </w:rPr>
              <w:t>x</w:t>
            </w:r>
            <w:r>
              <w:rPr>
                <w:bCs/>
                <w:i/>
                <w:iCs/>
                <w:szCs w:val="24"/>
                <w:vertAlign w:val="subscript"/>
              </w:rPr>
              <w:t>i</w:t>
            </w:r>
            <w:r>
              <w:rPr>
                <w:bCs/>
                <w:i/>
                <w:iCs/>
                <w:szCs w:val="24"/>
              </w:rPr>
              <w:t xml:space="preserve"> + e</w:t>
            </w:r>
            <w:r>
              <w:rPr>
                <w:bCs/>
                <w:i/>
                <w:iCs/>
                <w:szCs w:val="24"/>
                <w:vertAlign w:val="subscript"/>
              </w:rPr>
              <w:t>i</w:t>
            </w:r>
          </w:p>
        </w:tc>
      </w:tr>
      <w:tr w:rsidR="003600BE" w14:paraId="40C12E26" w14:textId="77777777" w:rsidTr="003600BE">
        <w:tc>
          <w:tcPr>
            <w:tcW w:w="9016" w:type="dxa"/>
            <w:hideMark/>
          </w:tcPr>
          <w:p w14:paraId="22BCD196" w14:textId="77777777" w:rsidR="003600BE" w:rsidRDefault="003600BE">
            <w:pPr>
              <w:jc w:val="center"/>
              <w:rPr>
                <w:b/>
                <w:bCs/>
                <w:i/>
                <w:iCs/>
                <w:szCs w:val="24"/>
              </w:rPr>
            </w:pPr>
            <w:r>
              <w:rPr>
                <w:b/>
                <w:bCs/>
                <w:i/>
                <w:iCs/>
                <w:szCs w:val="24"/>
              </w:rPr>
              <w:t>Multilevel Regression Equation</w:t>
            </w:r>
          </w:p>
        </w:tc>
      </w:tr>
      <w:tr w:rsidR="003600BE" w14:paraId="7BCDB599" w14:textId="77777777" w:rsidTr="003600BE">
        <w:tc>
          <w:tcPr>
            <w:tcW w:w="9016" w:type="dxa"/>
            <w:hideMark/>
          </w:tcPr>
          <w:p w14:paraId="4E144CA8" w14:textId="77777777" w:rsidR="003600BE" w:rsidRDefault="003600BE">
            <w:pPr>
              <w:jc w:val="center"/>
              <w:rPr>
                <w:bCs/>
                <w:i/>
                <w:iCs/>
                <w:szCs w:val="24"/>
                <w:vertAlign w:val="subscript"/>
              </w:rPr>
            </w:pPr>
            <w:r>
              <w:rPr>
                <w:bCs/>
                <w:i/>
                <w:iCs/>
                <w:szCs w:val="24"/>
              </w:rPr>
              <w:t>y</w:t>
            </w:r>
            <w:r>
              <w:rPr>
                <w:bCs/>
                <w:i/>
                <w:iCs/>
                <w:szCs w:val="24"/>
                <w:vertAlign w:val="subscript"/>
              </w:rPr>
              <w:t>ij</w:t>
            </w:r>
            <w:r>
              <w:rPr>
                <w:bCs/>
                <w:i/>
                <w:iCs/>
                <w:szCs w:val="24"/>
              </w:rPr>
              <w:t xml:space="preserve"> = b</w:t>
            </w:r>
            <w:r>
              <w:rPr>
                <w:bCs/>
                <w:i/>
                <w:iCs/>
                <w:szCs w:val="24"/>
                <w:vertAlign w:val="subscript"/>
              </w:rPr>
              <w:t>0</w:t>
            </w:r>
            <w:r>
              <w:rPr>
                <w:bCs/>
                <w:i/>
                <w:iCs/>
                <w:szCs w:val="24"/>
              </w:rPr>
              <w:t xml:space="preserve"> + b</w:t>
            </w:r>
            <w:r>
              <w:rPr>
                <w:bCs/>
                <w:i/>
                <w:iCs/>
                <w:szCs w:val="24"/>
                <w:vertAlign w:val="subscript"/>
              </w:rPr>
              <w:t>1</w:t>
            </w:r>
            <w:r>
              <w:rPr>
                <w:bCs/>
                <w:i/>
                <w:iCs/>
                <w:szCs w:val="24"/>
              </w:rPr>
              <w:t>x</w:t>
            </w:r>
            <w:r>
              <w:rPr>
                <w:bCs/>
                <w:i/>
                <w:iCs/>
                <w:szCs w:val="24"/>
                <w:vertAlign w:val="subscript"/>
              </w:rPr>
              <w:t>ij</w:t>
            </w:r>
            <w:r>
              <w:rPr>
                <w:bCs/>
                <w:i/>
                <w:iCs/>
                <w:szCs w:val="24"/>
              </w:rPr>
              <w:t xml:space="preserve"> + u</w:t>
            </w:r>
            <w:r>
              <w:rPr>
                <w:bCs/>
                <w:i/>
                <w:iCs/>
                <w:szCs w:val="24"/>
                <w:vertAlign w:val="subscript"/>
              </w:rPr>
              <w:t>j</w:t>
            </w:r>
            <w:r>
              <w:rPr>
                <w:bCs/>
                <w:i/>
                <w:iCs/>
                <w:szCs w:val="24"/>
              </w:rPr>
              <w:t xml:space="preserve"> + e</w:t>
            </w:r>
            <w:r>
              <w:rPr>
                <w:bCs/>
                <w:i/>
                <w:iCs/>
                <w:szCs w:val="24"/>
                <w:vertAlign w:val="subscript"/>
              </w:rPr>
              <w:t>ij</w:t>
            </w:r>
          </w:p>
        </w:tc>
      </w:tr>
    </w:tbl>
    <w:p w14:paraId="1DBCB65B" w14:textId="77777777" w:rsidR="003600BE" w:rsidRDefault="003600BE" w:rsidP="003600BE">
      <w:pPr>
        <w:rPr>
          <w:bCs/>
          <w:iCs/>
          <w:szCs w:val="24"/>
        </w:rPr>
      </w:pPr>
      <w:r>
        <w:rPr>
          <w:szCs w:val="24"/>
        </w:rPr>
        <w:t xml:space="preserve">For the single level regression equation the notation is standard: </w:t>
      </w:r>
      <w:r>
        <w:rPr>
          <w:b/>
          <w:szCs w:val="24"/>
        </w:rPr>
        <w:t>y</w:t>
      </w:r>
      <w:r>
        <w:rPr>
          <w:szCs w:val="24"/>
        </w:rPr>
        <w:t xml:space="preserve"> is the dependent variable, </w:t>
      </w:r>
      <w:r>
        <w:rPr>
          <w:b/>
          <w:bCs/>
          <w:i/>
          <w:iCs/>
          <w:szCs w:val="24"/>
        </w:rPr>
        <w:t>b</w:t>
      </w:r>
      <w:r>
        <w:rPr>
          <w:b/>
          <w:bCs/>
          <w:i/>
          <w:iCs/>
          <w:szCs w:val="24"/>
          <w:vertAlign w:val="subscript"/>
        </w:rPr>
        <w:t>0</w:t>
      </w:r>
      <w:r>
        <w:rPr>
          <w:szCs w:val="24"/>
        </w:rPr>
        <w:t xml:space="preserve"> is the constant,  </w:t>
      </w:r>
      <w:r>
        <w:rPr>
          <w:b/>
          <w:bCs/>
          <w:i/>
          <w:iCs/>
          <w:szCs w:val="24"/>
        </w:rPr>
        <w:t>b</w:t>
      </w:r>
      <w:r>
        <w:rPr>
          <w:b/>
          <w:bCs/>
          <w:i/>
          <w:iCs/>
          <w:szCs w:val="24"/>
          <w:vertAlign w:val="subscript"/>
        </w:rPr>
        <w:t>1</w:t>
      </w:r>
      <w:r>
        <w:rPr>
          <w:b/>
          <w:bCs/>
          <w:i/>
          <w:iCs/>
          <w:szCs w:val="24"/>
        </w:rPr>
        <w:t>x</w:t>
      </w:r>
      <w:r>
        <w:rPr>
          <w:b/>
          <w:bCs/>
          <w:i/>
          <w:iCs/>
          <w:szCs w:val="24"/>
          <w:vertAlign w:val="subscript"/>
        </w:rPr>
        <w:t xml:space="preserve">i </w:t>
      </w:r>
      <w:r>
        <w:rPr>
          <w:szCs w:val="24"/>
        </w:rPr>
        <w:t xml:space="preserve">is the coefficient for each explanatory variable, and </w:t>
      </w:r>
      <w:r>
        <w:rPr>
          <w:bCs/>
          <w:i/>
          <w:iCs/>
          <w:szCs w:val="24"/>
        </w:rPr>
        <w:t>e</w:t>
      </w:r>
      <w:r>
        <w:rPr>
          <w:bCs/>
          <w:i/>
          <w:iCs/>
          <w:szCs w:val="24"/>
          <w:vertAlign w:val="subscript"/>
        </w:rPr>
        <w:t xml:space="preserve">i </w:t>
      </w:r>
      <w:r>
        <w:rPr>
          <w:bCs/>
          <w:iCs/>
          <w:szCs w:val="24"/>
        </w:rPr>
        <w:t xml:space="preserve">refers to the remaining error in the model. The subscripted </w:t>
      </w:r>
      <w:r>
        <w:rPr>
          <w:bCs/>
          <w:iCs/>
          <w:szCs w:val="24"/>
          <w:vertAlign w:val="subscript"/>
        </w:rPr>
        <w:t>i</w:t>
      </w:r>
      <w:r>
        <w:rPr>
          <w:bCs/>
          <w:iCs/>
          <w:szCs w:val="24"/>
        </w:rPr>
        <w:t xml:space="preserve"> refers to each individual case in the dataset.</w:t>
      </w:r>
    </w:p>
    <w:p w14:paraId="6BAC79A1" w14:textId="77777777" w:rsidR="003600BE" w:rsidRDefault="003600BE" w:rsidP="003600BE">
      <w:pPr>
        <w:rPr>
          <w:bCs/>
          <w:iCs/>
          <w:szCs w:val="24"/>
        </w:rPr>
      </w:pPr>
      <w:r>
        <w:rPr>
          <w:bCs/>
          <w:iCs/>
          <w:szCs w:val="24"/>
        </w:rPr>
        <w:t xml:space="preserve">The multilevel regression equation has the same basic format but it is expanded. The subscript </w:t>
      </w:r>
      <w:r>
        <w:rPr>
          <w:bCs/>
          <w:iCs/>
          <w:szCs w:val="24"/>
          <w:vertAlign w:val="subscript"/>
        </w:rPr>
        <w:t>j</w:t>
      </w:r>
      <w:r>
        <w:rPr>
          <w:bCs/>
          <w:iCs/>
          <w:szCs w:val="24"/>
        </w:rPr>
        <w:t xml:space="preserve"> is added, which refers to each group in the dataset, whether it is a country, school, etc. Now explanatory variables operate at both levels. Further, the error term </w:t>
      </w:r>
      <w:r>
        <w:rPr>
          <w:b/>
          <w:bCs/>
          <w:i/>
          <w:iCs/>
          <w:szCs w:val="24"/>
        </w:rPr>
        <w:t xml:space="preserve">u </w:t>
      </w:r>
      <w:r>
        <w:rPr>
          <w:bCs/>
          <w:iCs/>
          <w:szCs w:val="24"/>
        </w:rPr>
        <w:t>is added, which accounts for the second level of error. When the regression analysis is run in this way, the variance is partitioned between levels, and we can account for the impact of individual and group characteristics.</w:t>
      </w:r>
    </w:p>
    <w:p w14:paraId="52C2F4A5" w14:textId="77777777" w:rsidR="003600BE" w:rsidRDefault="003600BE" w:rsidP="003600BE">
      <w:pPr>
        <w:rPr>
          <w:bCs/>
          <w:iCs/>
          <w:szCs w:val="24"/>
        </w:rPr>
      </w:pPr>
      <w:r>
        <w:rPr>
          <w:bCs/>
          <w:iCs/>
          <w:szCs w:val="24"/>
        </w:rPr>
        <w:t>As with the Principal Components Analysis undertaken in Chapter 4, there are a number of considerations when using regression modelling and MLM in particular, which include:</w:t>
      </w:r>
    </w:p>
    <w:p w14:paraId="1C305202" w14:textId="77777777" w:rsidR="003600BE" w:rsidRDefault="003600BE" w:rsidP="002032DF">
      <w:pPr>
        <w:pStyle w:val="ListParagraph"/>
        <w:numPr>
          <w:ilvl w:val="0"/>
          <w:numId w:val="17"/>
        </w:numPr>
        <w:suppressAutoHyphens/>
        <w:ind w:left="0" w:firstLine="0"/>
        <w:rPr>
          <w:bCs/>
          <w:iCs/>
          <w:szCs w:val="24"/>
        </w:rPr>
      </w:pPr>
      <w:r>
        <w:rPr>
          <w:bCs/>
          <w:iCs/>
          <w:szCs w:val="24"/>
        </w:rPr>
        <w:t>The number of levels and the amount of data</w:t>
      </w:r>
    </w:p>
    <w:p w14:paraId="04C6D811" w14:textId="77777777" w:rsidR="003600BE" w:rsidRDefault="003600BE" w:rsidP="002032DF">
      <w:pPr>
        <w:pStyle w:val="ListParagraph"/>
        <w:numPr>
          <w:ilvl w:val="0"/>
          <w:numId w:val="17"/>
        </w:numPr>
        <w:suppressAutoHyphens/>
        <w:ind w:left="0" w:firstLine="0"/>
        <w:rPr>
          <w:bCs/>
          <w:iCs/>
          <w:szCs w:val="24"/>
        </w:rPr>
      </w:pPr>
      <w:r>
        <w:rPr>
          <w:bCs/>
          <w:iCs/>
          <w:szCs w:val="24"/>
        </w:rPr>
        <w:t>Variance within and between groups: the intraclass correlation coefficient</w:t>
      </w:r>
    </w:p>
    <w:p w14:paraId="5B5BC6A3" w14:textId="77777777" w:rsidR="003600BE" w:rsidRDefault="003600BE" w:rsidP="002032DF">
      <w:pPr>
        <w:pStyle w:val="ListParagraph"/>
        <w:numPr>
          <w:ilvl w:val="0"/>
          <w:numId w:val="17"/>
        </w:numPr>
        <w:suppressAutoHyphens/>
        <w:ind w:left="0" w:firstLine="0"/>
        <w:rPr>
          <w:bCs/>
          <w:iCs/>
          <w:szCs w:val="24"/>
        </w:rPr>
      </w:pPr>
      <w:r>
        <w:rPr>
          <w:bCs/>
          <w:iCs/>
          <w:szCs w:val="24"/>
        </w:rPr>
        <w:t>Centring variables</w:t>
      </w:r>
    </w:p>
    <w:p w14:paraId="760342E8" w14:textId="77777777" w:rsidR="00835F4F" w:rsidRDefault="00835F4F" w:rsidP="002032DF">
      <w:pPr>
        <w:pStyle w:val="ListParagraph"/>
        <w:numPr>
          <w:ilvl w:val="0"/>
          <w:numId w:val="17"/>
        </w:numPr>
        <w:suppressAutoHyphens/>
        <w:ind w:left="0" w:firstLine="0"/>
        <w:rPr>
          <w:bCs/>
          <w:iCs/>
          <w:szCs w:val="24"/>
        </w:rPr>
      </w:pPr>
      <w:r>
        <w:rPr>
          <w:bCs/>
          <w:iCs/>
          <w:szCs w:val="24"/>
        </w:rPr>
        <w:t>Survey weights</w:t>
      </w:r>
    </w:p>
    <w:p w14:paraId="6AE03979" w14:textId="4AC9B5E5" w:rsidR="003600BE" w:rsidRDefault="003600BE" w:rsidP="002032DF">
      <w:pPr>
        <w:pStyle w:val="ListParagraph"/>
        <w:numPr>
          <w:ilvl w:val="0"/>
          <w:numId w:val="17"/>
        </w:numPr>
        <w:suppressAutoHyphens/>
        <w:ind w:left="0" w:firstLine="0"/>
        <w:rPr>
          <w:bCs/>
          <w:iCs/>
          <w:szCs w:val="24"/>
        </w:rPr>
      </w:pPr>
      <w:r>
        <w:rPr>
          <w:bCs/>
          <w:iCs/>
          <w:szCs w:val="24"/>
        </w:rPr>
        <w:t>Testing the model fit</w:t>
      </w:r>
    </w:p>
    <w:p w14:paraId="3753ECC8" w14:textId="22D92FD4" w:rsidR="00100247" w:rsidRPr="00641579" w:rsidRDefault="00100247" w:rsidP="002032DF">
      <w:pPr>
        <w:pStyle w:val="ListParagraph"/>
        <w:numPr>
          <w:ilvl w:val="0"/>
          <w:numId w:val="17"/>
        </w:numPr>
        <w:suppressAutoHyphens/>
        <w:ind w:left="0" w:firstLine="0"/>
        <w:rPr>
          <w:bCs/>
          <w:iCs/>
          <w:szCs w:val="24"/>
          <w:highlight w:val="yellow"/>
        </w:rPr>
      </w:pPr>
      <w:r w:rsidRPr="00641579">
        <w:rPr>
          <w:bCs/>
          <w:iCs/>
          <w:szCs w:val="24"/>
          <w:highlight w:val="yellow"/>
        </w:rPr>
        <w:t>Random slopes</w:t>
      </w:r>
    </w:p>
    <w:p w14:paraId="0CB5F27E" w14:textId="77777777" w:rsidR="003600BE" w:rsidRDefault="003600BE" w:rsidP="002032DF">
      <w:pPr>
        <w:pStyle w:val="ListParagraph"/>
        <w:numPr>
          <w:ilvl w:val="0"/>
          <w:numId w:val="17"/>
        </w:numPr>
        <w:suppressAutoHyphens/>
        <w:ind w:left="0" w:firstLine="0"/>
        <w:rPr>
          <w:bCs/>
          <w:iCs/>
          <w:szCs w:val="24"/>
        </w:rPr>
      </w:pPr>
      <w:r>
        <w:rPr>
          <w:bCs/>
          <w:iCs/>
          <w:szCs w:val="24"/>
        </w:rPr>
        <w:t>Limitations of MLM</w:t>
      </w:r>
    </w:p>
    <w:p w14:paraId="3B2490B5" w14:textId="6311BDB3" w:rsidR="003600BE" w:rsidRDefault="003600BE" w:rsidP="003600BE">
      <w:pPr>
        <w:rPr>
          <w:bCs/>
          <w:iCs/>
          <w:szCs w:val="24"/>
        </w:rPr>
      </w:pPr>
      <w:r>
        <w:rPr>
          <w:bCs/>
          <w:iCs/>
          <w:szCs w:val="24"/>
        </w:rPr>
        <w:t>The following sections address these issues.</w:t>
      </w:r>
    </w:p>
    <w:p w14:paraId="04D04DCB" w14:textId="77777777" w:rsidR="003600BE" w:rsidRDefault="003600BE" w:rsidP="002032DF">
      <w:pPr>
        <w:pStyle w:val="Heading4"/>
        <w:numPr>
          <w:ilvl w:val="3"/>
          <w:numId w:val="16"/>
        </w:numPr>
      </w:pPr>
      <w:bookmarkStart w:id="302" w:name="_Toc441069243"/>
      <w:bookmarkStart w:id="303" w:name="_Toc393447156"/>
      <w:r>
        <w:t>The Number of Levels and the Amount of Data</w:t>
      </w:r>
      <w:bookmarkEnd w:id="302"/>
      <w:bookmarkEnd w:id="303"/>
    </w:p>
    <w:p w14:paraId="464516A6" w14:textId="77777777" w:rsidR="003600BE" w:rsidRDefault="003600BE" w:rsidP="003600BE">
      <w:pPr>
        <w:rPr>
          <w:szCs w:val="24"/>
        </w:rPr>
      </w:pPr>
      <w:r>
        <w:rPr>
          <w:szCs w:val="24"/>
        </w:rPr>
        <w:t xml:space="preserve">So far this discussion has described the difference between single and ‘multilevel’ models. In reality, the focus has been on single and two level models. Technically, here is no reason why more levels cannot be added to the model. The extension of levels continues the logic when just adding one level: splitting the variance across observations. For instance, regional geography below the nation state could be tested for differences. </w:t>
      </w:r>
    </w:p>
    <w:p w14:paraId="6382B718" w14:textId="43FDC80A" w:rsidR="003600BE" w:rsidRDefault="003600BE" w:rsidP="003600BE">
      <w:pPr>
        <w:rPr>
          <w:szCs w:val="24"/>
        </w:rPr>
      </w:pPr>
      <w:r>
        <w:rPr>
          <w:szCs w:val="24"/>
        </w:rPr>
        <w:t xml:space="preserve">An important consideration of levels, however, is the data quality at each level. For instance, </w:t>
      </w:r>
      <w:r w:rsidR="002A6BE7">
        <w:rPr>
          <w:szCs w:val="24"/>
        </w:rPr>
        <w:t>what is the minimum number of data points</w:t>
      </w:r>
      <w:r>
        <w:rPr>
          <w:szCs w:val="24"/>
        </w:rPr>
        <w:t xml:space="preserve"> </w:t>
      </w:r>
      <w:r w:rsidR="002A6BE7">
        <w:rPr>
          <w:szCs w:val="24"/>
        </w:rPr>
        <w:t>needed in the</w:t>
      </w:r>
      <w:r>
        <w:rPr>
          <w:szCs w:val="24"/>
        </w:rPr>
        <w:t xml:space="preserve"> second level? In general there is a complex relationship between the powe</w:t>
      </w:r>
      <w:r w:rsidR="003419C0">
        <w:rPr>
          <w:szCs w:val="24"/>
        </w:rPr>
        <w:t xml:space="preserve">r of the model and sample size </w:t>
      </w:r>
      <w:r w:rsidR="003419C0">
        <w:rPr>
          <w:szCs w:val="24"/>
        </w:rPr>
        <w:fldChar w:fldCharType="begin" w:fldLock="1"/>
      </w:r>
      <w:r w:rsidR="00E63CC6">
        <w:rPr>
          <w:szCs w:val="24"/>
        </w:rPr>
        <w:instrText>ADDIN CSL_CITATION { "citationItems" : [ { "id" : "ITEM-1", "itemData" : { "author" : [ { "dropping-particle" : "", "family" : "Field", "given" : "A", "non-dropping-particle" : "", "parse-names" : false, "suffix" : "" } ], "edition" : "3rd Edtn.", "id" : "ITEM-1", "issued" : { "date-parts" : [ [ "2011" ] ] }, "publisher" : "SAGE Publications", "publisher-place" : "London", "title" : "Discovering Statistics Using SPSS", "type" : "book" }, "uris" : [ "http://www.mendeley.com/documents/?uuid=fd330789-2178-4f1d-88d3-094255577e00" ] } ], "mendeley" : { "formattedCitation" : "(Field, 2011)", "manualFormatting" : "(Field 2011, p.740)", "plainTextFormattedCitation" : "(Field, 2011)", "previouslyFormattedCitation" : "(Field, 2011)" }, "properties" : { "noteIndex" : 0 }, "schema" : "https://github.com/citation-style-language/schema/raw/master/csl-citation.json" }</w:instrText>
      </w:r>
      <w:r w:rsidR="003419C0">
        <w:rPr>
          <w:szCs w:val="24"/>
        </w:rPr>
        <w:fldChar w:fldCharType="separate"/>
      </w:r>
      <w:r w:rsidR="003419C0" w:rsidRPr="003419C0">
        <w:rPr>
          <w:noProof/>
          <w:szCs w:val="24"/>
        </w:rPr>
        <w:t>(Field 2011</w:t>
      </w:r>
      <w:r w:rsidR="003419C0">
        <w:rPr>
          <w:noProof/>
          <w:szCs w:val="24"/>
        </w:rPr>
        <w:t>, p.740</w:t>
      </w:r>
      <w:r w:rsidR="003419C0" w:rsidRPr="003419C0">
        <w:rPr>
          <w:noProof/>
          <w:szCs w:val="24"/>
        </w:rPr>
        <w:t>)</w:t>
      </w:r>
      <w:r w:rsidR="003419C0">
        <w:rPr>
          <w:szCs w:val="24"/>
        </w:rPr>
        <w:fldChar w:fldCharType="end"/>
      </w:r>
      <w:r>
        <w:rPr>
          <w:szCs w:val="24"/>
        </w:rPr>
        <w:t xml:space="preserve">. However, if there are too few data points at the second level, the error will be too high and the data points will struggle to provide additional insight into the relationships between the variables. </w:t>
      </w:r>
    </w:p>
    <w:p w14:paraId="6F4341DA" w14:textId="0BCB439D" w:rsidR="00E50AF1" w:rsidRDefault="003600BE" w:rsidP="003600BE">
      <w:pPr>
        <w:rPr>
          <w:szCs w:val="24"/>
        </w:rPr>
      </w:pPr>
      <w:r>
        <w:rPr>
          <w:szCs w:val="24"/>
        </w:rPr>
        <w:t xml:space="preserve">So the more the better in this sense, but there is no consensus in the literature as to how many data points </w:t>
      </w:r>
      <w:r w:rsidR="001D1949">
        <w:rPr>
          <w:szCs w:val="24"/>
        </w:rPr>
        <w:t>are necessary</w:t>
      </w:r>
      <w:r>
        <w:rPr>
          <w:szCs w:val="24"/>
        </w:rPr>
        <w:t>.</w:t>
      </w:r>
      <w:r w:rsidR="001D1949">
        <w:rPr>
          <w:szCs w:val="24"/>
        </w:rPr>
        <w:t xml:space="preserve"> </w:t>
      </w:r>
      <w:r w:rsidR="001D1949">
        <w:rPr>
          <w:szCs w:val="24"/>
        </w:rPr>
        <w:fldChar w:fldCharType="begin" w:fldLock="1"/>
      </w:r>
      <w:r w:rsidR="00E63CC6">
        <w:rPr>
          <w:szCs w:val="24"/>
        </w:rPr>
        <w:instrText>ADDIN CSL_CITATION { "citationItems" : [ { "id" : "ITEM-1", "itemData" : { "author" : [ { "dropping-particle" : "", "family" : "Kreft", "given" : "G. G.", "non-dropping-particle" : "", "parse-names" : false, "suffix" : "" }, { "dropping-particle" : "", "family" : "Leeuw", "given" : "J.", "non-dropping-particle" : "de", "parse-names" : false, "suffix" : "" } ], "id" : "ITEM-1", "issued" : { "date-parts" : [ [ "1998" ] ] }, "publisher" : "SAGE Publications", "publisher-place" : "London", "title" : "Introducing Multilevel Modelling", "type" : "book" }, "uris" : [ "http://www.mendeley.com/documents/?uuid=0ca80465-68a7-482a-9140-90b5efd2e67e" ] } ], "mendeley" : { "formattedCitation" : "(Kreft and de Leeuw, 1998)", "manualFormatting" : "Kreft and de Leeuw (1998)", "plainTextFormattedCitation" : "(Kreft and de Leeuw, 1998)", "previouslyFormattedCitation" : "(Kreft and de Leeuw, 1998)" }, "properties" : { "noteIndex" : 0 }, "schema" : "https://github.com/citation-style-language/schema/raw/master/csl-citation.json" }</w:instrText>
      </w:r>
      <w:r w:rsidR="001D1949">
        <w:rPr>
          <w:szCs w:val="24"/>
        </w:rPr>
        <w:fldChar w:fldCharType="separate"/>
      </w:r>
      <w:r w:rsidR="001D1949">
        <w:rPr>
          <w:noProof/>
          <w:szCs w:val="24"/>
        </w:rPr>
        <w:t>Kreft and</w:t>
      </w:r>
      <w:r w:rsidR="001D1949" w:rsidRPr="001D1949">
        <w:rPr>
          <w:noProof/>
          <w:szCs w:val="24"/>
        </w:rPr>
        <w:t xml:space="preserve"> de Leeuw </w:t>
      </w:r>
      <w:r w:rsidR="001D1949">
        <w:rPr>
          <w:noProof/>
          <w:szCs w:val="24"/>
        </w:rPr>
        <w:t>(</w:t>
      </w:r>
      <w:r w:rsidR="001D1949" w:rsidRPr="001D1949">
        <w:rPr>
          <w:noProof/>
          <w:szCs w:val="24"/>
        </w:rPr>
        <w:t>1998)</w:t>
      </w:r>
      <w:r w:rsidR="001D1949">
        <w:rPr>
          <w:szCs w:val="24"/>
        </w:rPr>
        <w:fldChar w:fldCharType="end"/>
      </w:r>
      <w:r>
        <w:rPr>
          <w:szCs w:val="24"/>
        </w:rPr>
        <w:t xml:space="preserve"> argue that overall there are too many factors to consider in a MLM to generalise</w:t>
      </w:r>
      <w:r w:rsidR="00E50AF1">
        <w:rPr>
          <w:szCs w:val="24"/>
        </w:rPr>
        <w:t xml:space="preserve"> and produce any rules of thumb; h</w:t>
      </w:r>
      <w:r>
        <w:rPr>
          <w:szCs w:val="24"/>
        </w:rPr>
        <w:t>owever, they do note that if the researcher is interested in cross-level interactions then 20 or more groups in the higher level, with good sized groups, is helpful</w:t>
      </w:r>
      <w:r w:rsidR="00E50AF1">
        <w:rPr>
          <w:szCs w:val="24"/>
        </w:rPr>
        <w:t>.</w:t>
      </w:r>
      <w:r>
        <w:rPr>
          <w:szCs w:val="24"/>
        </w:rPr>
        <w:t xml:space="preserve"> There are some who suggest </w:t>
      </w:r>
      <w:r w:rsidR="00E50AF1">
        <w:rPr>
          <w:szCs w:val="24"/>
        </w:rPr>
        <w:t xml:space="preserve">the number of units in the second level </w:t>
      </w:r>
      <w:r>
        <w:rPr>
          <w:szCs w:val="24"/>
        </w:rPr>
        <w:t xml:space="preserve">should be at least 30, which is also the general rule of thumb for how many observations are required for a correlation analysis. </w:t>
      </w:r>
      <w:r w:rsidR="00E50AF1">
        <w:rPr>
          <w:szCs w:val="24"/>
        </w:rPr>
        <w:t>Using simulation analysis a recent study on the robustness of multilevel estimations came to the conclusion that “users re</w:t>
      </w:r>
      <w:r w:rsidR="00E50AF1" w:rsidRPr="00E50AF1">
        <w:rPr>
          <w:szCs w:val="24"/>
        </w:rPr>
        <w:t>quire 25 countries for linear models and 30 countries for logit models at the very minimum</w:t>
      </w:r>
      <w:r w:rsidR="00E50AF1">
        <w:rPr>
          <w:szCs w:val="24"/>
        </w:rPr>
        <w:t xml:space="preserve"> </w:t>
      </w:r>
      <w:r w:rsidR="00E50AF1" w:rsidRPr="00E50AF1">
        <w:rPr>
          <w:szCs w:val="24"/>
        </w:rPr>
        <w:t>and most likely more for models with a specification other than a relatively</w:t>
      </w:r>
      <w:r w:rsidR="00E50AF1">
        <w:rPr>
          <w:szCs w:val="24"/>
        </w:rPr>
        <w:t xml:space="preserve"> basic one”  </w:t>
      </w:r>
      <w:r w:rsidR="00E50AF1">
        <w:rPr>
          <w:szCs w:val="24"/>
        </w:rPr>
        <w:fldChar w:fldCharType="begin" w:fldLock="1"/>
      </w:r>
      <w:r w:rsidR="00E63CC6">
        <w:rPr>
          <w:szCs w:val="24"/>
        </w:rPr>
        <w:instrText>ADDIN CSL_CITATION { "citationItems" : [ { "id" : "ITEM-1", "itemData" : { "DOI" : "10.1093/esr/jcv059", "ISSN" : "0266-7215", "abstract" : "Country effects on outcomes for individuals are often analysed using multilevel (hierarchical) models applied to harmonized multi-country data sets such as ESS, EU-SILC, EVS, ISSP, and SHARE. We point out problems with the assessment of country effects that appear not to be widely appreciated, and develop our arguments using Monte Carlo simulation analysis of multilevel linear and logit mod- els. With large sample sizes of individuals within each country but only a small number of countries, analysts can reliably estimate individual-level effects but estimates of parameters summarizing coun- try effects are likely to be unreliable. Multilevel modelling methods are no panacea", "author" : [ { "dropping-particle" : "", "family" : "Bryan", "given" : "Mark L.", "non-dropping-particle" : "", "parse-names" : false, "suffix" : "" }, { "dropping-particle" : "", "family" : "Jenkins", "given" : "Stephen", "non-dropping-particle" : "", "parse-names" : false, "suffix" : "" } ], "container-title" : "European Sociological Review", "id" : "ITEM-1", "issue" : "May", "issued" : { "date-parts" : [ [ "2015" ] ] }, "page" : "1-20", "title" : "Multilevel Modelling of Country Effects: A Cautionary Tale", "type" : "article-journal" }, "uris" : [ "http://www.mendeley.com/documents/?uuid=1b0a0739-5ff0-4744-b871-f7f77c7ce2ce" ] } ], "mendeley" : { "formattedCitation" : "(Bryan and Jenkins, 2015)", "manualFormatting" : "(Bryan &amp; Jenkins 2015, p.17)", "plainTextFormattedCitation" : "(Bryan and Jenkins, 2015)", "previouslyFormattedCitation" : "(Bryan and Jenkins, 2015)" }, "properties" : { "noteIndex" : 0 }, "schema" : "https://github.com/citation-style-language/schema/raw/master/csl-citation.json" }</w:instrText>
      </w:r>
      <w:r w:rsidR="00E50AF1">
        <w:rPr>
          <w:szCs w:val="24"/>
        </w:rPr>
        <w:fldChar w:fldCharType="separate"/>
      </w:r>
      <w:r w:rsidR="00E50AF1" w:rsidRPr="00E50AF1">
        <w:rPr>
          <w:noProof/>
          <w:szCs w:val="24"/>
        </w:rPr>
        <w:t>(Bryan &amp; Jenkins 2015</w:t>
      </w:r>
      <w:r w:rsidR="00E50AF1">
        <w:rPr>
          <w:noProof/>
          <w:szCs w:val="24"/>
        </w:rPr>
        <w:t>, p.17</w:t>
      </w:r>
      <w:r w:rsidR="00E50AF1" w:rsidRPr="00E50AF1">
        <w:rPr>
          <w:noProof/>
          <w:szCs w:val="24"/>
        </w:rPr>
        <w:t>)</w:t>
      </w:r>
      <w:r w:rsidR="00E50AF1">
        <w:rPr>
          <w:szCs w:val="24"/>
        </w:rPr>
        <w:fldChar w:fldCharType="end"/>
      </w:r>
      <w:r w:rsidR="00E50AF1">
        <w:rPr>
          <w:szCs w:val="24"/>
        </w:rPr>
        <w:t xml:space="preserve">. Some studies </w:t>
      </w:r>
      <w:r w:rsidR="003419C0">
        <w:rPr>
          <w:szCs w:val="24"/>
        </w:rPr>
        <w:t xml:space="preserve">have </w:t>
      </w:r>
      <w:r w:rsidR="00E50AF1">
        <w:rPr>
          <w:szCs w:val="24"/>
        </w:rPr>
        <w:t>suggest</w:t>
      </w:r>
      <w:r w:rsidR="003419C0">
        <w:rPr>
          <w:szCs w:val="24"/>
        </w:rPr>
        <w:t>ed</w:t>
      </w:r>
      <w:r w:rsidR="00E50AF1">
        <w:rPr>
          <w:szCs w:val="24"/>
        </w:rPr>
        <w:t xml:space="preserve"> as many as 50 are required</w:t>
      </w:r>
      <w:r w:rsidR="003419C0">
        <w:rPr>
          <w:szCs w:val="24"/>
        </w:rPr>
        <w:t xml:space="preserve"> </w:t>
      </w:r>
      <w:r w:rsidR="003419C0">
        <w:rPr>
          <w:szCs w:val="24"/>
        </w:rPr>
        <w:fldChar w:fldCharType="begin" w:fldLock="1"/>
      </w:r>
      <w:r w:rsidR="00E63CC6">
        <w:rPr>
          <w:szCs w:val="24"/>
        </w:rPr>
        <w:instrText>ADDIN CSL_CITATION { "citationItems" : [ { "id" : "ITEM-1", "itemData" : { "DOI" : "10.1046/j.0039-0402.2003.00252.x", "ISSN" : "0039-0402", "author" : [ { "dropping-particle" : "", "family" : "Maas", "given" : "Cora J. M.", "non-dropping-particle" : "", "parse-names" : false, "suffix" : "" }, { "dropping-particle" : "", "family" : "Hox", "given" : "Joop J.", "non-dropping-particle" : "", "parse-names" : false, "suffix" : "" } ], "container-title" : "Statistica Neerlandica", "id" : "ITEM-1", "issue" : "2", "issued" : { "date-parts" : [ [ "2004", "5" ] ] }, "page" : "127-137", "title" : "Robustness issues in multilevel regression analysis", "type" : "article-journal", "volume" : "58" }, "uris" : [ "http://www.mendeley.com/documents/?uuid=8a6a7f4f-8c17-4144-a4cf-929cf353c0ee" ] } ], "mendeley" : { "formattedCitation" : "(Maas and Hox, 2004)", "plainTextFormattedCitation" : "(Maas and Hox, 2004)", "previouslyFormattedCitation" : "(Maas and Hox, 2004)" }, "properties" : { "noteIndex" : 0 }, "schema" : "https://github.com/citation-style-language/schema/raw/master/csl-citation.json" }</w:instrText>
      </w:r>
      <w:r w:rsidR="003419C0">
        <w:rPr>
          <w:szCs w:val="24"/>
        </w:rPr>
        <w:fldChar w:fldCharType="separate"/>
      </w:r>
      <w:r w:rsidR="00E63CC6" w:rsidRPr="00E63CC6">
        <w:rPr>
          <w:noProof/>
          <w:szCs w:val="24"/>
        </w:rPr>
        <w:t>(Maas and Hox, 2004)</w:t>
      </w:r>
      <w:r w:rsidR="003419C0">
        <w:rPr>
          <w:szCs w:val="24"/>
        </w:rPr>
        <w:fldChar w:fldCharType="end"/>
      </w:r>
      <w:r w:rsidR="00E50AF1">
        <w:rPr>
          <w:szCs w:val="24"/>
        </w:rPr>
        <w:t xml:space="preserve">. </w:t>
      </w:r>
    </w:p>
    <w:p w14:paraId="0E2BA875" w14:textId="0DB10126" w:rsidR="003600BE" w:rsidRDefault="003600BE" w:rsidP="003600BE">
      <w:pPr>
        <w:rPr>
          <w:szCs w:val="24"/>
        </w:rPr>
      </w:pPr>
      <w:r>
        <w:rPr>
          <w:szCs w:val="24"/>
        </w:rPr>
        <w:t>Looking at published studies in the social sciences in 2013</w:t>
      </w:r>
      <w:r w:rsidRPr="00AD1B56">
        <w:rPr>
          <w:rStyle w:val="FootnoteReference"/>
        </w:rPr>
        <w:footnoteReference w:id="20"/>
      </w:r>
      <w:r>
        <w:rPr>
          <w:szCs w:val="24"/>
        </w:rPr>
        <w:t xml:space="preserve">, some studies used as many as 8,048 data points in the second level </w:t>
      </w:r>
      <w:r w:rsidR="003419C0">
        <w:rPr>
          <w:szCs w:val="24"/>
        </w:rPr>
        <w:fldChar w:fldCharType="begin" w:fldLock="1"/>
      </w:r>
      <w:r w:rsidR="00E63CC6">
        <w:rPr>
          <w:szCs w:val="24"/>
        </w:rPr>
        <w:instrText>ADDIN CSL_CITATION { "citationItems" : [ { "id" : "ITEM-1", "itemData" : { "DOI" : "10.1016/j.socscimed.2012.08.034", "ISSN" : "1873-5347", "PMID" : "23137763", "abstract" : "Neighborhood socioeconomic disadvantage is associated to increased individual risk of ischemic heart disease (IHD). However, the value of this association for causal inference is uncertain. Moreover, neighborhoods are often defined by available administrative boundaries without evaluating in which degree these boundaries embrace a relevant socio-geographical context that condition individual differences in IHD risk. Therefore, we performed an analysis of variance, and also compared the associations obtained by conventional multilevel analyses and by quasi-experimental family-based design that provides stronger evidence for causal inference. Linking the Swedish Multi-Generation Register to several other national registers, we analyzed 184,931 families embracing 415,540 full brothers 45-64 years old in 2004, and residing in 8408 small-area market statistics (SAMS) considered as \"neighborhoods\" in our study. We investigated the association between low neighborhood income (categorized in groups by deciles) and IHD risk in the next four years. We distinguished between family mean and intrafamilial-centered low neighborhood income, which allowed us to investigate both unrelated individuals from different families and full brothers within families. We applied multilevel logistic regression techniques to obtain odds ratios (OR), variance partition coefficients (VPC) and 95% credible intervals (CI). In unrelated individuals a decile unit increase of low neighborhood income increased individual IHD risk (OR = 1.04, 95% CI: 1.03-1.07). In the intrafamilial analysis this association was reduced (OR = 1.02, 95% CI: 1.02-1.04). Low neighborhood income seems associated with IHD risk in middle-aged men. However, despite the family-based design, we cannot exclude residual confounding by genetic and non-shared environmental factors. Besides, the low neighborhood level VPC = 1.5% suggest that the SAMS are a rather inappropriate construct of the socio-geographic context that conditions individual variance in IHD risk. In contrast the high family level VPC = 20.1% confirms the relevance of the family context for understanding IHD risk.", "author" : [ { "dropping-particle" : "", "family" : "Merlo", "given" : "Juan", "non-dropping-particle" : "", "parse-names" : false, "suffix" : "" }, { "dropping-particle" : "", "family" : "Ohlsson", "given" : "Henrik", "non-dropping-particle" : "", "parse-names" : false, "suffix" : "" }, { "dropping-particle" : "", "family" : "Chaix", "given" : "Basile", "non-dropping-particle" : "", "parse-names" : false, "suffix" : "" }, { "dropping-particle" : "", "family" : "Lichtenstein", "given" : "Paul", "non-dropping-particle" : "", "parse-names" : false, "suffix" : "" }, { "dropping-particle" : "", "family" : "Kawachi", "given" : "Ichiro", "non-dropping-particle" : "", "parse-names" : false, "suffix" : "" }, { "dropping-particle" : "V", "family" : "Subramanian", "given" : "S", "non-dropping-particle" : "", "parse-names" : false, "suffix" : "" } ], "container-title" : "Social science &amp; medicine", "id" : "ITEM-1", "issue" : "1", "issued" : { "date-parts" : [ [ "2013", "1" ] ] }, "page" : "39-46", "publisher" : "Elsevier Ltd", "title" : "Revisiting causal neighborhood effects on individual ischemic heart disease risk: a quasi-experimental multilevel analysis among Swedish siblings.", "type" : "article-journal", "volume" : "76" }, "uris" : [ "http://www.mendeley.com/documents/?uuid=9add1751-b080-4a00-ae52-716d51e9195c" ] } ], "mendeley" : { "formattedCitation" : "(Merlo &lt;i&gt;et al.&lt;/i&gt;, 2013)", "plainTextFormattedCitation" : "(Merlo et al., 2013)", "previouslyFormattedCitation" : "(Merlo &lt;i&gt;et al.&lt;/i&gt;, 2013)" }, "properties" : { "noteIndex" : 0 }, "schema" : "https://github.com/citation-style-language/schema/raw/master/csl-citation.json" }</w:instrText>
      </w:r>
      <w:r w:rsidR="003419C0">
        <w:rPr>
          <w:szCs w:val="24"/>
        </w:rPr>
        <w:fldChar w:fldCharType="separate"/>
      </w:r>
      <w:r w:rsidR="00E63CC6" w:rsidRPr="00E63CC6">
        <w:rPr>
          <w:noProof/>
          <w:szCs w:val="24"/>
        </w:rPr>
        <w:t xml:space="preserve">(Merlo </w:t>
      </w:r>
      <w:r w:rsidR="00E63CC6" w:rsidRPr="00E63CC6">
        <w:rPr>
          <w:i/>
          <w:noProof/>
          <w:szCs w:val="24"/>
        </w:rPr>
        <w:t>et al.</w:t>
      </w:r>
      <w:r w:rsidR="00E63CC6" w:rsidRPr="00E63CC6">
        <w:rPr>
          <w:noProof/>
          <w:szCs w:val="24"/>
        </w:rPr>
        <w:t>, 2013)</w:t>
      </w:r>
      <w:r w:rsidR="003419C0">
        <w:rPr>
          <w:szCs w:val="24"/>
        </w:rPr>
        <w:fldChar w:fldCharType="end"/>
      </w:r>
      <w:r>
        <w:rPr>
          <w:szCs w:val="24"/>
        </w:rPr>
        <w:t xml:space="preserve">; this particular study was done using </w:t>
      </w:r>
      <w:r w:rsidR="00F50C02">
        <w:rPr>
          <w:szCs w:val="24"/>
        </w:rPr>
        <w:t xml:space="preserve">regional </w:t>
      </w:r>
      <w:r>
        <w:rPr>
          <w:szCs w:val="24"/>
        </w:rPr>
        <w:t>data from Sweden, where large datasets are often available and linkable.  Cross-national and cross-sectional studies are often limited to far less data points (indeed, there are only a set number of countries in the world at one time) such as the 16 data points used by</w:t>
      </w:r>
      <w:r w:rsidR="003419C0">
        <w:rPr>
          <w:szCs w:val="24"/>
        </w:rPr>
        <w:t xml:space="preserve"> </w:t>
      </w:r>
      <w:r w:rsidR="003419C0">
        <w:rPr>
          <w:szCs w:val="24"/>
        </w:rPr>
        <w:fldChar w:fldCharType="begin" w:fldLock="1"/>
      </w:r>
      <w:r w:rsidR="00E63CC6">
        <w:rPr>
          <w:szCs w:val="24"/>
        </w:rPr>
        <w:instrText>ADDIN CSL_CITATION { "citationItems" : [ { "id" : "ITEM-1", "itemData" : { "DOI" : "10.1016/j.socscimed.2013.01.010", "ISSN" : "1873-5347", "PMID" : "23422055", "abstract" : "Researchers have long demonstrated that persons of high economic status are likely to be healthier than persons of low socioeconomic standing. Cross-national studies have also demonstrated that health of the population tends to increase with country's level of economic development and to decline with level of economic inequality. The present research utilizes data for 16 national samples (of populations fifty years of age and over) to examine whether the relationship between wealth and health at the individual-level is systematically associated with country's level of economic development and country's level of income inequality. The analysis reveals that in all countries rich persons tend to be healthier than poor persons. Furthermore, in all countries the positive association between wealth and health holds even after controlling for socio-demographic attributes and household income. Hierarchical regression analysis leads to two major conclusions: first, country's economic resources increase average health of the population but do not weaken the tie between wealth and health; second, a more equal distribution of economic resources (greater egalitarianism) does not raise health levels of the population but weakens the tie between wealth and health. The latter findings can be mostly attributed to the uniqueness of the US case. The findings and their significance are discussed in light of previous research and theory.", "author" : [ { "dropping-particle" : "", "family" : "Semyonov", "given" : "Moshe", "non-dropping-particle" : "", "parse-names" : false, "suffix" : "" }, { "dropping-particle" : "", "family" : "Lewin-Epstein", "given" : "Noah", "non-dropping-particle" : "", "parse-names" : false, "suffix" : "" }, { "dropping-particle" : "", "family" : "Maskileyson", "given" : "Dina", "non-dropping-particle" : "", "parse-names" : false, "suffix" : "" } ], "container-title" : "Social science &amp; medicine", "id" : "ITEM-1", "issue" : "1", "issued" : { "date-parts" : [ [ "2013", "3" ] ] }, "page" : "10-7", "publisher" : "Elsevier Ltd", "title" : "Where wealth matters more for health: the wealth-health gradient in 16 countries.", "type" : "article-journal", "volume" : "81" }, "uris" : [ "http://www.mendeley.com/documents/?uuid=c795e355-474e-4e80-9ec4-0dec07e84793" ] } ], "mendeley" : { "formattedCitation" : "(Semyonov, Lewin-Epstein and Maskileyson, 2013)", "manualFormatting" : "Semyonov et al. (2013)", "plainTextFormattedCitation" : "(Semyonov, Lewin-Epstein and Maskileyson, 2013)", "previouslyFormattedCitation" : "(Semyonov, Lewin-Epstein and Maskileyson, 2013)" }, "properties" : { "noteIndex" : 0 }, "schema" : "https://github.com/citation-style-language/schema/raw/master/csl-citation.json" }</w:instrText>
      </w:r>
      <w:r w:rsidR="003419C0">
        <w:rPr>
          <w:szCs w:val="24"/>
        </w:rPr>
        <w:fldChar w:fldCharType="separate"/>
      </w:r>
      <w:r w:rsidR="003419C0" w:rsidRPr="003419C0">
        <w:rPr>
          <w:noProof/>
          <w:szCs w:val="24"/>
        </w:rPr>
        <w:t xml:space="preserve">Semyonov </w:t>
      </w:r>
      <w:r w:rsidR="00803848">
        <w:rPr>
          <w:noProof/>
          <w:szCs w:val="24"/>
        </w:rPr>
        <w:t>et al</w:t>
      </w:r>
      <w:r w:rsidR="003419C0" w:rsidRPr="003419C0">
        <w:rPr>
          <w:noProof/>
          <w:szCs w:val="24"/>
        </w:rPr>
        <w:t xml:space="preserve">. </w:t>
      </w:r>
      <w:r w:rsidR="003419C0">
        <w:rPr>
          <w:noProof/>
          <w:szCs w:val="24"/>
        </w:rPr>
        <w:t>(</w:t>
      </w:r>
      <w:r w:rsidR="003419C0" w:rsidRPr="003419C0">
        <w:rPr>
          <w:noProof/>
          <w:szCs w:val="24"/>
        </w:rPr>
        <w:t>2013)</w:t>
      </w:r>
      <w:r w:rsidR="003419C0">
        <w:rPr>
          <w:szCs w:val="24"/>
        </w:rPr>
        <w:fldChar w:fldCharType="end"/>
      </w:r>
      <w:r>
        <w:rPr>
          <w:szCs w:val="24"/>
        </w:rPr>
        <w:t xml:space="preserve">, the 18 data points used by </w:t>
      </w:r>
      <w:r w:rsidR="003419C0">
        <w:rPr>
          <w:szCs w:val="24"/>
        </w:rPr>
        <w:fldChar w:fldCharType="begin" w:fldLock="1"/>
      </w:r>
      <w:r w:rsidR="00E63CC6">
        <w:rPr>
          <w:szCs w:val="24"/>
        </w:rPr>
        <w:instrText>ADDIN CSL_CITATION { "citationItems" : [ { "id" : "ITEM-1", "itemData" : { "DOI" : "10.1016/j.socscimed.2012.12.010", "ISSN" : "1873-5347", "PMID" : "23305722", "abstract" : "A puzzle in comparative health inequality research is the finding that egalitarian welfare states do not necessarily demonstrate narrow health inequalities. This paper interrogates into this puzzle by moving beyond welfare regimes to examine how welfare spending affect inequalities in self-rated across Europe. We operationalise welfare spending in four different ways and compare both absolute and relative health inequalities, as well as the level of poor self-rated health in the low education group across varying levels of social spending. The paper employs data from the EU Statistics of Income and Living Conditions (EU-SILC) and includes a sample of approximately 245,000 individuals aged 25-80+ years from 18 European countries. The data were examined by means of gender stratified multilevel logistic regression analyses. The results show that social expenditures are associated with lower health inequalities among women and, to a lesser degree, among men. Especially those with primary education benefit from high social transfers as compared with those who have tertiary education. This means that lower educational inequalities in health - in absolute and relative terms- are linked to higher social spending. The four different operationalisations of social spending produce similar patterns.", "author" : [ { "dropping-particle" : "", "family" : "Dahl", "given" : "Espen", "non-dropping-particle" : "", "parse-names" : false, "suffix" : "" }, { "dropping-particle" : "", "family" : "Wel", "given" : "Kjetil a", "non-dropping-particle" : "van der", "parse-names" : false, "suffix" : "" } ], "container-title" : "Social science &amp; medicine", "id" : "ITEM-1", "issue" : "1", "issued" : { "date-parts" : [ [ "2013", "3" ] ] }, "page" : "60-9", "publisher" : "Elsevier Ltd", "title" : "Educational inequalities in health in European welfare states: a social expenditure approach.", "type" : "article-journal", "volume" : "81" }, "uris" : [ "http://www.mendeley.com/documents/?uuid=6569d302-797e-4bb9-82ad-fe3e9de37309" ] } ], "mendeley" : { "formattedCitation" : "(Dahl and van der Wel, 2013)", "manualFormatting" : "Dahl and van der Wel (2013)", "plainTextFormattedCitation" : "(Dahl and van der Wel, 2013)", "previouslyFormattedCitation" : "(Dahl and van der Wel, 2013)" }, "properties" : { "noteIndex" : 0 }, "schema" : "https://github.com/citation-style-language/schema/raw/master/csl-citation.json" }</w:instrText>
      </w:r>
      <w:r w:rsidR="003419C0">
        <w:rPr>
          <w:szCs w:val="24"/>
        </w:rPr>
        <w:fldChar w:fldCharType="separate"/>
      </w:r>
      <w:r w:rsidR="003419C0">
        <w:rPr>
          <w:noProof/>
          <w:szCs w:val="24"/>
        </w:rPr>
        <w:t>Dahl and</w:t>
      </w:r>
      <w:r w:rsidR="003419C0" w:rsidRPr="003419C0">
        <w:rPr>
          <w:noProof/>
          <w:szCs w:val="24"/>
        </w:rPr>
        <w:t xml:space="preserve"> van der Wel </w:t>
      </w:r>
      <w:r w:rsidR="003419C0">
        <w:rPr>
          <w:noProof/>
          <w:szCs w:val="24"/>
        </w:rPr>
        <w:t>(</w:t>
      </w:r>
      <w:r w:rsidR="003419C0" w:rsidRPr="003419C0">
        <w:rPr>
          <w:noProof/>
          <w:szCs w:val="24"/>
        </w:rPr>
        <w:t>2013)</w:t>
      </w:r>
      <w:r w:rsidR="003419C0">
        <w:rPr>
          <w:szCs w:val="24"/>
        </w:rPr>
        <w:fldChar w:fldCharType="end"/>
      </w:r>
      <w:r>
        <w:rPr>
          <w:szCs w:val="24"/>
        </w:rPr>
        <w:t xml:space="preserve"> or 24 used by </w:t>
      </w:r>
      <w:r w:rsidR="003419C0">
        <w:rPr>
          <w:szCs w:val="24"/>
        </w:rPr>
        <w:fldChar w:fldCharType="begin" w:fldLock="1"/>
      </w:r>
      <w:r w:rsidR="00E63CC6">
        <w:rPr>
          <w:szCs w:val="24"/>
        </w:rPr>
        <w:instrText>ADDIN CSL_CITATION { "citationItems" : [ { "id" : "ITEM-1", "itemData" : { "DOI" : "10.1093/esr/jcr037", "ISSN" : "0266-7215", "author" : [ { "dropping-particle" : "", "family" : "Huijts", "given" : "T.", "non-dropping-particle" : "", "parse-names" : false, "suffix" : "" }, { "dropping-particle" : "", "family" : "Kraaykamp", "given" : "G.", "non-dropping-particle" : "", "parse-names" : false, "suffix" : "" }, { "dropping-particle" : "V.", "family" : "Subramanian", "given" : "S.", "non-dropping-particle" : "", "parse-names" : false, "suffix" : "" } ], "container-title" : "European Sociological Review", "id" : "ITEM-1", "issue" : "1", "issued" : { "date-parts" : [ [ "2011", "5", "12" ] ] }, "page" : "32-47", "title" : "Childlessness and Psychological Well-Being in Context: A Multilevel Study on 24 European Countries", "type" : "article-journal", "volume" : "29" }, "uris" : [ "http://www.mendeley.com/documents/?uuid=fd91abef-776f-4f40-bab5-e52b7ee32d49" ] } ], "mendeley" : { "formattedCitation" : "(Huijts, Kraaykamp and Subramanian, 2011)", "manualFormatting" : "Huijts et al. (2011)", "plainTextFormattedCitation" : "(Huijts, Kraaykamp and Subramanian, 2011)", "previouslyFormattedCitation" : "(Huijts, Kraaykamp and Subramanian, 2011)" }, "properties" : { "noteIndex" : 0 }, "schema" : "https://github.com/citation-style-language/schema/raw/master/csl-citation.json" }</w:instrText>
      </w:r>
      <w:r w:rsidR="003419C0">
        <w:rPr>
          <w:szCs w:val="24"/>
        </w:rPr>
        <w:fldChar w:fldCharType="separate"/>
      </w:r>
      <w:r w:rsidR="003419C0" w:rsidRPr="003419C0">
        <w:rPr>
          <w:noProof/>
          <w:szCs w:val="24"/>
        </w:rPr>
        <w:t xml:space="preserve">Huijts </w:t>
      </w:r>
      <w:r w:rsidR="00803848">
        <w:rPr>
          <w:noProof/>
          <w:szCs w:val="24"/>
        </w:rPr>
        <w:t>et al</w:t>
      </w:r>
      <w:r w:rsidR="003419C0" w:rsidRPr="003419C0">
        <w:rPr>
          <w:noProof/>
          <w:szCs w:val="24"/>
        </w:rPr>
        <w:t xml:space="preserve">. </w:t>
      </w:r>
      <w:r w:rsidR="003419C0">
        <w:rPr>
          <w:noProof/>
          <w:szCs w:val="24"/>
        </w:rPr>
        <w:t>(</w:t>
      </w:r>
      <w:r w:rsidR="003419C0" w:rsidRPr="003419C0">
        <w:rPr>
          <w:noProof/>
          <w:szCs w:val="24"/>
        </w:rPr>
        <w:t>2011)</w:t>
      </w:r>
      <w:r w:rsidR="003419C0">
        <w:rPr>
          <w:szCs w:val="24"/>
        </w:rPr>
        <w:fldChar w:fldCharType="end"/>
      </w:r>
      <w:r>
        <w:rPr>
          <w:szCs w:val="24"/>
        </w:rPr>
        <w:t>.</w:t>
      </w:r>
    </w:p>
    <w:p w14:paraId="3BEA597C" w14:textId="521B4737" w:rsidR="003600BE" w:rsidRDefault="003600BE" w:rsidP="003600BE">
      <w:pPr>
        <w:rPr>
          <w:szCs w:val="24"/>
        </w:rPr>
      </w:pPr>
      <w:r>
        <w:rPr>
          <w:szCs w:val="24"/>
        </w:rPr>
        <w:t xml:space="preserve">In this study 51 countries are available. However, due to data availability, the MLM analysis </w:t>
      </w:r>
      <w:r w:rsidR="00E50AF1">
        <w:rPr>
          <w:szCs w:val="24"/>
        </w:rPr>
        <w:t xml:space="preserve">I use here and in Chapter 6 </w:t>
      </w:r>
      <w:r>
        <w:rPr>
          <w:szCs w:val="24"/>
        </w:rPr>
        <w:t xml:space="preserve">uses 46. This meets the suggestions of Kreft </w:t>
      </w:r>
      <w:r w:rsidR="00E50AF1">
        <w:rPr>
          <w:szCs w:val="24"/>
        </w:rPr>
        <w:t>and</w:t>
      </w:r>
      <w:r>
        <w:rPr>
          <w:szCs w:val="24"/>
        </w:rPr>
        <w:t xml:space="preserve"> de Leeuw</w:t>
      </w:r>
      <w:r w:rsidR="00E50AF1">
        <w:rPr>
          <w:szCs w:val="24"/>
        </w:rPr>
        <w:t xml:space="preserve"> (1998) and Bryan and Jenkins (2015),</w:t>
      </w:r>
      <w:r>
        <w:rPr>
          <w:szCs w:val="24"/>
        </w:rPr>
        <w:t xml:space="preserve"> as well as the &gt;30 requirement test. It also comes very close to the 50 units suggested by Hox and Maas (2004), and is considerably more than the other examples discussed above. Further, in each country a representative sample is available, which makes for an acceptable number of observ</w:t>
      </w:r>
      <w:r w:rsidR="009412DD">
        <w:rPr>
          <w:szCs w:val="24"/>
        </w:rPr>
        <w:t xml:space="preserve">ations per second-level group and </w:t>
      </w:r>
      <w:r w:rsidR="00E50AF1">
        <w:rPr>
          <w:szCs w:val="24"/>
        </w:rPr>
        <w:t>I can have some confidence that the results are robust.</w:t>
      </w:r>
    </w:p>
    <w:p w14:paraId="3F213E85" w14:textId="17B22662" w:rsidR="003600BE" w:rsidRDefault="003600BE" w:rsidP="003600BE">
      <w:pPr>
        <w:rPr>
          <w:szCs w:val="24"/>
        </w:rPr>
      </w:pPr>
      <w:r>
        <w:rPr>
          <w:szCs w:val="24"/>
        </w:rPr>
        <w:t xml:space="preserve">When it comes to the number of levels in the model, </w:t>
      </w:r>
      <w:r w:rsidR="007D4A8D">
        <w:rPr>
          <w:szCs w:val="24"/>
        </w:rPr>
        <w:t xml:space="preserve">there is an unavoidable practical argue in that </w:t>
      </w:r>
      <w:r w:rsidRPr="007D4A8D">
        <w:rPr>
          <w:szCs w:val="24"/>
        </w:rPr>
        <w:t>a robust third level of analysis in the WVS is not possible. The coding of respondents into country regions is patchy across the data set, and further, not representative. This makes it impossible to provide any reliable estimates at the regional level.</w:t>
      </w:r>
      <w:r w:rsidR="007D4A8D">
        <w:rPr>
          <w:szCs w:val="24"/>
        </w:rPr>
        <w:t xml:space="preserve"> </w:t>
      </w:r>
      <w:r>
        <w:rPr>
          <w:szCs w:val="24"/>
        </w:rPr>
        <w:t>Accordingly, it is a straightforward decision that there will be two levels of analysis: individual and national.</w:t>
      </w:r>
    </w:p>
    <w:p w14:paraId="79683A85" w14:textId="77777777" w:rsidR="003600BE" w:rsidRDefault="003600BE" w:rsidP="002032DF">
      <w:pPr>
        <w:pStyle w:val="Heading4"/>
        <w:numPr>
          <w:ilvl w:val="3"/>
          <w:numId w:val="16"/>
        </w:numPr>
      </w:pPr>
      <w:bookmarkStart w:id="304" w:name="_Toc441069244"/>
      <w:bookmarkStart w:id="305" w:name="_Toc393447157"/>
      <w:r>
        <w:t>Variance Within and Between Groups: The Intraclass Correlation Coefficient</w:t>
      </w:r>
      <w:bookmarkEnd w:id="304"/>
      <w:bookmarkEnd w:id="305"/>
    </w:p>
    <w:p w14:paraId="2E9A0816" w14:textId="4B5DB35D" w:rsidR="003600BE" w:rsidRDefault="003600BE" w:rsidP="003600BE">
      <w:pPr>
        <w:rPr>
          <w:szCs w:val="24"/>
        </w:rPr>
      </w:pPr>
      <w:r>
        <w:rPr>
          <w:szCs w:val="24"/>
        </w:rPr>
        <w:t>One important element of MLM is the amount of variance at each level, which can be a test in itself as to whether an MLM will be able to account for the group differences the analyst is interested in. To do this the Intraclass Correlation Coefficient (ICC) needs to be calculated. The following discussion draw</w:t>
      </w:r>
      <w:r w:rsidR="00E50AF1">
        <w:rPr>
          <w:szCs w:val="24"/>
        </w:rPr>
        <w:t>s</w:t>
      </w:r>
      <w:r>
        <w:rPr>
          <w:szCs w:val="24"/>
        </w:rPr>
        <w:t xml:space="preserve"> on </w:t>
      </w:r>
      <w:r w:rsidR="00E50AF1">
        <w:rPr>
          <w:szCs w:val="24"/>
        </w:rPr>
        <w:fldChar w:fldCharType="begin" w:fldLock="1"/>
      </w:r>
      <w:r w:rsidR="00E63CC6">
        <w:rPr>
          <w:szCs w:val="24"/>
        </w:rPr>
        <w:instrText>ADDIN CSL_CITATION { "citationItems" : [ { "id" : "ITEM-1", "itemData" : { "author" : [ { "dropping-particle" : "", "family" : "Twisk", "given" : "J.", "non-dropping-particle" : "", "parse-names" : false, "suffix" : "" } ], "id" : "ITEM-1", "issued" : { "date-parts" : [ [ "2006" ] ] }, "publisher" : "Cambridge University Press", "publisher-place" : "Cambridge", "title" : "Applied Multilevel Analysis", "type" : "book" }, "uris" : [ "http://www.mendeley.com/documents/?uuid=d97f6f0e-ee15-4671-9d44-95e6c712b0ad" ] } ], "mendeley" : { "formattedCitation" : "(Twisk, 2006)", "manualFormatting" : "Twisk 's (2006)", "plainTextFormattedCitation" : "(Twisk, 2006)", "previouslyFormattedCitation" : "(Twisk, 2006)" }, "properties" : { "noteIndex" : 0 }, "schema" : "https://github.com/citation-style-language/schema/raw/master/csl-citation.json" }</w:instrText>
      </w:r>
      <w:r w:rsidR="00E50AF1">
        <w:rPr>
          <w:szCs w:val="24"/>
        </w:rPr>
        <w:fldChar w:fldCharType="separate"/>
      </w:r>
      <w:r w:rsidR="00E50AF1" w:rsidRPr="00E50AF1">
        <w:rPr>
          <w:noProof/>
          <w:szCs w:val="24"/>
        </w:rPr>
        <w:t xml:space="preserve">Twisk </w:t>
      </w:r>
      <w:r w:rsidR="00E50AF1">
        <w:rPr>
          <w:noProof/>
          <w:szCs w:val="24"/>
        </w:rPr>
        <w:t>'s</w:t>
      </w:r>
      <w:r w:rsidR="00DD0BA4">
        <w:rPr>
          <w:noProof/>
          <w:szCs w:val="24"/>
        </w:rPr>
        <w:t xml:space="preserve"> </w:t>
      </w:r>
      <w:r w:rsidR="00E50AF1">
        <w:rPr>
          <w:noProof/>
          <w:szCs w:val="24"/>
        </w:rPr>
        <w:t>(</w:t>
      </w:r>
      <w:r w:rsidR="00E50AF1" w:rsidRPr="00E50AF1">
        <w:rPr>
          <w:noProof/>
          <w:szCs w:val="24"/>
        </w:rPr>
        <w:t>2006)</w:t>
      </w:r>
      <w:r w:rsidR="00E50AF1">
        <w:rPr>
          <w:szCs w:val="24"/>
        </w:rPr>
        <w:fldChar w:fldCharType="end"/>
      </w:r>
      <w:r>
        <w:rPr>
          <w:szCs w:val="24"/>
        </w:rPr>
        <w:t xml:space="preserve"> practical guide to MLM for medical practitioners. His example discusses patients as level one, and doctors as level two. However, the principle is exactly the same here, where we have respondents at level one and nat</w:t>
      </w:r>
      <w:r w:rsidR="00E50AF1">
        <w:rPr>
          <w:szCs w:val="24"/>
        </w:rPr>
        <w:t>ions at level two. Twisk (2006,</w:t>
      </w:r>
      <w:r>
        <w:rPr>
          <w:szCs w:val="24"/>
        </w:rPr>
        <w:t xml:space="preserve"> </w:t>
      </w:r>
      <w:r w:rsidR="00E50AF1">
        <w:rPr>
          <w:szCs w:val="24"/>
        </w:rPr>
        <w:t>p.</w:t>
      </w:r>
      <w:r>
        <w:rPr>
          <w:szCs w:val="24"/>
        </w:rPr>
        <w:t xml:space="preserve">14-15) </w:t>
      </w:r>
      <w:r w:rsidR="00E50AF1">
        <w:rPr>
          <w:szCs w:val="24"/>
        </w:rPr>
        <w:t>explains:</w:t>
      </w:r>
    </w:p>
    <w:p w14:paraId="663512ED" w14:textId="77777777" w:rsidR="003600BE" w:rsidRDefault="003600BE" w:rsidP="00D7383E">
      <w:pPr>
        <w:pStyle w:val="Quote"/>
      </w:pPr>
      <w:r>
        <w:t>“Based on the variance of intercepts and the remaining error variance, the so-called intraclass correlation coefficient (ICC) can be estimated. This ICC is an indication of the correlation of the observations of the patients belonging to the same medical doctor, i.e. it is an indication of the dependency of the patient observations within the medical doctors. The ICC is defined as the variance between medical doctors divided by the total variance, where the total variance is defined as the summation of the variance between medical doctors and the variance within medical doctors. Although some people find it counter-intuitive, the smaller the variance within the medical doctors, the greater the ICC.”</w:t>
      </w:r>
    </w:p>
    <w:p w14:paraId="4373D0C4" w14:textId="77777777" w:rsidR="00ED051D" w:rsidRDefault="003600BE" w:rsidP="00ED051D">
      <w:pPr>
        <w:autoSpaceDE w:val="0"/>
        <w:adjustRightInd w:val="0"/>
        <w:rPr>
          <w:rFonts w:cstheme="majorHAnsi"/>
          <w:szCs w:val="24"/>
        </w:rPr>
      </w:pPr>
      <w:r>
        <w:rPr>
          <w:szCs w:val="24"/>
        </w:rPr>
        <w:t>Figure 5</w:t>
      </w:r>
      <w:r w:rsidR="00D7383E">
        <w:rPr>
          <w:szCs w:val="24"/>
        </w:rPr>
        <w:t>.4, taken from Twisk (2006, p.16</w:t>
      </w:r>
      <w:r>
        <w:rPr>
          <w:szCs w:val="24"/>
        </w:rPr>
        <w:t>), explains this in more detail.</w:t>
      </w:r>
      <w:r w:rsidR="00ED051D">
        <w:rPr>
          <w:szCs w:val="24"/>
        </w:rPr>
        <w:t xml:space="preserve"> </w:t>
      </w:r>
      <w:r w:rsidR="00ED051D">
        <w:rPr>
          <w:rFonts w:cstheme="majorHAnsi"/>
          <w:szCs w:val="24"/>
        </w:rPr>
        <w:t xml:space="preserve">Panel </w:t>
      </w:r>
      <w:r w:rsidR="00ED051D">
        <w:rPr>
          <w:rFonts w:cstheme="majorHAnsi"/>
          <w:i/>
          <w:szCs w:val="24"/>
        </w:rPr>
        <w:t>a</w:t>
      </w:r>
      <w:r w:rsidR="00ED051D">
        <w:rPr>
          <w:rFonts w:cstheme="majorHAnsi"/>
          <w:szCs w:val="24"/>
        </w:rPr>
        <w:t xml:space="preserve"> shows the distribution of an outcome variable. In panels </w:t>
      </w:r>
      <w:r w:rsidR="00ED051D">
        <w:rPr>
          <w:rFonts w:cstheme="majorHAnsi"/>
          <w:i/>
          <w:szCs w:val="24"/>
        </w:rPr>
        <w:t>b-d</w:t>
      </w:r>
      <w:r w:rsidR="00ED051D">
        <w:rPr>
          <w:rFonts w:cstheme="majorHAnsi"/>
          <w:szCs w:val="24"/>
        </w:rPr>
        <w:t xml:space="preserve">, the outcome variable is split by three groups (we can adapt Twisk’s original example here from doctors to countries). The ICC in panel </w:t>
      </w:r>
      <w:r w:rsidR="00ED051D">
        <w:rPr>
          <w:rFonts w:cstheme="majorHAnsi"/>
          <w:i/>
          <w:szCs w:val="24"/>
        </w:rPr>
        <w:t xml:space="preserve">b </w:t>
      </w:r>
      <w:r w:rsidR="00ED051D">
        <w:rPr>
          <w:rFonts w:cstheme="majorHAnsi"/>
          <w:szCs w:val="24"/>
        </w:rPr>
        <w:t xml:space="preserve">is low – the variance </w:t>
      </w:r>
      <w:r w:rsidR="00ED051D">
        <w:rPr>
          <w:rFonts w:cstheme="majorHAnsi"/>
          <w:i/>
          <w:szCs w:val="24"/>
        </w:rPr>
        <w:t>within</w:t>
      </w:r>
      <w:r w:rsidR="00ED051D">
        <w:rPr>
          <w:rFonts w:cstheme="majorHAnsi"/>
          <w:szCs w:val="24"/>
        </w:rPr>
        <w:t xml:space="preserve"> groups is quite high, but </w:t>
      </w:r>
      <w:r w:rsidR="00ED051D">
        <w:rPr>
          <w:rFonts w:cstheme="majorHAnsi"/>
          <w:i/>
          <w:szCs w:val="24"/>
        </w:rPr>
        <w:t>between</w:t>
      </w:r>
      <w:r w:rsidR="00ED051D">
        <w:rPr>
          <w:rFonts w:cstheme="majorHAnsi"/>
          <w:szCs w:val="24"/>
        </w:rPr>
        <w:t xml:space="preserve"> the groups it is quite low. In contrast, in panel </w:t>
      </w:r>
      <w:r w:rsidR="00ED051D">
        <w:rPr>
          <w:rFonts w:cstheme="majorHAnsi"/>
          <w:i/>
          <w:szCs w:val="24"/>
        </w:rPr>
        <w:t>c</w:t>
      </w:r>
      <w:r w:rsidR="00ED051D">
        <w:rPr>
          <w:rFonts w:cstheme="majorHAnsi"/>
          <w:szCs w:val="24"/>
        </w:rPr>
        <w:t xml:space="preserve"> the groups are more spread out and so the between group variance is higher, but the variance within groups is lower. Finally, in panel </w:t>
      </w:r>
      <w:r w:rsidR="00ED051D">
        <w:rPr>
          <w:rFonts w:cstheme="majorHAnsi"/>
          <w:i/>
          <w:szCs w:val="24"/>
        </w:rPr>
        <w:t>d</w:t>
      </w:r>
      <w:r w:rsidR="00ED051D">
        <w:rPr>
          <w:rFonts w:cstheme="majorHAnsi"/>
          <w:szCs w:val="24"/>
        </w:rPr>
        <w:t>, the difference between the groups is at its maximum, so the difference within the groups is at its minimum – in this panel the ICC is the greatest (see Twisk 2006, pp.14-16 for full details).</w:t>
      </w:r>
    </w:p>
    <w:p w14:paraId="0651CAAE" w14:textId="12A63A8A" w:rsidR="003600BE" w:rsidRPr="003A5664" w:rsidRDefault="003600BE" w:rsidP="003600BE">
      <w:pPr>
        <w:pStyle w:val="Caption"/>
        <w:rPr>
          <w:rFonts w:ascii="Segoe UI" w:hAnsi="Segoe UI" w:cs="Segoe UI"/>
          <w:i w:val="0"/>
        </w:rPr>
      </w:pPr>
      <w:bookmarkStart w:id="306" w:name="_Toc494687169"/>
      <w:r w:rsidRPr="003A5664">
        <w:rPr>
          <w:rFonts w:ascii="Segoe UI" w:hAnsi="Segoe UI" w:cs="Segoe UI"/>
          <w:i w:val="0"/>
        </w:rPr>
        <w:t xml:space="preserve">Figure </w:t>
      </w:r>
      <w:r w:rsidR="00994662" w:rsidRPr="003A5664">
        <w:rPr>
          <w:rFonts w:ascii="Segoe UI" w:hAnsi="Segoe UI" w:cs="Segoe UI"/>
          <w:i w:val="0"/>
        </w:rPr>
        <w:fldChar w:fldCharType="begin"/>
      </w:r>
      <w:r w:rsidR="00994662" w:rsidRPr="003A5664">
        <w:rPr>
          <w:rFonts w:ascii="Segoe UI" w:hAnsi="Segoe UI" w:cs="Segoe UI"/>
          <w:i w:val="0"/>
        </w:rPr>
        <w:instrText xml:space="preserve"> STYLEREF 1 \s </w:instrText>
      </w:r>
      <w:r w:rsidR="00994662" w:rsidRPr="003A5664">
        <w:rPr>
          <w:rFonts w:ascii="Segoe UI" w:hAnsi="Segoe UI" w:cs="Segoe UI"/>
          <w:i w:val="0"/>
        </w:rPr>
        <w:fldChar w:fldCharType="separate"/>
      </w:r>
      <w:r w:rsidR="00306E67" w:rsidRPr="003A5664">
        <w:rPr>
          <w:rFonts w:ascii="Segoe UI" w:hAnsi="Segoe UI" w:cs="Segoe UI"/>
          <w:i w:val="0"/>
          <w:noProof/>
        </w:rPr>
        <w:t>5</w:t>
      </w:r>
      <w:r w:rsidR="00994662" w:rsidRPr="003A5664">
        <w:rPr>
          <w:rFonts w:ascii="Segoe UI" w:hAnsi="Segoe UI" w:cs="Segoe UI"/>
          <w:i w:val="0"/>
          <w:noProof/>
        </w:rPr>
        <w:fldChar w:fldCharType="end"/>
      </w:r>
      <w:r w:rsidR="00D9151E" w:rsidRPr="003A5664">
        <w:rPr>
          <w:rFonts w:ascii="Segoe UI" w:hAnsi="Segoe UI" w:cs="Segoe UI"/>
          <w:i w:val="0"/>
        </w:rPr>
        <w:t>:</w:t>
      </w:r>
      <w:r w:rsidR="00994662" w:rsidRPr="003A5664">
        <w:rPr>
          <w:rFonts w:ascii="Segoe UI" w:hAnsi="Segoe UI" w:cs="Segoe UI"/>
          <w:i w:val="0"/>
        </w:rPr>
        <w:fldChar w:fldCharType="begin"/>
      </w:r>
      <w:r w:rsidR="00994662" w:rsidRPr="003A5664">
        <w:rPr>
          <w:rFonts w:ascii="Segoe UI" w:hAnsi="Segoe UI" w:cs="Segoe UI"/>
          <w:i w:val="0"/>
        </w:rPr>
        <w:instrText xml:space="preserve"> SEQ Figure \* ARABIC \s 1 </w:instrText>
      </w:r>
      <w:r w:rsidR="00994662" w:rsidRPr="003A5664">
        <w:rPr>
          <w:rFonts w:ascii="Segoe UI" w:hAnsi="Segoe UI" w:cs="Segoe UI"/>
          <w:i w:val="0"/>
        </w:rPr>
        <w:fldChar w:fldCharType="separate"/>
      </w:r>
      <w:r w:rsidR="002E0379" w:rsidRPr="003A5664">
        <w:rPr>
          <w:rFonts w:ascii="Segoe UI" w:hAnsi="Segoe UI" w:cs="Segoe UI"/>
          <w:i w:val="0"/>
          <w:noProof/>
        </w:rPr>
        <w:t>4</w:t>
      </w:r>
      <w:r w:rsidR="00994662" w:rsidRPr="003A5664">
        <w:rPr>
          <w:rFonts w:ascii="Segoe UI" w:hAnsi="Segoe UI" w:cs="Segoe UI"/>
          <w:i w:val="0"/>
          <w:noProof/>
        </w:rPr>
        <w:fldChar w:fldCharType="end"/>
      </w:r>
      <w:r w:rsidRPr="003A5664">
        <w:rPr>
          <w:rFonts w:ascii="Segoe UI" w:hAnsi="Segoe UI" w:cs="Segoe UI"/>
          <w:i w:val="0"/>
        </w:rPr>
        <w:t xml:space="preserve"> </w:t>
      </w:r>
      <w:r w:rsidR="003A5664">
        <w:rPr>
          <w:rFonts w:ascii="Segoe UI" w:hAnsi="Segoe UI" w:cs="Segoe UI"/>
          <w:i w:val="0"/>
        </w:rPr>
        <w:t xml:space="preserve">A Diagrammatical Representation of </w:t>
      </w:r>
      <w:r w:rsidRPr="003A5664">
        <w:rPr>
          <w:rFonts w:ascii="Segoe UI" w:hAnsi="Segoe UI" w:cs="Segoe UI"/>
          <w:i w:val="0"/>
        </w:rPr>
        <w:t>Intraclass Correlation Coefficient</w:t>
      </w:r>
      <w:bookmarkEnd w:id="306"/>
      <w:r w:rsidR="003A5664">
        <w:rPr>
          <w:rFonts w:ascii="Segoe UI" w:hAnsi="Segoe UI" w:cs="Segoe UI"/>
          <w:i w:val="0"/>
        </w:rPr>
        <w:t xml:space="preserve"> (from Twisk 2006, p.14)</w:t>
      </w:r>
    </w:p>
    <w:p w14:paraId="3942C868" w14:textId="77777777" w:rsidR="00EC27BD" w:rsidRPr="00EC27BD" w:rsidRDefault="00EC27BD" w:rsidP="00EC27BD"/>
    <w:p w14:paraId="0AD9368D" w14:textId="62DF05FF" w:rsidR="003600BE" w:rsidRDefault="003600BE" w:rsidP="003600BE">
      <w:pPr>
        <w:autoSpaceDE w:val="0"/>
        <w:adjustRightInd w:val="0"/>
        <w:jc w:val="center"/>
        <w:rPr>
          <w:rFonts w:cstheme="majorHAnsi"/>
          <w:szCs w:val="24"/>
        </w:rPr>
      </w:pPr>
      <w:r>
        <w:rPr>
          <w:noProof/>
          <w:szCs w:val="24"/>
          <w:lang w:eastAsia="zh-CN"/>
        </w:rPr>
        <w:drawing>
          <wp:inline distT="0" distB="0" distL="0" distR="0" wp14:anchorId="1A2FB2F5" wp14:editId="0431053D">
            <wp:extent cx="4324350" cy="5388508"/>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1054" cy="5421783"/>
                    </a:xfrm>
                    <a:prstGeom prst="rect">
                      <a:avLst/>
                    </a:prstGeom>
                    <a:noFill/>
                    <a:ln>
                      <a:noFill/>
                    </a:ln>
                  </pic:spPr>
                </pic:pic>
              </a:graphicData>
            </a:graphic>
          </wp:inline>
        </w:drawing>
      </w:r>
    </w:p>
    <w:p w14:paraId="58696E27" w14:textId="77777777" w:rsidR="00ED051D" w:rsidRDefault="00ED051D" w:rsidP="00D64CBD">
      <w:bookmarkStart w:id="307" w:name="_Toc441069245"/>
      <w:bookmarkStart w:id="308" w:name="_Toc393447158"/>
    </w:p>
    <w:p w14:paraId="698DA8FF" w14:textId="77777777" w:rsidR="002E0379" w:rsidRDefault="002E0379" w:rsidP="002E0379">
      <w:pPr>
        <w:autoSpaceDE w:val="0"/>
        <w:adjustRightInd w:val="0"/>
        <w:rPr>
          <w:rFonts w:cstheme="majorHAnsi"/>
          <w:szCs w:val="24"/>
        </w:rPr>
      </w:pPr>
      <w:r>
        <w:rPr>
          <w:szCs w:val="24"/>
        </w:rPr>
        <w:t xml:space="preserve">The ICC allows the analyst to get a ‘good gauge on whether a contextual variable has an effect on an outcome’ </w:t>
      </w:r>
      <w:r>
        <w:rPr>
          <w:szCs w:val="24"/>
        </w:rPr>
        <w:fldChar w:fldCharType="begin" w:fldLock="1"/>
      </w:r>
      <w:r>
        <w:rPr>
          <w:szCs w:val="24"/>
        </w:rPr>
        <w:instrText>ADDIN CSL_CITATION { "citationItems" : [ { "id" : "ITEM-1", "itemData" : { "author" : [ { "dropping-particle" : "", "family" : "Field", "given" : "A", "non-dropping-particle" : "", "parse-names" : false, "suffix" : "" } ], "edition" : "3rd Edtn.", "id" : "ITEM-1", "issued" : { "date-parts" : [ [ "2011" ] ] }, "publisher" : "SAGE Publications", "publisher-place" : "London", "title" : "Discovering Statistics Using SPSS", "type" : "book" }, "uris" : [ "http://www.mendeley.com/documents/?uuid=fd330789-2178-4f1d-88d3-094255577e00" ] } ], "mendeley" : { "formattedCitation" : "(Field, 2011)", "manualFormatting" : "(Field 2011, p.729)", "plainTextFormattedCitation" : "(Field, 2011)", "previouslyFormattedCitation" : "(Field, 2011)" }, "properties" : { "noteIndex" : 0 }, "schema" : "https://github.com/citation-style-language/schema/raw/master/csl-citation.json" }</w:instrText>
      </w:r>
      <w:r>
        <w:rPr>
          <w:szCs w:val="24"/>
        </w:rPr>
        <w:fldChar w:fldCharType="separate"/>
      </w:r>
      <w:r w:rsidRPr="00F21818">
        <w:rPr>
          <w:noProof/>
          <w:szCs w:val="24"/>
        </w:rPr>
        <w:t>(Field 2011</w:t>
      </w:r>
      <w:r>
        <w:rPr>
          <w:noProof/>
          <w:szCs w:val="24"/>
        </w:rPr>
        <w:t>, p.729</w:t>
      </w:r>
      <w:r w:rsidRPr="00F21818">
        <w:rPr>
          <w:noProof/>
          <w:szCs w:val="24"/>
        </w:rPr>
        <w:t>)</w:t>
      </w:r>
      <w:r>
        <w:rPr>
          <w:szCs w:val="24"/>
        </w:rPr>
        <w:fldChar w:fldCharType="end"/>
      </w:r>
      <w:r>
        <w:rPr>
          <w:szCs w:val="24"/>
        </w:rPr>
        <w:t>. In fact, for this study, the ICC has already been worked out and demonstrated for the individual democratic characteristics using models without any explanatory variables (it was used to provide the percentage of variance at the national level in Figure 3.4, Chapter 3).</w:t>
      </w:r>
    </w:p>
    <w:p w14:paraId="520F087C" w14:textId="0711CF01" w:rsidR="00EC27BD" w:rsidRPr="002E0379" w:rsidRDefault="002E0379" w:rsidP="002E0379">
      <w:pPr>
        <w:autoSpaceDE w:val="0"/>
        <w:adjustRightInd w:val="0"/>
        <w:rPr>
          <w:rFonts w:cstheme="majorHAnsi"/>
          <w:szCs w:val="24"/>
        </w:rPr>
      </w:pPr>
      <w:r>
        <w:rPr>
          <w:szCs w:val="24"/>
        </w:rPr>
        <w:t>As a reminder, the national level variance for the free elections variable was 5.9% of the total variance, the lowest of all the democratic characteristics. In contrast, the highest percentage for these characteristics was 23.2% for the characteristic concerning religious leaders. Twisk (2006, p.16) notes that, “</w:t>
      </w:r>
      <w:r>
        <w:rPr>
          <w:rFonts w:cstheme="majorHAnsi"/>
          <w:szCs w:val="24"/>
        </w:rPr>
        <w:t xml:space="preserve">In most ‘real life’ cross-sectional studies the ICC will not be higher than 0.20”. The variance in my study of falls almost exactly into the expected range. The ICC will be reported and discussed for the analysis of the democratic dimensions, to further demonstrate both the importance of using MLM, as well as the impact of contextual variables on each dimension. </w:t>
      </w:r>
    </w:p>
    <w:p w14:paraId="1338F9A7" w14:textId="77777777" w:rsidR="003600BE" w:rsidRDefault="003600BE" w:rsidP="002032DF">
      <w:pPr>
        <w:pStyle w:val="Heading4"/>
        <w:numPr>
          <w:ilvl w:val="3"/>
          <w:numId w:val="16"/>
        </w:numPr>
      </w:pPr>
      <w:r>
        <w:t>Centring Variables</w:t>
      </w:r>
      <w:bookmarkEnd w:id="307"/>
      <w:bookmarkEnd w:id="308"/>
    </w:p>
    <w:p w14:paraId="0BCE39A3" w14:textId="62C4F6F4" w:rsidR="003600BE" w:rsidRDefault="003600BE" w:rsidP="003600BE">
      <w:pPr>
        <w:rPr>
          <w:szCs w:val="24"/>
        </w:rPr>
      </w:pPr>
      <w:bookmarkStart w:id="309" w:name="_Toc393447159"/>
      <w:r>
        <w:rPr>
          <w:szCs w:val="24"/>
        </w:rPr>
        <w:t xml:space="preserve">A general reason for mean-centring variables – that is subtracting the mean score of the variable from each from each individual score – is that it can lessen multicollinearity issues, and is also useful when a 0 score on a continuous variable does not make sense. For instance the WVS2008 only asks respondents aged over the age of 15 their opinions. </w:t>
      </w:r>
      <w:r w:rsidR="00EC27BD">
        <w:rPr>
          <w:szCs w:val="24"/>
        </w:rPr>
        <w:t>I</w:t>
      </w:r>
      <w:r>
        <w:rPr>
          <w:szCs w:val="24"/>
        </w:rPr>
        <w:t>f I do not mean-centre the age variable, the intercept I gain for this variable is essentially useless as it is estimating the opinion of someone who has just been born. By centring the variable, I am instead interpreting the parameter around the average age of the respondent, not a 0 score.</w:t>
      </w:r>
    </w:p>
    <w:p w14:paraId="0185DE03" w14:textId="1F74DDA9" w:rsidR="003600BE" w:rsidRDefault="00D06114" w:rsidP="003600BE">
      <w:pPr>
        <w:rPr>
          <w:szCs w:val="24"/>
        </w:rPr>
      </w:pPr>
      <w:r>
        <w:rPr>
          <w:szCs w:val="24"/>
        </w:rPr>
        <w:t>As Field (2011,</w:t>
      </w:r>
      <w:r w:rsidR="00F23633">
        <w:rPr>
          <w:szCs w:val="24"/>
        </w:rPr>
        <w:t xml:space="preserve"> </w:t>
      </w:r>
      <w:r>
        <w:rPr>
          <w:szCs w:val="24"/>
        </w:rPr>
        <w:t>p.</w:t>
      </w:r>
      <w:r w:rsidR="003600BE">
        <w:rPr>
          <w:szCs w:val="24"/>
        </w:rPr>
        <w:t>741) points out, if every variable in a model is centred around its own specific mean (that is ‘grand-mean’ centred), then this model will be equivalent to a model which is not mean-centred at all. The interpretation will change across the model</w:t>
      </w:r>
      <w:r>
        <w:rPr>
          <w:szCs w:val="24"/>
        </w:rPr>
        <w:t>s</w:t>
      </w:r>
      <w:r w:rsidR="003600BE">
        <w:rPr>
          <w:szCs w:val="24"/>
        </w:rPr>
        <w:t xml:space="preserve"> because the centred scores are no longer the raw scores, but there will be a ‘direct relationship’ between the models, as all the variables have been transformed in the same way. </w:t>
      </w:r>
    </w:p>
    <w:p w14:paraId="07A2CA9F" w14:textId="77777777" w:rsidR="003600BE" w:rsidRDefault="003600BE" w:rsidP="003600BE">
      <w:pPr>
        <w:rPr>
          <w:szCs w:val="24"/>
        </w:rPr>
      </w:pPr>
      <w:r>
        <w:rPr>
          <w:szCs w:val="24"/>
        </w:rPr>
        <w:t xml:space="preserve">However, things are more complicated if ‘group-mean’ centring is used. This method centres the respondent’s scores on the mean of the </w:t>
      </w:r>
      <w:r>
        <w:rPr>
          <w:i/>
          <w:szCs w:val="24"/>
        </w:rPr>
        <w:t>group</w:t>
      </w:r>
      <w:r>
        <w:rPr>
          <w:szCs w:val="24"/>
        </w:rPr>
        <w:t xml:space="preserve">, instead of the grand mean of the entire population. Theoretically, in my models, the variable of self-perceived income score would be centred around where the other respondents </w:t>
      </w:r>
      <w:r>
        <w:rPr>
          <w:i/>
          <w:szCs w:val="24"/>
        </w:rPr>
        <w:t>within their</w:t>
      </w:r>
      <w:r>
        <w:rPr>
          <w:szCs w:val="24"/>
        </w:rPr>
        <w:t xml:space="preserve"> </w:t>
      </w:r>
      <w:r>
        <w:rPr>
          <w:i/>
          <w:szCs w:val="24"/>
        </w:rPr>
        <w:t>country</w:t>
      </w:r>
      <w:r>
        <w:rPr>
          <w:szCs w:val="24"/>
        </w:rPr>
        <w:t xml:space="preserve"> think they are on this scale, as opposed to where other people </w:t>
      </w:r>
      <w:r>
        <w:rPr>
          <w:i/>
          <w:szCs w:val="24"/>
        </w:rPr>
        <w:t>across</w:t>
      </w:r>
      <w:r>
        <w:rPr>
          <w:szCs w:val="24"/>
        </w:rPr>
        <w:t xml:space="preserve"> </w:t>
      </w:r>
      <w:r>
        <w:rPr>
          <w:i/>
          <w:szCs w:val="24"/>
        </w:rPr>
        <w:t>all the countries</w:t>
      </w:r>
      <w:r>
        <w:rPr>
          <w:szCs w:val="24"/>
        </w:rPr>
        <w:t xml:space="preserve"> think they are.</w:t>
      </w:r>
    </w:p>
    <w:p w14:paraId="0B43EBB7" w14:textId="23D2489E" w:rsidR="003600BE" w:rsidRDefault="003600BE" w:rsidP="003600BE">
      <w:pPr>
        <w:rPr>
          <w:szCs w:val="24"/>
        </w:rPr>
      </w:pPr>
      <w:r>
        <w:rPr>
          <w:szCs w:val="24"/>
        </w:rPr>
        <w:t xml:space="preserve">Again, there is no consensus on whether to centre variables on the grand or group mean. Frequently studies using MLM do not even specify if they have centred the variables, or how. </w:t>
      </w:r>
      <w:r w:rsidR="00672BC7">
        <w:rPr>
          <w:szCs w:val="24"/>
        </w:rPr>
        <w:t>T</w:t>
      </w:r>
      <w:r>
        <w:rPr>
          <w:szCs w:val="24"/>
        </w:rPr>
        <w:t>here is no right or wrong approach to centring, but it depends on what the researcher is interested in. In this thesis I take the following approach:</w:t>
      </w:r>
    </w:p>
    <w:p w14:paraId="47B68211" w14:textId="77777777" w:rsidR="003600BE" w:rsidRDefault="003600BE" w:rsidP="002032DF">
      <w:pPr>
        <w:pStyle w:val="ListParagraph"/>
        <w:numPr>
          <w:ilvl w:val="0"/>
          <w:numId w:val="18"/>
        </w:numPr>
        <w:suppressAutoHyphens/>
        <w:rPr>
          <w:szCs w:val="24"/>
        </w:rPr>
      </w:pPr>
      <w:r>
        <w:rPr>
          <w:szCs w:val="24"/>
        </w:rPr>
        <w:t>Single level regression modelling at the individual level does not mean-centre the variables, as the interest here is in comparing a ‘global’ sample to see what variables effect democratic understand.</w:t>
      </w:r>
    </w:p>
    <w:p w14:paraId="54B8A8D8" w14:textId="56032C84" w:rsidR="00ED051D" w:rsidRPr="00981CBC" w:rsidRDefault="003600BE" w:rsidP="00981CBC">
      <w:pPr>
        <w:pStyle w:val="ListParagraph"/>
        <w:numPr>
          <w:ilvl w:val="0"/>
          <w:numId w:val="18"/>
        </w:numPr>
        <w:suppressAutoHyphens/>
        <w:rPr>
          <w:szCs w:val="24"/>
        </w:rPr>
      </w:pPr>
      <w:r>
        <w:rPr>
          <w:szCs w:val="24"/>
        </w:rPr>
        <w:t xml:space="preserve">MLM models </w:t>
      </w:r>
      <w:r w:rsidRPr="00655FFB">
        <w:rPr>
          <w:i/>
          <w:szCs w:val="24"/>
        </w:rPr>
        <w:t>do</w:t>
      </w:r>
      <w:r>
        <w:rPr>
          <w:szCs w:val="24"/>
        </w:rPr>
        <w:t xml:space="preserve"> use mean-centred variables, to further account for country level effects. They are centred by group (i.e. country).</w:t>
      </w:r>
      <w:bookmarkStart w:id="310" w:name="_Toc441069246"/>
      <w:bookmarkEnd w:id="309"/>
    </w:p>
    <w:p w14:paraId="420E46BD" w14:textId="6D89E10A" w:rsidR="003600BE" w:rsidRDefault="00835F4F" w:rsidP="00ED051D">
      <w:pPr>
        <w:pStyle w:val="Heading4"/>
        <w:numPr>
          <w:ilvl w:val="3"/>
          <w:numId w:val="16"/>
        </w:numPr>
      </w:pPr>
      <w:r>
        <w:t>Survey</w:t>
      </w:r>
      <w:r w:rsidR="003600BE">
        <w:t xml:space="preserve"> Weights</w:t>
      </w:r>
      <w:bookmarkEnd w:id="310"/>
    </w:p>
    <w:p w14:paraId="38BC8EBC" w14:textId="7B71D7B1" w:rsidR="003600BE" w:rsidRDefault="003600BE" w:rsidP="003600BE">
      <w:pPr>
        <w:rPr>
          <w:szCs w:val="24"/>
        </w:rPr>
      </w:pPr>
      <w:r>
        <w:rPr>
          <w:szCs w:val="24"/>
        </w:rPr>
        <w:t>Survey data made available to analysts usually contains one or more weighting variables. As Pfeffermann</w:t>
      </w:r>
      <w:r w:rsidR="00F23633">
        <w:rPr>
          <w:szCs w:val="24"/>
        </w:rPr>
        <w:t xml:space="preserve"> </w:t>
      </w:r>
      <w:r w:rsidR="00F23633">
        <w:rPr>
          <w:szCs w:val="24"/>
        </w:rPr>
        <w:fldChar w:fldCharType="begin" w:fldLock="1"/>
      </w:r>
      <w:r w:rsidR="00E63CC6">
        <w:rPr>
          <w:szCs w:val="24"/>
        </w:rPr>
        <w:instrText>ADDIN CSL_CITATION { "citationItems" : [ { "id" : "ITEM-1", "itemData" : { "DOI" : "10.2307/1403631", "ISBN" : "03067734", "ISSN" : "03067734", "abstract" : "The purpose of this paper is to provide a critical survey of the literature, directed at answering two main questions. i) Can the use of the sampling weights be justified for analytic inference about model parameters and if so, under what circumstances? ii) Can guidelines be developed for how to incorporate the weights in the analysis? The general conclusion of this study is that the weights can be used to test and protect against informative sampling designs and against misspecification of the model holding in the population. Six approaches for incorporating the weights in the inference process are considered. The first four approaches are intended to yield design consistent estimators for corresponding descriptive population quantities of the model parameters. The other two approaches attempt to incorporate the weights into the model.", "author" : [ { "dropping-particle" : "", "family" : "Pfeffermann", "given" : "Danny", "non-dropping-particle" : "", "parse-names" : false, "suffix" : "" } ], "container-title" : "International statistical review", "id" : "ITEM-1", "issue" : "2", "issued" : { "date-parts" : [ [ "1993" ] ] }, "page" : "317-337", "title" : "The Role of Sampling Weights When Modeling Survey Data", "type" : "article-journal", "volume" : "61" }, "uris" : [ "http://www.mendeley.com/documents/?uuid=38cd763e-0067-45f0-84ca-2a39e85c1d12" ] } ], "mendeley" : { "formattedCitation" : "(Pfeffermann, 1993)", "manualFormatting" : "(1993, p.317)", "plainTextFormattedCitation" : "(Pfeffermann, 1993)", "previouslyFormattedCitation" : "(Pfeffermann, 1993)" }, "properties" : { "noteIndex" : 0 }, "schema" : "https://github.com/citation-style-language/schema/raw/master/csl-citation.json" }</w:instrText>
      </w:r>
      <w:r w:rsidR="00F23633">
        <w:rPr>
          <w:szCs w:val="24"/>
        </w:rPr>
        <w:fldChar w:fldCharType="separate"/>
      </w:r>
      <w:r w:rsidR="00F23633" w:rsidRPr="00F23633">
        <w:rPr>
          <w:noProof/>
          <w:szCs w:val="24"/>
        </w:rPr>
        <w:t>(1993</w:t>
      </w:r>
      <w:r w:rsidR="00F23633">
        <w:rPr>
          <w:noProof/>
          <w:szCs w:val="24"/>
        </w:rPr>
        <w:t>, p.317</w:t>
      </w:r>
      <w:r w:rsidR="00F23633" w:rsidRPr="00F23633">
        <w:rPr>
          <w:noProof/>
          <w:szCs w:val="24"/>
        </w:rPr>
        <w:t>)</w:t>
      </w:r>
      <w:r w:rsidR="00F23633">
        <w:rPr>
          <w:szCs w:val="24"/>
        </w:rPr>
        <w:fldChar w:fldCharType="end"/>
      </w:r>
      <w:r>
        <w:rPr>
          <w:szCs w:val="24"/>
        </w:rPr>
        <w:t xml:space="preserve"> </w:t>
      </w:r>
      <w:r w:rsidR="00F23633">
        <w:rPr>
          <w:szCs w:val="24"/>
        </w:rPr>
        <w:t>explained</w:t>
      </w:r>
      <w:r>
        <w:rPr>
          <w:szCs w:val="24"/>
        </w:rPr>
        <w:t>:</w:t>
      </w:r>
    </w:p>
    <w:p w14:paraId="34BCA67A" w14:textId="77777777" w:rsidR="003600BE" w:rsidRDefault="003600BE" w:rsidP="00F23633">
      <w:pPr>
        <w:pStyle w:val="Quote"/>
      </w:pPr>
      <w:r>
        <w:t>“Sampling weights weigh sample data to correct for the disproportionality of the sample with respect to the target population of interest. The weights reflect unequal sample inclusion probabilities and compensate for differential nonresponse and frame under-coverage.”</w:t>
      </w:r>
    </w:p>
    <w:p w14:paraId="444B6A8A" w14:textId="3335564E" w:rsidR="003600BE" w:rsidRDefault="003600BE" w:rsidP="003600BE">
      <w:pPr>
        <w:rPr>
          <w:rFonts w:eastAsia="Times New Roman"/>
          <w:szCs w:val="24"/>
          <w:lang w:eastAsia="en-GB"/>
        </w:rPr>
      </w:pPr>
      <w:r>
        <w:rPr>
          <w:szCs w:val="24"/>
        </w:rPr>
        <w:t>There is a general acceptance that weighting survey data when producing descriptive statistics is a useful approach that can produce more accurate calculations. However, there is much less agreement on the role that weights play when used in more complicated analysis, such as regression modelling, and particular</w:t>
      </w:r>
      <w:r w:rsidR="00F23633">
        <w:rPr>
          <w:szCs w:val="24"/>
        </w:rPr>
        <w:t>ly with</w:t>
      </w:r>
      <w:r>
        <w:rPr>
          <w:szCs w:val="24"/>
        </w:rPr>
        <w:t xml:space="preserve"> multi-level regression modelling</w:t>
      </w:r>
      <w:r w:rsidR="00F23633">
        <w:rPr>
          <w:szCs w:val="24"/>
        </w:rPr>
        <w:t xml:space="preserve"> </w:t>
      </w:r>
      <w:r w:rsidR="00F23633">
        <w:rPr>
          <w:szCs w:val="24"/>
        </w:rPr>
        <w:fldChar w:fldCharType="begin" w:fldLock="1"/>
      </w:r>
      <w:r w:rsidR="00E63CC6">
        <w:rPr>
          <w:szCs w:val="24"/>
        </w:rPr>
        <w:instrText>ADDIN CSL_CITATION { "citationItems" : [ { "id" : "ITEM-1", "itemData" : { "DOI" : "10.1214/088342306000000691", "ISBN" : "0883423060000", "ISSN" : "0883-4237", "author" : [ { "dropping-particle" : "", "family" : "Gelman", "given" : "Andrew", "non-dropping-particle" : "", "parse-names" : false, "suffix" : "" } ], "container-title" : "Statistical Science", "id" : "ITEM-1", "issue" : "2", "issued" : { "date-parts" : [ [ "2007", "5" ] ] }, "page" : "153-164", "title" : "Struggles with Survey Weighting and Regression Modeling", "type" : "article-journal", "volume" : "22" }, "uris" : [ "http://www.mendeley.com/documents/?uuid=e98b2d2b-8bae-4e06-a88b-89b4191b95cf" ] }, { "id" : "ITEM-2", "itemData" : { "DOI" : "10.1111/j.1467-985X.2006.00426.x", "ISSN" : "0964-1998", "author" : [ { "dropping-particle" : "", "family" : "Rabe-Hesketh", "given" : "Sophia", "non-dropping-particle" : "", "parse-names" : false, "suffix" : "" }, { "dropping-particle" : "", "family" : "Skrondal", "given" : "Anders", "non-dropping-particle" : "", "parse-names" : false, "suffix" : "" } ], "container-title" : "Journal of the Royal Statistical Society: Series A (Statistics in Society)", "id" : "ITEM-2", "issue" : "4", "issued" : { "date-parts" : [ [ "2006", "10" ] ] }, "page" : "805-827", "title" : "Multilevel modelling of complex survey data", "type" : "article-journal", "volume" : "169" }, "uris" : [ "http://www.mendeley.com/documents/?uuid=b54d4e1b-d901-4624-9aab-f447f4da5da2" ] }, { "id" : "ITEM-3", "itemData" : { "DOI" : "10.2307/1403631", "ISBN" : "03067734", "ISSN" : "03067734", "abstract" : "The purpose of this paper is to provide a critical survey of the literature, directed at answering two main questions. i) Can the use of the sampling weights be justified for analytic inference about model parameters and if so, under what circumstances? ii) Can guidelines be developed for how to incorporate the weights in the analysis? The general conclusion of this study is that the weights can be used to test and protect against informative sampling designs and against misspecification of the model holding in the population. Six approaches for incorporating the weights in the inference process are considered. The first four approaches are intended to yield design consistent estimators for corresponding descriptive population quantities of the model parameters. The other two approaches attempt to incorporate the weights into the model.", "author" : [ { "dropping-particle" : "", "family" : "Pfeffermann", "given" : "Danny", "non-dropping-particle" : "", "parse-names" : false, "suffix" : "" } ], "container-title" : "International statistical review", "id" : "ITEM-3", "issue" : "2", "issued" : { "date-parts" : [ [ "1993" ] ] }, "page" : "317-337", "title" : "The Role of Sampling Weights When Modeling Survey Data", "type" : "article-journal", "volume" : "61" }, "uris" : [ "http://www.mendeley.com/documents/?uuid=38cd763e-0067-45f0-84ca-2a39e85c1d12" ] }, { "id" : "ITEM-4", "itemData" : { "DOI" : "10.1007/BF00223037", "ISSN" : "0033-5177", "author" : [ { "dropping-particle" : "", "family" : "Kreft", "given" : "G. G.", "non-dropping-particle" : "", "parse-names" : false, "suffix" : "" }, { "dropping-particle" : "", "family" : "Leeuw", "given" : "E. D.", "non-dropping-particle" : "de", "parse-names" : false, "suffix" : "" } ], "container-title" : "Quality and Quantity", "id" : "ITEM-4", "issue" : "2", "issued" : { "date-parts" : [ [ "1988", "6" ] ] }, "page" : "127-137", "title" : "The See-Saw Effect: a multilevel problem?", "type" : "article-journal", "volume" : "22" }, "uris" : [ "http://www.mendeley.com/documents/?uuid=7c62dc12-4ad4-4725-9b50-7ed6afc08545" ] } ], "mendeley" : { "formattedCitation" : "(Kreft and de Leeuw, 1988; Pfeffermann, 1993; Rabe-Hesketh and Skrondal, 2006; Gelman, 2007)", "plainTextFormattedCitation" : "(Kreft and de Leeuw, 1988; Pfeffermann, 1993; Rabe-Hesketh and Skrondal, 2006; Gelman, 2007)", "previouslyFormattedCitation" : "(Kreft and de Leeuw, 1988; Pfeffermann, 1993; Rabe-Hesketh and Skrondal, 2006; Gelman, 2007)" }, "properties" : { "noteIndex" : 0 }, "schema" : "https://github.com/citation-style-language/schema/raw/master/csl-citation.json" }</w:instrText>
      </w:r>
      <w:r w:rsidR="00F23633">
        <w:rPr>
          <w:szCs w:val="24"/>
        </w:rPr>
        <w:fldChar w:fldCharType="separate"/>
      </w:r>
      <w:r w:rsidR="00E63CC6" w:rsidRPr="00E63CC6">
        <w:rPr>
          <w:noProof/>
          <w:szCs w:val="24"/>
        </w:rPr>
        <w:t>(Kreft and de Leeuw, 1988; Pfeffermann, 1993; Rabe-Hesketh and Skrondal, 2006; Gelman, 2007)</w:t>
      </w:r>
      <w:r w:rsidR="00F23633">
        <w:rPr>
          <w:szCs w:val="24"/>
        </w:rPr>
        <w:fldChar w:fldCharType="end"/>
      </w:r>
      <w:r>
        <w:rPr>
          <w:rFonts w:eastAsia="Times New Roman"/>
          <w:szCs w:val="24"/>
          <w:lang w:eastAsia="en-GB"/>
        </w:rPr>
        <w:t>. In fact, this lack of consensus runs through from</w:t>
      </w:r>
      <w:r w:rsidR="00F23633">
        <w:rPr>
          <w:rFonts w:eastAsia="Times New Roman"/>
          <w:szCs w:val="24"/>
          <w:lang w:eastAsia="en-GB"/>
        </w:rPr>
        <w:t xml:space="preserve"> conclusions that the</w:t>
      </w:r>
      <w:r>
        <w:rPr>
          <w:rFonts w:eastAsia="Times New Roman"/>
          <w:szCs w:val="24"/>
          <w:lang w:eastAsia="en-GB"/>
        </w:rPr>
        <w:t xml:space="preserve"> use of weights </w:t>
      </w:r>
      <w:r w:rsidR="00F23633">
        <w:rPr>
          <w:rFonts w:eastAsia="Times New Roman"/>
          <w:szCs w:val="24"/>
          <w:lang w:eastAsia="en-GB"/>
        </w:rPr>
        <w:t>are</w:t>
      </w:r>
      <w:r>
        <w:rPr>
          <w:rFonts w:eastAsia="Times New Roman"/>
          <w:szCs w:val="24"/>
          <w:lang w:eastAsia="en-GB"/>
        </w:rPr>
        <w:t xml:space="preserve"> crucial, </w:t>
      </w:r>
      <w:r w:rsidR="00F23633">
        <w:rPr>
          <w:rFonts w:eastAsia="Times New Roman"/>
          <w:szCs w:val="24"/>
          <w:lang w:eastAsia="en-GB"/>
        </w:rPr>
        <w:t xml:space="preserve">through to </w:t>
      </w:r>
      <w:r>
        <w:rPr>
          <w:rFonts w:eastAsia="Times New Roman"/>
          <w:szCs w:val="24"/>
          <w:lang w:eastAsia="en-GB"/>
        </w:rPr>
        <w:t xml:space="preserve">the </w:t>
      </w:r>
      <w:r w:rsidR="00F23633">
        <w:rPr>
          <w:rFonts w:eastAsia="Times New Roman"/>
          <w:szCs w:val="24"/>
          <w:lang w:eastAsia="en-GB"/>
        </w:rPr>
        <w:t xml:space="preserve">argument that the </w:t>
      </w:r>
      <w:r>
        <w:rPr>
          <w:rFonts w:eastAsia="Times New Roman"/>
          <w:szCs w:val="24"/>
          <w:lang w:eastAsia="en-GB"/>
        </w:rPr>
        <w:t xml:space="preserve">use of weights </w:t>
      </w:r>
      <w:r w:rsidR="00F23633">
        <w:rPr>
          <w:rFonts w:eastAsia="Times New Roman"/>
          <w:szCs w:val="24"/>
          <w:lang w:eastAsia="en-GB"/>
        </w:rPr>
        <w:t>are</w:t>
      </w:r>
      <w:r>
        <w:rPr>
          <w:rFonts w:eastAsia="Times New Roman"/>
          <w:szCs w:val="24"/>
          <w:lang w:eastAsia="en-GB"/>
        </w:rPr>
        <w:t xml:space="preserve"> unnecessary.</w:t>
      </w:r>
    </w:p>
    <w:p w14:paraId="1C431045" w14:textId="1F82F152" w:rsidR="003600BE" w:rsidRDefault="003600BE" w:rsidP="003600BE">
      <w:pPr>
        <w:rPr>
          <w:rFonts w:eastAsia="Times New Roman"/>
          <w:szCs w:val="24"/>
          <w:lang w:eastAsia="en-GB"/>
        </w:rPr>
      </w:pPr>
      <w:r>
        <w:rPr>
          <w:rFonts w:eastAsia="Times New Roman"/>
          <w:szCs w:val="24"/>
          <w:lang w:eastAsia="en-GB"/>
        </w:rPr>
        <w:t>Without having access to the detailed sampling design, when using the WVS the analyst is left to choose between the options that are provided for them. The first option is to weight the sample to account for any differences between the sample and country percentages of age and gender. However, the WVS guide suggests using this weight with caution, particularly if the weight is below 0.5 or above 2. These extreme ranges of weighting are trying to accommodate considerable under or over representation in the sample. Particularly with the higher weightings this suggests that a group (for instance, old</w:t>
      </w:r>
      <w:r w:rsidR="00CF3286">
        <w:rPr>
          <w:rFonts w:eastAsia="Times New Roman"/>
          <w:szCs w:val="24"/>
          <w:lang w:eastAsia="en-GB"/>
        </w:rPr>
        <w:t>er</w:t>
      </w:r>
      <w:r>
        <w:rPr>
          <w:rFonts w:eastAsia="Times New Roman"/>
          <w:szCs w:val="24"/>
          <w:lang w:eastAsia="en-GB"/>
        </w:rPr>
        <w:t xml:space="preserve"> females) has been under-sampled in the survey, and so their answers are extrapolated and given more weight in the final result. The more extreme the weighting the riskier this is.</w:t>
      </w:r>
    </w:p>
    <w:p w14:paraId="53D3DC44" w14:textId="77777777" w:rsidR="003600BE" w:rsidRDefault="003600BE" w:rsidP="003600BE">
      <w:pPr>
        <w:rPr>
          <w:rFonts w:eastAsia="Times New Roman"/>
          <w:szCs w:val="24"/>
          <w:lang w:eastAsia="en-GB"/>
        </w:rPr>
      </w:pPr>
      <w:r>
        <w:rPr>
          <w:rFonts w:eastAsia="Times New Roman"/>
          <w:szCs w:val="24"/>
          <w:lang w:eastAsia="en-GB"/>
        </w:rPr>
        <w:t>In this data set, around 1,900 people are below the 0.5 weighting and 1,000 are above 2 (around 2.7% of the full dataset). A couple of examples help outline what these sort of cases tend to be. From examining the data it is quite clear that large weightings above 2.0 are related to cases such as Korean housewives with low levels of educational attainment – clearly these were missed by the WVS sampling method and under-represented. In contrast, in Cyprus small weighting is given to married, well-educated individuals with children – these must have been easier to sample.</w:t>
      </w:r>
    </w:p>
    <w:p w14:paraId="01B5F533" w14:textId="77777777" w:rsidR="003600BE" w:rsidRDefault="003600BE" w:rsidP="003600BE">
      <w:pPr>
        <w:rPr>
          <w:rFonts w:eastAsia="Times New Roman"/>
          <w:szCs w:val="24"/>
          <w:lang w:eastAsia="en-GB"/>
        </w:rPr>
      </w:pPr>
      <w:r>
        <w:rPr>
          <w:rFonts w:eastAsia="Times New Roman"/>
          <w:szCs w:val="24"/>
          <w:lang w:eastAsia="en-GB"/>
        </w:rPr>
        <w:t>The other weighting procedure in the WVS is based not on socio-demographics but on the fact that there are considerable differences in WVS sample size between countries such as South Africa (</w:t>
      </w:r>
      <w:r>
        <w:rPr>
          <w:rFonts w:eastAsia="Times New Roman"/>
          <w:i/>
          <w:szCs w:val="24"/>
          <w:lang w:eastAsia="en-GB"/>
        </w:rPr>
        <w:t>n=</w:t>
      </w:r>
      <w:r>
        <w:rPr>
          <w:rFonts w:eastAsia="Times New Roman"/>
          <w:szCs w:val="24"/>
          <w:lang w:eastAsia="en-GB"/>
        </w:rPr>
        <w:t>2,893) or Egypt (</w:t>
      </w:r>
      <w:r>
        <w:rPr>
          <w:rFonts w:eastAsia="Times New Roman"/>
          <w:i/>
          <w:szCs w:val="24"/>
          <w:lang w:eastAsia="en-GB"/>
        </w:rPr>
        <w:t>n=</w:t>
      </w:r>
      <w:r>
        <w:rPr>
          <w:rFonts w:eastAsia="Times New Roman"/>
          <w:szCs w:val="24"/>
          <w:lang w:eastAsia="en-GB"/>
        </w:rPr>
        <w:t>3,038) compared to Trinidad and Tobago (</w:t>
      </w:r>
      <w:r>
        <w:rPr>
          <w:rFonts w:eastAsia="Times New Roman"/>
          <w:i/>
          <w:szCs w:val="24"/>
          <w:lang w:eastAsia="en-GB"/>
        </w:rPr>
        <w:t>n</w:t>
      </w:r>
      <w:r>
        <w:rPr>
          <w:rFonts w:eastAsia="Times New Roman"/>
          <w:szCs w:val="24"/>
          <w:lang w:eastAsia="en-GB"/>
        </w:rPr>
        <w:t>=981) or Sweden (</w:t>
      </w:r>
      <w:r>
        <w:rPr>
          <w:rFonts w:eastAsia="Times New Roman"/>
          <w:i/>
          <w:szCs w:val="24"/>
          <w:lang w:eastAsia="en-GB"/>
        </w:rPr>
        <w:t>n</w:t>
      </w:r>
      <w:r>
        <w:rPr>
          <w:rFonts w:eastAsia="Times New Roman"/>
          <w:szCs w:val="24"/>
          <w:lang w:eastAsia="en-GB"/>
        </w:rPr>
        <w:t>=971). In this case the country samples can be equilibrated to either 1,000 or 1,500.</w:t>
      </w:r>
      <w:r w:rsidRPr="00AD1B56">
        <w:rPr>
          <w:rStyle w:val="FootnoteReference"/>
        </w:rPr>
        <w:footnoteReference w:id="21"/>
      </w:r>
      <w:r>
        <w:rPr>
          <w:rFonts w:eastAsia="Times New Roman"/>
          <w:szCs w:val="24"/>
          <w:lang w:eastAsia="en-GB"/>
        </w:rPr>
        <w:t xml:space="preserve"> This is useful if the analyst wants to make the distinction between ‘global’ averages that allow for the differences in size of countries, or averages that take each country average as an equal unit, not allowing the data to be skewed by the larger populations.</w:t>
      </w:r>
    </w:p>
    <w:p w14:paraId="3C8C467F" w14:textId="77777777" w:rsidR="003600BE" w:rsidRDefault="003600BE" w:rsidP="003600BE">
      <w:pPr>
        <w:rPr>
          <w:rFonts w:eastAsia="Times New Roman"/>
          <w:szCs w:val="24"/>
          <w:lang w:eastAsia="en-GB"/>
        </w:rPr>
      </w:pPr>
      <w:r>
        <w:rPr>
          <w:rFonts w:eastAsia="Times New Roman"/>
          <w:szCs w:val="24"/>
          <w:lang w:eastAsia="en-GB"/>
        </w:rPr>
        <w:t>Level 2 samples can also be weighted. However, this is dependent on the study. For instance, in educational studies where the level 2 units are schools, there might be strong sampling procedures used to generate the data. However, when it comes to countries in the WVS this isn’t the case. Countries provide a very small overall sampling universe in which it is very difficult to use any random sampling methods; too many other issues are at play (funding, access to country, research links, etc.). Instead, at this level the variables themselves can provide some control for country-level differences and effects (i.e. level of development), and the size of each country sample remains useful for different sizes of standard errors.</w:t>
      </w:r>
    </w:p>
    <w:p w14:paraId="6C794CFB" w14:textId="77777777" w:rsidR="003600BE" w:rsidRDefault="003600BE" w:rsidP="003600BE">
      <w:pPr>
        <w:rPr>
          <w:rFonts w:eastAsia="Times New Roman"/>
          <w:szCs w:val="24"/>
          <w:lang w:eastAsia="en-GB"/>
        </w:rPr>
      </w:pPr>
      <w:r>
        <w:rPr>
          <w:rFonts w:eastAsia="Times New Roman"/>
          <w:szCs w:val="24"/>
          <w:lang w:eastAsia="en-GB"/>
        </w:rPr>
        <w:t xml:space="preserve">Technically then, when the results are discussed, it is not ‘poorer countries score higher/lower on Y’, but ‘poorer countries </w:t>
      </w:r>
      <w:r>
        <w:rPr>
          <w:rFonts w:eastAsia="Times New Roman"/>
          <w:i/>
          <w:szCs w:val="24"/>
          <w:lang w:eastAsia="en-GB"/>
        </w:rPr>
        <w:t>within this sample</w:t>
      </w:r>
      <w:r>
        <w:rPr>
          <w:rFonts w:eastAsia="Times New Roman"/>
          <w:szCs w:val="24"/>
          <w:lang w:eastAsia="en-GB"/>
        </w:rPr>
        <w:t xml:space="preserve"> score higher/lower on Y’. This distinction should be borne in mind throughout this analysis.</w:t>
      </w:r>
    </w:p>
    <w:p w14:paraId="048B17AC" w14:textId="42532F3A" w:rsidR="003600BE" w:rsidRDefault="003600BE" w:rsidP="003600BE">
      <w:pPr>
        <w:rPr>
          <w:rFonts w:eastAsia="Times New Roman"/>
          <w:szCs w:val="24"/>
          <w:lang w:eastAsia="en-GB"/>
        </w:rPr>
      </w:pPr>
      <w:r>
        <w:rPr>
          <w:rFonts w:eastAsia="Times New Roman"/>
          <w:szCs w:val="24"/>
          <w:lang w:eastAsia="en-GB"/>
        </w:rPr>
        <w:t>In conclusion, in line with the advice from the WVS team, the gender and age weighting will not be used. Further, due to the problems surrounding weights, which is only complicated further when the researcher wants to use cross-level interactions, the models examined in this thesis will be un-weighted.</w:t>
      </w:r>
      <w:r w:rsidR="00857B6A">
        <w:rPr>
          <w:rStyle w:val="FootnoteReference"/>
          <w:rFonts w:eastAsia="Times New Roman"/>
          <w:szCs w:val="24"/>
          <w:lang w:eastAsia="en-GB"/>
        </w:rPr>
        <w:footnoteReference w:id="22"/>
      </w:r>
      <w:r>
        <w:rPr>
          <w:rFonts w:eastAsia="Times New Roman"/>
          <w:szCs w:val="24"/>
          <w:lang w:eastAsia="en-GB"/>
        </w:rPr>
        <w:t xml:space="preserve"> </w:t>
      </w:r>
    </w:p>
    <w:p w14:paraId="6717D6E8" w14:textId="28D583E0" w:rsidR="003600BE" w:rsidRDefault="00835F4F" w:rsidP="002032DF">
      <w:pPr>
        <w:pStyle w:val="Heading4"/>
        <w:numPr>
          <w:ilvl w:val="3"/>
          <w:numId w:val="16"/>
        </w:numPr>
      </w:pPr>
      <w:r>
        <w:t>Testing the Model Fit</w:t>
      </w:r>
    </w:p>
    <w:p w14:paraId="189C6FAE" w14:textId="34154CBA" w:rsidR="003600BE" w:rsidRDefault="003600BE" w:rsidP="003600BE">
      <w:pPr>
        <w:rPr>
          <w:rFonts w:cstheme="majorBidi"/>
          <w:szCs w:val="24"/>
        </w:rPr>
      </w:pPr>
      <w:r>
        <w:rPr>
          <w:rFonts w:cstheme="majorBidi"/>
          <w:szCs w:val="24"/>
        </w:rPr>
        <w:t>There is no agreed convention on how to calculate the model fit for a multilevel model. One way is to treat the proportional reductions in the estimated variance components as analogues of R-squared values</w:t>
      </w:r>
      <w:r w:rsidR="00857B6A">
        <w:rPr>
          <w:rFonts w:cstheme="majorBidi"/>
          <w:szCs w:val="24"/>
        </w:rPr>
        <w:t xml:space="preserve"> </w:t>
      </w:r>
      <w:r w:rsidR="00857B6A">
        <w:rPr>
          <w:rFonts w:cstheme="majorBidi"/>
          <w:szCs w:val="24"/>
        </w:rPr>
        <w:fldChar w:fldCharType="begin" w:fldLock="1"/>
      </w:r>
      <w:r w:rsidR="00E63CC6">
        <w:rPr>
          <w:rFonts w:cstheme="majorBidi"/>
          <w:szCs w:val="24"/>
        </w:rPr>
        <w:instrText>ADDIN CSL_CITATION { "citationItems" : [ { "id" : "ITEM-1", "itemData" : { "author" : [ { "dropping-particle" : "", "family" : "Bryk", "given" : "A.S.", "non-dropping-particle" : "", "parse-names" : false, "suffix" : "" }, { "dropping-particle" : "", "family" : "Raudenbush", "given" : "S.W", "non-dropping-particle" : "", "parse-names" : false, "suffix" : "" } ], "id" : "ITEM-1", "issued" : { "date-parts" : [ [ "1992" ] ] }, "publisher" : "SAGE Publications", "publisher-place" : "Newbury Park", "title" : "Hierarchical Linear Models: Applications and Data Analysis Methods", "type" : "book" }, "uris" : [ "http://www.mendeley.com/documents/?uuid=d577bd11-79a0-44b2-8823-0c407a7cd841" ] }, { "id" : "ITEM-2", "itemData" : { "author" : [ { "dropping-particle" : "", "family" : "Raudenbusch", "given" : "Stephen", "non-dropping-particle" : "", "parse-names" : false, "suffix" : "" }, { "dropping-particle" : "", "family" : "Bryk", "given" : "Anthony S.", "non-dropping-particle" : "", "parse-names" : false, "suffix" : "" } ], "container-title" : "Sociology of Education", "id" : "ITEM-2", "issue" : "1", "issued" : { "date-parts" : [ [ "1986" ] ] }, "page" : "1-17", "title" : "A hierarchical model for studying school effects", "type" : "article-journal", "volume" : "59" }, "uris" : [ "http://www.mendeley.com/documents/?uuid=8c52635c-bf46-479f-858a-53215582cb99" ] } ], "mendeley" : { "formattedCitation" : "(Raudenbusch and Bryk, 1986; Bryk and Raudenbush, 1992)", "plainTextFormattedCitation" : "(Raudenbusch and Bryk, 1986; Bryk and Raudenbush, 1992)", "previouslyFormattedCitation" : "(Raudenbusch and Bryk, 1986; Bryk and Raudenbush, 1992)" }, "properties" : { "noteIndex" : 0 }, "schema" : "https://github.com/citation-style-language/schema/raw/master/csl-citation.json" }</w:instrText>
      </w:r>
      <w:r w:rsidR="00857B6A">
        <w:rPr>
          <w:rFonts w:cstheme="majorBidi"/>
          <w:szCs w:val="24"/>
        </w:rPr>
        <w:fldChar w:fldCharType="separate"/>
      </w:r>
      <w:r w:rsidR="00E63CC6" w:rsidRPr="00E63CC6">
        <w:rPr>
          <w:rFonts w:cstheme="majorBidi"/>
          <w:noProof/>
          <w:szCs w:val="24"/>
        </w:rPr>
        <w:t>(Raudenbusch and Bryk, 1986; Bryk and Raudenbush, 1992)</w:t>
      </w:r>
      <w:r w:rsidR="00857B6A">
        <w:rPr>
          <w:rFonts w:cstheme="majorBidi"/>
          <w:szCs w:val="24"/>
        </w:rPr>
        <w:fldChar w:fldCharType="end"/>
      </w:r>
      <w:r>
        <w:rPr>
          <w:rFonts w:cstheme="majorBidi"/>
          <w:szCs w:val="24"/>
        </w:rPr>
        <w:t xml:space="preserve">. However, as </w:t>
      </w:r>
      <w:r w:rsidR="00AB674B">
        <w:rPr>
          <w:rFonts w:cstheme="majorBidi"/>
          <w:szCs w:val="24"/>
        </w:rPr>
        <w:fldChar w:fldCharType="begin" w:fldLock="1"/>
      </w:r>
      <w:r w:rsidR="00E63CC6">
        <w:rPr>
          <w:rFonts w:cstheme="majorBidi"/>
          <w:szCs w:val="24"/>
        </w:rPr>
        <w:instrText>ADDIN CSL_CITATION { "citationItems" : [ { "id" : "ITEM-1", "itemData" : { "author" : [ { "dropping-particle" : "", "family" : "Snijders", "given" : "T", "non-dropping-particle" : "", "parse-names" : false, "suffix" : "" }, { "dropping-particle" : "", "family" : "Bosker", "given" : "R", "non-dropping-particle" : "", "parse-names" : false, "suffix" : "" } ], "id" : "ITEM-1", "issued" : { "date-parts" : [ [ "1999" ] ] }, "publisher" : "SAGE Publications", "publisher-place" : "London", "title" : "Multilevel Analysis: An Introduction to basic and Advanced Multilevel Modelling", "type" : "book" }, "uris" : [ "http://www.mendeley.com/documents/?uuid=2a570764-bdd3-484a-9c28-d82a1c583803" ] } ], "mendeley" : { "formattedCitation" : "(Snijders and Bosker, 1999)", "manualFormatting" : "Snijders and Bosker (1999)", "plainTextFormattedCitation" : "(Snijders and Bosker, 1999)", "previouslyFormattedCitation" : "(Snijders and Bosker, 1999)" }, "properties" : { "noteIndex" : 0 }, "schema" : "https://github.com/citation-style-language/schema/raw/master/csl-citation.json" }</w:instrText>
      </w:r>
      <w:r w:rsidR="00AB674B">
        <w:rPr>
          <w:rFonts w:cstheme="majorBidi"/>
          <w:szCs w:val="24"/>
        </w:rPr>
        <w:fldChar w:fldCharType="separate"/>
      </w:r>
      <w:r w:rsidR="00AB674B">
        <w:rPr>
          <w:rFonts w:cstheme="majorBidi"/>
          <w:noProof/>
          <w:szCs w:val="24"/>
        </w:rPr>
        <w:t>Snijders and</w:t>
      </w:r>
      <w:r w:rsidR="00AB674B" w:rsidRPr="00AB674B">
        <w:rPr>
          <w:rFonts w:cstheme="majorBidi"/>
          <w:noProof/>
          <w:szCs w:val="24"/>
        </w:rPr>
        <w:t xml:space="preserve"> Bosker </w:t>
      </w:r>
      <w:r w:rsidR="00AB674B">
        <w:rPr>
          <w:rFonts w:cstheme="majorBidi"/>
          <w:noProof/>
          <w:szCs w:val="24"/>
        </w:rPr>
        <w:t>(</w:t>
      </w:r>
      <w:r w:rsidR="00AB674B" w:rsidRPr="00AB674B">
        <w:rPr>
          <w:rFonts w:cstheme="majorBidi"/>
          <w:noProof/>
          <w:szCs w:val="24"/>
        </w:rPr>
        <w:t>1999)</w:t>
      </w:r>
      <w:r w:rsidR="00AB674B">
        <w:rPr>
          <w:rFonts w:cstheme="majorBidi"/>
          <w:szCs w:val="24"/>
        </w:rPr>
        <w:fldChar w:fldCharType="end"/>
      </w:r>
      <w:r>
        <w:rPr>
          <w:rFonts w:cstheme="majorBidi"/>
          <w:szCs w:val="24"/>
        </w:rPr>
        <w:t xml:space="preserve"> </w:t>
      </w:r>
      <w:r w:rsidR="00AB674B">
        <w:rPr>
          <w:rFonts w:cstheme="majorBidi"/>
          <w:szCs w:val="24"/>
        </w:rPr>
        <w:t xml:space="preserve">have </w:t>
      </w:r>
      <w:r>
        <w:rPr>
          <w:rFonts w:cstheme="majorBidi"/>
          <w:szCs w:val="24"/>
        </w:rPr>
        <w:t>note</w:t>
      </w:r>
      <w:r w:rsidR="00AB674B">
        <w:rPr>
          <w:rFonts w:cstheme="majorBidi"/>
          <w:szCs w:val="24"/>
        </w:rPr>
        <w:t>d</w:t>
      </w:r>
      <w:r>
        <w:rPr>
          <w:rFonts w:cstheme="majorBidi"/>
          <w:szCs w:val="24"/>
        </w:rPr>
        <w:t>, this method is sometimes prone to problems, with added variables resulting in a decrease in R-squared values, or even negative R-square values, which do not make intu</w:t>
      </w:r>
      <w:r w:rsidR="00AB674B">
        <w:rPr>
          <w:rFonts w:cstheme="majorBidi"/>
          <w:szCs w:val="24"/>
        </w:rPr>
        <w:t>itive sense. Instead, Snijders and Bosker (1999</w:t>
      </w:r>
      <w:r>
        <w:rPr>
          <w:rFonts w:cstheme="majorBidi"/>
          <w:szCs w:val="24"/>
        </w:rPr>
        <w:t xml:space="preserve">) suggest a straightforward approach, which is to calculate and report the R-square value for both levels of the model, using the decrease in variance compared to an empty model (“the proportional reduction in mean squared prediction error”). This  approach has the much more appealing properties in that it can never be negative and added variables always increase the variance explained, and cannot decrease it </w:t>
      </w:r>
      <w:r w:rsidR="00AB674B">
        <w:rPr>
          <w:rFonts w:cstheme="majorBidi"/>
          <w:szCs w:val="24"/>
        </w:rPr>
        <w:fldChar w:fldCharType="begin" w:fldLock="1"/>
      </w:r>
      <w:r w:rsidR="00E63CC6">
        <w:rPr>
          <w:rFonts w:cstheme="majorBidi"/>
          <w:szCs w:val="24"/>
        </w:rPr>
        <w:instrText>ADDIN CSL_CITATION { "citationItems" : [ { "id" : "ITEM-1", "itemData" : { "abstract" : "The hierarchical linear model (HLM) is the primary tool of multilevel analysis, a set of techniques for examining data with nested sources of variability. The concept of R2 from classical multiple regression analysis cannot be applied directly to HLMs without certain undesirable results. However, multilevel analogues have been formulated. The goal here is to demonstrate a SAS macro that will calculate estimates of these quantities for a two-level HLM that has been fit with SASs linear mixed modeling procedure, PROC MIXED.", "author" : [ { "dropping-particle" : "", "family" : "Recchia", "given" : "Anthony", "non-dropping-particle" : "", "parse-names" : false, "suffix" : "" } ], "container-title" : "Journal Of Statistical Software", "id" : "ITEM-1", "issue" : "January", "issued" : { "date-parts" : [ [ "2010" ] ] }, "page" : "1-9", "title" : "R-Squared Measures for Two-Level Hierarchical Linear Models Using SAS", "type" : "article-journal", "volume" : "32" }, "uris" : [ "http://www.mendeley.com/documents/?uuid=c2b2080d-33f0-466d-a771-a880277fb978" ] } ], "mendeley" : { "formattedCitation" : "(Recchia, 2010)", "manualFormatting" : "(Recchia 2010, p.3-4)", "plainTextFormattedCitation" : "(Recchia, 2010)", "previouslyFormattedCitation" : "(Recchia, 2010)" }, "properties" : { "noteIndex" : 0 }, "schema" : "https://github.com/citation-style-language/schema/raw/master/csl-citation.json" }</w:instrText>
      </w:r>
      <w:r w:rsidR="00AB674B">
        <w:rPr>
          <w:rFonts w:cstheme="majorBidi"/>
          <w:szCs w:val="24"/>
        </w:rPr>
        <w:fldChar w:fldCharType="separate"/>
      </w:r>
      <w:r w:rsidR="00AB674B" w:rsidRPr="00AB674B">
        <w:rPr>
          <w:rFonts w:cstheme="majorBidi"/>
          <w:noProof/>
          <w:szCs w:val="24"/>
        </w:rPr>
        <w:t>(Recchia 2010</w:t>
      </w:r>
      <w:r w:rsidR="00AB674B">
        <w:rPr>
          <w:rFonts w:cstheme="majorBidi"/>
          <w:noProof/>
          <w:szCs w:val="24"/>
        </w:rPr>
        <w:t>, p.3-4</w:t>
      </w:r>
      <w:r w:rsidR="00AB674B" w:rsidRPr="00AB674B">
        <w:rPr>
          <w:rFonts w:cstheme="majorBidi"/>
          <w:noProof/>
          <w:szCs w:val="24"/>
        </w:rPr>
        <w:t>)</w:t>
      </w:r>
      <w:r w:rsidR="00AB674B">
        <w:rPr>
          <w:rFonts w:cstheme="majorBidi"/>
          <w:szCs w:val="24"/>
        </w:rPr>
        <w:fldChar w:fldCharType="end"/>
      </w:r>
      <w:r w:rsidR="00AB674B">
        <w:rPr>
          <w:rFonts w:cstheme="majorBidi"/>
          <w:szCs w:val="24"/>
        </w:rPr>
        <w:t>.</w:t>
      </w:r>
    </w:p>
    <w:p w14:paraId="4475212E" w14:textId="3743D6AC" w:rsidR="003600BE" w:rsidRDefault="003600BE" w:rsidP="003600BE">
      <w:pPr>
        <w:rPr>
          <w:rFonts w:cstheme="majorBidi"/>
          <w:szCs w:val="24"/>
        </w:rPr>
      </w:pPr>
      <w:r>
        <w:rPr>
          <w:rFonts w:cstheme="majorBidi"/>
          <w:szCs w:val="24"/>
        </w:rPr>
        <w:t>A</w:t>
      </w:r>
      <w:r w:rsidR="00AB674B">
        <w:rPr>
          <w:rFonts w:cstheme="majorBidi"/>
          <w:szCs w:val="24"/>
        </w:rPr>
        <w:t>ccordingly, I use the Snijders and</w:t>
      </w:r>
      <w:r>
        <w:rPr>
          <w:rFonts w:cstheme="majorBidi"/>
          <w:szCs w:val="24"/>
        </w:rPr>
        <w:t xml:space="preserve"> Bosker approach to calculating model fit for the multi-level models. In STATA this can be calculated by hand by comparing the model variance between the final model and the empty model, and, as of 2013 can be calculated with the ‘mltrsq’ package.</w:t>
      </w:r>
      <w:bookmarkStart w:id="311" w:name="_Toc393447161"/>
    </w:p>
    <w:p w14:paraId="408F57F4" w14:textId="723BD7EA" w:rsidR="00DC29B0" w:rsidRPr="00464B5B" w:rsidRDefault="00DC29B0" w:rsidP="00DC29B0">
      <w:pPr>
        <w:pStyle w:val="Heading4"/>
        <w:rPr>
          <w:highlight w:val="yellow"/>
        </w:rPr>
      </w:pPr>
      <w:r w:rsidRPr="00464B5B">
        <w:rPr>
          <w:highlight w:val="yellow"/>
        </w:rPr>
        <w:t>Random Slopes</w:t>
      </w:r>
    </w:p>
    <w:p w14:paraId="04A4DE26" w14:textId="43F935A9" w:rsidR="00BD5E82" w:rsidRPr="00464B5B" w:rsidRDefault="00010A51" w:rsidP="00104390">
      <w:pPr>
        <w:rPr>
          <w:highlight w:val="yellow"/>
        </w:rPr>
      </w:pPr>
      <w:r w:rsidRPr="00464B5B">
        <w:rPr>
          <w:highlight w:val="yellow"/>
        </w:rPr>
        <w:t xml:space="preserve">Random effects within a MLM estimate separate parameters for the second level variables, allowing ‘each context to have its own micro model’ </w:t>
      </w:r>
      <w:r w:rsidRPr="00464B5B">
        <w:rPr>
          <w:highlight w:val="yellow"/>
        </w:rPr>
        <w:fldChar w:fldCharType="begin" w:fldLock="1"/>
      </w:r>
      <w:r w:rsidRPr="00464B5B">
        <w:rPr>
          <w:highlight w:val="yellow"/>
        </w:rPr>
        <w:instrText>ADDIN CSL_CITATION { "citationItems" : [ { "id" : "ITEM-1", "itemData" : { "author" : [ { "dropping-particle" : "", "family" : "Kreft", "given" : "G. G.", "non-dropping-particle" : "", "parse-names" : false, "suffix" : "" }, { "dropping-particle" : "", "family" : "Leeuw", "given" : "J.", "non-dropping-particle" : "de", "parse-names" : false, "suffix" : "" } ], "id" : "ITEM-1", "issued" : { "date-parts" : [ [ "1998" ] ] }, "publisher" : "SAGE Publications", "publisher-place" : "London", "title" : "Introducing Multilevel Modelling", "type" : "book" }, "uris" : [ "http://www.mendeley.com/documents/?uuid=0ca80465-68a7-482a-9140-90b5efd2e67e" ] } ], "mendeley" : { "formattedCitation" : "(Kreft and de Leeuw, 1998)", "manualFormatting" : "(Kreft and de Leeuw 1998, p36)", "plainTextFormattedCitation" : "(Kreft and de Leeuw, 1998)", "previouslyFormattedCitation" : "(Kreft and de Leeuw, 1998)" }, "properties" : { "noteIndex" : 0 }, "schema" : "https://github.com/citation-style-language/schema/raw/master/csl-citation.json" }</w:instrText>
      </w:r>
      <w:r w:rsidRPr="00464B5B">
        <w:rPr>
          <w:highlight w:val="yellow"/>
        </w:rPr>
        <w:fldChar w:fldCharType="separate"/>
      </w:r>
      <w:r w:rsidRPr="00464B5B">
        <w:rPr>
          <w:noProof/>
          <w:highlight w:val="yellow"/>
        </w:rPr>
        <w:t>(Kreft and de Leeuw 1998, p36)</w:t>
      </w:r>
      <w:r w:rsidRPr="00464B5B">
        <w:rPr>
          <w:highlight w:val="yellow"/>
        </w:rPr>
        <w:fldChar w:fldCharType="end"/>
      </w:r>
      <w:r w:rsidR="006E5D5E" w:rsidRPr="00464B5B">
        <w:rPr>
          <w:highlight w:val="yellow"/>
        </w:rPr>
        <w:t xml:space="preserve">. This </w:t>
      </w:r>
      <w:r w:rsidR="00E50BF2" w:rsidRPr="00464B5B">
        <w:rPr>
          <w:highlight w:val="yellow"/>
        </w:rPr>
        <w:t>is the model show</w:t>
      </w:r>
      <w:r w:rsidR="002E0379">
        <w:rPr>
          <w:highlight w:val="yellow"/>
        </w:rPr>
        <w:t>n in Figure 5.5</w:t>
      </w:r>
      <w:r w:rsidR="00E50BF2" w:rsidRPr="00464B5B">
        <w:rPr>
          <w:highlight w:val="yellow"/>
        </w:rPr>
        <w:t xml:space="preserve"> b</w:t>
      </w:r>
      <w:r w:rsidR="006E5D5E" w:rsidRPr="00464B5B">
        <w:rPr>
          <w:highlight w:val="yellow"/>
        </w:rPr>
        <w:t>) which visualises how a variable might have a rather different relationship with 4 cases</w:t>
      </w:r>
      <w:r w:rsidR="005C57D3" w:rsidRPr="00464B5B">
        <w:rPr>
          <w:highlight w:val="yellow"/>
        </w:rPr>
        <w:t>; this is often called a random slope model</w:t>
      </w:r>
      <w:r w:rsidR="006E5D5E" w:rsidRPr="00464B5B">
        <w:rPr>
          <w:highlight w:val="yellow"/>
        </w:rPr>
        <w:t>. This is clearly quite different to a) in which the modelling approach assumes that the relationship changes at the same rate</w:t>
      </w:r>
      <w:r w:rsidR="00AA6F11" w:rsidRPr="00464B5B">
        <w:rPr>
          <w:highlight w:val="yellow"/>
        </w:rPr>
        <w:t xml:space="preserve"> (in the same direction)</w:t>
      </w:r>
      <w:r w:rsidR="006E5D5E" w:rsidRPr="00464B5B">
        <w:rPr>
          <w:highlight w:val="yellow"/>
        </w:rPr>
        <w:t>,</w:t>
      </w:r>
      <w:r w:rsidR="00AA6F11" w:rsidRPr="00464B5B">
        <w:rPr>
          <w:highlight w:val="yellow"/>
        </w:rPr>
        <w:t xml:space="preserve"> but starts at different points.</w:t>
      </w:r>
    </w:p>
    <w:p w14:paraId="636F6CF8" w14:textId="0B06404C" w:rsidR="00C5072E" w:rsidRPr="00464B5B" w:rsidRDefault="00AA6F11" w:rsidP="00AA6F11">
      <w:pPr>
        <w:rPr>
          <w:highlight w:val="yellow"/>
        </w:rPr>
      </w:pPr>
      <w:r w:rsidRPr="00464B5B">
        <w:rPr>
          <w:highlight w:val="yellow"/>
        </w:rPr>
        <w:t xml:space="preserve">This would mean for instance that a random intercept MLM examining the relationship between age and the compound understanding of democracy would estimate the effect to be the same across all countries; i.e. the older you get, the higher you are expected to score on the compound variable. In contrast, a random slope model such as b) would allow the covariance to be unstructured at the second level, and so some countries may have the opposite relationship; the older you get, the lower you are expected to score. Hence the idea of a micro model. </w:t>
      </w:r>
    </w:p>
    <w:p w14:paraId="46C4C6A2" w14:textId="28E2164A" w:rsidR="00104390" w:rsidRPr="003A5664" w:rsidRDefault="00104390" w:rsidP="00104390">
      <w:pPr>
        <w:pStyle w:val="Caption"/>
        <w:rPr>
          <w:rFonts w:ascii="Segoe UI" w:hAnsi="Segoe UI" w:cs="Segoe UI"/>
          <w:i w:val="0"/>
          <w:highlight w:val="yellow"/>
        </w:rPr>
      </w:pPr>
      <w:bookmarkStart w:id="312" w:name="_Toc494687170"/>
      <w:r w:rsidRPr="003A5664">
        <w:rPr>
          <w:rFonts w:ascii="Segoe UI" w:hAnsi="Segoe UI" w:cs="Segoe UI"/>
          <w:i w:val="0"/>
          <w:highlight w:val="yellow"/>
        </w:rPr>
        <w:t xml:space="preserve">Figure </w:t>
      </w:r>
      <w:r w:rsidR="00532BB0" w:rsidRPr="003A5664">
        <w:rPr>
          <w:rFonts w:ascii="Segoe UI" w:hAnsi="Segoe UI" w:cs="Segoe UI"/>
          <w:i w:val="0"/>
          <w:highlight w:val="yellow"/>
        </w:rPr>
        <w:fldChar w:fldCharType="begin"/>
      </w:r>
      <w:r w:rsidR="00532BB0" w:rsidRPr="003A5664">
        <w:rPr>
          <w:rFonts w:ascii="Segoe UI" w:hAnsi="Segoe UI" w:cs="Segoe UI"/>
          <w:i w:val="0"/>
          <w:highlight w:val="yellow"/>
        </w:rPr>
        <w:instrText xml:space="preserve"> STYLEREF 1 \s </w:instrText>
      </w:r>
      <w:r w:rsidR="00532BB0" w:rsidRPr="003A5664">
        <w:rPr>
          <w:rFonts w:ascii="Segoe UI" w:hAnsi="Segoe UI" w:cs="Segoe UI"/>
          <w:i w:val="0"/>
          <w:highlight w:val="yellow"/>
        </w:rPr>
        <w:fldChar w:fldCharType="separate"/>
      </w:r>
      <w:r w:rsidRPr="003A5664">
        <w:rPr>
          <w:rFonts w:ascii="Segoe UI" w:hAnsi="Segoe UI" w:cs="Segoe UI"/>
          <w:i w:val="0"/>
          <w:noProof/>
          <w:highlight w:val="yellow"/>
        </w:rPr>
        <w:t>5</w:t>
      </w:r>
      <w:r w:rsidR="00532BB0" w:rsidRPr="003A5664">
        <w:rPr>
          <w:rFonts w:ascii="Segoe UI" w:hAnsi="Segoe UI" w:cs="Segoe UI"/>
          <w:i w:val="0"/>
          <w:noProof/>
          <w:highlight w:val="yellow"/>
        </w:rPr>
        <w:fldChar w:fldCharType="end"/>
      </w:r>
      <w:r w:rsidRPr="003A5664">
        <w:rPr>
          <w:rFonts w:ascii="Segoe UI" w:hAnsi="Segoe UI" w:cs="Segoe UI"/>
          <w:i w:val="0"/>
          <w:highlight w:val="yellow"/>
        </w:rPr>
        <w:t>:</w:t>
      </w:r>
      <w:r w:rsidR="00532BB0" w:rsidRPr="003A5664">
        <w:rPr>
          <w:rFonts w:ascii="Segoe UI" w:hAnsi="Segoe UI" w:cs="Segoe UI"/>
          <w:i w:val="0"/>
          <w:highlight w:val="yellow"/>
        </w:rPr>
        <w:fldChar w:fldCharType="begin"/>
      </w:r>
      <w:r w:rsidR="00532BB0" w:rsidRPr="003A5664">
        <w:rPr>
          <w:rFonts w:ascii="Segoe UI" w:hAnsi="Segoe UI" w:cs="Segoe UI"/>
          <w:i w:val="0"/>
          <w:highlight w:val="yellow"/>
        </w:rPr>
        <w:instrText xml:space="preserve"> SEQ Figure \* ARABIC \s 1 </w:instrText>
      </w:r>
      <w:r w:rsidR="00532BB0" w:rsidRPr="003A5664">
        <w:rPr>
          <w:rFonts w:ascii="Segoe UI" w:hAnsi="Segoe UI" w:cs="Segoe UI"/>
          <w:i w:val="0"/>
          <w:highlight w:val="yellow"/>
        </w:rPr>
        <w:fldChar w:fldCharType="separate"/>
      </w:r>
      <w:r w:rsidR="002E0379" w:rsidRPr="003A5664">
        <w:rPr>
          <w:rFonts w:ascii="Segoe UI" w:hAnsi="Segoe UI" w:cs="Segoe UI"/>
          <w:i w:val="0"/>
          <w:noProof/>
          <w:highlight w:val="yellow"/>
        </w:rPr>
        <w:t>5</w:t>
      </w:r>
      <w:r w:rsidR="00532BB0" w:rsidRPr="003A5664">
        <w:rPr>
          <w:rFonts w:ascii="Segoe UI" w:hAnsi="Segoe UI" w:cs="Segoe UI"/>
          <w:i w:val="0"/>
          <w:noProof/>
          <w:highlight w:val="yellow"/>
        </w:rPr>
        <w:fldChar w:fldCharType="end"/>
      </w:r>
      <w:r w:rsidRPr="003A5664">
        <w:rPr>
          <w:rFonts w:ascii="Segoe UI" w:hAnsi="Segoe UI" w:cs="Segoe UI"/>
          <w:i w:val="0"/>
          <w:highlight w:val="yellow"/>
        </w:rPr>
        <w:t xml:space="preserve"> </w:t>
      </w:r>
      <w:r w:rsidR="00B65DEE" w:rsidRPr="003A5664">
        <w:rPr>
          <w:rFonts w:ascii="Segoe UI" w:hAnsi="Segoe UI" w:cs="Segoe UI"/>
          <w:i w:val="0"/>
          <w:highlight w:val="yellow"/>
        </w:rPr>
        <w:t>How slopes and intercepts of regression lines can vary in MLM analysis (adapted from Kreft &amp; De Leeuw 1998, p.38)</w:t>
      </w:r>
      <w:bookmarkEnd w:id="312"/>
    </w:p>
    <w:p w14:paraId="5B4DD19D" w14:textId="20638AB5" w:rsidR="00104390" w:rsidRPr="00464B5B" w:rsidRDefault="00AA6F11" w:rsidP="00AA6F11">
      <w:pPr>
        <w:jc w:val="center"/>
        <w:rPr>
          <w:rFonts w:cs="Segoe UI"/>
          <w:sz w:val="20"/>
          <w:highlight w:val="yellow"/>
        </w:rPr>
      </w:pPr>
      <w:r w:rsidRPr="00464B5B">
        <w:rPr>
          <w:rFonts w:cs="Segoe UI"/>
          <w:sz w:val="20"/>
          <w:highlight w:val="yellow"/>
        </w:rPr>
        <w:t xml:space="preserve">    </w:t>
      </w:r>
      <w:r w:rsidR="00B65DEE" w:rsidRPr="00464B5B">
        <w:rPr>
          <w:rFonts w:cs="Segoe UI"/>
          <w:sz w:val="20"/>
          <w:highlight w:val="yellow"/>
        </w:rPr>
        <w:t xml:space="preserve">a) </w:t>
      </w:r>
      <w:r w:rsidRPr="00464B5B">
        <w:rPr>
          <w:rFonts w:cs="Segoe UI"/>
          <w:sz w:val="20"/>
          <w:highlight w:val="yellow"/>
        </w:rPr>
        <w:t>Random</w:t>
      </w:r>
      <w:r w:rsidR="00B65DEE" w:rsidRPr="00464B5B">
        <w:rPr>
          <w:rFonts w:cs="Segoe UI"/>
          <w:sz w:val="20"/>
          <w:highlight w:val="yellow"/>
        </w:rPr>
        <w:t xml:space="preserve"> intercept               </w:t>
      </w:r>
      <w:r w:rsidRPr="00464B5B">
        <w:rPr>
          <w:rFonts w:cs="Segoe UI"/>
          <w:sz w:val="20"/>
          <w:highlight w:val="yellow"/>
        </w:rPr>
        <w:tab/>
      </w:r>
      <w:r w:rsidR="00B65DEE" w:rsidRPr="00464B5B">
        <w:rPr>
          <w:rFonts w:cs="Segoe UI"/>
          <w:sz w:val="20"/>
          <w:highlight w:val="yellow"/>
        </w:rPr>
        <w:t xml:space="preserve"> </w:t>
      </w:r>
      <w:r w:rsidRPr="00464B5B">
        <w:rPr>
          <w:rFonts w:eastAsia="Segoe UI Emoji" w:cs="Segoe UI"/>
          <w:sz w:val="20"/>
          <w:highlight w:val="yellow"/>
        </w:rPr>
        <w:t>b)</w:t>
      </w:r>
      <w:r w:rsidR="00B65DEE" w:rsidRPr="00464B5B">
        <w:rPr>
          <w:rFonts w:eastAsia="Segoe UI Emoji" w:cs="Segoe UI"/>
          <w:sz w:val="20"/>
          <w:highlight w:val="yellow"/>
        </w:rPr>
        <w:t xml:space="preserve"> </w:t>
      </w:r>
      <w:r w:rsidRPr="00464B5B">
        <w:rPr>
          <w:rFonts w:eastAsia="Segoe UI Emoji" w:cs="Segoe UI"/>
          <w:sz w:val="20"/>
          <w:highlight w:val="yellow"/>
        </w:rPr>
        <w:t>Random</w:t>
      </w:r>
      <w:r w:rsidR="00B65DEE" w:rsidRPr="00464B5B">
        <w:rPr>
          <w:rFonts w:eastAsia="Segoe UI Emoji" w:cs="Segoe UI"/>
          <w:sz w:val="20"/>
          <w:highlight w:val="yellow"/>
        </w:rPr>
        <w:t xml:space="preserve"> slope and intercept</w:t>
      </w:r>
    </w:p>
    <w:p w14:paraId="1C0B1DE3" w14:textId="7389E1F5" w:rsidR="005C57D3" w:rsidRPr="00464B5B" w:rsidRDefault="00104390" w:rsidP="00AA6F11">
      <w:pPr>
        <w:jc w:val="center"/>
        <w:rPr>
          <w:highlight w:val="yellow"/>
        </w:rPr>
      </w:pPr>
      <w:r w:rsidRPr="00464B5B">
        <w:rPr>
          <w:noProof/>
          <w:highlight w:val="yellow"/>
          <w:lang w:eastAsia="zh-CN"/>
        </w:rPr>
        <w:drawing>
          <wp:inline distT="0" distB="0" distL="0" distR="0" wp14:anchorId="572FB0A0" wp14:editId="2679EAF5">
            <wp:extent cx="1761012" cy="1706507"/>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varying intercept.PNG"/>
                    <pic:cNvPicPr/>
                  </pic:nvPicPr>
                  <pic:blipFill>
                    <a:blip r:embed="rId35">
                      <a:extLst>
                        <a:ext uri="{28A0092B-C50C-407E-A947-70E740481C1C}">
                          <a14:useLocalDpi xmlns:a14="http://schemas.microsoft.com/office/drawing/2010/main" val="0"/>
                        </a:ext>
                      </a:extLst>
                    </a:blip>
                    <a:stretch>
                      <a:fillRect/>
                    </a:stretch>
                  </pic:blipFill>
                  <pic:spPr>
                    <a:xfrm>
                      <a:off x="0" y="0"/>
                      <a:ext cx="1767475" cy="1712770"/>
                    </a:xfrm>
                    <a:prstGeom prst="rect">
                      <a:avLst/>
                    </a:prstGeom>
                  </pic:spPr>
                </pic:pic>
              </a:graphicData>
            </a:graphic>
          </wp:inline>
        </w:drawing>
      </w:r>
      <w:r w:rsidRPr="00464B5B">
        <w:rPr>
          <w:noProof/>
          <w:highlight w:val="yellow"/>
          <w:lang w:eastAsia="zh-CN"/>
        </w:rPr>
        <w:drawing>
          <wp:inline distT="0" distB="0" distL="0" distR="0" wp14:anchorId="17041215" wp14:editId="3C92B7F2">
            <wp:extent cx="1752600" cy="174023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vary slopes and intercept.PNG"/>
                    <pic:cNvPicPr/>
                  </pic:nvPicPr>
                  <pic:blipFill>
                    <a:blip r:embed="rId36">
                      <a:extLst>
                        <a:ext uri="{28A0092B-C50C-407E-A947-70E740481C1C}">
                          <a14:useLocalDpi xmlns:a14="http://schemas.microsoft.com/office/drawing/2010/main" val="0"/>
                        </a:ext>
                      </a:extLst>
                    </a:blip>
                    <a:stretch>
                      <a:fillRect/>
                    </a:stretch>
                  </pic:blipFill>
                  <pic:spPr>
                    <a:xfrm>
                      <a:off x="0" y="0"/>
                      <a:ext cx="1764840" cy="1752383"/>
                    </a:xfrm>
                    <a:prstGeom prst="rect">
                      <a:avLst/>
                    </a:prstGeom>
                  </pic:spPr>
                </pic:pic>
              </a:graphicData>
            </a:graphic>
          </wp:inline>
        </w:drawing>
      </w:r>
    </w:p>
    <w:p w14:paraId="4B1221CB" w14:textId="045ADB54" w:rsidR="00AC3E88" w:rsidRPr="00464B5B" w:rsidRDefault="00AA6F11" w:rsidP="00DC29B0">
      <w:pPr>
        <w:rPr>
          <w:highlight w:val="yellow"/>
        </w:rPr>
      </w:pPr>
      <w:r w:rsidRPr="00464B5B">
        <w:rPr>
          <w:highlight w:val="yellow"/>
        </w:rPr>
        <w:t xml:space="preserve">Problematically, as </w:t>
      </w:r>
      <w:r w:rsidR="008F3760" w:rsidRPr="00464B5B">
        <w:rPr>
          <w:highlight w:val="yellow"/>
        </w:rPr>
        <w:t xml:space="preserve">Gelman and Hill </w:t>
      </w:r>
      <w:r w:rsidR="008F3760" w:rsidRPr="00464B5B">
        <w:rPr>
          <w:highlight w:val="yellow"/>
        </w:rPr>
        <w:fldChar w:fldCharType="begin" w:fldLock="1"/>
      </w:r>
      <w:r w:rsidR="007D5576" w:rsidRPr="00464B5B">
        <w:rPr>
          <w:highlight w:val="yellow"/>
        </w:rPr>
        <w:instrText>ADDIN CSL_CITATION { "citationItems" : [ { "id" : "ITEM-1", "itemData" : { "author" : [ { "dropping-particle" : "", "family" : "Gelman", "given" : "A", "non-dropping-particle" : "", "parse-names" : false, "suffix" : "" }, { "dropping-particle" : "", "family" : "Hill", "given" : "J", "non-dropping-particle" : "", "parse-names" : false, "suffix" : "" } ], "id" : "ITEM-1", "issued" : { "date-parts" : [ [ "2007" ] ] }, "number-of-pages" : "651", "publisher" : "Cambridge Books Online", "title" : "Data Analysis Using Regression and Multilevel/Hierarchical Models", "type" : "book" }, "uris" : [ "http://www.mendeley.com/documents/?uuid=47870432-011a-4f00-842e-51bf7e1be34f" ] } ], "mendeley" : { "formattedCitation" : "(Gelman and Hill, 2007)", "manualFormatting" : "(2007, p.245)", "plainTextFormattedCitation" : "(Gelman and Hill, 2007)", "previouslyFormattedCitation" : "(Gelman and Hill, 2007)" }, "properties" : { "noteIndex" : 0 }, "schema" : "https://github.com/citation-style-language/schema/raw/master/csl-citation.json" }</w:instrText>
      </w:r>
      <w:r w:rsidR="008F3760" w:rsidRPr="00464B5B">
        <w:rPr>
          <w:highlight w:val="yellow"/>
        </w:rPr>
        <w:fldChar w:fldCharType="separate"/>
      </w:r>
      <w:r w:rsidR="00C5463B" w:rsidRPr="00464B5B">
        <w:rPr>
          <w:noProof/>
          <w:highlight w:val="yellow"/>
        </w:rPr>
        <w:t>(</w:t>
      </w:r>
      <w:r w:rsidR="008F3760" w:rsidRPr="00464B5B">
        <w:rPr>
          <w:noProof/>
          <w:highlight w:val="yellow"/>
        </w:rPr>
        <w:t>2007</w:t>
      </w:r>
      <w:r w:rsidR="00C5463B" w:rsidRPr="00464B5B">
        <w:rPr>
          <w:noProof/>
          <w:highlight w:val="yellow"/>
        </w:rPr>
        <w:t>, p.245</w:t>
      </w:r>
      <w:r w:rsidR="008F3760" w:rsidRPr="00464B5B">
        <w:rPr>
          <w:noProof/>
          <w:highlight w:val="yellow"/>
        </w:rPr>
        <w:t>)</w:t>
      </w:r>
      <w:r w:rsidR="008F3760" w:rsidRPr="00464B5B">
        <w:rPr>
          <w:highlight w:val="yellow"/>
        </w:rPr>
        <w:fldChar w:fldCharType="end"/>
      </w:r>
      <w:r w:rsidR="007D5576" w:rsidRPr="00464B5B">
        <w:rPr>
          <w:highlight w:val="yellow"/>
        </w:rPr>
        <w:t xml:space="preserve"> </w:t>
      </w:r>
      <w:r w:rsidRPr="00464B5B">
        <w:rPr>
          <w:highlight w:val="yellow"/>
        </w:rPr>
        <w:t>note,</w:t>
      </w:r>
      <w:r w:rsidR="007D5576" w:rsidRPr="00464B5B">
        <w:rPr>
          <w:highlight w:val="yellow"/>
        </w:rPr>
        <w:t xml:space="preserve"> the ‘statistical literature is full of confusing and contradictory advice’ when it comes to the question of when to use random effects.</w:t>
      </w:r>
      <w:r w:rsidRPr="00464B5B">
        <w:rPr>
          <w:highlight w:val="yellow"/>
        </w:rPr>
        <w:t xml:space="preserve"> </w:t>
      </w:r>
      <w:r w:rsidR="00AC3E88" w:rsidRPr="00464B5B">
        <w:rPr>
          <w:highlight w:val="yellow"/>
        </w:rPr>
        <w:t>There may be theoretical reasons to start allowing for random effects, however this requires detailed consideration of the interaction between theories and context. As my approach is on outlining broad trends and influences on conceptualisations of democracy, this is for the most part beyond the scale of this thesis, however, as Snijders</w:t>
      </w:r>
      <w:r w:rsidR="00E50BF2" w:rsidRPr="00464B5B">
        <w:rPr>
          <w:highlight w:val="yellow"/>
        </w:rPr>
        <w:t xml:space="preserve"> </w:t>
      </w:r>
      <w:r w:rsidR="00E50BF2" w:rsidRPr="00464B5B">
        <w:rPr>
          <w:highlight w:val="yellow"/>
        </w:rPr>
        <w:fldChar w:fldCharType="begin" w:fldLock="1"/>
      </w:r>
      <w:r w:rsidR="00E50BF2" w:rsidRPr="00464B5B">
        <w:rPr>
          <w:highlight w:val="yellow"/>
        </w:rPr>
        <w:instrText>ADDIN CSL_CITATION { "citationItems" : [ { "id" : "ITEM-1", "itemData" : { "author" : [ { "dropping-particle" : "", "family" : "Snijders", "given" : "T", "non-dropping-particle" : "", "parse-names" : false, "suffix" : "" } ], "container-title" : "Encyclopedia of Statistics in Behavioral Science Vol.2", "editor" : [ { "dropping-particle" : "", "family" : "Everitt", "given" : "B.S.", "non-dropping-particle" : "", "parse-names" : false, "suffix" : "" }, { "dropping-particle" : "", "family" : "Howell", "given" : "D C", "non-dropping-particle" : "", "parse-names" : false, "suffix" : "" } ], "id" : "ITEM-1", "issued" : { "date-parts" : [ [ "2005" ] ] }, "page" : "664-665", "publisher" : "Wiley", "publisher-place" : "Chichester", "title" : "Fixed and random effects", "type" : "chapter" }, "uris" : [ "http://www.mendeley.com/documents/?uuid=ac125700-fe91-4427-ac50-ce55895b4aca" ] } ], "mendeley" : { "formattedCitation" : "(Snijders, 2005)", "manualFormatting" : "(2005, p.665)", "plainTextFormattedCitation" : "(Snijders, 2005)", "previouslyFormattedCitation" : "(Snijders, 2005)" }, "properties" : { "noteIndex" : 0 }, "schema" : "https://github.com/citation-style-language/schema/raw/master/csl-citation.json" }</w:instrText>
      </w:r>
      <w:r w:rsidR="00E50BF2" w:rsidRPr="00464B5B">
        <w:rPr>
          <w:highlight w:val="yellow"/>
        </w:rPr>
        <w:fldChar w:fldCharType="separate"/>
      </w:r>
      <w:r w:rsidR="00E50BF2" w:rsidRPr="00464B5B">
        <w:rPr>
          <w:noProof/>
          <w:highlight w:val="yellow"/>
        </w:rPr>
        <w:t>(2005, p.665)</w:t>
      </w:r>
      <w:r w:rsidR="00E50BF2" w:rsidRPr="00464B5B">
        <w:rPr>
          <w:highlight w:val="yellow"/>
        </w:rPr>
        <w:fldChar w:fldCharType="end"/>
      </w:r>
      <w:r w:rsidR="00E50BF2" w:rsidRPr="00464B5B">
        <w:rPr>
          <w:highlight w:val="yellow"/>
        </w:rPr>
        <w:t xml:space="preserve"> </w:t>
      </w:r>
      <w:r w:rsidR="00AC3E88" w:rsidRPr="00464B5B">
        <w:rPr>
          <w:highlight w:val="yellow"/>
        </w:rPr>
        <w:t>outlines:</w:t>
      </w:r>
    </w:p>
    <w:p w14:paraId="2FF203DE" w14:textId="0BEE7543" w:rsidR="00AC3E88" w:rsidRPr="00464B5B" w:rsidRDefault="00E50BF2" w:rsidP="00E50BF2">
      <w:pPr>
        <w:pStyle w:val="Quote"/>
        <w:rPr>
          <w:highlight w:val="yellow"/>
        </w:rPr>
      </w:pPr>
      <w:r w:rsidRPr="00464B5B">
        <w:rPr>
          <w:highlight w:val="yellow"/>
        </w:rPr>
        <w:t>When there are no theoretical or other prior guidelines about which variables should have a random effect, the researcher can be led by the substantive focus of the investigation, the empirical findings, and parsimony of modelling. This implies that those explanatory variables that are especially important or have especially strong effects could be modelled with random effects, if the variances of these effects are important enough as evidenced by their significance and size…</w:t>
      </w:r>
    </w:p>
    <w:p w14:paraId="5D3A11BA" w14:textId="32F5C7F8" w:rsidR="00E50BF2" w:rsidRDefault="00E50BF2" w:rsidP="00DC29B0">
      <w:r w:rsidRPr="00464B5B">
        <w:rPr>
          <w:highlight w:val="yellow"/>
        </w:rPr>
        <w:t>My own discussion combines this approach alongside the theoretical ‘puzzles’ as outlined in Section 5.3. Therefore, rather than running numerous random effects, which can lead to ‘unwieldly’ models (</w:t>
      </w:r>
      <w:r w:rsidRPr="00464B5B">
        <w:rPr>
          <w:i/>
          <w:highlight w:val="yellow"/>
        </w:rPr>
        <w:t>Ibid</w:t>
      </w:r>
      <w:r w:rsidRPr="00464B5B">
        <w:rPr>
          <w:highlight w:val="yellow"/>
        </w:rPr>
        <w:t>), I focus in on cross-level interactions where there is a theoretical reason, and follow the empirical findings when they can be considered important or having large and</w:t>
      </w:r>
      <w:r w:rsidR="00BB3F2D" w:rsidRPr="00464B5B">
        <w:rPr>
          <w:highlight w:val="yellow"/>
        </w:rPr>
        <w:t>/or</w:t>
      </w:r>
      <w:r w:rsidRPr="00464B5B">
        <w:rPr>
          <w:highlight w:val="yellow"/>
        </w:rPr>
        <w:t xml:space="preserve"> unexpected effect</w:t>
      </w:r>
      <w:r w:rsidRPr="002E0379">
        <w:rPr>
          <w:highlight w:val="yellow"/>
        </w:rPr>
        <w:t>s.</w:t>
      </w:r>
    </w:p>
    <w:p w14:paraId="5C86B9AD" w14:textId="368D7BBA" w:rsidR="003600BE" w:rsidRDefault="003600BE" w:rsidP="00E50BF2">
      <w:pPr>
        <w:pStyle w:val="Heading4"/>
        <w:numPr>
          <w:ilvl w:val="3"/>
          <w:numId w:val="16"/>
        </w:numPr>
      </w:pPr>
      <w:bookmarkStart w:id="313" w:name="_Toc441069248"/>
      <w:r>
        <w:t>Limitations of MLM</w:t>
      </w:r>
      <w:bookmarkEnd w:id="311"/>
      <w:bookmarkEnd w:id="313"/>
    </w:p>
    <w:p w14:paraId="378E0521" w14:textId="616F740D" w:rsidR="003600BE" w:rsidRDefault="00CF3286" w:rsidP="003600BE">
      <w:pPr>
        <w:rPr>
          <w:szCs w:val="24"/>
        </w:rPr>
      </w:pPr>
      <w:r>
        <w:rPr>
          <w:szCs w:val="24"/>
        </w:rPr>
        <w:t>Finally, a</w:t>
      </w:r>
      <w:r w:rsidR="003600BE">
        <w:rPr>
          <w:szCs w:val="24"/>
        </w:rPr>
        <w:t xml:space="preserve">lthough MLM’s popularity is increasing, there is still </w:t>
      </w:r>
      <w:r>
        <w:rPr>
          <w:szCs w:val="24"/>
        </w:rPr>
        <w:t xml:space="preserve">occasional </w:t>
      </w:r>
      <w:r w:rsidR="003600BE">
        <w:rPr>
          <w:szCs w:val="24"/>
        </w:rPr>
        <w:t xml:space="preserve">debate as to whether the additional calculation and increased complexity of interpretation renders it more useful overall than standard regression. </w:t>
      </w:r>
      <w:r w:rsidR="00AB674B">
        <w:rPr>
          <w:szCs w:val="24"/>
        </w:rPr>
        <w:fldChar w:fldCharType="begin" w:fldLock="1"/>
      </w:r>
      <w:r w:rsidR="00E63CC6">
        <w:rPr>
          <w:szCs w:val="24"/>
        </w:rPr>
        <w:instrText>ADDIN CSL_CITATION { "citationItems" : [ { "id" : "ITEM-1", "itemData" : { "author" : [ { "dropping-particle" : "", "family" : "Bickel", "given" : "R", "non-dropping-particle" : "", "parse-names" : false, "suffix" : "" } ], "id" : "ITEM-1", "issued" : { "date-parts" : [ [ "2007" ] ] }, "publisher" : "The Guildford Press", "publisher-place" : "New York", "title" : "Multilevel Analysis for Applied Research: It's Just Regression!", "type" : "book" }, "uris" : [ "http://www.mendeley.com/documents/?uuid=11adf998-859e-44b3-a869-1da9d18467de" ] } ], "mendeley" : { "formattedCitation" : "(Bickel, 2007)", "manualFormatting" : "Bickel (2007, p.2)", "plainTextFormattedCitation" : "(Bickel, 2007)", "previouslyFormattedCitation" : "(Bickel, 2007)" }, "properties" : { "noteIndex" : 0 }, "schema" : "https://github.com/citation-style-language/schema/raw/master/csl-citation.json" }</w:instrText>
      </w:r>
      <w:r w:rsidR="00AB674B">
        <w:rPr>
          <w:szCs w:val="24"/>
        </w:rPr>
        <w:fldChar w:fldCharType="separate"/>
      </w:r>
      <w:r w:rsidR="00AB674B" w:rsidRPr="00AB674B">
        <w:rPr>
          <w:noProof/>
          <w:szCs w:val="24"/>
        </w:rPr>
        <w:t xml:space="preserve">Bickel </w:t>
      </w:r>
      <w:r w:rsidR="00AB674B">
        <w:rPr>
          <w:noProof/>
          <w:szCs w:val="24"/>
        </w:rPr>
        <w:t>(</w:t>
      </w:r>
      <w:r w:rsidR="00AB674B" w:rsidRPr="00AB674B">
        <w:rPr>
          <w:noProof/>
          <w:szCs w:val="24"/>
        </w:rPr>
        <w:t>2007</w:t>
      </w:r>
      <w:r w:rsidR="00AB674B">
        <w:rPr>
          <w:noProof/>
          <w:szCs w:val="24"/>
        </w:rPr>
        <w:t>, p.2</w:t>
      </w:r>
      <w:r w:rsidR="00AB674B" w:rsidRPr="00AB674B">
        <w:rPr>
          <w:noProof/>
          <w:szCs w:val="24"/>
        </w:rPr>
        <w:t>)</w:t>
      </w:r>
      <w:r w:rsidR="00AB674B">
        <w:rPr>
          <w:szCs w:val="24"/>
        </w:rPr>
        <w:fldChar w:fldCharType="end"/>
      </w:r>
      <w:r w:rsidR="00AB674B">
        <w:rPr>
          <w:szCs w:val="24"/>
        </w:rPr>
        <w:t xml:space="preserve"> has stated</w:t>
      </w:r>
      <w:r w:rsidR="003600BE">
        <w:rPr>
          <w:szCs w:val="24"/>
        </w:rPr>
        <w:t xml:space="preserve">: </w:t>
      </w:r>
    </w:p>
    <w:p w14:paraId="5E679050" w14:textId="5D961967" w:rsidR="003600BE" w:rsidRDefault="003600BE" w:rsidP="00AB674B">
      <w:pPr>
        <w:pStyle w:val="Quote"/>
      </w:pPr>
      <w:r>
        <w:t>“When comparing OLS and multilevel regression results, we may find that differences among coefficient values are inconsequential, and tests of significance may lead to the same decisions. A great deal of effort seems to have yielded precious little gain</w:t>
      </w:r>
      <w:r w:rsidR="00AB674B">
        <w:t>.</w:t>
      </w:r>
      <w:r>
        <w:t xml:space="preserve">” </w:t>
      </w:r>
    </w:p>
    <w:p w14:paraId="58586098" w14:textId="15382DC2" w:rsidR="00AB674B" w:rsidRDefault="003600BE" w:rsidP="003600BE">
      <w:pPr>
        <w:rPr>
          <w:szCs w:val="24"/>
        </w:rPr>
      </w:pPr>
      <w:r>
        <w:rPr>
          <w:szCs w:val="24"/>
        </w:rPr>
        <w:t>A second complaint</w:t>
      </w:r>
      <w:r w:rsidR="00AB674B">
        <w:rPr>
          <w:szCs w:val="24"/>
        </w:rPr>
        <w:t xml:space="preserve">, from </w:t>
      </w:r>
      <w:r w:rsidR="00AB674B">
        <w:rPr>
          <w:szCs w:val="24"/>
        </w:rPr>
        <w:fldChar w:fldCharType="begin" w:fldLock="1"/>
      </w:r>
      <w:r w:rsidR="00E63CC6">
        <w:rPr>
          <w:szCs w:val="24"/>
        </w:rPr>
        <w:instrText>ADDIN CSL_CITATION { "citationItems" : [ { "id" : "ITEM-1", "itemData" : { "author" : [ { "dropping-particle" : "", "family" : "Gorard", "given" : "S", "non-dropping-particle" : "", "parse-names" : false, "suffix" : "" } ], "container-title" : "british Journal of Educational S", "id" : "ITEM-1", "issue" : "1", "issued" : { "date-parts" : [ [ "2003" ] ] }, "page" : "46-63", "title" : "What is Multi-Level Modelling for?", "type" : "article-journal", "volume" : "51" }, "uris" : [ "http://www.mendeley.com/documents/?uuid=607ffa37-2222-43b7-9760-734fdc1c2ed2" ] } ], "mendeley" : { "formattedCitation" : "(Gorard, 2003)", "manualFormatting" : "Gorard (2003, p.60)", "plainTextFormattedCitation" : "(Gorard, 2003)", "previouslyFormattedCitation" : "(Gorard, 2003)" }, "properties" : { "noteIndex" : 0 }, "schema" : "https://github.com/citation-style-language/schema/raw/master/csl-citation.json" }</w:instrText>
      </w:r>
      <w:r w:rsidR="00AB674B">
        <w:rPr>
          <w:szCs w:val="24"/>
        </w:rPr>
        <w:fldChar w:fldCharType="separate"/>
      </w:r>
      <w:r w:rsidR="00AB674B" w:rsidRPr="00AB674B">
        <w:rPr>
          <w:noProof/>
          <w:szCs w:val="24"/>
        </w:rPr>
        <w:t xml:space="preserve">Gorard </w:t>
      </w:r>
      <w:r w:rsidR="00AB674B">
        <w:rPr>
          <w:noProof/>
          <w:szCs w:val="24"/>
        </w:rPr>
        <w:t>(</w:t>
      </w:r>
      <w:r w:rsidR="00AB674B" w:rsidRPr="00AB674B">
        <w:rPr>
          <w:noProof/>
          <w:szCs w:val="24"/>
        </w:rPr>
        <w:t>2003</w:t>
      </w:r>
      <w:r w:rsidR="00AB674B">
        <w:rPr>
          <w:noProof/>
          <w:szCs w:val="24"/>
        </w:rPr>
        <w:t>, p.60</w:t>
      </w:r>
      <w:r w:rsidR="00AB674B" w:rsidRPr="00AB674B">
        <w:rPr>
          <w:noProof/>
          <w:szCs w:val="24"/>
        </w:rPr>
        <w:t>)</w:t>
      </w:r>
      <w:r w:rsidR="00AB674B">
        <w:rPr>
          <w:szCs w:val="24"/>
        </w:rPr>
        <w:fldChar w:fldCharType="end"/>
      </w:r>
      <w:r w:rsidR="00AB674B">
        <w:rPr>
          <w:szCs w:val="24"/>
        </w:rPr>
        <w:t xml:space="preserve"> </w:t>
      </w:r>
      <w:r>
        <w:rPr>
          <w:szCs w:val="24"/>
        </w:rPr>
        <w:t>is that</w:t>
      </w:r>
      <w:r w:rsidR="00AB674B">
        <w:rPr>
          <w:szCs w:val="24"/>
        </w:rPr>
        <w:t>:</w:t>
      </w:r>
      <w:r>
        <w:rPr>
          <w:szCs w:val="24"/>
        </w:rPr>
        <w:t xml:space="preserve"> </w:t>
      </w:r>
    </w:p>
    <w:p w14:paraId="46183849" w14:textId="44C72A2F" w:rsidR="003600BE" w:rsidRDefault="003600BE" w:rsidP="00AB674B">
      <w:pPr>
        <w:pStyle w:val="Quote"/>
      </w:pPr>
      <w:r>
        <w:t>“Autocorrelation anyway only leads to the loss of power…, and this could be righted more simply by increasing sample size rather than changing methods of analysis</w:t>
      </w:r>
      <w:r w:rsidR="00AB674B">
        <w:t>.</w:t>
      </w:r>
      <w:r>
        <w:t xml:space="preserve">” </w:t>
      </w:r>
    </w:p>
    <w:p w14:paraId="2A341F96" w14:textId="314D812B" w:rsidR="003600BE" w:rsidRDefault="003600BE" w:rsidP="003600BE">
      <w:pPr>
        <w:rPr>
          <w:szCs w:val="24"/>
        </w:rPr>
      </w:pPr>
      <w:r>
        <w:rPr>
          <w:szCs w:val="24"/>
        </w:rPr>
        <w:t>These two issues will be dealt with in order. Firstly, the ‘great deal of effort’ required to build a multilevel model is not really an issue with modern software packages such as S</w:t>
      </w:r>
      <w:r w:rsidR="00CF3286">
        <w:rPr>
          <w:szCs w:val="24"/>
        </w:rPr>
        <w:t>tata</w:t>
      </w:r>
      <w:r>
        <w:rPr>
          <w:szCs w:val="24"/>
        </w:rPr>
        <w:t xml:space="preserve"> and R. In fact, the opposite is arguably more accurate, in that nowadays using MLM is </w:t>
      </w:r>
      <w:r>
        <w:rPr>
          <w:i/>
          <w:szCs w:val="24"/>
        </w:rPr>
        <w:t>more efficient.</w:t>
      </w:r>
      <w:r w:rsidR="00AB674B">
        <w:rPr>
          <w:szCs w:val="24"/>
        </w:rPr>
        <w:t xml:space="preserve"> Twisk (2006, p.</w:t>
      </w:r>
      <w:r>
        <w:rPr>
          <w:szCs w:val="24"/>
        </w:rPr>
        <w:t>9) notes that, “</w:t>
      </w:r>
      <w:r>
        <w:rPr>
          <w:rFonts w:cstheme="majorHAnsi"/>
          <w:szCs w:val="24"/>
        </w:rPr>
        <w:t>in general, multilevel analysis is a very efficient way of correcting for a categorical variable with many categories.”</w:t>
      </w:r>
      <w:r>
        <w:rPr>
          <w:szCs w:val="24"/>
        </w:rPr>
        <w:t xml:space="preserve"> In my study, </w:t>
      </w:r>
      <w:r>
        <w:rPr>
          <w:i/>
          <w:szCs w:val="24"/>
        </w:rPr>
        <w:t>not</w:t>
      </w:r>
      <w:r>
        <w:rPr>
          <w:szCs w:val="24"/>
        </w:rPr>
        <w:t xml:space="preserve"> using an MLM model would require coding for 45 dummy variables to be entered for the national level variables, and seriously limit the ability to test the contextual diffe</w:t>
      </w:r>
      <w:r w:rsidR="00374B2D">
        <w:rPr>
          <w:szCs w:val="24"/>
        </w:rPr>
        <w:t>rences between these countries</w:t>
      </w:r>
      <w:r>
        <w:rPr>
          <w:szCs w:val="24"/>
        </w:rPr>
        <w:t xml:space="preserve">.  </w:t>
      </w:r>
    </w:p>
    <w:p w14:paraId="2CAC99E1" w14:textId="4F45255B" w:rsidR="003600BE" w:rsidRDefault="003600BE" w:rsidP="003600BE">
      <w:pPr>
        <w:rPr>
          <w:szCs w:val="24"/>
        </w:rPr>
      </w:pPr>
      <w:r>
        <w:rPr>
          <w:szCs w:val="24"/>
        </w:rPr>
        <w:t xml:space="preserve">The second issues concerns autocorrelation, noting that this leads to loss of power – when this autocorrelation is a feature of the data, it should be accounted for and examined, as multilevel regression does. </w:t>
      </w:r>
      <w:r w:rsidR="00CF3286">
        <w:rPr>
          <w:szCs w:val="24"/>
        </w:rPr>
        <w:t>Yet r</w:t>
      </w:r>
      <w:r>
        <w:rPr>
          <w:szCs w:val="24"/>
        </w:rPr>
        <w:t>arely in secondary analysis of survey data</w:t>
      </w:r>
      <w:r w:rsidR="00CF3286">
        <w:rPr>
          <w:szCs w:val="24"/>
        </w:rPr>
        <w:t xml:space="preserve"> (and in general data collection)</w:t>
      </w:r>
      <w:r>
        <w:rPr>
          <w:szCs w:val="24"/>
        </w:rPr>
        <w:t xml:space="preserve"> can the survey size be increased in the manner outlined</w:t>
      </w:r>
      <w:r w:rsidR="009B7EBD">
        <w:rPr>
          <w:szCs w:val="24"/>
        </w:rPr>
        <w:t xml:space="preserve"> in the quote above from</w:t>
      </w:r>
      <w:r>
        <w:rPr>
          <w:szCs w:val="24"/>
        </w:rPr>
        <w:t xml:space="preserve"> </w:t>
      </w:r>
      <w:r w:rsidR="009B7EBD">
        <w:rPr>
          <w:szCs w:val="24"/>
        </w:rPr>
        <w:fldChar w:fldCharType="begin" w:fldLock="1"/>
      </w:r>
      <w:r w:rsidR="00E63CC6">
        <w:rPr>
          <w:szCs w:val="24"/>
        </w:rPr>
        <w:instrText>ADDIN CSL_CITATION { "citationItems" : [ { "id" : "ITEM-1", "itemData" : { "author" : [ { "dropping-particle" : "", "family" : "Gorard", "given" : "S", "non-dropping-particle" : "", "parse-names" : false, "suffix" : "" } ], "container-title" : "british Journal of Educational S", "id" : "ITEM-1", "issue" : "1", "issued" : { "date-parts" : [ [ "2003" ] ] }, "page" : "46-63", "title" : "What is Multi-Level Modelling for?", "type" : "article-journal", "volume" : "51" }, "uris" : [ "http://www.mendeley.com/documents/?uuid=607ffa37-2222-43b7-9760-734fdc1c2ed2" ] } ], "mendeley" : { "formattedCitation" : "(Gorard, 2003)", "manualFormatting" : "Gorard (2003, p.60)", "plainTextFormattedCitation" : "(Gorard, 2003)", "previouslyFormattedCitation" : "(Gorard, 2003)" }, "properties" : { "noteIndex" : 0 }, "schema" : "https://github.com/citation-style-language/schema/raw/master/csl-citation.json" }</w:instrText>
      </w:r>
      <w:r w:rsidR="009B7EBD">
        <w:rPr>
          <w:szCs w:val="24"/>
        </w:rPr>
        <w:fldChar w:fldCharType="separate"/>
      </w:r>
      <w:r w:rsidR="009B7EBD" w:rsidRPr="00AB674B">
        <w:rPr>
          <w:noProof/>
          <w:szCs w:val="24"/>
        </w:rPr>
        <w:t xml:space="preserve">Gorard </w:t>
      </w:r>
      <w:r w:rsidR="009B7EBD">
        <w:rPr>
          <w:noProof/>
          <w:szCs w:val="24"/>
        </w:rPr>
        <w:t>(</w:t>
      </w:r>
      <w:r w:rsidR="009B7EBD" w:rsidRPr="00AB674B">
        <w:rPr>
          <w:noProof/>
          <w:szCs w:val="24"/>
        </w:rPr>
        <w:t>2003</w:t>
      </w:r>
      <w:r w:rsidR="009B7EBD">
        <w:rPr>
          <w:noProof/>
          <w:szCs w:val="24"/>
        </w:rPr>
        <w:t>, p.60</w:t>
      </w:r>
      <w:r w:rsidR="009B7EBD" w:rsidRPr="00AB674B">
        <w:rPr>
          <w:noProof/>
          <w:szCs w:val="24"/>
        </w:rPr>
        <w:t>)</w:t>
      </w:r>
      <w:r w:rsidR="009B7EBD">
        <w:rPr>
          <w:szCs w:val="24"/>
        </w:rPr>
        <w:fldChar w:fldCharType="end"/>
      </w:r>
      <w:r>
        <w:rPr>
          <w:szCs w:val="24"/>
        </w:rPr>
        <w:t>.</w:t>
      </w:r>
      <w:r w:rsidR="00CF3286">
        <w:rPr>
          <w:szCs w:val="24"/>
        </w:rPr>
        <w:t xml:space="preserve"> Therefore, we can dismiss this suggestion as unrealistic.</w:t>
      </w:r>
    </w:p>
    <w:p w14:paraId="74982527" w14:textId="1C8D6104" w:rsidR="003600BE" w:rsidRDefault="00B67477" w:rsidP="002032DF">
      <w:pPr>
        <w:pStyle w:val="Heading2"/>
        <w:numPr>
          <w:ilvl w:val="1"/>
          <w:numId w:val="16"/>
        </w:numPr>
      </w:pPr>
      <w:bookmarkStart w:id="314" w:name="_Toc441069249"/>
      <w:bookmarkStart w:id="315" w:name="_Toc441069037"/>
      <w:bookmarkStart w:id="316" w:name="_Toc439171189"/>
      <w:bookmarkStart w:id="317" w:name="_Toc494034229"/>
      <w:r>
        <w:t>5.3</w:t>
      </w:r>
      <w:r w:rsidR="003600BE">
        <w:t>: Results</w:t>
      </w:r>
      <w:bookmarkEnd w:id="314"/>
      <w:bookmarkEnd w:id="315"/>
      <w:bookmarkEnd w:id="316"/>
      <w:bookmarkEnd w:id="317"/>
    </w:p>
    <w:p w14:paraId="2E1DFF42" w14:textId="7AE86D43" w:rsidR="00402B69" w:rsidRDefault="003600BE" w:rsidP="003600BE">
      <w:pPr>
        <w:rPr>
          <w:szCs w:val="24"/>
        </w:rPr>
      </w:pPr>
      <w:r>
        <w:rPr>
          <w:szCs w:val="24"/>
        </w:rPr>
        <w:t>This section discusses the results of the MLM</w:t>
      </w:r>
      <w:r w:rsidR="002A09BE">
        <w:rPr>
          <w:rStyle w:val="FootnoteReference"/>
          <w:szCs w:val="24"/>
        </w:rPr>
        <w:footnoteReference w:id="23"/>
      </w:r>
      <w:r>
        <w:rPr>
          <w:szCs w:val="24"/>
        </w:rPr>
        <w:t xml:space="preserve"> on the two conceptualisations of democracy, </w:t>
      </w:r>
      <w:r w:rsidR="009F6932">
        <w:rPr>
          <w:szCs w:val="24"/>
        </w:rPr>
        <w:t>which have been converted into 1</w:t>
      </w:r>
      <w:r>
        <w:rPr>
          <w:szCs w:val="24"/>
        </w:rPr>
        <w:t>-1</w:t>
      </w:r>
      <w:r w:rsidR="00210F53">
        <w:rPr>
          <w:szCs w:val="24"/>
        </w:rPr>
        <w:t>0</w:t>
      </w:r>
      <w:r>
        <w:rPr>
          <w:szCs w:val="24"/>
        </w:rPr>
        <w:t xml:space="preserve"> scales. </w:t>
      </w:r>
      <w:r w:rsidR="00402B69">
        <w:rPr>
          <w:szCs w:val="24"/>
        </w:rPr>
        <w:t>On this scale, the compound understanding has a m</w:t>
      </w:r>
      <w:r w:rsidR="00596944">
        <w:rPr>
          <w:szCs w:val="24"/>
        </w:rPr>
        <w:t>ean of 7.9 (standard deviation=1.6</w:t>
      </w:r>
      <w:r w:rsidR="00402B69">
        <w:rPr>
          <w:szCs w:val="24"/>
        </w:rPr>
        <w:t>), whilst the authoritarian</w:t>
      </w:r>
      <w:r w:rsidR="00596944">
        <w:rPr>
          <w:szCs w:val="24"/>
        </w:rPr>
        <w:t xml:space="preserve"> understanding has a mean of 4.6 (standard deviation=</w:t>
      </w:r>
      <w:r w:rsidR="00402B69">
        <w:rPr>
          <w:szCs w:val="24"/>
        </w:rPr>
        <w:t>2</w:t>
      </w:r>
      <w:r w:rsidR="00596944">
        <w:rPr>
          <w:szCs w:val="24"/>
        </w:rPr>
        <w:t>.4</w:t>
      </w:r>
      <w:r w:rsidR="00402B69">
        <w:rPr>
          <w:szCs w:val="24"/>
        </w:rPr>
        <w:t>).</w:t>
      </w:r>
      <w:r w:rsidR="00402B69" w:rsidRPr="00AD1B56">
        <w:rPr>
          <w:rStyle w:val="FootnoteReference"/>
        </w:rPr>
        <w:footnoteReference w:id="24"/>
      </w:r>
    </w:p>
    <w:p w14:paraId="3546FA6E" w14:textId="1203015D" w:rsidR="0060206B" w:rsidRPr="00641579" w:rsidRDefault="0060206B" w:rsidP="0060206B">
      <w:pPr>
        <w:rPr>
          <w:rFonts w:asciiTheme="minorHAnsi" w:hAnsiTheme="minorHAnsi"/>
          <w:sz w:val="20"/>
          <w:szCs w:val="20"/>
          <w:highlight w:val="yellow"/>
        </w:rPr>
      </w:pPr>
      <w:r w:rsidRPr="00641579">
        <w:rPr>
          <w:rFonts w:cs="Segoe UI"/>
          <w:highlight w:val="yellow"/>
        </w:rPr>
        <w:t>Correlations between the chosen variables must be checked for any potential multicollineari</w:t>
      </w:r>
      <w:r w:rsidR="002646A8" w:rsidRPr="00641579">
        <w:rPr>
          <w:rFonts w:cs="Segoe UI"/>
          <w:highlight w:val="yellow"/>
        </w:rPr>
        <w:t>ty issues (see Appendix Figure C1 for results for the scalar variables</w:t>
      </w:r>
      <w:r w:rsidRPr="00641579">
        <w:rPr>
          <w:rFonts w:cs="Segoe UI"/>
          <w:highlight w:val="yellow"/>
        </w:rPr>
        <w:t xml:space="preserve">). </w:t>
      </w:r>
      <w:r w:rsidRPr="00641579">
        <w:rPr>
          <w:highlight w:val="yellow"/>
        </w:rPr>
        <w:t>For the individual variables most of the correlations are very low, with the majority below 0.1. In the single-level models the Variance Inflation Factor (VIF) is checked, and it is</w:t>
      </w:r>
      <w:r w:rsidR="002646A8" w:rsidRPr="00641579">
        <w:rPr>
          <w:highlight w:val="yellow"/>
        </w:rPr>
        <w:t xml:space="preserve"> notably</w:t>
      </w:r>
      <w:r w:rsidRPr="00641579">
        <w:rPr>
          <w:highlight w:val="yellow"/>
        </w:rPr>
        <w:t xml:space="preserve"> high for the media variable at around 9: a rule of thumb suggests worrying VIF scores are above 10. The diagnostic checks suggest the media variable shares some explanatory power with the education variable. However, the models were all run with education removed, and it does not have a large enough effect to change the significance of the media variable, and so both variables are left in all models. At the national level</w:t>
      </w:r>
      <w:r w:rsidR="002646A8" w:rsidRPr="00641579">
        <w:rPr>
          <w:highlight w:val="yellow"/>
        </w:rPr>
        <w:t xml:space="preserve"> (Appendix, Figure C2) </w:t>
      </w:r>
      <w:r w:rsidRPr="00641579">
        <w:rPr>
          <w:highlight w:val="yellow"/>
        </w:rPr>
        <w:t>there is a much higher correlation between the democratic history variable, with both the press freedom index (0.68) and HDI (0.65). There are also potential confounding influences between the categorical variables such as Freedom House and the press freedom index. For this reason the models test each national level variable in independent models.</w:t>
      </w:r>
    </w:p>
    <w:p w14:paraId="056E0AB9" w14:textId="78030206" w:rsidR="009D1146" w:rsidRDefault="0043458D" w:rsidP="004B0813">
      <w:pPr>
        <w:rPr>
          <w:szCs w:val="24"/>
        </w:rPr>
      </w:pPr>
      <w:r w:rsidRPr="00641579">
        <w:rPr>
          <w:szCs w:val="24"/>
          <w:highlight w:val="yellow"/>
        </w:rPr>
        <w:t>For both variables a model building approach is taken. The individual</w:t>
      </w:r>
      <w:r w:rsidR="0007360F" w:rsidRPr="00641579">
        <w:rPr>
          <w:szCs w:val="24"/>
          <w:highlight w:val="yellow"/>
        </w:rPr>
        <w:t>-level theories are tested in</w:t>
      </w:r>
      <w:r w:rsidRPr="00641579">
        <w:rPr>
          <w:szCs w:val="24"/>
          <w:highlight w:val="yellow"/>
        </w:rPr>
        <w:t xml:space="preserve"> OLS regression model</w:t>
      </w:r>
      <w:r w:rsidR="0007360F" w:rsidRPr="00641579">
        <w:rPr>
          <w:szCs w:val="24"/>
          <w:highlight w:val="yellow"/>
        </w:rPr>
        <w:t xml:space="preserve">s that all control for gender and age (model 1) before </w:t>
      </w:r>
      <w:r w:rsidRPr="00641579">
        <w:rPr>
          <w:szCs w:val="24"/>
          <w:highlight w:val="yellow"/>
        </w:rPr>
        <w:t>separately</w:t>
      </w:r>
      <w:r w:rsidR="0007360F" w:rsidRPr="00641579">
        <w:rPr>
          <w:szCs w:val="24"/>
          <w:highlight w:val="yellow"/>
        </w:rPr>
        <w:t xml:space="preserve"> examining modernization theory (2), cognitive engagement (3), social capital (4), religiosity and denomination (5), and finally a composite model (6). </w:t>
      </w:r>
      <w:r w:rsidRPr="00641579">
        <w:rPr>
          <w:szCs w:val="24"/>
          <w:highlight w:val="yellow"/>
        </w:rPr>
        <w:t xml:space="preserve">The MLM model then builds from this </w:t>
      </w:r>
      <w:r w:rsidR="00C670AC" w:rsidRPr="00641579">
        <w:rPr>
          <w:szCs w:val="24"/>
          <w:highlight w:val="yellow"/>
        </w:rPr>
        <w:t xml:space="preserve">first by controlling for the country-level variance in a multi-level model with no second-level variables (7). This is followed by a model examining HDI (8), press freedom (9), </w:t>
      </w:r>
      <w:r w:rsidR="00E477BF" w:rsidRPr="00641579">
        <w:rPr>
          <w:szCs w:val="24"/>
          <w:highlight w:val="yellow"/>
        </w:rPr>
        <w:t>communist history (10), democratic history (11), income inequality (12) and measure of freedom according to Freedom House (13).</w:t>
      </w:r>
      <w:r w:rsidR="002963AB" w:rsidRPr="00641579">
        <w:rPr>
          <w:szCs w:val="24"/>
          <w:highlight w:val="yellow"/>
        </w:rPr>
        <w:t xml:space="preserve"> These</w:t>
      </w:r>
      <w:r w:rsidR="002646A8" w:rsidRPr="00641579">
        <w:rPr>
          <w:szCs w:val="24"/>
          <w:highlight w:val="yellow"/>
        </w:rPr>
        <w:t xml:space="preserve"> models are outlined in Figure </w:t>
      </w:r>
      <w:r w:rsidR="00F82322">
        <w:rPr>
          <w:szCs w:val="24"/>
          <w:highlight w:val="yellow"/>
        </w:rPr>
        <w:t>5.7</w:t>
      </w:r>
      <w:r w:rsidR="0060206B" w:rsidRPr="00641579">
        <w:rPr>
          <w:szCs w:val="24"/>
          <w:highlight w:val="yellow"/>
        </w:rPr>
        <w:t xml:space="preserve"> for the Compound understanding and </w:t>
      </w:r>
      <w:r w:rsidR="002963AB" w:rsidRPr="00641579">
        <w:rPr>
          <w:szCs w:val="24"/>
          <w:highlight w:val="yellow"/>
        </w:rPr>
        <w:t xml:space="preserve">Figure </w:t>
      </w:r>
      <w:r w:rsidR="00F82322">
        <w:rPr>
          <w:szCs w:val="24"/>
          <w:highlight w:val="yellow"/>
        </w:rPr>
        <w:t>5.8</w:t>
      </w:r>
      <w:r w:rsidR="0060206B" w:rsidRPr="00641579">
        <w:rPr>
          <w:szCs w:val="24"/>
          <w:highlight w:val="yellow"/>
        </w:rPr>
        <w:t xml:space="preserve"> for the Authoritarian understanding</w:t>
      </w:r>
      <w:r w:rsidR="002963AB" w:rsidRPr="00641579">
        <w:rPr>
          <w:szCs w:val="24"/>
          <w:highlight w:val="yellow"/>
        </w:rPr>
        <w:t>.</w:t>
      </w:r>
      <w:r w:rsidR="0060206B" w:rsidRPr="00641579">
        <w:rPr>
          <w:szCs w:val="24"/>
          <w:highlight w:val="yellow"/>
        </w:rPr>
        <w:t xml:space="preserve"> </w:t>
      </w:r>
      <w:r w:rsidR="00F82322">
        <w:rPr>
          <w:szCs w:val="24"/>
          <w:highlight w:val="yellow"/>
        </w:rPr>
        <w:t xml:space="preserve">For comparison, the null models are initially presented in Figure 5.6 as C0 and A0. </w:t>
      </w:r>
      <w:r w:rsidR="00506241">
        <w:rPr>
          <w:szCs w:val="24"/>
          <w:highlight w:val="yellow"/>
        </w:rPr>
        <w:t>Therefore, w</w:t>
      </w:r>
      <w:r w:rsidR="0060206B" w:rsidRPr="00641579">
        <w:rPr>
          <w:szCs w:val="24"/>
          <w:highlight w:val="yellow"/>
        </w:rPr>
        <w:t>hen referring to the Compound models I will refer to C1, C2 etc. and A1 A1 etc for the Authoritarian models.</w:t>
      </w:r>
      <w:r w:rsidR="002963AB" w:rsidRPr="00641579">
        <w:rPr>
          <w:szCs w:val="24"/>
          <w:highlight w:val="yellow"/>
        </w:rPr>
        <w:t xml:space="preserve"> </w:t>
      </w:r>
      <w:r w:rsidR="006946A8" w:rsidRPr="00641579">
        <w:rPr>
          <w:rFonts w:cs="Segoe UI"/>
          <w:highlight w:val="yellow"/>
        </w:rPr>
        <w:t xml:space="preserve">As there is some skew to the two variables, robust standard errors are used in all models. </w:t>
      </w:r>
      <w:r w:rsidR="002963AB" w:rsidRPr="00641579">
        <w:rPr>
          <w:szCs w:val="24"/>
          <w:highlight w:val="yellow"/>
        </w:rPr>
        <w:t>To ease interpretation, predicti</w:t>
      </w:r>
      <w:r w:rsidR="004F281C" w:rsidRPr="00641579">
        <w:rPr>
          <w:szCs w:val="24"/>
          <w:highlight w:val="yellow"/>
        </w:rPr>
        <w:t>ve margins are provided for the full individual level model and each country model</w:t>
      </w:r>
      <w:r w:rsidR="009D1146">
        <w:rPr>
          <w:szCs w:val="24"/>
          <w:highlight w:val="yellow"/>
        </w:rPr>
        <w:t xml:space="preserve"> </w:t>
      </w:r>
      <w:r w:rsidR="00506241">
        <w:rPr>
          <w:szCs w:val="24"/>
          <w:highlight w:val="yellow"/>
        </w:rPr>
        <w:t>(Figure 5.9 and 5.10</w:t>
      </w:r>
      <w:r w:rsidR="002963AB" w:rsidRPr="00641579">
        <w:rPr>
          <w:szCs w:val="24"/>
          <w:highlight w:val="yellow"/>
        </w:rPr>
        <w:t>).</w:t>
      </w:r>
      <w:r w:rsidR="003600BE" w:rsidRPr="00641579">
        <w:rPr>
          <w:szCs w:val="24"/>
          <w:highlight w:val="yellow"/>
        </w:rPr>
        <w:t xml:space="preserve"> </w:t>
      </w:r>
    </w:p>
    <w:p w14:paraId="26806998" w14:textId="5B168334" w:rsidR="009D1146" w:rsidRPr="00F82322" w:rsidRDefault="007B459E" w:rsidP="004B0813">
      <w:pPr>
        <w:rPr>
          <w:b/>
          <w:szCs w:val="24"/>
        </w:rPr>
      </w:pPr>
      <w:r w:rsidRPr="00F82322">
        <w:rPr>
          <w:rFonts w:cs="Segoe UI"/>
          <w:b/>
          <w:highlight w:val="yellow"/>
        </w:rPr>
        <w:t xml:space="preserve">Figure </w:t>
      </w:r>
      <w:r w:rsidRPr="00F82322">
        <w:rPr>
          <w:rFonts w:cs="Segoe UI"/>
          <w:b/>
          <w:highlight w:val="yellow"/>
        </w:rPr>
        <w:fldChar w:fldCharType="begin"/>
      </w:r>
      <w:r w:rsidRPr="00F82322">
        <w:rPr>
          <w:rFonts w:cs="Segoe UI"/>
          <w:b/>
          <w:highlight w:val="yellow"/>
        </w:rPr>
        <w:instrText xml:space="preserve"> STYLEREF 1 \s </w:instrText>
      </w:r>
      <w:r w:rsidRPr="00F82322">
        <w:rPr>
          <w:rFonts w:cs="Segoe UI"/>
          <w:b/>
          <w:highlight w:val="yellow"/>
        </w:rPr>
        <w:fldChar w:fldCharType="separate"/>
      </w:r>
      <w:r w:rsidRPr="00F82322">
        <w:rPr>
          <w:rFonts w:cs="Segoe UI"/>
          <w:b/>
          <w:noProof/>
          <w:highlight w:val="yellow"/>
        </w:rPr>
        <w:t>5</w:t>
      </w:r>
      <w:r w:rsidRPr="00F82322">
        <w:rPr>
          <w:rFonts w:cs="Segoe UI"/>
          <w:b/>
          <w:noProof/>
          <w:highlight w:val="yellow"/>
        </w:rPr>
        <w:fldChar w:fldCharType="end"/>
      </w:r>
      <w:r w:rsidRPr="00F82322">
        <w:rPr>
          <w:rFonts w:cs="Segoe UI"/>
          <w:b/>
          <w:highlight w:val="yellow"/>
        </w:rPr>
        <w:t>:</w:t>
      </w:r>
      <w:r w:rsidRPr="00F82322">
        <w:rPr>
          <w:rFonts w:cs="Segoe UI"/>
          <w:b/>
          <w:highlight w:val="yellow"/>
        </w:rPr>
        <w:fldChar w:fldCharType="begin"/>
      </w:r>
      <w:r w:rsidRPr="00F82322">
        <w:rPr>
          <w:rFonts w:cs="Segoe UI"/>
          <w:b/>
          <w:highlight w:val="yellow"/>
        </w:rPr>
        <w:instrText xml:space="preserve"> SEQ Figure \* ARABIC \s 1 </w:instrText>
      </w:r>
      <w:r w:rsidRPr="00F82322">
        <w:rPr>
          <w:rFonts w:cs="Segoe UI"/>
          <w:b/>
          <w:highlight w:val="yellow"/>
        </w:rPr>
        <w:fldChar w:fldCharType="separate"/>
      </w:r>
      <w:r w:rsidRPr="00F82322">
        <w:rPr>
          <w:rFonts w:cs="Segoe UI"/>
          <w:b/>
          <w:noProof/>
          <w:highlight w:val="yellow"/>
        </w:rPr>
        <w:t>6</w:t>
      </w:r>
      <w:r w:rsidRPr="00F82322">
        <w:rPr>
          <w:rFonts w:cs="Segoe UI"/>
          <w:b/>
          <w:noProof/>
          <w:highlight w:val="yellow"/>
        </w:rPr>
        <w:fldChar w:fldCharType="end"/>
      </w:r>
      <w:r w:rsidR="00F82322">
        <w:rPr>
          <w:rFonts w:cs="Segoe UI"/>
          <w:b/>
          <w:noProof/>
        </w:rPr>
        <w:t xml:space="preserve"> MLM Null Model for Compound and Authoritarian Conceptualisations</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2268"/>
      </w:tblGrid>
      <w:tr w:rsidR="009D1146" w:rsidRPr="009D1146" w14:paraId="0A37C1E3" w14:textId="77777777" w:rsidTr="00F82322">
        <w:trPr>
          <w:trHeight w:val="140"/>
        </w:trPr>
        <w:tc>
          <w:tcPr>
            <w:tcW w:w="2977" w:type="dxa"/>
          </w:tcPr>
          <w:p w14:paraId="3BD7F10D" w14:textId="77777777" w:rsidR="009D1146" w:rsidRPr="009D1146" w:rsidRDefault="009D1146" w:rsidP="004B0813">
            <w:pPr>
              <w:rPr>
                <w:sz w:val="20"/>
                <w:szCs w:val="20"/>
              </w:rPr>
            </w:pPr>
          </w:p>
        </w:tc>
        <w:tc>
          <w:tcPr>
            <w:tcW w:w="2268" w:type="dxa"/>
          </w:tcPr>
          <w:p w14:paraId="6647560A" w14:textId="1178BF06" w:rsidR="009D1146" w:rsidRPr="00F82322" w:rsidRDefault="009D1146" w:rsidP="004B0813">
            <w:pPr>
              <w:rPr>
                <w:b/>
                <w:sz w:val="20"/>
                <w:szCs w:val="20"/>
              </w:rPr>
            </w:pPr>
            <w:r w:rsidRPr="00F82322">
              <w:rPr>
                <w:b/>
                <w:sz w:val="20"/>
                <w:szCs w:val="20"/>
              </w:rPr>
              <w:t>(C0)</w:t>
            </w:r>
          </w:p>
        </w:tc>
        <w:tc>
          <w:tcPr>
            <w:tcW w:w="2268" w:type="dxa"/>
          </w:tcPr>
          <w:p w14:paraId="59BCA110" w14:textId="5927BAF7" w:rsidR="009D1146" w:rsidRPr="00F82322" w:rsidRDefault="009D1146" w:rsidP="004B0813">
            <w:pPr>
              <w:rPr>
                <w:b/>
                <w:sz w:val="20"/>
                <w:szCs w:val="20"/>
              </w:rPr>
            </w:pPr>
            <w:r w:rsidRPr="00F82322">
              <w:rPr>
                <w:b/>
                <w:sz w:val="20"/>
                <w:szCs w:val="20"/>
              </w:rPr>
              <w:t>A(0)</w:t>
            </w:r>
          </w:p>
        </w:tc>
      </w:tr>
      <w:tr w:rsidR="009D1146" w:rsidRPr="009D1146" w14:paraId="0E7D677E" w14:textId="77777777" w:rsidTr="00F82322">
        <w:trPr>
          <w:trHeight w:val="144"/>
        </w:trPr>
        <w:tc>
          <w:tcPr>
            <w:tcW w:w="2977" w:type="dxa"/>
          </w:tcPr>
          <w:p w14:paraId="1815D2EC" w14:textId="03413228" w:rsidR="009D1146" w:rsidRPr="00F82322" w:rsidRDefault="009D1146" w:rsidP="004B0813">
            <w:pPr>
              <w:rPr>
                <w:b/>
                <w:sz w:val="20"/>
                <w:szCs w:val="20"/>
              </w:rPr>
            </w:pPr>
            <w:r w:rsidRPr="00F82322">
              <w:rPr>
                <w:b/>
                <w:sz w:val="20"/>
                <w:szCs w:val="20"/>
              </w:rPr>
              <w:t>Compound</w:t>
            </w:r>
          </w:p>
        </w:tc>
        <w:tc>
          <w:tcPr>
            <w:tcW w:w="2268" w:type="dxa"/>
          </w:tcPr>
          <w:p w14:paraId="184956B8" w14:textId="2E1B6DF4" w:rsidR="009D1146" w:rsidRPr="009D1146" w:rsidRDefault="00F82322" w:rsidP="004B0813">
            <w:pPr>
              <w:rPr>
                <w:sz w:val="20"/>
                <w:szCs w:val="20"/>
              </w:rPr>
            </w:pPr>
            <w:r>
              <w:rPr>
                <w:sz w:val="20"/>
                <w:szCs w:val="20"/>
              </w:rPr>
              <w:t>7.99 (0.08)</w:t>
            </w:r>
          </w:p>
        </w:tc>
        <w:tc>
          <w:tcPr>
            <w:tcW w:w="2268" w:type="dxa"/>
          </w:tcPr>
          <w:p w14:paraId="5090800C" w14:textId="65CE01C8" w:rsidR="009D1146" w:rsidRPr="009D1146" w:rsidRDefault="009D1146" w:rsidP="004B0813">
            <w:pPr>
              <w:rPr>
                <w:sz w:val="20"/>
                <w:szCs w:val="20"/>
              </w:rPr>
            </w:pPr>
            <w:r>
              <w:rPr>
                <w:sz w:val="20"/>
                <w:szCs w:val="20"/>
              </w:rPr>
              <w:t>.</w:t>
            </w:r>
          </w:p>
        </w:tc>
      </w:tr>
      <w:tr w:rsidR="009D1146" w:rsidRPr="009D1146" w14:paraId="7FB2892A" w14:textId="77777777" w:rsidTr="00F82322">
        <w:trPr>
          <w:trHeight w:val="140"/>
        </w:trPr>
        <w:tc>
          <w:tcPr>
            <w:tcW w:w="2977" w:type="dxa"/>
            <w:tcBorders>
              <w:bottom w:val="single" w:sz="4" w:space="0" w:color="auto"/>
            </w:tcBorders>
          </w:tcPr>
          <w:p w14:paraId="7BF805A4" w14:textId="7300BC16" w:rsidR="009D1146" w:rsidRPr="00F82322" w:rsidRDefault="009D1146" w:rsidP="004B0813">
            <w:pPr>
              <w:rPr>
                <w:b/>
                <w:sz w:val="20"/>
                <w:szCs w:val="20"/>
              </w:rPr>
            </w:pPr>
            <w:r w:rsidRPr="00F82322">
              <w:rPr>
                <w:b/>
                <w:sz w:val="20"/>
                <w:szCs w:val="20"/>
              </w:rPr>
              <w:t xml:space="preserve">Authoritarian </w:t>
            </w:r>
          </w:p>
        </w:tc>
        <w:tc>
          <w:tcPr>
            <w:tcW w:w="2268" w:type="dxa"/>
            <w:tcBorders>
              <w:bottom w:val="single" w:sz="4" w:space="0" w:color="auto"/>
            </w:tcBorders>
          </w:tcPr>
          <w:p w14:paraId="74FD5F9C" w14:textId="49E3462C" w:rsidR="009D1146" w:rsidRPr="009D1146" w:rsidRDefault="009D1146" w:rsidP="004B0813">
            <w:pPr>
              <w:rPr>
                <w:sz w:val="20"/>
                <w:szCs w:val="20"/>
              </w:rPr>
            </w:pPr>
            <w:r>
              <w:rPr>
                <w:sz w:val="20"/>
                <w:szCs w:val="20"/>
              </w:rPr>
              <w:t>.</w:t>
            </w:r>
          </w:p>
        </w:tc>
        <w:tc>
          <w:tcPr>
            <w:tcW w:w="2268" w:type="dxa"/>
            <w:tcBorders>
              <w:bottom w:val="single" w:sz="4" w:space="0" w:color="auto"/>
            </w:tcBorders>
          </w:tcPr>
          <w:p w14:paraId="3749C767" w14:textId="0C690388" w:rsidR="009D1146" w:rsidRPr="009D1146" w:rsidRDefault="009D1146" w:rsidP="004B0813">
            <w:pPr>
              <w:rPr>
                <w:sz w:val="20"/>
                <w:szCs w:val="20"/>
              </w:rPr>
            </w:pPr>
            <w:r>
              <w:rPr>
                <w:sz w:val="20"/>
                <w:szCs w:val="20"/>
              </w:rPr>
              <w:t>4.45 (0.18)</w:t>
            </w:r>
          </w:p>
        </w:tc>
      </w:tr>
      <w:tr w:rsidR="009D1146" w:rsidRPr="009D1146" w14:paraId="01B4CA41" w14:textId="77777777" w:rsidTr="00F82322">
        <w:trPr>
          <w:trHeight w:val="140"/>
        </w:trPr>
        <w:tc>
          <w:tcPr>
            <w:tcW w:w="2977" w:type="dxa"/>
            <w:tcBorders>
              <w:top w:val="single" w:sz="4" w:space="0" w:color="auto"/>
            </w:tcBorders>
          </w:tcPr>
          <w:p w14:paraId="7F450BD0" w14:textId="6FF59732" w:rsidR="009D1146" w:rsidRPr="00F82322" w:rsidRDefault="009D1146" w:rsidP="009D1146">
            <w:pPr>
              <w:rPr>
                <w:b/>
                <w:sz w:val="20"/>
                <w:szCs w:val="20"/>
              </w:rPr>
            </w:pPr>
            <w:r w:rsidRPr="00F82322">
              <w:rPr>
                <w:rFonts w:cs="Segoe UI"/>
                <w:b/>
                <w:i/>
                <w:iCs/>
                <w:sz w:val="20"/>
                <w:szCs w:val="20"/>
                <w:highlight w:val="yellow"/>
                <w:lang w:val="en-US"/>
              </w:rPr>
              <w:t>N individual</w:t>
            </w:r>
            <w:r w:rsidRPr="00F82322">
              <w:rPr>
                <w:rFonts w:cs="Segoe UI"/>
                <w:b/>
                <w:i/>
                <w:iCs/>
                <w:sz w:val="20"/>
                <w:szCs w:val="20"/>
                <w:lang w:val="en-US"/>
              </w:rPr>
              <w:t>/ country</w:t>
            </w:r>
          </w:p>
        </w:tc>
        <w:tc>
          <w:tcPr>
            <w:tcW w:w="2268" w:type="dxa"/>
            <w:tcBorders>
              <w:top w:val="single" w:sz="4" w:space="0" w:color="auto"/>
            </w:tcBorders>
          </w:tcPr>
          <w:p w14:paraId="16E318A3" w14:textId="64CC725D" w:rsidR="009D1146" w:rsidRPr="009D1146" w:rsidRDefault="00F82322" w:rsidP="009D1146">
            <w:pPr>
              <w:rPr>
                <w:sz w:val="20"/>
                <w:szCs w:val="20"/>
              </w:rPr>
            </w:pPr>
            <w:r>
              <w:rPr>
                <w:sz w:val="20"/>
                <w:szCs w:val="20"/>
              </w:rPr>
              <w:t>45,454 / 46</w:t>
            </w:r>
          </w:p>
        </w:tc>
        <w:tc>
          <w:tcPr>
            <w:tcW w:w="2268" w:type="dxa"/>
            <w:tcBorders>
              <w:top w:val="single" w:sz="4" w:space="0" w:color="auto"/>
            </w:tcBorders>
          </w:tcPr>
          <w:p w14:paraId="2134D240" w14:textId="290928B3" w:rsidR="009D1146" w:rsidRPr="009D1146" w:rsidRDefault="009D1146" w:rsidP="009D1146">
            <w:pPr>
              <w:rPr>
                <w:sz w:val="20"/>
                <w:szCs w:val="20"/>
              </w:rPr>
            </w:pPr>
            <w:r>
              <w:rPr>
                <w:sz w:val="20"/>
                <w:szCs w:val="20"/>
              </w:rPr>
              <w:t>45,454 / 46</w:t>
            </w:r>
          </w:p>
        </w:tc>
      </w:tr>
      <w:tr w:rsidR="009D1146" w:rsidRPr="009D1146" w14:paraId="2203A6FA" w14:textId="77777777" w:rsidTr="00F82322">
        <w:trPr>
          <w:trHeight w:val="140"/>
        </w:trPr>
        <w:tc>
          <w:tcPr>
            <w:tcW w:w="2977" w:type="dxa"/>
          </w:tcPr>
          <w:p w14:paraId="75834BA4" w14:textId="0129783A" w:rsidR="009D1146" w:rsidRPr="00F82322" w:rsidRDefault="009D1146" w:rsidP="009D1146">
            <w:pPr>
              <w:rPr>
                <w:rFonts w:cs="Segoe UI"/>
                <w:b/>
                <w:i/>
                <w:iCs/>
                <w:sz w:val="20"/>
                <w:szCs w:val="20"/>
                <w:highlight w:val="yellow"/>
                <w:lang w:val="en-US"/>
              </w:rPr>
            </w:pPr>
            <w:r w:rsidRPr="00F82322">
              <w:rPr>
                <w:rFonts w:cs="Segoe UI"/>
                <w:b/>
                <w:i/>
                <w:iCs/>
                <w:sz w:val="20"/>
                <w:szCs w:val="20"/>
                <w:highlight w:val="yellow"/>
                <w:lang w:val="en-US"/>
              </w:rPr>
              <w:t>Log-Likelihood</w:t>
            </w:r>
          </w:p>
        </w:tc>
        <w:tc>
          <w:tcPr>
            <w:tcW w:w="2268" w:type="dxa"/>
          </w:tcPr>
          <w:p w14:paraId="48F9BC74" w14:textId="629C9088" w:rsidR="009D1146" w:rsidRPr="009D1146" w:rsidRDefault="00F82322" w:rsidP="009D1146">
            <w:pPr>
              <w:rPr>
                <w:sz w:val="20"/>
                <w:szCs w:val="20"/>
              </w:rPr>
            </w:pPr>
            <w:r>
              <w:rPr>
                <w:sz w:val="20"/>
                <w:szCs w:val="20"/>
              </w:rPr>
              <w:t>-83141</w:t>
            </w:r>
          </w:p>
        </w:tc>
        <w:tc>
          <w:tcPr>
            <w:tcW w:w="2268" w:type="dxa"/>
          </w:tcPr>
          <w:p w14:paraId="2FBF7AF2" w14:textId="57BB7247" w:rsidR="009D1146" w:rsidRPr="009D1146" w:rsidRDefault="007B459E" w:rsidP="009D1146">
            <w:pPr>
              <w:rPr>
                <w:sz w:val="20"/>
                <w:szCs w:val="20"/>
              </w:rPr>
            </w:pPr>
            <w:r>
              <w:rPr>
                <w:sz w:val="20"/>
                <w:szCs w:val="20"/>
              </w:rPr>
              <w:t>-96447</w:t>
            </w:r>
          </w:p>
        </w:tc>
      </w:tr>
      <w:tr w:rsidR="009D1146" w:rsidRPr="009D1146" w14:paraId="5B7508B4" w14:textId="77777777" w:rsidTr="00F82322">
        <w:trPr>
          <w:trHeight w:val="140"/>
        </w:trPr>
        <w:tc>
          <w:tcPr>
            <w:tcW w:w="2977" w:type="dxa"/>
            <w:tcBorders>
              <w:bottom w:val="single" w:sz="4" w:space="0" w:color="auto"/>
            </w:tcBorders>
          </w:tcPr>
          <w:p w14:paraId="4B925EB6" w14:textId="33DBBE27" w:rsidR="009D1146" w:rsidRPr="00F82322" w:rsidRDefault="009D1146" w:rsidP="009D1146">
            <w:pPr>
              <w:rPr>
                <w:rFonts w:cs="Segoe UI"/>
                <w:b/>
                <w:i/>
                <w:iCs/>
                <w:sz w:val="20"/>
                <w:szCs w:val="20"/>
                <w:highlight w:val="yellow"/>
                <w:lang w:val="en-US"/>
              </w:rPr>
            </w:pPr>
            <w:r w:rsidRPr="00F82322">
              <w:rPr>
                <w:rFonts w:cs="Segoe UI"/>
                <w:b/>
                <w:sz w:val="20"/>
                <w:szCs w:val="20"/>
                <w:highlight w:val="yellow"/>
                <w:lang w:val="en-US"/>
              </w:rPr>
              <w:t>ICC</w:t>
            </w:r>
          </w:p>
        </w:tc>
        <w:tc>
          <w:tcPr>
            <w:tcW w:w="2268" w:type="dxa"/>
            <w:tcBorders>
              <w:bottom w:val="single" w:sz="4" w:space="0" w:color="auto"/>
            </w:tcBorders>
          </w:tcPr>
          <w:p w14:paraId="49484E93" w14:textId="0E9057F2" w:rsidR="009D1146" w:rsidRPr="009D1146" w:rsidRDefault="00F82322" w:rsidP="009D1146">
            <w:pPr>
              <w:rPr>
                <w:sz w:val="20"/>
                <w:szCs w:val="20"/>
              </w:rPr>
            </w:pPr>
            <w:r>
              <w:rPr>
                <w:sz w:val="20"/>
                <w:szCs w:val="20"/>
              </w:rPr>
              <w:t>.109957</w:t>
            </w:r>
          </w:p>
        </w:tc>
        <w:tc>
          <w:tcPr>
            <w:tcW w:w="2268" w:type="dxa"/>
            <w:tcBorders>
              <w:bottom w:val="single" w:sz="4" w:space="0" w:color="auto"/>
            </w:tcBorders>
          </w:tcPr>
          <w:p w14:paraId="75FB2ACD" w14:textId="42E7245D" w:rsidR="009D1146" w:rsidRPr="009D1146" w:rsidRDefault="00F82322" w:rsidP="009D1146">
            <w:pPr>
              <w:rPr>
                <w:sz w:val="20"/>
                <w:szCs w:val="20"/>
              </w:rPr>
            </w:pPr>
            <w:r>
              <w:rPr>
                <w:sz w:val="20"/>
                <w:szCs w:val="20"/>
              </w:rPr>
              <w:t>.260100</w:t>
            </w:r>
          </w:p>
        </w:tc>
      </w:tr>
    </w:tbl>
    <w:p w14:paraId="0D489D0D" w14:textId="77777777" w:rsidR="009D1146" w:rsidRPr="009D1146" w:rsidRDefault="009D1146" w:rsidP="004B0813">
      <w:pPr>
        <w:rPr>
          <w:szCs w:val="24"/>
        </w:rPr>
        <w:sectPr w:rsidR="009D1146" w:rsidRPr="009D1146" w:rsidSect="00C86CC3">
          <w:pgSz w:w="11906" w:h="16838"/>
          <w:pgMar w:top="1440" w:right="1440" w:bottom="1440" w:left="1440" w:header="708" w:footer="708" w:gutter="357"/>
          <w:cols w:space="708"/>
          <w:docGrid w:linePitch="360"/>
        </w:sectPr>
      </w:pPr>
    </w:p>
    <w:p w14:paraId="5B1433EE" w14:textId="09BE59CE" w:rsidR="00C82798" w:rsidRDefault="00C82798" w:rsidP="003A5664">
      <w:pPr>
        <w:pStyle w:val="Caption"/>
        <w:rPr>
          <w:rFonts w:ascii="Segoe UI" w:hAnsi="Segoe UI" w:cs="Segoe UI"/>
          <w:i w:val="0"/>
          <w:highlight w:val="yellow"/>
        </w:rPr>
      </w:pPr>
      <w:bookmarkStart w:id="318" w:name="_Toc494687171"/>
      <w:bookmarkStart w:id="319" w:name="_Hlk486946584"/>
      <w:r w:rsidRPr="003A5664">
        <w:rPr>
          <w:rFonts w:ascii="Segoe UI" w:hAnsi="Segoe UI" w:cs="Segoe UI"/>
          <w:i w:val="0"/>
          <w:highlight w:val="yellow"/>
        </w:rPr>
        <w:t xml:space="preserve">Figure </w:t>
      </w:r>
      <w:r w:rsidR="00532BB0" w:rsidRPr="003A5664">
        <w:rPr>
          <w:rFonts w:ascii="Segoe UI" w:hAnsi="Segoe UI" w:cs="Segoe UI"/>
          <w:i w:val="0"/>
          <w:highlight w:val="yellow"/>
        </w:rPr>
        <w:fldChar w:fldCharType="begin"/>
      </w:r>
      <w:r w:rsidR="00532BB0" w:rsidRPr="003A5664">
        <w:rPr>
          <w:rFonts w:ascii="Segoe UI" w:hAnsi="Segoe UI" w:cs="Segoe UI"/>
          <w:i w:val="0"/>
          <w:highlight w:val="yellow"/>
        </w:rPr>
        <w:instrText xml:space="preserve"> STYLEREF 1 \s </w:instrText>
      </w:r>
      <w:r w:rsidR="00532BB0" w:rsidRPr="003A5664">
        <w:rPr>
          <w:rFonts w:ascii="Segoe UI" w:hAnsi="Segoe UI" w:cs="Segoe UI"/>
          <w:i w:val="0"/>
          <w:highlight w:val="yellow"/>
        </w:rPr>
        <w:fldChar w:fldCharType="separate"/>
      </w:r>
      <w:r w:rsidRPr="003A5664">
        <w:rPr>
          <w:rFonts w:ascii="Segoe UI" w:hAnsi="Segoe UI" w:cs="Segoe UI"/>
          <w:i w:val="0"/>
          <w:noProof/>
          <w:highlight w:val="yellow"/>
        </w:rPr>
        <w:t>5</w:t>
      </w:r>
      <w:r w:rsidR="00532BB0" w:rsidRPr="003A5664">
        <w:rPr>
          <w:rFonts w:ascii="Segoe UI" w:hAnsi="Segoe UI" w:cs="Segoe UI"/>
          <w:i w:val="0"/>
          <w:noProof/>
          <w:highlight w:val="yellow"/>
        </w:rPr>
        <w:fldChar w:fldCharType="end"/>
      </w:r>
      <w:r w:rsidRPr="003A5664">
        <w:rPr>
          <w:rFonts w:ascii="Segoe UI" w:hAnsi="Segoe UI" w:cs="Segoe UI"/>
          <w:i w:val="0"/>
          <w:highlight w:val="yellow"/>
        </w:rPr>
        <w:t>:</w:t>
      </w:r>
      <w:r w:rsidR="00532BB0" w:rsidRPr="003A5664">
        <w:rPr>
          <w:rFonts w:ascii="Segoe UI" w:hAnsi="Segoe UI" w:cs="Segoe UI"/>
          <w:i w:val="0"/>
          <w:highlight w:val="yellow"/>
        </w:rPr>
        <w:fldChar w:fldCharType="begin"/>
      </w:r>
      <w:r w:rsidR="00532BB0" w:rsidRPr="003A5664">
        <w:rPr>
          <w:rFonts w:ascii="Segoe UI" w:hAnsi="Segoe UI" w:cs="Segoe UI"/>
          <w:i w:val="0"/>
          <w:highlight w:val="yellow"/>
        </w:rPr>
        <w:instrText xml:space="preserve"> SEQ Figure \* ARABIC \s 1 </w:instrText>
      </w:r>
      <w:r w:rsidR="00532BB0" w:rsidRPr="003A5664">
        <w:rPr>
          <w:rFonts w:ascii="Segoe UI" w:hAnsi="Segoe UI" w:cs="Segoe UI"/>
          <w:i w:val="0"/>
          <w:highlight w:val="yellow"/>
        </w:rPr>
        <w:fldChar w:fldCharType="separate"/>
      </w:r>
      <w:r w:rsidR="007B459E">
        <w:rPr>
          <w:rFonts w:ascii="Segoe UI" w:hAnsi="Segoe UI" w:cs="Segoe UI"/>
          <w:i w:val="0"/>
          <w:noProof/>
          <w:highlight w:val="yellow"/>
        </w:rPr>
        <w:t>7</w:t>
      </w:r>
      <w:r w:rsidR="00532BB0" w:rsidRPr="003A5664">
        <w:rPr>
          <w:rFonts w:ascii="Segoe UI" w:hAnsi="Segoe UI" w:cs="Segoe UI"/>
          <w:i w:val="0"/>
          <w:noProof/>
          <w:highlight w:val="yellow"/>
        </w:rPr>
        <w:fldChar w:fldCharType="end"/>
      </w:r>
      <w:r w:rsidRPr="003A5664">
        <w:rPr>
          <w:rFonts w:ascii="Segoe UI" w:hAnsi="Segoe UI" w:cs="Segoe UI"/>
          <w:i w:val="0"/>
          <w:highlight w:val="yellow"/>
        </w:rPr>
        <w:t xml:space="preserve"> </w:t>
      </w:r>
      <w:bookmarkEnd w:id="318"/>
      <w:r w:rsidR="003A5664" w:rsidRPr="003A5664">
        <w:rPr>
          <w:rFonts w:ascii="Segoe UI" w:hAnsi="Segoe UI" w:cs="Segoe UI"/>
          <w:i w:val="0"/>
          <w:highlight w:val="yellow"/>
        </w:rPr>
        <w:t>OLS and MLM Results for Authoritarian understanding of Democracy</w:t>
      </w:r>
    </w:p>
    <w:p w14:paraId="0AD3C86A" w14:textId="77777777" w:rsidR="003A5664" w:rsidRPr="003A5664" w:rsidRDefault="003A5664" w:rsidP="003A5664">
      <w:pPr>
        <w:rPr>
          <w:highlight w:val="yellow"/>
        </w:rPr>
      </w:pPr>
    </w:p>
    <w:tbl>
      <w:tblPr>
        <w:tblW w:w="15163" w:type="dxa"/>
        <w:tblLayout w:type="fixed"/>
        <w:tblLook w:val="0000" w:firstRow="0" w:lastRow="0" w:firstColumn="0" w:lastColumn="0" w:noHBand="0" w:noVBand="0"/>
      </w:tblPr>
      <w:tblGrid>
        <w:gridCol w:w="2263"/>
        <w:gridCol w:w="993"/>
        <w:gridCol w:w="992"/>
        <w:gridCol w:w="992"/>
        <w:gridCol w:w="992"/>
        <w:gridCol w:w="993"/>
        <w:gridCol w:w="992"/>
        <w:gridCol w:w="992"/>
        <w:gridCol w:w="992"/>
        <w:gridCol w:w="993"/>
        <w:gridCol w:w="992"/>
        <w:gridCol w:w="992"/>
        <w:gridCol w:w="992"/>
        <w:gridCol w:w="993"/>
      </w:tblGrid>
      <w:tr w:rsidR="00B65FE6" w:rsidRPr="00C051DC" w14:paraId="43BF8A4E" w14:textId="77777777" w:rsidTr="00F82322">
        <w:trPr>
          <w:trHeight w:val="359"/>
        </w:trPr>
        <w:tc>
          <w:tcPr>
            <w:tcW w:w="2263" w:type="dxa"/>
          </w:tcPr>
          <w:p w14:paraId="51E65CF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5954" w:type="dxa"/>
            <w:gridSpan w:val="6"/>
          </w:tcPr>
          <w:p w14:paraId="0D892E4D" w14:textId="77777777"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OLS Regression Model</w:t>
            </w:r>
          </w:p>
        </w:tc>
        <w:tc>
          <w:tcPr>
            <w:tcW w:w="6946" w:type="dxa"/>
            <w:gridSpan w:val="7"/>
          </w:tcPr>
          <w:p w14:paraId="62C1E6C9" w14:textId="77777777"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Multilevel Mixed-Effects Model</w:t>
            </w:r>
          </w:p>
        </w:tc>
      </w:tr>
      <w:tr w:rsidR="00B65FE6" w:rsidRPr="00C051DC" w14:paraId="7E596B35" w14:textId="77777777" w:rsidTr="00F82322">
        <w:trPr>
          <w:trHeight w:val="359"/>
        </w:trPr>
        <w:tc>
          <w:tcPr>
            <w:tcW w:w="2263" w:type="dxa"/>
          </w:tcPr>
          <w:p w14:paraId="2629B1A6" w14:textId="77777777" w:rsidR="00B65FE6" w:rsidRPr="00C051DC" w:rsidRDefault="00B65FE6" w:rsidP="00737428">
            <w:pPr>
              <w:widowControl w:val="0"/>
              <w:autoSpaceDE w:val="0"/>
              <w:autoSpaceDN w:val="0"/>
              <w:adjustRightInd w:val="0"/>
              <w:spacing w:before="0" w:line="240" w:lineRule="auto"/>
              <w:rPr>
                <w:rFonts w:cs="Segoe UI"/>
                <w:b/>
                <w:i/>
                <w:sz w:val="20"/>
                <w:szCs w:val="20"/>
                <w:highlight w:val="yellow"/>
                <w:lang w:val="en-US"/>
              </w:rPr>
            </w:pPr>
            <w:r w:rsidRPr="00C051DC">
              <w:rPr>
                <w:rFonts w:cs="Segoe UI"/>
                <w:b/>
                <w:i/>
                <w:sz w:val="20"/>
                <w:szCs w:val="20"/>
                <w:highlight w:val="yellow"/>
                <w:lang w:val="en-US"/>
              </w:rPr>
              <w:t>Individual Level</w:t>
            </w:r>
          </w:p>
        </w:tc>
        <w:tc>
          <w:tcPr>
            <w:tcW w:w="993" w:type="dxa"/>
          </w:tcPr>
          <w:p w14:paraId="2890E295" w14:textId="7E95F238"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1)</w:t>
            </w:r>
          </w:p>
        </w:tc>
        <w:tc>
          <w:tcPr>
            <w:tcW w:w="992" w:type="dxa"/>
          </w:tcPr>
          <w:p w14:paraId="59512739" w14:textId="4E9916B0"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2)</w:t>
            </w:r>
          </w:p>
        </w:tc>
        <w:tc>
          <w:tcPr>
            <w:tcW w:w="992" w:type="dxa"/>
          </w:tcPr>
          <w:p w14:paraId="195A9F49" w14:textId="2BA66D08"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3)</w:t>
            </w:r>
          </w:p>
        </w:tc>
        <w:tc>
          <w:tcPr>
            <w:tcW w:w="992" w:type="dxa"/>
          </w:tcPr>
          <w:p w14:paraId="449D645F" w14:textId="17118A14"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4)</w:t>
            </w:r>
          </w:p>
        </w:tc>
        <w:tc>
          <w:tcPr>
            <w:tcW w:w="993" w:type="dxa"/>
          </w:tcPr>
          <w:p w14:paraId="65207AD5" w14:textId="47B1AB66"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5)</w:t>
            </w:r>
          </w:p>
        </w:tc>
        <w:tc>
          <w:tcPr>
            <w:tcW w:w="992" w:type="dxa"/>
            <w:tcBorders>
              <w:right w:val="single" w:sz="4" w:space="0" w:color="auto"/>
            </w:tcBorders>
          </w:tcPr>
          <w:p w14:paraId="2A1533EB" w14:textId="75B1EF58"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6)</w:t>
            </w:r>
          </w:p>
        </w:tc>
        <w:tc>
          <w:tcPr>
            <w:tcW w:w="992" w:type="dxa"/>
            <w:tcBorders>
              <w:left w:val="single" w:sz="4" w:space="0" w:color="auto"/>
            </w:tcBorders>
          </w:tcPr>
          <w:p w14:paraId="0A757F7D" w14:textId="7F309C71"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7)</w:t>
            </w:r>
          </w:p>
        </w:tc>
        <w:tc>
          <w:tcPr>
            <w:tcW w:w="992" w:type="dxa"/>
          </w:tcPr>
          <w:p w14:paraId="58A88BF7" w14:textId="472979D4"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8)</w:t>
            </w:r>
          </w:p>
        </w:tc>
        <w:tc>
          <w:tcPr>
            <w:tcW w:w="993" w:type="dxa"/>
          </w:tcPr>
          <w:p w14:paraId="550E6D5A" w14:textId="6774160E"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9)</w:t>
            </w:r>
          </w:p>
        </w:tc>
        <w:tc>
          <w:tcPr>
            <w:tcW w:w="992" w:type="dxa"/>
          </w:tcPr>
          <w:p w14:paraId="258601BE" w14:textId="127CF1A5"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10)</w:t>
            </w:r>
          </w:p>
        </w:tc>
        <w:tc>
          <w:tcPr>
            <w:tcW w:w="992" w:type="dxa"/>
          </w:tcPr>
          <w:p w14:paraId="20FDAD04" w14:textId="55C47817"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11)</w:t>
            </w:r>
          </w:p>
        </w:tc>
        <w:tc>
          <w:tcPr>
            <w:tcW w:w="992" w:type="dxa"/>
          </w:tcPr>
          <w:p w14:paraId="3EE347DF" w14:textId="68C51408"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12)</w:t>
            </w:r>
          </w:p>
        </w:tc>
        <w:tc>
          <w:tcPr>
            <w:tcW w:w="993" w:type="dxa"/>
          </w:tcPr>
          <w:p w14:paraId="3049128D" w14:textId="05B3AFB9"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C</w:t>
            </w:r>
            <w:r w:rsidRPr="00C051DC">
              <w:rPr>
                <w:rFonts w:cs="Segoe UI"/>
                <w:b/>
                <w:sz w:val="20"/>
                <w:szCs w:val="20"/>
                <w:highlight w:val="yellow"/>
                <w:lang w:val="en-US"/>
              </w:rPr>
              <w:t>13)</w:t>
            </w:r>
          </w:p>
        </w:tc>
      </w:tr>
      <w:tr w:rsidR="00B65FE6" w:rsidRPr="00C051DC" w14:paraId="69F670C7" w14:textId="77777777" w:rsidTr="00F82322">
        <w:trPr>
          <w:trHeight w:val="359"/>
        </w:trPr>
        <w:tc>
          <w:tcPr>
            <w:tcW w:w="2263" w:type="dxa"/>
            <w:shd w:val="clear" w:color="auto" w:fill="F2F2F2" w:themeFill="background1" w:themeFillShade="F2"/>
          </w:tcPr>
          <w:p w14:paraId="4772D51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Age</w:t>
            </w:r>
          </w:p>
        </w:tc>
        <w:tc>
          <w:tcPr>
            <w:tcW w:w="993" w:type="dxa"/>
            <w:shd w:val="clear" w:color="auto" w:fill="F2F2F2" w:themeFill="background1" w:themeFillShade="F2"/>
          </w:tcPr>
          <w:p w14:paraId="1B66223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83C1E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75778C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6500A4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47A7E90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FA3FFE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19CD72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18F78AC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6B94AF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4229BA7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right w:val="single" w:sz="4" w:space="0" w:color="auto"/>
            </w:tcBorders>
            <w:shd w:val="clear" w:color="auto" w:fill="F2F2F2" w:themeFill="background1" w:themeFillShade="F2"/>
          </w:tcPr>
          <w:p w14:paraId="55E45E6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50634B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left w:val="single" w:sz="4" w:space="0" w:color="auto"/>
            </w:tcBorders>
            <w:shd w:val="clear" w:color="auto" w:fill="F2F2F2" w:themeFill="background1" w:themeFillShade="F2"/>
          </w:tcPr>
          <w:p w14:paraId="4A220DA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1772951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1CE498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01E7A66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2EE74F2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7AD54D0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3FA35E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10F1D54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88FC4C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2E7D0B2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0E213FC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2C990E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06DA00A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7457DE4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r>
      <w:tr w:rsidR="00B65FE6" w:rsidRPr="00C051DC" w14:paraId="050C7399" w14:textId="77777777" w:rsidTr="00F82322">
        <w:trPr>
          <w:trHeight w:val="359"/>
        </w:trPr>
        <w:tc>
          <w:tcPr>
            <w:tcW w:w="2263" w:type="dxa"/>
            <w:shd w:val="clear" w:color="auto" w:fill="F2F2F2" w:themeFill="background1" w:themeFillShade="F2"/>
          </w:tcPr>
          <w:p w14:paraId="2E51643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Age-squared</w:t>
            </w:r>
          </w:p>
        </w:tc>
        <w:tc>
          <w:tcPr>
            <w:tcW w:w="993" w:type="dxa"/>
            <w:shd w:val="clear" w:color="auto" w:fill="F2F2F2" w:themeFill="background1" w:themeFillShade="F2"/>
          </w:tcPr>
          <w:p w14:paraId="037EC80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31CDA9C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39F66E2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3DED104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4A97726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2F0BB84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FA82DE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21F557F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5C3CC4B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2252C75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right w:val="single" w:sz="4" w:space="0" w:color="auto"/>
            </w:tcBorders>
            <w:shd w:val="clear" w:color="auto" w:fill="F2F2F2" w:themeFill="background1" w:themeFillShade="F2"/>
          </w:tcPr>
          <w:p w14:paraId="5CB5426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30C1F47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left w:val="single" w:sz="4" w:space="0" w:color="auto"/>
            </w:tcBorders>
            <w:shd w:val="clear" w:color="auto" w:fill="F2F2F2" w:themeFill="background1" w:themeFillShade="F2"/>
          </w:tcPr>
          <w:p w14:paraId="1BCC3A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04F8551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45E60B6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2551694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3F3FCAD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0D5566F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05C92F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A7EB0C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09515C4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14CCA6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49FECD3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F14202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5222828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0F7949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r>
      <w:tr w:rsidR="00B65FE6" w:rsidRPr="00C051DC" w14:paraId="52002AD0" w14:textId="77777777" w:rsidTr="00F82322">
        <w:trPr>
          <w:trHeight w:val="359"/>
        </w:trPr>
        <w:tc>
          <w:tcPr>
            <w:tcW w:w="2263" w:type="dxa"/>
            <w:shd w:val="clear" w:color="auto" w:fill="F2F2F2" w:themeFill="background1" w:themeFillShade="F2"/>
          </w:tcPr>
          <w:p w14:paraId="49BB690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Gender (Ref=</w:t>
            </w:r>
            <w:r w:rsidRPr="00C051DC">
              <w:rPr>
                <w:rFonts w:cs="Segoe UI"/>
                <w:i/>
                <w:sz w:val="20"/>
                <w:szCs w:val="20"/>
                <w:highlight w:val="yellow"/>
                <w:lang w:val="en-US"/>
              </w:rPr>
              <w:t>Female</w:t>
            </w:r>
            <w:r w:rsidRPr="00C051DC">
              <w:rPr>
                <w:rFonts w:cs="Segoe UI"/>
                <w:sz w:val="20"/>
                <w:szCs w:val="20"/>
                <w:highlight w:val="yellow"/>
                <w:lang w:val="en-US"/>
              </w:rPr>
              <w:t>)</w:t>
            </w:r>
          </w:p>
        </w:tc>
        <w:tc>
          <w:tcPr>
            <w:tcW w:w="993" w:type="dxa"/>
            <w:shd w:val="clear" w:color="auto" w:fill="F2F2F2" w:themeFill="background1" w:themeFillShade="F2"/>
          </w:tcPr>
          <w:p w14:paraId="35B9377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1D90B43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535F0E8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00BD3BB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76A9B4A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678523B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79B82B2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295D355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shd w:val="clear" w:color="auto" w:fill="F2F2F2" w:themeFill="background1" w:themeFillShade="F2"/>
          </w:tcPr>
          <w:p w14:paraId="77D3217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79B8BA0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Borders>
              <w:right w:val="single" w:sz="4" w:space="0" w:color="auto"/>
            </w:tcBorders>
            <w:shd w:val="clear" w:color="auto" w:fill="F2F2F2" w:themeFill="background1" w:themeFillShade="F2"/>
          </w:tcPr>
          <w:p w14:paraId="3EC5CE6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458C04E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Borders>
              <w:left w:val="single" w:sz="4" w:space="0" w:color="auto"/>
            </w:tcBorders>
            <w:shd w:val="clear" w:color="auto" w:fill="F2F2F2" w:themeFill="background1" w:themeFillShade="F2"/>
          </w:tcPr>
          <w:p w14:paraId="27A4262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5F59382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7CCD208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64653FB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shd w:val="clear" w:color="auto" w:fill="F2F2F2" w:themeFill="background1" w:themeFillShade="F2"/>
          </w:tcPr>
          <w:p w14:paraId="1B495E1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68AC5F3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37CCC0C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450C744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09D677E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03C3A3A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036A0E5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16B5F7A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shd w:val="clear" w:color="auto" w:fill="F2F2F2" w:themeFill="background1" w:themeFillShade="F2"/>
          </w:tcPr>
          <w:p w14:paraId="5DEB854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2F6508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r>
      <w:tr w:rsidR="00B65FE6" w:rsidRPr="00C051DC" w14:paraId="6A57B9BD" w14:textId="77777777" w:rsidTr="00F82322">
        <w:trPr>
          <w:trHeight w:val="359"/>
        </w:trPr>
        <w:tc>
          <w:tcPr>
            <w:tcW w:w="2263" w:type="dxa"/>
          </w:tcPr>
          <w:p w14:paraId="6B774DC5"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r w:rsidRPr="00C051DC">
              <w:rPr>
                <w:rFonts w:cs="Segoe UI"/>
                <w:b/>
                <w:sz w:val="20"/>
                <w:szCs w:val="20"/>
                <w:highlight w:val="yellow"/>
                <w:lang w:val="en-US"/>
              </w:rPr>
              <w:t>Modernization</w:t>
            </w:r>
          </w:p>
        </w:tc>
        <w:tc>
          <w:tcPr>
            <w:tcW w:w="993" w:type="dxa"/>
          </w:tcPr>
          <w:p w14:paraId="5AEF6119"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2C6CD087"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658899B7"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447DF70B"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3" w:type="dxa"/>
          </w:tcPr>
          <w:p w14:paraId="2F7B3A9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right w:val="single" w:sz="4" w:space="0" w:color="auto"/>
            </w:tcBorders>
          </w:tcPr>
          <w:p w14:paraId="258455CE"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left w:val="single" w:sz="4" w:space="0" w:color="auto"/>
            </w:tcBorders>
          </w:tcPr>
          <w:p w14:paraId="60DC7F39"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0609A12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3A78EB4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4BE7CC67"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169966AF"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16050432"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597EA39E"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r>
      <w:tr w:rsidR="00B65FE6" w:rsidRPr="00C051DC" w14:paraId="0A1DC7EC" w14:textId="77777777" w:rsidTr="00F82322">
        <w:trPr>
          <w:trHeight w:val="359"/>
        </w:trPr>
        <w:tc>
          <w:tcPr>
            <w:tcW w:w="2263" w:type="dxa"/>
          </w:tcPr>
          <w:p w14:paraId="427D839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Education (Ref=</w:t>
            </w:r>
            <w:r w:rsidRPr="00C051DC">
              <w:rPr>
                <w:rFonts w:cs="Segoe UI"/>
                <w:i/>
                <w:sz w:val="20"/>
                <w:szCs w:val="20"/>
                <w:highlight w:val="yellow"/>
                <w:lang w:val="en-US"/>
              </w:rPr>
              <w:t>Lower</w:t>
            </w:r>
            <w:r w:rsidRPr="00C051DC">
              <w:rPr>
                <w:rFonts w:cs="Segoe UI"/>
                <w:sz w:val="20"/>
                <w:szCs w:val="20"/>
                <w:highlight w:val="yellow"/>
                <w:lang w:val="en-US"/>
              </w:rPr>
              <w:t>)</w:t>
            </w:r>
          </w:p>
        </w:tc>
        <w:tc>
          <w:tcPr>
            <w:tcW w:w="993" w:type="dxa"/>
          </w:tcPr>
          <w:p w14:paraId="642E225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8E7CEA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4FEEAF5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12CA311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71CA22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72AB140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tcPr>
          <w:p w14:paraId="282C04E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3BC5840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23663C5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242664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6FD8026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4CE153E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7B5BC19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4C82C115" w14:textId="77777777" w:rsidTr="00F82322">
        <w:trPr>
          <w:trHeight w:val="359"/>
        </w:trPr>
        <w:tc>
          <w:tcPr>
            <w:tcW w:w="2263" w:type="dxa"/>
          </w:tcPr>
          <w:p w14:paraId="338B601C"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Middle</w:t>
            </w:r>
          </w:p>
        </w:tc>
        <w:tc>
          <w:tcPr>
            <w:tcW w:w="993" w:type="dxa"/>
          </w:tcPr>
          <w:p w14:paraId="04F2CE9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71EB539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0.21***</w:t>
            </w:r>
          </w:p>
          <w:p w14:paraId="6BF2833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51A00FF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0491923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FA2D16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0448F1B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0.12*** (0.02)</w:t>
            </w:r>
          </w:p>
        </w:tc>
        <w:tc>
          <w:tcPr>
            <w:tcW w:w="992" w:type="dxa"/>
            <w:tcBorders>
              <w:left w:val="single" w:sz="4" w:space="0" w:color="auto"/>
            </w:tcBorders>
          </w:tcPr>
          <w:p w14:paraId="7D6E501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 (0.03)</w:t>
            </w:r>
          </w:p>
        </w:tc>
        <w:tc>
          <w:tcPr>
            <w:tcW w:w="992" w:type="dxa"/>
          </w:tcPr>
          <w:p w14:paraId="0C02CB2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 (0.03)</w:t>
            </w:r>
          </w:p>
        </w:tc>
        <w:tc>
          <w:tcPr>
            <w:tcW w:w="993" w:type="dxa"/>
          </w:tcPr>
          <w:p w14:paraId="6237B64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 (0.03)</w:t>
            </w:r>
          </w:p>
        </w:tc>
        <w:tc>
          <w:tcPr>
            <w:tcW w:w="992" w:type="dxa"/>
          </w:tcPr>
          <w:p w14:paraId="0E58EDA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 (0.03)</w:t>
            </w:r>
          </w:p>
        </w:tc>
        <w:tc>
          <w:tcPr>
            <w:tcW w:w="992" w:type="dxa"/>
          </w:tcPr>
          <w:p w14:paraId="04A2F9E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 (0.03)</w:t>
            </w:r>
          </w:p>
        </w:tc>
        <w:tc>
          <w:tcPr>
            <w:tcW w:w="992" w:type="dxa"/>
          </w:tcPr>
          <w:p w14:paraId="7B5A47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 (0.03)</w:t>
            </w:r>
          </w:p>
        </w:tc>
        <w:tc>
          <w:tcPr>
            <w:tcW w:w="993" w:type="dxa"/>
          </w:tcPr>
          <w:p w14:paraId="516FE3C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 (0.03)</w:t>
            </w:r>
          </w:p>
        </w:tc>
      </w:tr>
      <w:tr w:rsidR="00B65FE6" w:rsidRPr="00C051DC" w14:paraId="17D6ED7E" w14:textId="77777777" w:rsidTr="00F82322">
        <w:trPr>
          <w:trHeight w:val="359"/>
        </w:trPr>
        <w:tc>
          <w:tcPr>
            <w:tcW w:w="2263" w:type="dxa"/>
          </w:tcPr>
          <w:p w14:paraId="4F361067"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Higher</w:t>
            </w:r>
          </w:p>
        </w:tc>
        <w:tc>
          <w:tcPr>
            <w:tcW w:w="993" w:type="dxa"/>
          </w:tcPr>
          <w:p w14:paraId="68202E1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3594E6B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0.36***</w:t>
            </w:r>
          </w:p>
          <w:p w14:paraId="2C63194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70CE624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389C5C2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188772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4B50AA8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0.23***</w:t>
            </w:r>
          </w:p>
          <w:p w14:paraId="70A9D05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Borders>
              <w:left w:val="single" w:sz="4" w:space="0" w:color="auto"/>
            </w:tcBorders>
          </w:tcPr>
          <w:p w14:paraId="3DAA32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p>
          <w:p w14:paraId="4570BD9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1125F74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p>
          <w:p w14:paraId="788BA2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tcPr>
          <w:p w14:paraId="1FD3B47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p>
          <w:p w14:paraId="17BF35D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1D812F3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p>
          <w:p w14:paraId="7FFCBD4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1DF6090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p>
          <w:p w14:paraId="02C5799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6CD7194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p>
          <w:p w14:paraId="12F0CCA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tcPr>
          <w:p w14:paraId="3AE8CF3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p>
          <w:p w14:paraId="1061ED3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r>
      <w:tr w:rsidR="00B65FE6" w:rsidRPr="00C051DC" w14:paraId="588BA176" w14:textId="77777777" w:rsidTr="00F82322">
        <w:trPr>
          <w:trHeight w:val="359"/>
        </w:trPr>
        <w:tc>
          <w:tcPr>
            <w:tcW w:w="2263" w:type="dxa"/>
          </w:tcPr>
          <w:p w14:paraId="2B61B45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Income (1-10)</w:t>
            </w:r>
          </w:p>
        </w:tc>
        <w:tc>
          <w:tcPr>
            <w:tcW w:w="993" w:type="dxa"/>
          </w:tcPr>
          <w:p w14:paraId="5E4F747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29331E4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291D034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Pr>
          <w:p w14:paraId="591375D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A9C71A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EC1D90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2DAEEF6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c>
          <w:tcPr>
            <w:tcW w:w="992" w:type="dxa"/>
            <w:tcBorders>
              <w:left w:val="single" w:sz="4" w:space="0" w:color="auto"/>
            </w:tcBorders>
          </w:tcPr>
          <w:p w14:paraId="2B24104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c>
          <w:tcPr>
            <w:tcW w:w="992" w:type="dxa"/>
          </w:tcPr>
          <w:p w14:paraId="21921C7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c>
          <w:tcPr>
            <w:tcW w:w="993" w:type="dxa"/>
          </w:tcPr>
          <w:p w14:paraId="7D59AC9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c>
          <w:tcPr>
            <w:tcW w:w="992" w:type="dxa"/>
          </w:tcPr>
          <w:p w14:paraId="743EBD4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c>
          <w:tcPr>
            <w:tcW w:w="992" w:type="dxa"/>
          </w:tcPr>
          <w:p w14:paraId="25F0FF7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c>
          <w:tcPr>
            <w:tcW w:w="992" w:type="dxa"/>
          </w:tcPr>
          <w:p w14:paraId="2985B05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c>
          <w:tcPr>
            <w:tcW w:w="993" w:type="dxa"/>
          </w:tcPr>
          <w:p w14:paraId="08CA6B8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(0.00)</w:t>
            </w:r>
          </w:p>
        </w:tc>
      </w:tr>
      <w:tr w:rsidR="00B65FE6" w:rsidRPr="00C051DC" w14:paraId="592854C2" w14:textId="77777777" w:rsidTr="00F82322">
        <w:trPr>
          <w:trHeight w:val="359"/>
        </w:trPr>
        <w:tc>
          <w:tcPr>
            <w:tcW w:w="2263" w:type="dxa"/>
            <w:shd w:val="clear" w:color="auto" w:fill="F2F2F2" w:themeFill="background1" w:themeFillShade="F2"/>
          </w:tcPr>
          <w:p w14:paraId="7FBE0507"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r w:rsidRPr="00C051DC">
              <w:rPr>
                <w:rFonts w:cs="Segoe UI"/>
                <w:b/>
                <w:sz w:val="20"/>
                <w:szCs w:val="20"/>
                <w:highlight w:val="yellow"/>
                <w:lang w:val="en-US"/>
              </w:rPr>
              <w:t>Cog. Engagement</w:t>
            </w:r>
          </w:p>
        </w:tc>
        <w:tc>
          <w:tcPr>
            <w:tcW w:w="993" w:type="dxa"/>
            <w:shd w:val="clear" w:color="auto" w:fill="F2F2F2" w:themeFill="background1" w:themeFillShade="F2"/>
          </w:tcPr>
          <w:p w14:paraId="37D3E397"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56CEF00C"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5BDBCE2E"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1A81A20A" w14:textId="77777777" w:rsidR="00B65FE6" w:rsidRPr="00C051DC" w:rsidRDefault="00B65FE6" w:rsidP="00737428">
            <w:pPr>
              <w:widowControl w:val="0"/>
              <w:autoSpaceDE w:val="0"/>
              <w:autoSpaceDN w:val="0"/>
              <w:adjustRightInd w:val="0"/>
              <w:spacing w:line="240" w:lineRule="auto"/>
              <w:jc w:val="center"/>
              <w:rPr>
                <w:rFonts w:cs="Segoe UI"/>
                <w:b/>
                <w:sz w:val="20"/>
                <w:szCs w:val="20"/>
                <w:highlight w:val="yellow"/>
                <w:lang w:val="en-US"/>
              </w:rPr>
            </w:pPr>
          </w:p>
        </w:tc>
        <w:tc>
          <w:tcPr>
            <w:tcW w:w="993" w:type="dxa"/>
            <w:shd w:val="clear" w:color="auto" w:fill="F2F2F2" w:themeFill="background1" w:themeFillShade="F2"/>
          </w:tcPr>
          <w:p w14:paraId="7A321F9D"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tcBorders>
              <w:right w:val="single" w:sz="4" w:space="0" w:color="auto"/>
            </w:tcBorders>
            <w:shd w:val="clear" w:color="auto" w:fill="F2F2F2" w:themeFill="background1" w:themeFillShade="F2"/>
          </w:tcPr>
          <w:p w14:paraId="6FF3BCE6"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tcBorders>
              <w:left w:val="single" w:sz="4" w:space="0" w:color="auto"/>
            </w:tcBorders>
            <w:shd w:val="clear" w:color="auto" w:fill="F2F2F2" w:themeFill="background1" w:themeFillShade="F2"/>
          </w:tcPr>
          <w:p w14:paraId="74A2AEED"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201D9F2E"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3" w:type="dxa"/>
            <w:shd w:val="clear" w:color="auto" w:fill="F2F2F2" w:themeFill="background1" w:themeFillShade="F2"/>
          </w:tcPr>
          <w:p w14:paraId="2B705C89"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109ACFC9"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1E220798"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1A8A2731"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3" w:type="dxa"/>
            <w:shd w:val="clear" w:color="auto" w:fill="F2F2F2" w:themeFill="background1" w:themeFillShade="F2"/>
          </w:tcPr>
          <w:p w14:paraId="410E3587"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r>
      <w:tr w:rsidR="00B65FE6" w:rsidRPr="00C051DC" w14:paraId="3B6BCDB6" w14:textId="77777777" w:rsidTr="00F82322">
        <w:trPr>
          <w:trHeight w:val="359"/>
        </w:trPr>
        <w:tc>
          <w:tcPr>
            <w:tcW w:w="2263" w:type="dxa"/>
            <w:shd w:val="clear" w:color="auto" w:fill="F2F2F2" w:themeFill="background1" w:themeFillShade="F2"/>
          </w:tcPr>
          <w:p w14:paraId="7B4872B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Political Interest (1-10)</w:t>
            </w:r>
          </w:p>
        </w:tc>
        <w:tc>
          <w:tcPr>
            <w:tcW w:w="993" w:type="dxa"/>
            <w:shd w:val="clear" w:color="auto" w:fill="F2F2F2" w:themeFill="background1" w:themeFillShade="F2"/>
          </w:tcPr>
          <w:p w14:paraId="2565A0F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6DCC61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1EA97B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66F057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D56696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671683D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65CC86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 (0.00)</w:t>
            </w:r>
          </w:p>
        </w:tc>
        <w:tc>
          <w:tcPr>
            <w:tcW w:w="992" w:type="dxa"/>
            <w:tcBorders>
              <w:left w:val="single" w:sz="4" w:space="0" w:color="auto"/>
            </w:tcBorders>
            <w:shd w:val="clear" w:color="auto" w:fill="F2F2F2" w:themeFill="background1" w:themeFillShade="F2"/>
          </w:tcPr>
          <w:p w14:paraId="724CF93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(0.01)</w:t>
            </w:r>
          </w:p>
        </w:tc>
        <w:tc>
          <w:tcPr>
            <w:tcW w:w="992" w:type="dxa"/>
            <w:shd w:val="clear" w:color="auto" w:fill="F2F2F2" w:themeFill="background1" w:themeFillShade="F2"/>
          </w:tcPr>
          <w:p w14:paraId="0E012D4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(0.01)</w:t>
            </w:r>
          </w:p>
        </w:tc>
        <w:tc>
          <w:tcPr>
            <w:tcW w:w="993" w:type="dxa"/>
            <w:shd w:val="clear" w:color="auto" w:fill="F2F2F2" w:themeFill="background1" w:themeFillShade="F2"/>
          </w:tcPr>
          <w:p w14:paraId="5E332AD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(0.01)</w:t>
            </w:r>
          </w:p>
        </w:tc>
        <w:tc>
          <w:tcPr>
            <w:tcW w:w="992" w:type="dxa"/>
            <w:shd w:val="clear" w:color="auto" w:fill="F2F2F2" w:themeFill="background1" w:themeFillShade="F2"/>
          </w:tcPr>
          <w:p w14:paraId="6BFFC52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(0.01)</w:t>
            </w:r>
          </w:p>
        </w:tc>
        <w:tc>
          <w:tcPr>
            <w:tcW w:w="992" w:type="dxa"/>
            <w:shd w:val="clear" w:color="auto" w:fill="F2F2F2" w:themeFill="background1" w:themeFillShade="F2"/>
          </w:tcPr>
          <w:p w14:paraId="4E3B992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(0.01)</w:t>
            </w:r>
          </w:p>
        </w:tc>
        <w:tc>
          <w:tcPr>
            <w:tcW w:w="992" w:type="dxa"/>
            <w:shd w:val="clear" w:color="auto" w:fill="F2F2F2" w:themeFill="background1" w:themeFillShade="F2"/>
          </w:tcPr>
          <w:p w14:paraId="5F7020B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(0.01)</w:t>
            </w:r>
          </w:p>
        </w:tc>
        <w:tc>
          <w:tcPr>
            <w:tcW w:w="993" w:type="dxa"/>
            <w:shd w:val="clear" w:color="auto" w:fill="F2F2F2" w:themeFill="background1" w:themeFillShade="F2"/>
          </w:tcPr>
          <w:p w14:paraId="6BA5319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(0.01)</w:t>
            </w:r>
          </w:p>
        </w:tc>
      </w:tr>
      <w:tr w:rsidR="00B65FE6" w:rsidRPr="00C051DC" w14:paraId="36205F0D" w14:textId="77777777" w:rsidTr="00F82322">
        <w:trPr>
          <w:trHeight w:val="359"/>
        </w:trPr>
        <w:tc>
          <w:tcPr>
            <w:tcW w:w="2263" w:type="dxa"/>
            <w:shd w:val="clear" w:color="auto" w:fill="F2F2F2" w:themeFill="background1" w:themeFillShade="F2"/>
          </w:tcPr>
          <w:p w14:paraId="31BF9BF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Media Use (Ref=</w:t>
            </w:r>
            <w:r w:rsidRPr="00C051DC">
              <w:rPr>
                <w:rFonts w:cs="Segoe UI"/>
                <w:i/>
                <w:sz w:val="20"/>
                <w:szCs w:val="20"/>
                <w:highlight w:val="yellow"/>
                <w:lang w:val="en-US"/>
              </w:rPr>
              <w:t>None</w:t>
            </w:r>
            <w:r w:rsidRPr="00C051DC">
              <w:rPr>
                <w:rFonts w:cs="Segoe UI"/>
                <w:sz w:val="20"/>
                <w:szCs w:val="20"/>
                <w:highlight w:val="yellow"/>
                <w:lang w:val="en-US"/>
              </w:rPr>
              <w:t>)</w:t>
            </w:r>
          </w:p>
        </w:tc>
        <w:tc>
          <w:tcPr>
            <w:tcW w:w="993" w:type="dxa"/>
            <w:shd w:val="clear" w:color="auto" w:fill="F2F2F2" w:themeFill="background1" w:themeFillShade="F2"/>
          </w:tcPr>
          <w:p w14:paraId="1ECEBB8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BFC11D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1046288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E8C687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1B90F01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22570E8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shd w:val="clear" w:color="auto" w:fill="F2F2F2" w:themeFill="background1" w:themeFillShade="F2"/>
          </w:tcPr>
          <w:p w14:paraId="00D4192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3D66A3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33B50FB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42938C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C73D47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02AB304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7C67D34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5C92D20E" w14:textId="77777777" w:rsidTr="00F82322">
        <w:trPr>
          <w:trHeight w:val="359"/>
        </w:trPr>
        <w:tc>
          <w:tcPr>
            <w:tcW w:w="2263" w:type="dxa"/>
            <w:shd w:val="clear" w:color="auto" w:fill="F2F2F2" w:themeFill="background1" w:themeFillShade="F2"/>
          </w:tcPr>
          <w:p w14:paraId="12EB38A3"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1-4 Sources</w:t>
            </w:r>
          </w:p>
        </w:tc>
        <w:tc>
          <w:tcPr>
            <w:tcW w:w="993" w:type="dxa"/>
            <w:shd w:val="clear" w:color="auto" w:fill="F2F2F2" w:themeFill="background1" w:themeFillShade="F2"/>
          </w:tcPr>
          <w:p w14:paraId="64E8808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698C26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D666B5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0.39***</w:t>
            </w:r>
          </w:p>
          <w:p w14:paraId="0D31C45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tc>
        <w:tc>
          <w:tcPr>
            <w:tcW w:w="992" w:type="dxa"/>
            <w:shd w:val="clear" w:color="auto" w:fill="F2F2F2" w:themeFill="background1" w:themeFillShade="F2"/>
          </w:tcPr>
          <w:p w14:paraId="4946640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2C77FDE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1254DB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0.37***</w:t>
            </w:r>
          </w:p>
          <w:p w14:paraId="5C7AF00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tc>
        <w:tc>
          <w:tcPr>
            <w:tcW w:w="992" w:type="dxa"/>
            <w:tcBorders>
              <w:left w:val="single" w:sz="4" w:space="0" w:color="auto"/>
            </w:tcBorders>
            <w:shd w:val="clear" w:color="auto" w:fill="F2F2F2" w:themeFill="background1" w:themeFillShade="F2"/>
          </w:tcPr>
          <w:p w14:paraId="73581BE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0.44***</w:t>
            </w:r>
          </w:p>
          <w:p w14:paraId="16327BE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29C9103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0.44***</w:t>
            </w:r>
          </w:p>
          <w:p w14:paraId="21809F2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3" w:type="dxa"/>
            <w:shd w:val="clear" w:color="auto" w:fill="F2F2F2" w:themeFill="background1" w:themeFillShade="F2"/>
          </w:tcPr>
          <w:p w14:paraId="5E67188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0.44***</w:t>
            </w:r>
          </w:p>
          <w:p w14:paraId="3423C53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5B5172D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0.44***</w:t>
            </w:r>
          </w:p>
          <w:p w14:paraId="5EB0AF1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3B39527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0.44***</w:t>
            </w:r>
          </w:p>
          <w:p w14:paraId="211E05B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17CDE67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0.44***</w:t>
            </w:r>
          </w:p>
          <w:p w14:paraId="510F4AC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3" w:type="dxa"/>
            <w:shd w:val="clear" w:color="auto" w:fill="F2F2F2" w:themeFill="background1" w:themeFillShade="F2"/>
          </w:tcPr>
          <w:p w14:paraId="52B4B58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0.44***</w:t>
            </w:r>
          </w:p>
          <w:p w14:paraId="79A57BF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r>
      <w:tr w:rsidR="00B65FE6" w:rsidRPr="00C051DC" w14:paraId="14BA906F" w14:textId="77777777" w:rsidTr="00F82322">
        <w:trPr>
          <w:trHeight w:val="359"/>
        </w:trPr>
        <w:tc>
          <w:tcPr>
            <w:tcW w:w="2263" w:type="dxa"/>
            <w:shd w:val="clear" w:color="auto" w:fill="F2F2F2" w:themeFill="background1" w:themeFillShade="F2"/>
          </w:tcPr>
          <w:p w14:paraId="07915CFF"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 xml:space="preserve">5+ Sources </w:t>
            </w:r>
          </w:p>
        </w:tc>
        <w:tc>
          <w:tcPr>
            <w:tcW w:w="993" w:type="dxa"/>
            <w:shd w:val="clear" w:color="auto" w:fill="F2F2F2" w:themeFill="background1" w:themeFillShade="F2"/>
          </w:tcPr>
          <w:p w14:paraId="6EA96A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464652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A89AB1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0.47***</w:t>
            </w:r>
          </w:p>
          <w:p w14:paraId="1E75591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tc>
        <w:tc>
          <w:tcPr>
            <w:tcW w:w="992" w:type="dxa"/>
            <w:shd w:val="clear" w:color="auto" w:fill="F2F2F2" w:themeFill="background1" w:themeFillShade="F2"/>
          </w:tcPr>
          <w:p w14:paraId="16E68E2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25E7879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3E49928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0.45***</w:t>
            </w:r>
          </w:p>
          <w:p w14:paraId="2786593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6819AA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0.55***</w:t>
            </w:r>
          </w:p>
          <w:p w14:paraId="3BBF7AC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3BD4EF1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0.55***</w:t>
            </w:r>
          </w:p>
          <w:p w14:paraId="72E623C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3" w:type="dxa"/>
            <w:shd w:val="clear" w:color="auto" w:fill="F2F2F2" w:themeFill="background1" w:themeFillShade="F2"/>
          </w:tcPr>
          <w:p w14:paraId="01F8110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0.55***</w:t>
            </w:r>
          </w:p>
          <w:p w14:paraId="24B294D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720588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0.55***</w:t>
            </w:r>
          </w:p>
          <w:p w14:paraId="595DF8E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0522033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0.55***</w:t>
            </w:r>
          </w:p>
          <w:p w14:paraId="04E149C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51D7AB4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0.55***</w:t>
            </w:r>
          </w:p>
          <w:p w14:paraId="59D3DE0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3" w:type="dxa"/>
            <w:shd w:val="clear" w:color="auto" w:fill="F2F2F2" w:themeFill="background1" w:themeFillShade="F2"/>
          </w:tcPr>
          <w:p w14:paraId="2FF879D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0.55***</w:t>
            </w:r>
          </w:p>
          <w:p w14:paraId="6A67371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r>
      <w:tr w:rsidR="00B65FE6" w:rsidRPr="00C051DC" w14:paraId="170C6583" w14:textId="77777777" w:rsidTr="00F82322">
        <w:trPr>
          <w:trHeight w:val="359"/>
        </w:trPr>
        <w:tc>
          <w:tcPr>
            <w:tcW w:w="2263" w:type="dxa"/>
          </w:tcPr>
          <w:p w14:paraId="5443A294"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r w:rsidRPr="00C051DC">
              <w:rPr>
                <w:rFonts w:cs="Segoe UI"/>
                <w:b/>
                <w:sz w:val="20"/>
                <w:szCs w:val="20"/>
                <w:highlight w:val="yellow"/>
                <w:lang w:val="en-US"/>
              </w:rPr>
              <w:t>Social Capital</w:t>
            </w:r>
          </w:p>
        </w:tc>
        <w:tc>
          <w:tcPr>
            <w:tcW w:w="993" w:type="dxa"/>
          </w:tcPr>
          <w:p w14:paraId="41C0E0B5"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1F794A89"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tcPr>
          <w:p w14:paraId="0B2D27E3"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tcPr>
          <w:p w14:paraId="5E5FF931"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3" w:type="dxa"/>
          </w:tcPr>
          <w:p w14:paraId="22E7C2D1"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right w:val="single" w:sz="4" w:space="0" w:color="auto"/>
            </w:tcBorders>
          </w:tcPr>
          <w:p w14:paraId="302982A0"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left w:val="single" w:sz="4" w:space="0" w:color="auto"/>
            </w:tcBorders>
          </w:tcPr>
          <w:p w14:paraId="4384FE87"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6025690B"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163BA955"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09DBEFA8"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5585C856"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08636FF3"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69CA758C"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r>
      <w:tr w:rsidR="00B65FE6" w:rsidRPr="00C051DC" w14:paraId="1479AB88" w14:textId="77777777" w:rsidTr="00F82322">
        <w:trPr>
          <w:trHeight w:val="359"/>
        </w:trPr>
        <w:tc>
          <w:tcPr>
            <w:tcW w:w="2263" w:type="dxa"/>
          </w:tcPr>
          <w:p w14:paraId="519F0A6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 xml:space="preserve">Trust (Ref = </w:t>
            </w:r>
            <w:r w:rsidRPr="00C051DC">
              <w:rPr>
                <w:rFonts w:cs="Segoe UI"/>
                <w:i/>
                <w:sz w:val="20"/>
                <w:szCs w:val="20"/>
                <w:highlight w:val="yellow"/>
                <w:lang w:val="en-US"/>
              </w:rPr>
              <w:t>can’t be trusted</w:t>
            </w:r>
            <w:r w:rsidRPr="00C051DC">
              <w:rPr>
                <w:rFonts w:cs="Segoe UI"/>
                <w:sz w:val="20"/>
                <w:szCs w:val="20"/>
                <w:highlight w:val="yellow"/>
                <w:lang w:val="en-US"/>
              </w:rPr>
              <w:t>)</w:t>
            </w:r>
          </w:p>
        </w:tc>
        <w:tc>
          <w:tcPr>
            <w:tcW w:w="993" w:type="dxa"/>
          </w:tcPr>
          <w:p w14:paraId="5D5F44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2ACDDAE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652CDB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1A9E4F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0DC2375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6ED0F8D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61E8195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 (0.01)</w:t>
            </w:r>
          </w:p>
        </w:tc>
        <w:tc>
          <w:tcPr>
            <w:tcW w:w="992" w:type="dxa"/>
            <w:tcBorders>
              <w:left w:val="single" w:sz="4" w:space="0" w:color="auto"/>
            </w:tcBorders>
          </w:tcPr>
          <w:p w14:paraId="2020FD8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(0.03)</w:t>
            </w:r>
          </w:p>
        </w:tc>
        <w:tc>
          <w:tcPr>
            <w:tcW w:w="992" w:type="dxa"/>
          </w:tcPr>
          <w:p w14:paraId="2CAB764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(0.03)</w:t>
            </w:r>
          </w:p>
        </w:tc>
        <w:tc>
          <w:tcPr>
            <w:tcW w:w="993" w:type="dxa"/>
          </w:tcPr>
          <w:p w14:paraId="48E5E8F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(0.03)</w:t>
            </w:r>
          </w:p>
        </w:tc>
        <w:tc>
          <w:tcPr>
            <w:tcW w:w="992" w:type="dxa"/>
          </w:tcPr>
          <w:p w14:paraId="3726739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(0.03)</w:t>
            </w:r>
          </w:p>
        </w:tc>
        <w:tc>
          <w:tcPr>
            <w:tcW w:w="992" w:type="dxa"/>
          </w:tcPr>
          <w:p w14:paraId="592E36D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(0.03)</w:t>
            </w:r>
          </w:p>
        </w:tc>
        <w:tc>
          <w:tcPr>
            <w:tcW w:w="992" w:type="dxa"/>
          </w:tcPr>
          <w:p w14:paraId="5CFB742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(0.03)</w:t>
            </w:r>
          </w:p>
        </w:tc>
        <w:tc>
          <w:tcPr>
            <w:tcW w:w="993" w:type="dxa"/>
          </w:tcPr>
          <w:p w14:paraId="35A4F5E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 (0.03)</w:t>
            </w:r>
          </w:p>
        </w:tc>
      </w:tr>
      <w:tr w:rsidR="00B65FE6" w:rsidRPr="00C051DC" w14:paraId="723A56DE" w14:textId="77777777" w:rsidTr="00F82322">
        <w:trPr>
          <w:trHeight w:val="359"/>
        </w:trPr>
        <w:tc>
          <w:tcPr>
            <w:tcW w:w="2263" w:type="dxa"/>
          </w:tcPr>
          <w:p w14:paraId="1AB63E6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Institutional Trust (1-10)</w:t>
            </w:r>
          </w:p>
        </w:tc>
        <w:tc>
          <w:tcPr>
            <w:tcW w:w="993" w:type="dxa"/>
          </w:tcPr>
          <w:p w14:paraId="5C83A4A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41510C0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D46AB6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B2A5FD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23AC8C2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2D88CF1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747D7DE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D54950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Borders>
              <w:left w:val="single" w:sz="4" w:space="0" w:color="auto"/>
            </w:tcBorders>
          </w:tcPr>
          <w:p w14:paraId="00E64D1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1E27540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65CE612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971589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4C6064F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290EE00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3AB452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2D333F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6B7D9B7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4CC307E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71137F6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140CC6F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49393B6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3A8EA8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r>
      <w:tr w:rsidR="00B65FE6" w:rsidRPr="00C051DC" w14:paraId="5A1EA7E2" w14:textId="77777777" w:rsidTr="00F82322">
        <w:trPr>
          <w:trHeight w:val="359"/>
        </w:trPr>
        <w:tc>
          <w:tcPr>
            <w:tcW w:w="2263" w:type="dxa"/>
          </w:tcPr>
          <w:p w14:paraId="43237F5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 xml:space="preserve">Group Membership (ref = </w:t>
            </w:r>
            <w:r w:rsidRPr="00C051DC">
              <w:rPr>
                <w:rFonts w:cs="Segoe UI"/>
                <w:i/>
                <w:sz w:val="20"/>
                <w:szCs w:val="20"/>
                <w:highlight w:val="yellow"/>
                <w:lang w:val="en-US"/>
              </w:rPr>
              <w:t>None</w:t>
            </w:r>
            <w:r w:rsidRPr="00C051DC">
              <w:rPr>
                <w:rFonts w:cs="Segoe UI"/>
                <w:sz w:val="20"/>
                <w:szCs w:val="20"/>
                <w:highlight w:val="yellow"/>
                <w:lang w:val="en-US"/>
              </w:rPr>
              <w:t>)</w:t>
            </w:r>
          </w:p>
        </w:tc>
        <w:tc>
          <w:tcPr>
            <w:tcW w:w="993" w:type="dxa"/>
          </w:tcPr>
          <w:p w14:paraId="43D89CF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6809CB2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AC4605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AB04E5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18B9E83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2F0EA84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tcPr>
          <w:p w14:paraId="605A6FE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0883CF0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43AA1EC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706B8CF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690B9CF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7D90D92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38E8E82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58C4F064" w14:textId="77777777" w:rsidTr="00F82322">
        <w:trPr>
          <w:trHeight w:val="359"/>
        </w:trPr>
        <w:tc>
          <w:tcPr>
            <w:tcW w:w="2263" w:type="dxa"/>
          </w:tcPr>
          <w:p w14:paraId="651B7E23"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One</w:t>
            </w:r>
          </w:p>
        </w:tc>
        <w:tc>
          <w:tcPr>
            <w:tcW w:w="993" w:type="dxa"/>
          </w:tcPr>
          <w:p w14:paraId="6AC2FA4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5084F6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ADB2BE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5306F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2E2E692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tcPr>
          <w:p w14:paraId="4584F9D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1971DD4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40422E9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Borders>
              <w:left w:val="single" w:sz="4" w:space="0" w:color="auto"/>
            </w:tcBorders>
          </w:tcPr>
          <w:p w14:paraId="4602ACE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6FB0D7E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6E58015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4138AF5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tcPr>
          <w:p w14:paraId="36AB67C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68B85E6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040BA3D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4D98341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6312FB7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6A451AE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78251B1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428DAD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tcPr>
          <w:p w14:paraId="505281B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8484D2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r>
      <w:tr w:rsidR="00B65FE6" w:rsidRPr="00C051DC" w14:paraId="30F58F45" w14:textId="77777777" w:rsidTr="00F82322">
        <w:trPr>
          <w:trHeight w:val="359"/>
        </w:trPr>
        <w:tc>
          <w:tcPr>
            <w:tcW w:w="2263" w:type="dxa"/>
          </w:tcPr>
          <w:p w14:paraId="164705A5"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Two or more</w:t>
            </w:r>
          </w:p>
        </w:tc>
        <w:tc>
          <w:tcPr>
            <w:tcW w:w="993" w:type="dxa"/>
          </w:tcPr>
          <w:p w14:paraId="3DB0523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304E3E6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4BCC10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845C13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-0.18***</w:t>
            </w:r>
          </w:p>
          <w:p w14:paraId="47126A7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tcPr>
          <w:p w14:paraId="288B515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03BD397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-0.18***</w:t>
            </w:r>
          </w:p>
          <w:p w14:paraId="0D52A4E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Borders>
              <w:left w:val="single" w:sz="4" w:space="0" w:color="auto"/>
            </w:tcBorders>
          </w:tcPr>
          <w:p w14:paraId="368C48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3EC0346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6EA83F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792F59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tcPr>
          <w:p w14:paraId="6BE3E3B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20A4B39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698B3B8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D771A9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7D449C7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C33CAF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79FD322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0178E6C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tcPr>
          <w:p w14:paraId="1639D1D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333B00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r>
      <w:tr w:rsidR="00B65FE6" w:rsidRPr="00C051DC" w14:paraId="110D26F4" w14:textId="77777777" w:rsidTr="00F82322">
        <w:trPr>
          <w:trHeight w:val="359"/>
        </w:trPr>
        <w:tc>
          <w:tcPr>
            <w:tcW w:w="2263" w:type="dxa"/>
            <w:shd w:val="clear" w:color="auto" w:fill="F2F2F2" w:themeFill="background1" w:themeFillShade="F2"/>
          </w:tcPr>
          <w:p w14:paraId="57861033" w14:textId="77777777" w:rsidR="00B65FE6" w:rsidRPr="00C051DC" w:rsidRDefault="00B65FE6" w:rsidP="00737428">
            <w:pPr>
              <w:widowControl w:val="0"/>
              <w:autoSpaceDE w:val="0"/>
              <w:autoSpaceDN w:val="0"/>
              <w:adjustRightInd w:val="0"/>
              <w:spacing w:before="0" w:line="240" w:lineRule="auto"/>
              <w:rPr>
                <w:rFonts w:cs="Segoe UI"/>
                <w:b/>
                <w:sz w:val="20"/>
                <w:szCs w:val="20"/>
                <w:highlight w:val="yellow"/>
                <w:lang w:val="en-US"/>
              </w:rPr>
            </w:pPr>
            <w:r w:rsidRPr="00C051DC">
              <w:rPr>
                <w:rFonts w:cs="Segoe UI"/>
                <w:b/>
                <w:sz w:val="20"/>
                <w:szCs w:val="20"/>
                <w:highlight w:val="yellow"/>
                <w:lang w:val="en-US"/>
              </w:rPr>
              <w:t>Religion</w:t>
            </w:r>
          </w:p>
        </w:tc>
        <w:tc>
          <w:tcPr>
            <w:tcW w:w="993" w:type="dxa"/>
            <w:shd w:val="clear" w:color="auto" w:fill="F2F2F2" w:themeFill="background1" w:themeFillShade="F2"/>
          </w:tcPr>
          <w:p w14:paraId="4D284EF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1E6A3CC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CAAC9C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F0CB50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558AD66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4A4FA15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shd w:val="clear" w:color="auto" w:fill="F2F2F2" w:themeFill="background1" w:themeFillShade="F2"/>
          </w:tcPr>
          <w:p w14:paraId="6BEDF08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22316E6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5D64DC3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0160839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EA61E3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5E2DBD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1B185F4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6E082018" w14:textId="77777777" w:rsidTr="00F82322">
        <w:trPr>
          <w:trHeight w:val="359"/>
        </w:trPr>
        <w:tc>
          <w:tcPr>
            <w:tcW w:w="2263" w:type="dxa"/>
            <w:shd w:val="clear" w:color="auto" w:fill="F2F2F2" w:themeFill="background1" w:themeFillShade="F2"/>
          </w:tcPr>
          <w:p w14:paraId="409C1C8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 xml:space="preserve">Religiosity (1-10) </w:t>
            </w:r>
          </w:p>
        </w:tc>
        <w:tc>
          <w:tcPr>
            <w:tcW w:w="993" w:type="dxa"/>
            <w:shd w:val="clear" w:color="auto" w:fill="F2F2F2" w:themeFill="background1" w:themeFillShade="F2"/>
          </w:tcPr>
          <w:p w14:paraId="3FFF689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45C6B3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288A925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71E1B7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091116C7" w14:textId="5A36F49D" w:rsidR="00B65FE6" w:rsidRPr="00C051DC" w:rsidRDefault="00F50C2B"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00B65FE6" w:rsidRPr="00C051DC">
              <w:rPr>
                <w:rFonts w:cs="Segoe UI"/>
                <w:sz w:val="20"/>
                <w:szCs w:val="20"/>
                <w:highlight w:val="yellow"/>
                <w:lang w:val="en-US"/>
              </w:rPr>
              <w:t>***</w:t>
            </w:r>
          </w:p>
          <w:p w14:paraId="6FA382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right w:val="single" w:sz="4" w:space="0" w:color="auto"/>
            </w:tcBorders>
            <w:shd w:val="clear" w:color="auto" w:fill="F2F2F2" w:themeFill="background1" w:themeFillShade="F2"/>
          </w:tcPr>
          <w:p w14:paraId="6ED7D02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685A3F4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Borders>
              <w:left w:val="single" w:sz="4" w:space="0" w:color="auto"/>
            </w:tcBorders>
            <w:shd w:val="clear" w:color="auto" w:fill="F2F2F2" w:themeFill="background1" w:themeFillShade="F2"/>
          </w:tcPr>
          <w:p w14:paraId="6939E35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6CD3D0C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14FC6CE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2E9DBD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shd w:val="clear" w:color="auto" w:fill="F2F2F2" w:themeFill="background1" w:themeFillShade="F2"/>
          </w:tcPr>
          <w:p w14:paraId="50A29FD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9DBD14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50F9660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ACB88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3D459F3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2FAF90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61310D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1F07C1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shd w:val="clear" w:color="auto" w:fill="F2F2F2" w:themeFill="background1" w:themeFillShade="F2"/>
          </w:tcPr>
          <w:p w14:paraId="71D5584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20A827B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r>
      <w:tr w:rsidR="00B65FE6" w:rsidRPr="00C051DC" w14:paraId="7E5CDF54" w14:textId="77777777" w:rsidTr="00F82322">
        <w:trPr>
          <w:trHeight w:val="359"/>
        </w:trPr>
        <w:tc>
          <w:tcPr>
            <w:tcW w:w="2263" w:type="dxa"/>
            <w:shd w:val="clear" w:color="auto" w:fill="F2F2F2" w:themeFill="background1" w:themeFillShade="F2"/>
          </w:tcPr>
          <w:p w14:paraId="48C434A6" w14:textId="77777777" w:rsidR="00B65FE6" w:rsidRPr="00C051DC" w:rsidRDefault="00B65FE6" w:rsidP="00737428">
            <w:pPr>
              <w:spacing w:line="240" w:lineRule="auto"/>
              <w:rPr>
                <w:rFonts w:cs="Segoe UI"/>
                <w:sz w:val="20"/>
                <w:szCs w:val="20"/>
                <w:highlight w:val="yellow"/>
              </w:rPr>
            </w:pPr>
            <w:r w:rsidRPr="00C051DC">
              <w:rPr>
                <w:rFonts w:cs="Segoe UI"/>
                <w:sz w:val="20"/>
                <w:szCs w:val="20"/>
                <w:highlight w:val="yellow"/>
              </w:rPr>
              <w:t xml:space="preserve">Religion (Ref = </w:t>
            </w:r>
            <w:r w:rsidRPr="00C051DC">
              <w:rPr>
                <w:rFonts w:cs="Segoe UI"/>
                <w:i/>
                <w:sz w:val="20"/>
                <w:szCs w:val="20"/>
                <w:highlight w:val="yellow"/>
              </w:rPr>
              <w:t>None</w:t>
            </w:r>
            <w:r w:rsidRPr="00C051DC">
              <w:rPr>
                <w:rFonts w:cs="Segoe UI"/>
                <w:sz w:val="20"/>
                <w:szCs w:val="20"/>
                <w:highlight w:val="yellow"/>
              </w:rPr>
              <w:t>)</w:t>
            </w:r>
          </w:p>
        </w:tc>
        <w:tc>
          <w:tcPr>
            <w:tcW w:w="993" w:type="dxa"/>
            <w:shd w:val="clear" w:color="auto" w:fill="F2F2F2" w:themeFill="background1" w:themeFillShade="F2"/>
          </w:tcPr>
          <w:p w14:paraId="2A24AEEE"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5C57A625"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shd w:val="clear" w:color="auto" w:fill="F2F2F2" w:themeFill="background1" w:themeFillShade="F2"/>
          </w:tcPr>
          <w:p w14:paraId="298DB06F"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shd w:val="clear" w:color="auto" w:fill="F2F2F2" w:themeFill="background1" w:themeFillShade="F2"/>
          </w:tcPr>
          <w:p w14:paraId="3BB667BE"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3" w:type="dxa"/>
            <w:shd w:val="clear" w:color="auto" w:fill="F2F2F2" w:themeFill="background1" w:themeFillShade="F2"/>
          </w:tcPr>
          <w:p w14:paraId="5FB6C08F"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0106144E"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left w:val="single" w:sz="4" w:space="0" w:color="auto"/>
            </w:tcBorders>
            <w:shd w:val="clear" w:color="auto" w:fill="F2F2F2" w:themeFill="background1" w:themeFillShade="F2"/>
          </w:tcPr>
          <w:p w14:paraId="6145AC75"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48F5E038"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shd w:val="clear" w:color="auto" w:fill="F2F2F2" w:themeFill="background1" w:themeFillShade="F2"/>
          </w:tcPr>
          <w:p w14:paraId="1BA78FE0"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06473B73"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75C071A8"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72D533C9"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shd w:val="clear" w:color="auto" w:fill="F2F2F2" w:themeFill="background1" w:themeFillShade="F2"/>
          </w:tcPr>
          <w:p w14:paraId="7830ACAA"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r>
      <w:tr w:rsidR="00B65FE6" w:rsidRPr="00C051DC" w14:paraId="1EE46893" w14:textId="77777777" w:rsidTr="00F82322">
        <w:trPr>
          <w:trHeight w:val="359"/>
        </w:trPr>
        <w:tc>
          <w:tcPr>
            <w:tcW w:w="2263" w:type="dxa"/>
            <w:shd w:val="clear" w:color="auto" w:fill="F2F2F2" w:themeFill="background1" w:themeFillShade="F2"/>
          </w:tcPr>
          <w:p w14:paraId="4BF0972C"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Catholic</w:t>
            </w:r>
          </w:p>
        </w:tc>
        <w:tc>
          <w:tcPr>
            <w:tcW w:w="993" w:type="dxa"/>
            <w:shd w:val="clear" w:color="auto" w:fill="F2F2F2" w:themeFill="background1" w:themeFillShade="F2"/>
          </w:tcPr>
          <w:p w14:paraId="67E43DF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3A2AE5E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1AC3BF3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28A8B9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781958E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-0.12***</w:t>
            </w:r>
          </w:p>
          <w:p w14:paraId="7F7448D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right w:val="single" w:sz="4" w:space="0" w:color="auto"/>
            </w:tcBorders>
            <w:shd w:val="clear" w:color="auto" w:fill="F2F2F2" w:themeFill="background1" w:themeFillShade="F2"/>
          </w:tcPr>
          <w:p w14:paraId="2B1C5A4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79BFD90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left w:val="single" w:sz="4" w:space="0" w:color="auto"/>
            </w:tcBorders>
            <w:shd w:val="clear" w:color="auto" w:fill="F2F2F2" w:themeFill="background1" w:themeFillShade="F2"/>
          </w:tcPr>
          <w:p w14:paraId="4FF541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0ECC639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52164F1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3CE5AD2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3" w:type="dxa"/>
            <w:shd w:val="clear" w:color="auto" w:fill="F2F2F2" w:themeFill="background1" w:themeFillShade="F2"/>
          </w:tcPr>
          <w:p w14:paraId="5231868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51034B4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066ABE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48173B5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3E4BCB0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7CB97AC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72A801F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325FC99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3" w:type="dxa"/>
            <w:shd w:val="clear" w:color="auto" w:fill="F2F2F2" w:themeFill="background1" w:themeFillShade="F2"/>
          </w:tcPr>
          <w:p w14:paraId="1FC507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64C9704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r>
      <w:tr w:rsidR="00B65FE6" w:rsidRPr="00C051DC" w14:paraId="32B52044" w14:textId="77777777" w:rsidTr="00F82322">
        <w:trPr>
          <w:trHeight w:val="359"/>
        </w:trPr>
        <w:tc>
          <w:tcPr>
            <w:tcW w:w="2263" w:type="dxa"/>
            <w:shd w:val="clear" w:color="auto" w:fill="F2F2F2" w:themeFill="background1" w:themeFillShade="F2"/>
          </w:tcPr>
          <w:p w14:paraId="3B8C85A7"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Protestant</w:t>
            </w:r>
          </w:p>
        </w:tc>
        <w:tc>
          <w:tcPr>
            <w:tcW w:w="993" w:type="dxa"/>
            <w:shd w:val="clear" w:color="auto" w:fill="F2F2F2" w:themeFill="background1" w:themeFillShade="F2"/>
          </w:tcPr>
          <w:p w14:paraId="18F01EA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ED3BA7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2BA6298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2092D00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3B4406D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3BC765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right w:val="single" w:sz="4" w:space="0" w:color="auto"/>
            </w:tcBorders>
            <w:shd w:val="clear" w:color="auto" w:fill="F2F2F2" w:themeFill="background1" w:themeFillShade="F2"/>
          </w:tcPr>
          <w:p w14:paraId="6B9E570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347D227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left w:val="single" w:sz="4" w:space="0" w:color="auto"/>
            </w:tcBorders>
            <w:shd w:val="clear" w:color="auto" w:fill="F2F2F2" w:themeFill="background1" w:themeFillShade="F2"/>
          </w:tcPr>
          <w:p w14:paraId="3F9F622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6084695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52CA619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390F753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3" w:type="dxa"/>
            <w:shd w:val="clear" w:color="auto" w:fill="F2F2F2" w:themeFill="background1" w:themeFillShade="F2"/>
          </w:tcPr>
          <w:p w14:paraId="210F924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6D6B471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479432D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B70814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461C930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5142492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76FCC7B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5A87797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3" w:type="dxa"/>
            <w:shd w:val="clear" w:color="auto" w:fill="F2F2F2" w:themeFill="background1" w:themeFillShade="F2"/>
          </w:tcPr>
          <w:p w14:paraId="1A4AF7E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91481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r>
      <w:tr w:rsidR="00B65FE6" w:rsidRPr="00C051DC" w14:paraId="44EE5582" w14:textId="77777777" w:rsidTr="00F82322">
        <w:trPr>
          <w:trHeight w:val="359"/>
        </w:trPr>
        <w:tc>
          <w:tcPr>
            <w:tcW w:w="2263" w:type="dxa"/>
            <w:shd w:val="clear" w:color="auto" w:fill="F2F2F2" w:themeFill="background1" w:themeFillShade="F2"/>
          </w:tcPr>
          <w:p w14:paraId="69A38DFE"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Muslim</w:t>
            </w:r>
          </w:p>
        </w:tc>
        <w:tc>
          <w:tcPr>
            <w:tcW w:w="993" w:type="dxa"/>
            <w:shd w:val="clear" w:color="auto" w:fill="F2F2F2" w:themeFill="background1" w:themeFillShade="F2"/>
          </w:tcPr>
          <w:p w14:paraId="428B397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2277AA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F99CB0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7A0FEFA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506A384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15FDEE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right w:val="single" w:sz="4" w:space="0" w:color="auto"/>
            </w:tcBorders>
            <w:shd w:val="clear" w:color="auto" w:fill="F2F2F2" w:themeFill="background1" w:themeFillShade="F2"/>
          </w:tcPr>
          <w:p w14:paraId="49BF4E1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4B22DE5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Borders>
              <w:left w:val="single" w:sz="4" w:space="0" w:color="auto"/>
            </w:tcBorders>
            <w:shd w:val="clear" w:color="auto" w:fill="F2F2F2" w:themeFill="background1" w:themeFillShade="F2"/>
          </w:tcPr>
          <w:p w14:paraId="13B83BE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1DDE91F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7E91848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2F96B8F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3" w:type="dxa"/>
            <w:shd w:val="clear" w:color="auto" w:fill="F2F2F2" w:themeFill="background1" w:themeFillShade="F2"/>
          </w:tcPr>
          <w:p w14:paraId="4442A7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4C314B3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1A209E6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7069D28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26BF2BB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0EFDB44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35F9A74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45929A4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3" w:type="dxa"/>
            <w:shd w:val="clear" w:color="auto" w:fill="F2F2F2" w:themeFill="background1" w:themeFillShade="F2"/>
          </w:tcPr>
          <w:p w14:paraId="2435163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23A325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r>
      <w:tr w:rsidR="00B65FE6" w:rsidRPr="00C051DC" w14:paraId="1DC53A87" w14:textId="77777777" w:rsidTr="00F82322">
        <w:trPr>
          <w:trHeight w:val="359"/>
        </w:trPr>
        <w:tc>
          <w:tcPr>
            <w:tcW w:w="2263" w:type="dxa"/>
            <w:shd w:val="clear" w:color="auto" w:fill="F2F2F2" w:themeFill="background1" w:themeFillShade="F2"/>
          </w:tcPr>
          <w:p w14:paraId="065337DE"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Orthodox</w:t>
            </w:r>
          </w:p>
        </w:tc>
        <w:tc>
          <w:tcPr>
            <w:tcW w:w="993" w:type="dxa"/>
            <w:shd w:val="clear" w:color="auto" w:fill="F2F2F2" w:themeFill="background1" w:themeFillShade="F2"/>
          </w:tcPr>
          <w:p w14:paraId="4192F8B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3E5D7A9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233516C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46B87A6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2E3DC48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0.62***</w:t>
            </w:r>
          </w:p>
          <w:p w14:paraId="12A8239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Borders>
              <w:right w:val="single" w:sz="4" w:space="0" w:color="auto"/>
            </w:tcBorders>
            <w:shd w:val="clear" w:color="auto" w:fill="F2F2F2" w:themeFill="background1" w:themeFillShade="F2"/>
          </w:tcPr>
          <w:p w14:paraId="576B11F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419CA84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left w:val="single" w:sz="4" w:space="0" w:color="auto"/>
            </w:tcBorders>
            <w:shd w:val="clear" w:color="auto" w:fill="F2F2F2" w:themeFill="background1" w:themeFillShade="F2"/>
          </w:tcPr>
          <w:p w14:paraId="31EFFE6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5EFEF2F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75BB766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33BAE9C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3" w:type="dxa"/>
            <w:shd w:val="clear" w:color="auto" w:fill="F2F2F2" w:themeFill="background1" w:themeFillShade="F2"/>
          </w:tcPr>
          <w:p w14:paraId="24A710F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3843C5B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1B05482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34AE33B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1A02159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5D03519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shd w:val="clear" w:color="auto" w:fill="F2F2F2" w:themeFill="background1" w:themeFillShade="F2"/>
          </w:tcPr>
          <w:p w14:paraId="635D105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04491D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3" w:type="dxa"/>
            <w:shd w:val="clear" w:color="auto" w:fill="F2F2F2" w:themeFill="background1" w:themeFillShade="F2"/>
          </w:tcPr>
          <w:p w14:paraId="03EB17D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6CFF6B5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r>
      <w:tr w:rsidR="00B65FE6" w:rsidRPr="00C051DC" w14:paraId="7E59B44A" w14:textId="77777777" w:rsidTr="00F82322">
        <w:trPr>
          <w:trHeight w:val="359"/>
        </w:trPr>
        <w:tc>
          <w:tcPr>
            <w:tcW w:w="2263" w:type="dxa"/>
            <w:shd w:val="clear" w:color="auto" w:fill="F2F2F2" w:themeFill="background1" w:themeFillShade="F2"/>
          </w:tcPr>
          <w:p w14:paraId="32630BC2"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Buddhist</w:t>
            </w:r>
          </w:p>
        </w:tc>
        <w:tc>
          <w:tcPr>
            <w:tcW w:w="993" w:type="dxa"/>
            <w:shd w:val="clear" w:color="auto" w:fill="F2F2F2" w:themeFill="background1" w:themeFillShade="F2"/>
          </w:tcPr>
          <w:p w14:paraId="1CC6EC9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166F31E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42DA249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45BB6FA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42B6501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-0.88***</w:t>
            </w:r>
          </w:p>
          <w:p w14:paraId="672BBC6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right w:val="single" w:sz="4" w:space="0" w:color="auto"/>
            </w:tcBorders>
            <w:shd w:val="clear" w:color="auto" w:fill="F2F2F2" w:themeFill="background1" w:themeFillShade="F2"/>
          </w:tcPr>
          <w:p w14:paraId="13E795C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-0.88***</w:t>
            </w:r>
          </w:p>
          <w:p w14:paraId="3669F5B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1A055CE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5ACAE74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35189B2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0C056F7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3" w:type="dxa"/>
            <w:shd w:val="clear" w:color="auto" w:fill="F2F2F2" w:themeFill="background1" w:themeFillShade="F2"/>
          </w:tcPr>
          <w:p w14:paraId="47917CC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336C844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651B9B8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6F29FD3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38E497F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34A6251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64EA893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149F38A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3" w:type="dxa"/>
            <w:shd w:val="clear" w:color="auto" w:fill="F2F2F2" w:themeFill="background1" w:themeFillShade="F2"/>
          </w:tcPr>
          <w:p w14:paraId="3B4E576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477C15B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r>
      <w:tr w:rsidR="00B65FE6" w:rsidRPr="00C051DC" w14:paraId="227B051B" w14:textId="77777777" w:rsidTr="00F82322">
        <w:trPr>
          <w:trHeight w:val="359"/>
        </w:trPr>
        <w:tc>
          <w:tcPr>
            <w:tcW w:w="2263" w:type="dxa"/>
            <w:shd w:val="clear" w:color="auto" w:fill="F2F2F2" w:themeFill="background1" w:themeFillShade="F2"/>
          </w:tcPr>
          <w:p w14:paraId="52667E88"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Hindu</w:t>
            </w:r>
          </w:p>
        </w:tc>
        <w:tc>
          <w:tcPr>
            <w:tcW w:w="993" w:type="dxa"/>
            <w:shd w:val="clear" w:color="auto" w:fill="F2F2F2" w:themeFill="background1" w:themeFillShade="F2"/>
          </w:tcPr>
          <w:p w14:paraId="411106C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53E55F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0375A64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5377A8D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3094ED7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5C65B7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right w:val="single" w:sz="4" w:space="0" w:color="auto"/>
            </w:tcBorders>
            <w:shd w:val="clear" w:color="auto" w:fill="F2F2F2" w:themeFill="background1" w:themeFillShade="F2"/>
          </w:tcPr>
          <w:p w14:paraId="4539E2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58BFB4E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4D8B221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6DA7739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4C0B552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69CDC00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3" w:type="dxa"/>
            <w:shd w:val="clear" w:color="auto" w:fill="F2F2F2" w:themeFill="background1" w:themeFillShade="F2"/>
          </w:tcPr>
          <w:p w14:paraId="154BF19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1D7FA75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45436FA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471F123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0E0B8D5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6C39507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2" w:type="dxa"/>
            <w:shd w:val="clear" w:color="auto" w:fill="F2F2F2" w:themeFill="background1" w:themeFillShade="F2"/>
          </w:tcPr>
          <w:p w14:paraId="6DD1B31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20D1220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c>
          <w:tcPr>
            <w:tcW w:w="993" w:type="dxa"/>
            <w:shd w:val="clear" w:color="auto" w:fill="F2F2F2" w:themeFill="background1" w:themeFillShade="F2"/>
          </w:tcPr>
          <w:p w14:paraId="121211F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5A484B3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tc>
      </w:tr>
      <w:tr w:rsidR="00B65FE6" w:rsidRPr="00C051DC" w14:paraId="66EF90CB" w14:textId="77777777" w:rsidTr="00F82322">
        <w:trPr>
          <w:trHeight w:val="359"/>
        </w:trPr>
        <w:tc>
          <w:tcPr>
            <w:tcW w:w="2263" w:type="dxa"/>
            <w:shd w:val="clear" w:color="auto" w:fill="F2F2F2" w:themeFill="background1" w:themeFillShade="F2"/>
          </w:tcPr>
          <w:p w14:paraId="647F9B26"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Other</w:t>
            </w:r>
          </w:p>
        </w:tc>
        <w:tc>
          <w:tcPr>
            <w:tcW w:w="993" w:type="dxa"/>
            <w:shd w:val="clear" w:color="auto" w:fill="F2F2F2" w:themeFill="background1" w:themeFillShade="F2"/>
          </w:tcPr>
          <w:p w14:paraId="0E6FDF7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4DBB55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2BC8826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464075E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31F6E9E4" w14:textId="38B64459" w:rsidR="00B65FE6" w:rsidRPr="00C051DC" w:rsidRDefault="00F50C2B"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r w:rsidR="00B65FE6" w:rsidRPr="00C051DC">
              <w:rPr>
                <w:rFonts w:cs="Segoe UI"/>
                <w:sz w:val="20"/>
                <w:szCs w:val="20"/>
                <w:highlight w:val="yellow"/>
                <w:lang w:val="en-US"/>
              </w:rPr>
              <w:br/>
              <w:t>(0.03)</w:t>
            </w:r>
          </w:p>
        </w:tc>
        <w:tc>
          <w:tcPr>
            <w:tcW w:w="992" w:type="dxa"/>
            <w:tcBorders>
              <w:right w:val="single" w:sz="4" w:space="0" w:color="auto"/>
            </w:tcBorders>
            <w:shd w:val="clear" w:color="auto" w:fill="F2F2F2" w:themeFill="background1" w:themeFillShade="F2"/>
          </w:tcPr>
          <w:p w14:paraId="6877AFA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r w:rsidRPr="00C051DC">
              <w:rPr>
                <w:rFonts w:cs="Segoe UI"/>
                <w:sz w:val="20"/>
                <w:szCs w:val="20"/>
                <w:highlight w:val="yellow"/>
                <w:lang w:val="en-US"/>
              </w:rPr>
              <w:br/>
              <w:t>(0.03)</w:t>
            </w:r>
          </w:p>
        </w:tc>
        <w:tc>
          <w:tcPr>
            <w:tcW w:w="992" w:type="dxa"/>
            <w:tcBorders>
              <w:left w:val="single" w:sz="4" w:space="0" w:color="auto"/>
            </w:tcBorders>
            <w:shd w:val="clear" w:color="auto" w:fill="F2F2F2" w:themeFill="background1" w:themeFillShade="F2"/>
          </w:tcPr>
          <w:p w14:paraId="529ACC7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-0.11*</w:t>
            </w:r>
            <w:r w:rsidRPr="00C051DC">
              <w:rPr>
                <w:rFonts w:cs="Segoe UI"/>
                <w:sz w:val="20"/>
                <w:szCs w:val="20"/>
                <w:highlight w:val="yellow"/>
                <w:lang w:val="en-US"/>
              </w:rPr>
              <w:br/>
              <w:t>(0.05)</w:t>
            </w:r>
          </w:p>
        </w:tc>
        <w:tc>
          <w:tcPr>
            <w:tcW w:w="992" w:type="dxa"/>
            <w:shd w:val="clear" w:color="auto" w:fill="F2F2F2" w:themeFill="background1" w:themeFillShade="F2"/>
          </w:tcPr>
          <w:p w14:paraId="17A21A6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-0.11*</w:t>
            </w:r>
            <w:r w:rsidRPr="00C051DC">
              <w:rPr>
                <w:rFonts w:cs="Segoe UI"/>
                <w:sz w:val="20"/>
                <w:szCs w:val="20"/>
                <w:highlight w:val="yellow"/>
                <w:lang w:val="en-US"/>
              </w:rPr>
              <w:br/>
              <w:t>(0.05)</w:t>
            </w:r>
          </w:p>
        </w:tc>
        <w:tc>
          <w:tcPr>
            <w:tcW w:w="993" w:type="dxa"/>
            <w:shd w:val="clear" w:color="auto" w:fill="F2F2F2" w:themeFill="background1" w:themeFillShade="F2"/>
          </w:tcPr>
          <w:p w14:paraId="40DB342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-0.11*</w:t>
            </w:r>
            <w:r w:rsidRPr="00C051DC">
              <w:rPr>
                <w:rFonts w:cs="Segoe UI"/>
                <w:sz w:val="20"/>
                <w:szCs w:val="20"/>
                <w:highlight w:val="yellow"/>
                <w:lang w:val="en-US"/>
              </w:rPr>
              <w:br/>
              <w:t>(0.05)</w:t>
            </w:r>
          </w:p>
        </w:tc>
        <w:tc>
          <w:tcPr>
            <w:tcW w:w="992" w:type="dxa"/>
            <w:shd w:val="clear" w:color="auto" w:fill="F2F2F2" w:themeFill="background1" w:themeFillShade="F2"/>
          </w:tcPr>
          <w:p w14:paraId="346CEDD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-0.11*</w:t>
            </w:r>
            <w:r w:rsidRPr="00C051DC">
              <w:rPr>
                <w:rFonts w:cs="Segoe UI"/>
                <w:sz w:val="20"/>
                <w:szCs w:val="20"/>
                <w:highlight w:val="yellow"/>
                <w:lang w:val="en-US"/>
              </w:rPr>
              <w:br/>
              <w:t>(0.05)</w:t>
            </w:r>
          </w:p>
        </w:tc>
        <w:tc>
          <w:tcPr>
            <w:tcW w:w="992" w:type="dxa"/>
            <w:shd w:val="clear" w:color="auto" w:fill="F2F2F2" w:themeFill="background1" w:themeFillShade="F2"/>
          </w:tcPr>
          <w:p w14:paraId="51EC84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-0.11*</w:t>
            </w:r>
            <w:r w:rsidRPr="00C051DC">
              <w:rPr>
                <w:rFonts w:cs="Segoe UI"/>
                <w:sz w:val="20"/>
                <w:szCs w:val="20"/>
                <w:highlight w:val="yellow"/>
                <w:lang w:val="en-US"/>
              </w:rPr>
              <w:br/>
              <w:t>(0.05)</w:t>
            </w:r>
          </w:p>
        </w:tc>
        <w:tc>
          <w:tcPr>
            <w:tcW w:w="992" w:type="dxa"/>
            <w:shd w:val="clear" w:color="auto" w:fill="F2F2F2" w:themeFill="background1" w:themeFillShade="F2"/>
          </w:tcPr>
          <w:p w14:paraId="79B0964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-0.11*</w:t>
            </w:r>
            <w:r w:rsidRPr="00C051DC">
              <w:rPr>
                <w:rFonts w:cs="Segoe UI"/>
                <w:sz w:val="20"/>
                <w:szCs w:val="20"/>
                <w:highlight w:val="yellow"/>
                <w:lang w:val="en-US"/>
              </w:rPr>
              <w:br/>
              <w:t>(0.05)</w:t>
            </w:r>
          </w:p>
        </w:tc>
        <w:tc>
          <w:tcPr>
            <w:tcW w:w="993" w:type="dxa"/>
            <w:shd w:val="clear" w:color="auto" w:fill="F2F2F2" w:themeFill="background1" w:themeFillShade="F2"/>
          </w:tcPr>
          <w:p w14:paraId="0682E74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-0.11*</w:t>
            </w:r>
            <w:r w:rsidRPr="00C051DC">
              <w:rPr>
                <w:rFonts w:cs="Segoe UI"/>
                <w:sz w:val="20"/>
                <w:szCs w:val="20"/>
                <w:highlight w:val="yellow"/>
                <w:lang w:val="en-US"/>
              </w:rPr>
              <w:br/>
              <w:t>(0.05)</w:t>
            </w:r>
          </w:p>
        </w:tc>
      </w:tr>
      <w:tr w:rsidR="00B65FE6" w:rsidRPr="00C051DC" w14:paraId="0C772264" w14:textId="77777777" w:rsidTr="00F82322">
        <w:trPr>
          <w:trHeight w:val="359"/>
        </w:trPr>
        <w:tc>
          <w:tcPr>
            <w:tcW w:w="2263" w:type="dxa"/>
          </w:tcPr>
          <w:p w14:paraId="0F929B35" w14:textId="77777777" w:rsidR="00B65FE6" w:rsidRPr="00C051DC" w:rsidRDefault="00B65FE6" w:rsidP="00737428">
            <w:pPr>
              <w:widowControl w:val="0"/>
              <w:autoSpaceDE w:val="0"/>
              <w:autoSpaceDN w:val="0"/>
              <w:adjustRightInd w:val="0"/>
              <w:spacing w:before="0" w:line="240" w:lineRule="auto"/>
              <w:rPr>
                <w:rFonts w:cs="Segoe UI"/>
                <w:b/>
                <w:i/>
                <w:sz w:val="20"/>
                <w:szCs w:val="20"/>
                <w:highlight w:val="yellow"/>
                <w:lang w:val="en-US"/>
              </w:rPr>
            </w:pPr>
            <w:r w:rsidRPr="00C051DC">
              <w:rPr>
                <w:rFonts w:cs="Segoe UI"/>
                <w:b/>
                <w:i/>
                <w:sz w:val="20"/>
                <w:szCs w:val="20"/>
                <w:highlight w:val="yellow"/>
                <w:lang w:val="en-US"/>
              </w:rPr>
              <w:t>Country Level</w:t>
            </w:r>
          </w:p>
        </w:tc>
        <w:tc>
          <w:tcPr>
            <w:tcW w:w="993" w:type="dxa"/>
          </w:tcPr>
          <w:p w14:paraId="0659037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FE6C37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2E4D6B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00EE0D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5D4330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8B58F3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084439B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C675B0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41B054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BA7A0A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8CA472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317CCE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31D775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66A328FE" w14:textId="77777777" w:rsidTr="00F82322">
        <w:trPr>
          <w:trHeight w:val="359"/>
        </w:trPr>
        <w:tc>
          <w:tcPr>
            <w:tcW w:w="2263" w:type="dxa"/>
          </w:tcPr>
          <w:p w14:paraId="516F0023"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HDI (0-100)</w:t>
            </w:r>
          </w:p>
        </w:tc>
        <w:tc>
          <w:tcPr>
            <w:tcW w:w="993" w:type="dxa"/>
          </w:tcPr>
          <w:p w14:paraId="2A65263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576F9B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056F27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2A0AB4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8D799C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233897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5E2C6A3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8F3F30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71C064E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993" w:type="dxa"/>
          </w:tcPr>
          <w:p w14:paraId="7CED008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B3A6E3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BA259B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E57B9D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6820FC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733B820B" w14:textId="77777777" w:rsidTr="00F82322">
        <w:trPr>
          <w:trHeight w:val="359"/>
        </w:trPr>
        <w:tc>
          <w:tcPr>
            <w:tcW w:w="2263" w:type="dxa"/>
          </w:tcPr>
          <w:p w14:paraId="1C6875D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Press Freedom (0-100)</w:t>
            </w:r>
          </w:p>
        </w:tc>
        <w:tc>
          <w:tcPr>
            <w:tcW w:w="993" w:type="dxa"/>
          </w:tcPr>
          <w:p w14:paraId="6E7E4DB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E793D2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C2CC86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D1013C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CD340E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2F6EFEE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50356A8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C43FCD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74737A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122F6F1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992" w:type="dxa"/>
          </w:tcPr>
          <w:p w14:paraId="40C69D2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E86BC8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1FC449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5E026C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375B48B8" w14:textId="77777777" w:rsidTr="00F82322">
        <w:trPr>
          <w:trHeight w:val="359"/>
        </w:trPr>
        <w:tc>
          <w:tcPr>
            <w:tcW w:w="2263" w:type="dxa"/>
          </w:tcPr>
          <w:p w14:paraId="4CF8C839"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 xml:space="preserve">Communist (Ref = </w:t>
            </w:r>
            <w:r w:rsidRPr="00C051DC">
              <w:rPr>
                <w:rFonts w:cs="Segoe UI"/>
                <w:i/>
                <w:sz w:val="20"/>
                <w:szCs w:val="20"/>
                <w:highlight w:val="yellow"/>
                <w:lang w:val="en-US"/>
              </w:rPr>
              <w:t>not</w:t>
            </w:r>
            <w:r w:rsidRPr="00C051DC">
              <w:rPr>
                <w:rFonts w:cs="Segoe UI"/>
                <w:sz w:val="20"/>
                <w:szCs w:val="20"/>
                <w:highlight w:val="yellow"/>
                <w:lang w:val="en-US"/>
              </w:rPr>
              <w:t>)</w:t>
            </w:r>
          </w:p>
        </w:tc>
        <w:tc>
          <w:tcPr>
            <w:tcW w:w="993" w:type="dxa"/>
          </w:tcPr>
          <w:p w14:paraId="7F25FFA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FCDBEC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31C9DC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BDCB74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1D6FE12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681E790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7414E64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0D3974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060268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3B32D2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0.75***</w:t>
            </w:r>
          </w:p>
          <w:p w14:paraId="3BD7699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(0.19)</w:t>
            </w:r>
          </w:p>
        </w:tc>
        <w:tc>
          <w:tcPr>
            <w:tcW w:w="992" w:type="dxa"/>
          </w:tcPr>
          <w:p w14:paraId="51FB740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69F92D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2D097C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242E29F7" w14:textId="77777777" w:rsidTr="00F82322">
        <w:trPr>
          <w:trHeight w:val="359"/>
        </w:trPr>
        <w:tc>
          <w:tcPr>
            <w:tcW w:w="2263" w:type="dxa"/>
          </w:tcPr>
          <w:p w14:paraId="440180C0"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Democratic History (0-100)</w:t>
            </w:r>
          </w:p>
        </w:tc>
        <w:tc>
          <w:tcPr>
            <w:tcW w:w="993" w:type="dxa"/>
          </w:tcPr>
          <w:p w14:paraId="08B531A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A3E765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94F851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AB1526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FB399E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6824143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4B29B33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9CD284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E8E5FA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6F8E7F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5E85F5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6E9DD68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992" w:type="dxa"/>
          </w:tcPr>
          <w:p w14:paraId="383B0DA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C884E3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5886668F" w14:textId="77777777" w:rsidTr="00F82322">
        <w:trPr>
          <w:trHeight w:val="359"/>
        </w:trPr>
        <w:tc>
          <w:tcPr>
            <w:tcW w:w="2263" w:type="dxa"/>
          </w:tcPr>
          <w:p w14:paraId="1A0CBE3A"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Inequality (GINI) (0-100)</w:t>
            </w:r>
          </w:p>
        </w:tc>
        <w:tc>
          <w:tcPr>
            <w:tcW w:w="993" w:type="dxa"/>
          </w:tcPr>
          <w:p w14:paraId="75EA743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E791DD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77AECC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1D9FA5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2668F7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239B6FC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1D1ADB3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A5884E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0EE728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6AD314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D48A1D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675E41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43BB18B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993" w:type="dxa"/>
          </w:tcPr>
          <w:p w14:paraId="7BB1368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2104C898" w14:textId="77777777" w:rsidTr="00F82322">
        <w:trPr>
          <w:trHeight w:val="359"/>
        </w:trPr>
        <w:tc>
          <w:tcPr>
            <w:tcW w:w="2263" w:type="dxa"/>
          </w:tcPr>
          <w:p w14:paraId="371963BA"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 xml:space="preserve">Freedom House        (Ref = </w:t>
            </w:r>
            <w:r w:rsidRPr="00C051DC">
              <w:rPr>
                <w:rFonts w:cs="Segoe UI"/>
                <w:i/>
                <w:sz w:val="20"/>
                <w:szCs w:val="20"/>
                <w:highlight w:val="yellow"/>
                <w:lang w:val="en-US"/>
              </w:rPr>
              <w:t>Free</w:t>
            </w:r>
            <w:r w:rsidRPr="00C051DC">
              <w:rPr>
                <w:rFonts w:cs="Segoe UI"/>
                <w:sz w:val="20"/>
                <w:szCs w:val="20"/>
                <w:highlight w:val="yellow"/>
                <w:lang w:val="en-US"/>
              </w:rPr>
              <w:t>)</w:t>
            </w:r>
          </w:p>
        </w:tc>
        <w:tc>
          <w:tcPr>
            <w:tcW w:w="993" w:type="dxa"/>
          </w:tcPr>
          <w:p w14:paraId="6413A00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FEDFA2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7A1FE4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CA4193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E69559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A0625B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78E130A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2151ED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F4DB8D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3B7C3C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BDE765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06DF72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05AEE14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40ABD238" w14:textId="77777777" w:rsidTr="00F82322">
        <w:trPr>
          <w:trHeight w:val="359"/>
        </w:trPr>
        <w:tc>
          <w:tcPr>
            <w:tcW w:w="2263" w:type="dxa"/>
          </w:tcPr>
          <w:p w14:paraId="4F902F5B" w14:textId="77777777" w:rsidR="00B65FE6" w:rsidRPr="00C051DC" w:rsidRDefault="00B65FE6" w:rsidP="00737428">
            <w:pPr>
              <w:widowControl w:val="0"/>
              <w:autoSpaceDE w:val="0"/>
              <w:autoSpaceDN w:val="0"/>
              <w:adjustRightInd w:val="0"/>
              <w:spacing w:line="240" w:lineRule="auto"/>
              <w:rPr>
                <w:rFonts w:cs="Segoe UI"/>
                <w:i/>
                <w:sz w:val="20"/>
                <w:szCs w:val="20"/>
                <w:highlight w:val="yellow"/>
                <w:lang w:val="en-US"/>
              </w:rPr>
            </w:pPr>
            <w:r w:rsidRPr="00C051DC">
              <w:rPr>
                <w:rFonts w:cs="Segoe UI"/>
                <w:i/>
                <w:sz w:val="20"/>
                <w:szCs w:val="20"/>
                <w:highlight w:val="yellow"/>
                <w:lang w:val="en-US"/>
              </w:rPr>
              <w:t>Partly Free</w:t>
            </w:r>
          </w:p>
        </w:tc>
        <w:tc>
          <w:tcPr>
            <w:tcW w:w="993" w:type="dxa"/>
          </w:tcPr>
          <w:p w14:paraId="6975A27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0E71C2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D2FEB5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2646D6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71C4F6F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2C43E5B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43D11C2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83239F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9E5C5B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EDEDE4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7028A7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7859E1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C0EA30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-0.08</w:t>
            </w:r>
          </w:p>
          <w:p w14:paraId="189253F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(0.24)</w:t>
            </w:r>
          </w:p>
        </w:tc>
      </w:tr>
      <w:tr w:rsidR="00B65FE6" w:rsidRPr="00C051DC" w14:paraId="6391CC0F" w14:textId="77777777" w:rsidTr="00F82322">
        <w:trPr>
          <w:trHeight w:val="359"/>
        </w:trPr>
        <w:tc>
          <w:tcPr>
            <w:tcW w:w="2263" w:type="dxa"/>
          </w:tcPr>
          <w:p w14:paraId="1AAC7D9F" w14:textId="77777777" w:rsidR="00B65FE6" w:rsidRPr="00C051DC" w:rsidRDefault="00B65FE6" w:rsidP="00737428">
            <w:pPr>
              <w:widowControl w:val="0"/>
              <w:autoSpaceDE w:val="0"/>
              <w:autoSpaceDN w:val="0"/>
              <w:adjustRightInd w:val="0"/>
              <w:spacing w:line="240" w:lineRule="auto"/>
              <w:rPr>
                <w:rFonts w:cs="Segoe UI"/>
                <w:i/>
                <w:sz w:val="20"/>
                <w:szCs w:val="20"/>
                <w:highlight w:val="yellow"/>
                <w:lang w:val="en-US"/>
              </w:rPr>
            </w:pPr>
            <w:r w:rsidRPr="00C051DC">
              <w:rPr>
                <w:rFonts w:cs="Segoe UI"/>
                <w:i/>
                <w:sz w:val="20"/>
                <w:szCs w:val="20"/>
                <w:highlight w:val="yellow"/>
                <w:lang w:val="en-US"/>
              </w:rPr>
              <w:t>Not Free</w:t>
            </w:r>
          </w:p>
        </w:tc>
        <w:tc>
          <w:tcPr>
            <w:tcW w:w="993" w:type="dxa"/>
          </w:tcPr>
          <w:p w14:paraId="665BF6F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11EDA3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7A56FE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0C3C71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1BA929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4D9618F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1247EC4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C4157D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1D45F8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B607D8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FBD721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1CE137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9CD06C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0.68**</w:t>
            </w:r>
          </w:p>
          <w:p w14:paraId="798AF97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(0.17)</w:t>
            </w:r>
          </w:p>
        </w:tc>
      </w:tr>
      <w:tr w:rsidR="00B65FE6" w:rsidRPr="00C051DC" w14:paraId="612BBAC7" w14:textId="77777777" w:rsidTr="00F82322">
        <w:trPr>
          <w:trHeight w:val="359"/>
        </w:trPr>
        <w:tc>
          <w:tcPr>
            <w:tcW w:w="2263" w:type="dxa"/>
          </w:tcPr>
          <w:p w14:paraId="6B4E365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328767B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FA3D07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A8078E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DAA5D4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1BC94B3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456DEA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63A7D76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8FF492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4A5787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B0B424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9FA577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3FB2B0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5ADA1F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4BE81728" w14:textId="77777777" w:rsidTr="00F82322">
        <w:trPr>
          <w:trHeight w:val="359"/>
        </w:trPr>
        <w:tc>
          <w:tcPr>
            <w:tcW w:w="2263" w:type="dxa"/>
            <w:tcBorders>
              <w:bottom w:val="single" w:sz="4" w:space="0" w:color="auto"/>
            </w:tcBorders>
          </w:tcPr>
          <w:p w14:paraId="65A93EA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Borders>
              <w:bottom w:val="single" w:sz="4" w:space="0" w:color="auto"/>
            </w:tcBorders>
          </w:tcPr>
          <w:p w14:paraId="28D58F1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23E054C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702233A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6B259A0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1C9346F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right w:val="single" w:sz="4" w:space="0" w:color="auto"/>
            </w:tcBorders>
          </w:tcPr>
          <w:p w14:paraId="5916BA7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bottom w:val="single" w:sz="4" w:space="0" w:color="auto"/>
            </w:tcBorders>
          </w:tcPr>
          <w:p w14:paraId="57FC324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0122DAB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312C718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110CD90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34EDFC3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28F12A4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46EEA2C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342074A5" w14:textId="77777777" w:rsidTr="00F82322">
        <w:trPr>
          <w:trHeight w:val="359"/>
        </w:trPr>
        <w:tc>
          <w:tcPr>
            <w:tcW w:w="2263" w:type="dxa"/>
            <w:tcBorders>
              <w:top w:val="single" w:sz="4" w:space="0" w:color="auto"/>
            </w:tcBorders>
          </w:tcPr>
          <w:p w14:paraId="21CD2DC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i/>
                <w:iCs/>
                <w:sz w:val="20"/>
                <w:szCs w:val="20"/>
                <w:highlight w:val="yellow"/>
                <w:lang w:val="en-US"/>
              </w:rPr>
              <w:t>N individual</w:t>
            </w:r>
          </w:p>
        </w:tc>
        <w:tc>
          <w:tcPr>
            <w:tcW w:w="993" w:type="dxa"/>
            <w:tcBorders>
              <w:top w:val="single" w:sz="4" w:space="0" w:color="auto"/>
            </w:tcBorders>
          </w:tcPr>
          <w:p w14:paraId="5760FEE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3F1EFFA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2342F54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5AC75F9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3" w:type="dxa"/>
            <w:tcBorders>
              <w:top w:val="single" w:sz="4" w:space="0" w:color="auto"/>
            </w:tcBorders>
          </w:tcPr>
          <w:p w14:paraId="2DAAADF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right w:val="single" w:sz="4" w:space="0" w:color="auto"/>
            </w:tcBorders>
          </w:tcPr>
          <w:p w14:paraId="07E0F0F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left w:val="single" w:sz="4" w:space="0" w:color="auto"/>
            </w:tcBorders>
          </w:tcPr>
          <w:p w14:paraId="5B880BF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0D3FE85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3" w:type="dxa"/>
            <w:tcBorders>
              <w:top w:val="single" w:sz="4" w:space="0" w:color="auto"/>
            </w:tcBorders>
          </w:tcPr>
          <w:p w14:paraId="67C0EA6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6EED765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26E1CA4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3F1A34E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3" w:type="dxa"/>
            <w:tcBorders>
              <w:top w:val="single" w:sz="4" w:space="0" w:color="auto"/>
            </w:tcBorders>
          </w:tcPr>
          <w:p w14:paraId="6B6C485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r>
      <w:tr w:rsidR="00B65FE6" w:rsidRPr="00C051DC" w14:paraId="4DAEB2E3" w14:textId="77777777" w:rsidTr="00F82322">
        <w:trPr>
          <w:trHeight w:val="359"/>
        </w:trPr>
        <w:tc>
          <w:tcPr>
            <w:tcW w:w="2263" w:type="dxa"/>
          </w:tcPr>
          <w:p w14:paraId="5C27B096"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N country</w:t>
            </w:r>
          </w:p>
        </w:tc>
        <w:tc>
          <w:tcPr>
            <w:tcW w:w="993" w:type="dxa"/>
          </w:tcPr>
          <w:p w14:paraId="79AE51B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F82CB6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7C1FF1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864ED6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2F54C0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2772BC3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77ABD76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1674996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3" w:type="dxa"/>
          </w:tcPr>
          <w:p w14:paraId="122E342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1192877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3D62CF6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12BB2B4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3" w:type="dxa"/>
          </w:tcPr>
          <w:p w14:paraId="31776D7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r>
      <w:tr w:rsidR="00B65FE6" w:rsidRPr="00C051DC" w14:paraId="25EF08A5" w14:textId="77777777" w:rsidTr="00F82322">
        <w:trPr>
          <w:trHeight w:val="359"/>
        </w:trPr>
        <w:tc>
          <w:tcPr>
            <w:tcW w:w="2263" w:type="dxa"/>
          </w:tcPr>
          <w:p w14:paraId="42118DB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i/>
                <w:iCs/>
                <w:sz w:val="20"/>
                <w:szCs w:val="20"/>
                <w:highlight w:val="yellow"/>
                <w:lang w:val="en-US"/>
              </w:rPr>
              <w:t>R</w:t>
            </w:r>
            <w:r w:rsidRPr="00C051DC">
              <w:rPr>
                <w:rFonts w:cs="Segoe UI"/>
                <w:sz w:val="20"/>
                <w:szCs w:val="20"/>
                <w:highlight w:val="yellow"/>
                <w:vertAlign w:val="superscript"/>
                <w:lang w:val="en-US"/>
              </w:rPr>
              <w:t>2</w:t>
            </w:r>
          </w:p>
        </w:tc>
        <w:tc>
          <w:tcPr>
            <w:tcW w:w="993" w:type="dxa"/>
          </w:tcPr>
          <w:p w14:paraId="3675E0B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992" w:type="dxa"/>
          </w:tcPr>
          <w:p w14:paraId="6339F03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992" w:type="dxa"/>
          </w:tcPr>
          <w:p w14:paraId="40C263B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992" w:type="dxa"/>
          </w:tcPr>
          <w:p w14:paraId="7C788AF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993" w:type="dxa"/>
          </w:tcPr>
          <w:p w14:paraId="37773E7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tc>
        <w:tc>
          <w:tcPr>
            <w:tcW w:w="992" w:type="dxa"/>
            <w:tcBorders>
              <w:right w:val="single" w:sz="4" w:space="0" w:color="auto"/>
            </w:tcBorders>
          </w:tcPr>
          <w:p w14:paraId="74A4C32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0.05</w:t>
            </w:r>
          </w:p>
        </w:tc>
        <w:tc>
          <w:tcPr>
            <w:tcW w:w="992" w:type="dxa"/>
            <w:tcBorders>
              <w:left w:val="single" w:sz="4" w:space="0" w:color="auto"/>
            </w:tcBorders>
          </w:tcPr>
          <w:p w14:paraId="6FDED00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1DEC2D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9E6153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AC8A7A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ED4DF9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791FAC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064F294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422D909E" w14:textId="77777777" w:rsidTr="00F82322">
        <w:trPr>
          <w:trHeight w:val="359"/>
        </w:trPr>
        <w:tc>
          <w:tcPr>
            <w:tcW w:w="2263" w:type="dxa"/>
          </w:tcPr>
          <w:p w14:paraId="5E2B6DD8"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S&amp;B R</w:t>
            </w:r>
            <w:r w:rsidRPr="00C051DC">
              <w:rPr>
                <w:rFonts w:cs="Segoe UI"/>
                <w:i/>
                <w:iCs/>
                <w:sz w:val="20"/>
                <w:szCs w:val="20"/>
                <w:highlight w:val="yellow"/>
                <w:vertAlign w:val="superscript"/>
                <w:lang w:val="en-US"/>
              </w:rPr>
              <w:t xml:space="preserve">2 </w:t>
            </w:r>
            <w:r w:rsidRPr="00C051DC">
              <w:rPr>
                <w:rFonts w:cs="Segoe UI"/>
                <w:i/>
                <w:iCs/>
                <w:sz w:val="20"/>
                <w:szCs w:val="20"/>
                <w:highlight w:val="yellow"/>
                <w:lang w:val="en-US"/>
              </w:rPr>
              <w:t>(Individual)</w:t>
            </w:r>
          </w:p>
        </w:tc>
        <w:tc>
          <w:tcPr>
            <w:tcW w:w="993" w:type="dxa"/>
          </w:tcPr>
          <w:p w14:paraId="4321D16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36A753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620A0C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CC55A5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A27D09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7479020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6150691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992" w:type="dxa"/>
          </w:tcPr>
          <w:p w14:paraId="64DD66F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993" w:type="dxa"/>
          </w:tcPr>
          <w:p w14:paraId="1CC3B4A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992" w:type="dxa"/>
          </w:tcPr>
          <w:p w14:paraId="1AF6108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0.05</w:t>
            </w:r>
          </w:p>
        </w:tc>
        <w:tc>
          <w:tcPr>
            <w:tcW w:w="992" w:type="dxa"/>
          </w:tcPr>
          <w:p w14:paraId="6CE41AA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992" w:type="dxa"/>
          </w:tcPr>
          <w:p w14:paraId="05DF40D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993" w:type="dxa"/>
          </w:tcPr>
          <w:p w14:paraId="60C6B57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tc>
      </w:tr>
      <w:tr w:rsidR="00B65FE6" w:rsidRPr="00C051DC" w14:paraId="69264046" w14:textId="77777777" w:rsidTr="00F82322">
        <w:trPr>
          <w:trHeight w:val="359"/>
        </w:trPr>
        <w:tc>
          <w:tcPr>
            <w:tcW w:w="2263" w:type="dxa"/>
          </w:tcPr>
          <w:p w14:paraId="6911E22D"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 xml:space="preserve">           (country)</w:t>
            </w:r>
          </w:p>
        </w:tc>
        <w:tc>
          <w:tcPr>
            <w:tcW w:w="993" w:type="dxa"/>
          </w:tcPr>
          <w:p w14:paraId="6E1EBDF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C69F8C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87AD57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B5C463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DFF96D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14B43B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0F70F25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tc>
        <w:tc>
          <w:tcPr>
            <w:tcW w:w="992" w:type="dxa"/>
          </w:tcPr>
          <w:p w14:paraId="7B0D8B9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tc>
        <w:tc>
          <w:tcPr>
            <w:tcW w:w="993" w:type="dxa"/>
          </w:tcPr>
          <w:p w14:paraId="51B0B1C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0.07</w:t>
            </w:r>
          </w:p>
        </w:tc>
        <w:tc>
          <w:tcPr>
            <w:tcW w:w="992" w:type="dxa"/>
          </w:tcPr>
          <w:p w14:paraId="02A06F9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0.32</w:t>
            </w:r>
          </w:p>
        </w:tc>
        <w:tc>
          <w:tcPr>
            <w:tcW w:w="992" w:type="dxa"/>
          </w:tcPr>
          <w:p w14:paraId="5FE4CC7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0.06</w:t>
            </w:r>
          </w:p>
        </w:tc>
        <w:tc>
          <w:tcPr>
            <w:tcW w:w="992" w:type="dxa"/>
          </w:tcPr>
          <w:p w14:paraId="6784D35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0.09</w:t>
            </w:r>
          </w:p>
        </w:tc>
        <w:tc>
          <w:tcPr>
            <w:tcW w:w="993" w:type="dxa"/>
          </w:tcPr>
          <w:p w14:paraId="6DAB8BF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0.21</w:t>
            </w:r>
          </w:p>
        </w:tc>
      </w:tr>
      <w:tr w:rsidR="00B65FE6" w:rsidRPr="00C051DC" w14:paraId="4C294A16" w14:textId="77777777" w:rsidTr="00F82322">
        <w:trPr>
          <w:trHeight w:val="359"/>
        </w:trPr>
        <w:tc>
          <w:tcPr>
            <w:tcW w:w="2263" w:type="dxa"/>
          </w:tcPr>
          <w:p w14:paraId="7B7CB5D6"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Log-Likelihood</w:t>
            </w:r>
          </w:p>
        </w:tc>
        <w:tc>
          <w:tcPr>
            <w:tcW w:w="993" w:type="dxa"/>
          </w:tcPr>
          <w:p w14:paraId="7A58CEF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-85974</w:t>
            </w:r>
          </w:p>
        </w:tc>
        <w:tc>
          <w:tcPr>
            <w:tcW w:w="992" w:type="dxa"/>
          </w:tcPr>
          <w:p w14:paraId="3C09069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-85843</w:t>
            </w:r>
          </w:p>
        </w:tc>
        <w:tc>
          <w:tcPr>
            <w:tcW w:w="992" w:type="dxa"/>
          </w:tcPr>
          <w:p w14:paraId="414EAA7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-85895</w:t>
            </w:r>
          </w:p>
        </w:tc>
        <w:tc>
          <w:tcPr>
            <w:tcW w:w="992" w:type="dxa"/>
          </w:tcPr>
          <w:p w14:paraId="01EF833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-85912</w:t>
            </w:r>
          </w:p>
        </w:tc>
        <w:tc>
          <w:tcPr>
            <w:tcW w:w="993" w:type="dxa"/>
          </w:tcPr>
          <w:p w14:paraId="5C8A580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-85114</w:t>
            </w:r>
          </w:p>
        </w:tc>
        <w:tc>
          <w:tcPr>
            <w:tcW w:w="992" w:type="dxa"/>
            <w:tcBorders>
              <w:right w:val="single" w:sz="4" w:space="0" w:color="auto"/>
            </w:tcBorders>
          </w:tcPr>
          <w:p w14:paraId="425F1BF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-84889</w:t>
            </w:r>
          </w:p>
        </w:tc>
        <w:tc>
          <w:tcPr>
            <w:tcW w:w="992" w:type="dxa"/>
            <w:tcBorders>
              <w:left w:val="single" w:sz="4" w:space="0" w:color="auto"/>
            </w:tcBorders>
          </w:tcPr>
          <w:p w14:paraId="55BFEDE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-82857</w:t>
            </w:r>
          </w:p>
        </w:tc>
        <w:tc>
          <w:tcPr>
            <w:tcW w:w="992" w:type="dxa"/>
          </w:tcPr>
          <w:p w14:paraId="3F1597D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-82856</w:t>
            </w:r>
          </w:p>
        </w:tc>
        <w:tc>
          <w:tcPr>
            <w:tcW w:w="993" w:type="dxa"/>
          </w:tcPr>
          <w:p w14:paraId="3A6F21C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-82856</w:t>
            </w:r>
          </w:p>
        </w:tc>
        <w:tc>
          <w:tcPr>
            <w:tcW w:w="992" w:type="dxa"/>
          </w:tcPr>
          <w:p w14:paraId="546F566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-82849</w:t>
            </w:r>
          </w:p>
        </w:tc>
        <w:tc>
          <w:tcPr>
            <w:tcW w:w="992" w:type="dxa"/>
          </w:tcPr>
          <w:p w14:paraId="4E52DDC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-82856</w:t>
            </w:r>
          </w:p>
        </w:tc>
        <w:tc>
          <w:tcPr>
            <w:tcW w:w="992" w:type="dxa"/>
          </w:tcPr>
          <w:p w14:paraId="5C13CB4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-82855</w:t>
            </w:r>
          </w:p>
        </w:tc>
        <w:tc>
          <w:tcPr>
            <w:tcW w:w="993" w:type="dxa"/>
          </w:tcPr>
          <w:p w14:paraId="7E6A396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-82852</w:t>
            </w:r>
          </w:p>
        </w:tc>
      </w:tr>
      <w:tr w:rsidR="00B65FE6" w:rsidRPr="00C051DC" w14:paraId="4B379294" w14:textId="77777777" w:rsidTr="00F82322">
        <w:trPr>
          <w:trHeight w:val="359"/>
        </w:trPr>
        <w:tc>
          <w:tcPr>
            <w:tcW w:w="2263" w:type="dxa"/>
            <w:tcBorders>
              <w:bottom w:val="single" w:sz="4" w:space="0" w:color="auto"/>
            </w:tcBorders>
          </w:tcPr>
          <w:p w14:paraId="670BF8D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ICC</w:t>
            </w:r>
          </w:p>
        </w:tc>
        <w:tc>
          <w:tcPr>
            <w:tcW w:w="993" w:type="dxa"/>
            <w:tcBorders>
              <w:bottom w:val="single" w:sz="4" w:space="0" w:color="auto"/>
            </w:tcBorders>
          </w:tcPr>
          <w:p w14:paraId="515661E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79F739F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1C78223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47C524C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71215BE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right w:val="single" w:sz="4" w:space="0" w:color="auto"/>
            </w:tcBorders>
          </w:tcPr>
          <w:p w14:paraId="27CFBD2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bottom w:val="single" w:sz="4" w:space="0" w:color="auto"/>
            </w:tcBorders>
          </w:tcPr>
          <w:p w14:paraId="6798745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.107679</w:t>
            </w:r>
          </w:p>
        </w:tc>
        <w:tc>
          <w:tcPr>
            <w:tcW w:w="992" w:type="dxa"/>
            <w:tcBorders>
              <w:bottom w:val="single" w:sz="4" w:space="0" w:color="auto"/>
            </w:tcBorders>
          </w:tcPr>
          <w:p w14:paraId="5EB3C1A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.107533</w:t>
            </w:r>
          </w:p>
        </w:tc>
        <w:tc>
          <w:tcPr>
            <w:tcW w:w="993" w:type="dxa"/>
            <w:tcBorders>
              <w:bottom w:val="single" w:sz="4" w:space="0" w:color="auto"/>
            </w:tcBorders>
          </w:tcPr>
          <w:p w14:paraId="311A4A7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.104080</w:t>
            </w:r>
          </w:p>
        </w:tc>
        <w:tc>
          <w:tcPr>
            <w:tcW w:w="992" w:type="dxa"/>
            <w:tcBorders>
              <w:bottom w:val="single" w:sz="4" w:space="0" w:color="auto"/>
            </w:tcBorders>
          </w:tcPr>
          <w:p w14:paraId="58A8772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.078346</w:t>
            </w:r>
          </w:p>
        </w:tc>
        <w:tc>
          <w:tcPr>
            <w:tcW w:w="992" w:type="dxa"/>
            <w:tcBorders>
              <w:bottom w:val="single" w:sz="4" w:space="0" w:color="auto"/>
            </w:tcBorders>
          </w:tcPr>
          <w:p w14:paraId="51F0C40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.100504</w:t>
            </w:r>
          </w:p>
        </w:tc>
        <w:tc>
          <w:tcPr>
            <w:tcW w:w="992" w:type="dxa"/>
            <w:tcBorders>
              <w:bottom w:val="single" w:sz="4" w:space="0" w:color="auto"/>
            </w:tcBorders>
          </w:tcPr>
          <w:p w14:paraId="1C9E043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.102584</w:t>
            </w:r>
          </w:p>
        </w:tc>
        <w:tc>
          <w:tcPr>
            <w:tcW w:w="993" w:type="dxa"/>
            <w:tcBorders>
              <w:bottom w:val="single" w:sz="4" w:space="0" w:color="auto"/>
            </w:tcBorders>
          </w:tcPr>
          <w:p w14:paraId="75153FA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.089508</w:t>
            </w:r>
          </w:p>
        </w:tc>
      </w:tr>
    </w:tbl>
    <w:p w14:paraId="08867DAB" w14:textId="55FFDB00" w:rsidR="00B65FE6" w:rsidRPr="00C051DC" w:rsidRDefault="00B65FE6" w:rsidP="00B65FE6">
      <w:pPr>
        <w:widowControl w:val="0"/>
        <w:autoSpaceDE w:val="0"/>
        <w:autoSpaceDN w:val="0"/>
        <w:adjustRightInd w:val="0"/>
        <w:spacing w:line="240" w:lineRule="auto"/>
        <w:rPr>
          <w:rFonts w:cs="Segoe UI"/>
          <w:i/>
          <w:sz w:val="16"/>
          <w:szCs w:val="16"/>
          <w:highlight w:val="yellow"/>
          <w:lang w:val="en-US"/>
        </w:rPr>
      </w:pPr>
      <w:r w:rsidRPr="00C051DC">
        <w:rPr>
          <w:rFonts w:cs="Segoe UI"/>
          <w:i/>
          <w:sz w:val="16"/>
          <w:szCs w:val="16"/>
          <w:highlight w:val="yellow"/>
          <w:lang w:val="en-US"/>
        </w:rPr>
        <w:t xml:space="preserve">Standard errors in brackets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0.05,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0.01,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0.001</w:t>
      </w:r>
    </w:p>
    <w:p w14:paraId="53815FC6" w14:textId="2BCAF89F" w:rsidR="00B65FE6" w:rsidRDefault="00B65FE6" w:rsidP="00B65FE6">
      <w:pPr>
        <w:widowControl w:val="0"/>
        <w:autoSpaceDE w:val="0"/>
        <w:autoSpaceDN w:val="0"/>
        <w:adjustRightInd w:val="0"/>
        <w:spacing w:line="240" w:lineRule="auto"/>
        <w:rPr>
          <w:rFonts w:cs="Segoe UI"/>
          <w:i/>
          <w:sz w:val="16"/>
          <w:szCs w:val="16"/>
          <w:highlight w:val="yellow"/>
          <w:lang w:val="en-US"/>
        </w:rPr>
      </w:pPr>
    </w:p>
    <w:p w14:paraId="24B0A41C" w14:textId="77777777" w:rsidR="00F82322" w:rsidRPr="00C051DC" w:rsidRDefault="00F82322" w:rsidP="00B65FE6">
      <w:pPr>
        <w:widowControl w:val="0"/>
        <w:autoSpaceDE w:val="0"/>
        <w:autoSpaceDN w:val="0"/>
        <w:adjustRightInd w:val="0"/>
        <w:spacing w:line="240" w:lineRule="auto"/>
        <w:rPr>
          <w:rFonts w:cs="Segoe UI"/>
          <w:i/>
          <w:sz w:val="16"/>
          <w:szCs w:val="16"/>
          <w:highlight w:val="yellow"/>
          <w:lang w:val="en-US"/>
        </w:rPr>
      </w:pPr>
    </w:p>
    <w:p w14:paraId="6738EB4E" w14:textId="1135EF3E" w:rsidR="00B65FE6" w:rsidRPr="003A5664" w:rsidRDefault="00C82798" w:rsidP="00C82798">
      <w:pPr>
        <w:pStyle w:val="Caption"/>
        <w:rPr>
          <w:rFonts w:ascii="Segoe UI" w:hAnsi="Segoe UI" w:cs="Segoe UI"/>
          <w:i w:val="0"/>
          <w:highlight w:val="yellow"/>
        </w:rPr>
      </w:pPr>
      <w:bookmarkStart w:id="320" w:name="_Toc494687172"/>
      <w:r w:rsidRPr="003A5664">
        <w:rPr>
          <w:rFonts w:ascii="Segoe UI" w:hAnsi="Segoe UI" w:cs="Segoe UI"/>
          <w:i w:val="0"/>
          <w:highlight w:val="yellow"/>
        </w:rPr>
        <w:t xml:space="preserve">Figure </w:t>
      </w:r>
      <w:r w:rsidR="00532BB0" w:rsidRPr="003A5664">
        <w:rPr>
          <w:rFonts w:ascii="Segoe UI" w:hAnsi="Segoe UI" w:cs="Segoe UI"/>
          <w:i w:val="0"/>
          <w:highlight w:val="yellow"/>
        </w:rPr>
        <w:fldChar w:fldCharType="begin"/>
      </w:r>
      <w:r w:rsidR="00532BB0" w:rsidRPr="003A5664">
        <w:rPr>
          <w:rFonts w:ascii="Segoe UI" w:hAnsi="Segoe UI" w:cs="Segoe UI"/>
          <w:i w:val="0"/>
          <w:highlight w:val="yellow"/>
        </w:rPr>
        <w:instrText xml:space="preserve"> STYLEREF 1 \s </w:instrText>
      </w:r>
      <w:r w:rsidR="00532BB0" w:rsidRPr="003A5664">
        <w:rPr>
          <w:rFonts w:ascii="Segoe UI" w:hAnsi="Segoe UI" w:cs="Segoe UI"/>
          <w:i w:val="0"/>
          <w:highlight w:val="yellow"/>
        </w:rPr>
        <w:fldChar w:fldCharType="separate"/>
      </w:r>
      <w:r w:rsidRPr="003A5664">
        <w:rPr>
          <w:rFonts w:ascii="Segoe UI" w:hAnsi="Segoe UI" w:cs="Segoe UI"/>
          <w:i w:val="0"/>
          <w:noProof/>
          <w:highlight w:val="yellow"/>
        </w:rPr>
        <w:t>5</w:t>
      </w:r>
      <w:r w:rsidR="00532BB0" w:rsidRPr="003A5664">
        <w:rPr>
          <w:rFonts w:ascii="Segoe UI" w:hAnsi="Segoe UI" w:cs="Segoe UI"/>
          <w:i w:val="0"/>
          <w:noProof/>
          <w:highlight w:val="yellow"/>
        </w:rPr>
        <w:fldChar w:fldCharType="end"/>
      </w:r>
      <w:r w:rsidRPr="003A5664">
        <w:rPr>
          <w:rFonts w:ascii="Segoe UI" w:hAnsi="Segoe UI" w:cs="Segoe UI"/>
          <w:i w:val="0"/>
          <w:highlight w:val="yellow"/>
        </w:rPr>
        <w:t>:</w:t>
      </w:r>
      <w:r w:rsidR="00532BB0" w:rsidRPr="003A5664">
        <w:rPr>
          <w:rFonts w:ascii="Segoe UI" w:hAnsi="Segoe UI" w:cs="Segoe UI"/>
          <w:i w:val="0"/>
          <w:highlight w:val="yellow"/>
        </w:rPr>
        <w:fldChar w:fldCharType="begin"/>
      </w:r>
      <w:r w:rsidR="00532BB0" w:rsidRPr="003A5664">
        <w:rPr>
          <w:rFonts w:ascii="Segoe UI" w:hAnsi="Segoe UI" w:cs="Segoe UI"/>
          <w:i w:val="0"/>
          <w:highlight w:val="yellow"/>
        </w:rPr>
        <w:instrText xml:space="preserve"> SEQ Figure \* ARABIC \s 1 </w:instrText>
      </w:r>
      <w:r w:rsidR="00532BB0" w:rsidRPr="003A5664">
        <w:rPr>
          <w:rFonts w:ascii="Segoe UI" w:hAnsi="Segoe UI" w:cs="Segoe UI"/>
          <w:i w:val="0"/>
          <w:highlight w:val="yellow"/>
        </w:rPr>
        <w:fldChar w:fldCharType="separate"/>
      </w:r>
      <w:r w:rsidR="007B459E">
        <w:rPr>
          <w:rFonts w:ascii="Segoe UI" w:hAnsi="Segoe UI" w:cs="Segoe UI"/>
          <w:i w:val="0"/>
          <w:noProof/>
          <w:highlight w:val="yellow"/>
        </w:rPr>
        <w:t>8</w:t>
      </w:r>
      <w:r w:rsidR="00532BB0" w:rsidRPr="003A5664">
        <w:rPr>
          <w:rFonts w:ascii="Segoe UI" w:hAnsi="Segoe UI" w:cs="Segoe UI"/>
          <w:i w:val="0"/>
          <w:noProof/>
          <w:highlight w:val="yellow"/>
        </w:rPr>
        <w:fldChar w:fldCharType="end"/>
      </w:r>
      <w:r w:rsidRPr="003A5664">
        <w:rPr>
          <w:rFonts w:ascii="Segoe UI" w:hAnsi="Segoe UI" w:cs="Segoe UI"/>
          <w:i w:val="0"/>
          <w:highlight w:val="yellow"/>
        </w:rPr>
        <w:t xml:space="preserve"> </w:t>
      </w:r>
      <w:r w:rsidR="00B65FE6" w:rsidRPr="003A5664">
        <w:rPr>
          <w:rFonts w:ascii="Segoe UI" w:hAnsi="Segoe UI" w:cs="Segoe UI"/>
          <w:i w:val="0"/>
          <w:highlight w:val="yellow"/>
        </w:rPr>
        <w:t>OLS and MLM Results for Authoritarian understanding of Democracy</w:t>
      </w:r>
      <w:bookmarkEnd w:id="320"/>
    </w:p>
    <w:p w14:paraId="17A9F4D5" w14:textId="77777777" w:rsidR="00C82798" w:rsidRPr="00C051DC" w:rsidRDefault="00C82798" w:rsidP="00C82798">
      <w:pPr>
        <w:rPr>
          <w:highlight w:val="yellow"/>
        </w:rPr>
      </w:pPr>
    </w:p>
    <w:tbl>
      <w:tblPr>
        <w:tblW w:w="15163" w:type="dxa"/>
        <w:tblLayout w:type="fixed"/>
        <w:tblLook w:val="0000" w:firstRow="0" w:lastRow="0" w:firstColumn="0" w:lastColumn="0" w:noHBand="0" w:noVBand="0"/>
      </w:tblPr>
      <w:tblGrid>
        <w:gridCol w:w="2263"/>
        <w:gridCol w:w="993"/>
        <w:gridCol w:w="992"/>
        <w:gridCol w:w="992"/>
        <w:gridCol w:w="992"/>
        <w:gridCol w:w="993"/>
        <w:gridCol w:w="992"/>
        <w:gridCol w:w="992"/>
        <w:gridCol w:w="992"/>
        <w:gridCol w:w="993"/>
        <w:gridCol w:w="992"/>
        <w:gridCol w:w="992"/>
        <w:gridCol w:w="992"/>
        <w:gridCol w:w="993"/>
      </w:tblGrid>
      <w:tr w:rsidR="00B65FE6" w:rsidRPr="00C051DC" w14:paraId="0FD3C023" w14:textId="77777777" w:rsidTr="00F82322">
        <w:trPr>
          <w:trHeight w:val="359"/>
        </w:trPr>
        <w:tc>
          <w:tcPr>
            <w:tcW w:w="2263" w:type="dxa"/>
          </w:tcPr>
          <w:p w14:paraId="0DA8005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5954" w:type="dxa"/>
            <w:gridSpan w:val="6"/>
          </w:tcPr>
          <w:p w14:paraId="01216D10" w14:textId="77777777"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OLS Regression Model</w:t>
            </w:r>
          </w:p>
        </w:tc>
        <w:tc>
          <w:tcPr>
            <w:tcW w:w="6946" w:type="dxa"/>
            <w:gridSpan w:val="7"/>
          </w:tcPr>
          <w:p w14:paraId="7A61AA6B" w14:textId="77777777"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Multilevel Mixed-Effects Model</w:t>
            </w:r>
          </w:p>
        </w:tc>
      </w:tr>
      <w:tr w:rsidR="00B65FE6" w:rsidRPr="00C051DC" w14:paraId="0C51E5AF" w14:textId="77777777" w:rsidTr="00F82322">
        <w:trPr>
          <w:trHeight w:val="359"/>
        </w:trPr>
        <w:tc>
          <w:tcPr>
            <w:tcW w:w="2263" w:type="dxa"/>
          </w:tcPr>
          <w:p w14:paraId="497EC812" w14:textId="77777777" w:rsidR="00B65FE6" w:rsidRPr="00C051DC" w:rsidRDefault="00B65FE6" w:rsidP="00737428">
            <w:pPr>
              <w:widowControl w:val="0"/>
              <w:autoSpaceDE w:val="0"/>
              <w:autoSpaceDN w:val="0"/>
              <w:adjustRightInd w:val="0"/>
              <w:spacing w:before="0" w:line="240" w:lineRule="auto"/>
              <w:rPr>
                <w:rFonts w:cs="Segoe UI"/>
                <w:b/>
                <w:i/>
                <w:sz w:val="20"/>
                <w:szCs w:val="20"/>
                <w:highlight w:val="yellow"/>
                <w:lang w:val="en-US"/>
              </w:rPr>
            </w:pPr>
            <w:r w:rsidRPr="00C051DC">
              <w:rPr>
                <w:rFonts w:cs="Segoe UI"/>
                <w:b/>
                <w:i/>
                <w:sz w:val="20"/>
                <w:szCs w:val="20"/>
                <w:highlight w:val="yellow"/>
                <w:lang w:val="en-US"/>
              </w:rPr>
              <w:t>Individual Level</w:t>
            </w:r>
          </w:p>
        </w:tc>
        <w:tc>
          <w:tcPr>
            <w:tcW w:w="993" w:type="dxa"/>
          </w:tcPr>
          <w:p w14:paraId="1FCE2DB6" w14:textId="3CFFA0B2"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1)</w:t>
            </w:r>
          </w:p>
        </w:tc>
        <w:tc>
          <w:tcPr>
            <w:tcW w:w="992" w:type="dxa"/>
          </w:tcPr>
          <w:p w14:paraId="43BC6A6C" w14:textId="6ACBEC2F"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2)</w:t>
            </w:r>
          </w:p>
        </w:tc>
        <w:tc>
          <w:tcPr>
            <w:tcW w:w="992" w:type="dxa"/>
          </w:tcPr>
          <w:p w14:paraId="2E4B79C4" w14:textId="373ACE5C"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3)</w:t>
            </w:r>
          </w:p>
        </w:tc>
        <w:tc>
          <w:tcPr>
            <w:tcW w:w="992" w:type="dxa"/>
          </w:tcPr>
          <w:p w14:paraId="208B2773" w14:textId="3BD49C4A"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4)</w:t>
            </w:r>
          </w:p>
        </w:tc>
        <w:tc>
          <w:tcPr>
            <w:tcW w:w="993" w:type="dxa"/>
          </w:tcPr>
          <w:p w14:paraId="1575390D" w14:textId="705546D2"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5)</w:t>
            </w:r>
          </w:p>
        </w:tc>
        <w:tc>
          <w:tcPr>
            <w:tcW w:w="992" w:type="dxa"/>
            <w:tcBorders>
              <w:right w:val="single" w:sz="4" w:space="0" w:color="auto"/>
            </w:tcBorders>
          </w:tcPr>
          <w:p w14:paraId="4D1A6C22" w14:textId="311B603D"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6)</w:t>
            </w:r>
          </w:p>
        </w:tc>
        <w:tc>
          <w:tcPr>
            <w:tcW w:w="992" w:type="dxa"/>
            <w:tcBorders>
              <w:left w:val="single" w:sz="4" w:space="0" w:color="auto"/>
            </w:tcBorders>
          </w:tcPr>
          <w:p w14:paraId="09B327FA" w14:textId="2F94E8E0"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7)</w:t>
            </w:r>
          </w:p>
        </w:tc>
        <w:tc>
          <w:tcPr>
            <w:tcW w:w="992" w:type="dxa"/>
          </w:tcPr>
          <w:p w14:paraId="39114A35" w14:textId="2B23E823"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8)</w:t>
            </w:r>
          </w:p>
        </w:tc>
        <w:tc>
          <w:tcPr>
            <w:tcW w:w="993" w:type="dxa"/>
          </w:tcPr>
          <w:p w14:paraId="6758A96B" w14:textId="01E31F4B"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9)</w:t>
            </w:r>
          </w:p>
        </w:tc>
        <w:tc>
          <w:tcPr>
            <w:tcW w:w="992" w:type="dxa"/>
          </w:tcPr>
          <w:p w14:paraId="4F6869BA" w14:textId="626A489C"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10)</w:t>
            </w:r>
          </w:p>
        </w:tc>
        <w:tc>
          <w:tcPr>
            <w:tcW w:w="992" w:type="dxa"/>
          </w:tcPr>
          <w:p w14:paraId="73ACE812" w14:textId="5354C77A"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11)</w:t>
            </w:r>
          </w:p>
        </w:tc>
        <w:tc>
          <w:tcPr>
            <w:tcW w:w="992" w:type="dxa"/>
          </w:tcPr>
          <w:p w14:paraId="4B500322" w14:textId="44EB9AE6"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12)</w:t>
            </w:r>
          </w:p>
        </w:tc>
        <w:tc>
          <w:tcPr>
            <w:tcW w:w="993" w:type="dxa"/>
          </w:tcPr>
          <w:p w14:paraId="57950E49" w14:textId="3003DD2B" w:rsidR="00B65FE6" w:rsidRPr="00C051DC" w:rsidRDefault="00B65FE6" w:rsidP="00737428">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w:t>
            </w:r>
            <w:r w:rsidR="00F76DCC" w:rsidRPr="00C051DC">
              <w:rPr>
                <w:rFonts w:cs="Segoe UI"/>
                <w:b/>
                <w:sz w:val="20"/>
                <w:szCs w:val="20"/>
                <w:highlight w:val="yellow"/>
                <w:lang w:val="en-US"/>
              </w:rPr>
              <w:t>A</w:t>
            </w:r>
            <w:r w:rsidRPr="00C051DC">
              <w:rPr>
                <w:rFonts w:cs="Segoe UI"/>
                <w:b/>
                <w:sz w:val="20"/>
                <w:szCs w:val="20"/>
                <w:highlight w:val="yellow"/>
                <w:lang w:val="en-US"/>
              </w:rPr>
              <w:t>13)</w:t>
            </w:r>
          </w:p>
        </w:tc>
      </w:tr>
      <w:tr w:rsidR="00B65FE6" w:rsidRPr="00C051DC" w14:paraId="5F8E126E" w14:textId="77777777" w:rsidTr="00F82322">
        <w:trPr>
          <w:trHeight w:val="359"/>
        </w:trPr>
        <w:tc>
          <w:tcPr>
            <w:tcW w:w="2263" w:type="dxa"/>
            <w:shd w:val="clear" w:color="auto" w:fill="F2F2F2" w:themeFill="background1" w:themeFillShade="F2"/>
          </w:tcPr>
          <w:p w14:paraId="3CE511E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Age</w:t>
            </w:r>
          </w:p>
        </w:tc>
        <w:tc>
          <w:tcPr>
            <w:tcW w:w="993" w:type="dxa"/>
            <w:shd w:val="clear" w:color="auto" w:fill="F2F2F2" w:themeFill="background1" w:themeFillShade="F2"/>
          </w:tcPr>
          <w:p w14:paraId="3AECFF5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10CBBC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508D390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54D0C88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8A9FC3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5C3CEE7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89639E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2639375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7C0D540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265CA22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right w:val="single" w:sz="4" w:space="0" w:color="auto"/>
            </w:tcBorders>
            <w:shd w:val="clear" w:color="auto" w:fill="F2F2F2" w:themeFill="background1" w:themeFillShade="F2"/>
          </w:tcPr>
          <w:p w14:paraId="4AC65CE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36E711D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left w:val="single" w:sz="4" w:space="0" w:color="auto"/>
            </w:tcBorders>
            <w:shd w:val="clear" w:color="auto" w:fill="F2F2F2" w:themeFill="background1" w:themeFillShade="F2"/>
          </w:tcPr>
          <w:p w14:paraId="59A42B9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0A29FCF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07D9EB1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4E1CB20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3DE6031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3C10852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0D2260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7909BF1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05F4F2C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2112AE4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4B3FE6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6832B85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7CD79B8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7677734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r>
      <w:tr w:rsidR="00B65FE6" w:rsidRPr="00C051DC" w14:paraId="56616440" w14:textId="77777777" w:rsidTr="00F82322">
        <w:trPr>
          <w:trHeight w:val="359"/>
        </w:trPr>
        <w:tc>
          <w:tcPr>
            <w:tcW w:w="2263" w:type="dxa"/>
            <w:shd w:val="clear" w:color="auto" w:fill="F2F2F2" w:themeFill="background1" w:themeFillShade="F2"/>
          </w:tcPr>
          <w:p w14:paraId="6865E33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Age-squared</w:t>
            </w:r>
          </w:p>
        </w:tc>
        <w:tc>
          <w:tcPr>
            <w:tcW w:w="993" w:type="dxa"/>
            <w:shd w:val="clear" w:color="auto" w:fill="F2F2F2" w:themeFill="background1" w:themeFillShade="F2"/>
          </w:tcPr>
          <w:p w14:paraId="27CBC73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FA5A4C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0B02B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2192330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00BCB77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62D7FA5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12ACDEB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0CE7D28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3483DDD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1E2F47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right w:val="single" w:sz="4" w:space="0" w:color="auto"/>
            </w:tcBorders>
            <w:shd w:val="clear" w:color="auto" w:fill="F2F2F2" w:themeFill="background1" w:themeFillShade="F2"/>
          </w:tcPr>
          <w:p w14:paraId="3AC99E9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63D628D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left w:val="single" w:sz="4" w:space="0" w:color="auto"/>
            </w:tcBorders>
            <w:shd w:val="clear" w:color="auto" w:fill="F2F2F2" w:themeFill="background1" w:themeFillShade="F2"/>
          </w:tcPr>
          <w:p w14:paraId="29EA01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153B7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53AD625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3DA2865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1F0960B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5CF6E5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41CA06F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7E79B3A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1DEEE9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717D3AD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C46E77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772B14F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4ACFA23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A8E0B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r>
      <w:tr w:rsidR="00B65FE6" w:rsidRPr="00C051DC" w14:paraId="7EBF1056" w14:textId="77777777" w:rsidTr="00F82322">
        <w:trPr>
          <w:trHeight w:val="359"/>
        </w:trPr>
        <w:tc>
          <w:tcPr>
            <w:tcW w:w="2263" w:type="dxa"/>
            <w:shd w:val="clear" w:color="auto" w:fill="F2F2F2" w:themeFill="background1" w:themeFillShade="F2"/>
          </w:tcPr>
          <w:p w14:paraId="714FC4A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Gender (Ref=</w:t>
            </w:r>
            <w:r w:rsidRPr="00C051DC">
              <w:rPr>
                <w:rFonts w:cs="Segoe UI"/>
                <w:i/>
                <w:sz w:val="20"/>
                <w:szCs w:val="20"/>
                <w:highlight w:val="yellow"/>
                <w:lang w:val="en-US"/>
              </w:rPr>
              <w:t>Female</w:t>
            </w:r>
            <w:r w:rsidRPr="00C051DC">
              <w:rPr>
                <w:rFonts w:cs="Segoe UI"/>
                <w:sz w:val="20"/>
                <w:szCs w:val="20"/>
                <w:highlight w:val="yellow"/>
                <w:lang w:val="en-US"/>
              </w:rPr>
              <w:t>)</w:t>
            </w:r>
          </w:p>
        </w:tc>
        <w:tc>
          <w:tcPr>
            <w:tcW w:w="993" w:type="dxa"/>
            <w:shd w:val="clear" w:color="auto" w:fill="F2F2F2" w:themeFill="background1" w:themeFillShade="F2"/>
          </w:tcPr>
          <w:p w14:paraId="1C3795C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1B7ACB9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50E12BD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695B6B4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732EBDD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6336769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shd w:val="clear" w:color="auto" w:fill="F2F2F2" w:themeFill="background1" w:themeFillShade="F2"/>
          </w:tcPr>
          <w:p w14:paraId="3B6F63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3B559CF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shd w:val="clear" w:color="auto" w:fill="F2F2F2" w:themeFill="background1" w:themeFillShade="F2"/>
          </w:tcPr>
          <w:p w14:paraId="5E73D7F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1D30307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Borders>
              <w:right w:val="single" w:sz="4" w:space="0" w:color="auto"/>
            </w:tcBorders>
            <w:shd w:val="clear" w:color="auto" w:fill="F2F2F2" w:themeFill="background1" w:themeFillShade="F2"/>
          </w:tcPr>
          <w:p w14:paraId="5CBF042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270EAF8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Borders>
              <w:left w:val="single" w:sz="4" w:space="0" w:color="auto"/>
            </w:tcBorders>
            <w:shd w:val="clear" w:color="auto" w:fill="F2F2F2" w:themeFill="background1" w:themeFillShade="F2"/>
          </w:tcPr>
          <w:p w14:paraId="797158D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C6AE94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7C85391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1DEB11F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shd w:val="clear" w:color="auto" w:fill="F2F2F2" w:themeFill="background1" w:themeFillShade="F2"/>
          </w:tcPr>
          <w:p w14:paraId="5E1C69E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31869F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5AA6CDE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4C36CDB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6D7F0DC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E40170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3BC161D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04D3EC5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shd w:val="clear" w:color="auto" w:fill="F2F2F2" w:themeFill="background1" w:themeFillShade="F2"/>
          </w:tcPr>
          <w:p w14:paraId="511FBBD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49773F2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r>
      <w:tr w:rsidR="00B65FE6" w:rsidRPr="00C051DC" w14:paraId="5FE7A3CD" w14:textId="77777777" w:rsidTr="00F82322">
        <w:trPr>
          <w:trHeight w:val="359"/>
        </w:trPr>
        <w:tc>
          <w:tcPr>
            <w:tcW w:w="2263" w:type="dxa"/>
          </w:tcPr>
          <w:p w14:paraId="02E2AA88"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r w:rsidRPr="00C051DC">
              <w:rPr>
                <w:rFonts w:cs="Segoe UI"/>
                <w:b/>
                <w:sz w:val="20"/>
                <w:szCs w:val="20"/>
                <w:highlight w:val="yellow"/>
                <w:lang w:val="en-US"/>
              </w:rPr>
              <w:t>Modernization</w:t>
            </w:r>
          </w:p>
        </w:tc>
        <w:tc>
          <w:tcPr>
            <w:tcW w:w="993" w:type="dxa"/>
          </w:tcPr>
          <w:p w14:paraId="4CB4DD7A"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51A16265"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37489BB4"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778A0827"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3" w:type="dxa"/>
          </w:tcPr>
          <w:p w14:paraId="0567B01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right w:val="single" w:sz="4" w:space="0" w:color="auto"/>
            </w:tcBorders>
          </w:tcPr>
          <w:p w14:paraId="75DC0A65"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left w:val="single" w:sz="4" w:space="0" w:color="auto"/>
            </w:tcBorders>
          </w:tcPr>
          <w:p w14:paraId="1587B7EF"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12A80D64"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54166655"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7A609CC6"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676B4639"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1971E0EF"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40CEFDB3"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r>
      <w:tr w:rsidR="00B65FE6" w:rsidRPr="00C051DC" w14:paraId="10B129A6" w14:textId="77777777" w:rsidTr="00F82322">
        <w:trPr>
          <w:trHeight w:val="359"/>
        </w:trPr>
        <w:tc>
          <w:tcPr>
            <w:tcW w:w="2263" w:type="dxa"/>
          </w:tcPr>
          <w:p w14:paraId="5483DF4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Education (Ref=</w:t>
            </w:r>
            <w:r w:rsidRPr="00C051DC">
              <w:rPr>
                <w:rFonts w:cs="Segoe UI"/>
                <w:i/>
                <w:sz w:val="20"/>
                <w:szCs w:val="20"/>
                <w:highlight w:val="yellow"/>
                <w:lang w:val="en-US"/>
              </w:rPr>
              <w:t>Lower</w:t>
            </w:r>
            <w:r w:rsidRPr="00C051DC">
              <w:rPr>
                <w:rFonts w:cs="Segoe UI"/>
                <w:sz w:val="20"/>
                <w:szCs w:val="20"/>
                <w:highlight w:val="yellow"/>
                <w:lang w:val="en-US"/>
              </w:rPr>
              <w:t>)</w:t>
            </w:r>
          </w:p>
        </w:tc>
        <w:tc>
          <w:tcPr>
            <w:tcW w:w="993" w:type="dxa"/>
          </w:tcPr>
          <w:p w14:paraId="62190DD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7634DEA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654E759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0E01583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4A1878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23D9083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tcPr>
          <w:p w14:paraId="581C9B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C8BB9D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77666AF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2F216B9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3029DAD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0BE746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35837F2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0055B749" w14:textId="77777777" w:rsidTr="00F82322">
        <w:trPr>
          <w:trHeight w:val="359"/>
        </w:trPr>
        <w:tc>
          <w:tcPr>
            <w:tcW w:w="2263" w:type="dxa"/>
          </w:tcPr>
          <w:p w14:paraId="7797872A"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Middle</w:t>
            </w:r>
          </w:p>
        </w:tc>
        <w:tc>
          <w:tcPr>
            <w:tcW w:w="993" w:type="dxa"/>
          </w:tcPr>
          <w:p w14:paraId="0B29498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49F5751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-0.59***</w:t>
            </w:r>
          </w:p>
          <w:p w14:paraId="6898BE2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46C4BC9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0484749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87A202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303104D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639453B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left w:val="single" w:sz="4" w:space="0" w:color="auto"/>
            </w:tcBorders>
          </w:tcPr>
          <w:p w14:paraId="4C5BC37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776639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27BE362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472F32A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3" w:type="dxa"/>
          </w:tcPr>
          <w:p w14:paraId="78B81AD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49EBB8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Pr>
          <w:p w14:paraId="731D579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47B5B11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Pr>
          <w:p w14:paraId="2056AD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38387C7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Pr>
          <w:p w14:paraId="6A0BF7C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682CCA7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3" w:type="dxa"/>
          </w:tcPr>
          <w:p w14:paraId="195FC37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09D9B73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r>
      <w:tr w:rsidR="00B65FE6" w:rsidRPr="00C051DC" w14:paraId="33E2846D" w14:textId="77777777" w:rsidTr="00F82322">
        <w:trPr>
          <w:trHeight w:val="359"/>
        </w:trPr>
        <w:tc>
          <w:tcPr>
            <w:tcW w:w="2263" w:type="dxa"/>
          </w:tcPr>
          <w:p w14:paraId="73650EE2"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Higher</w:t>
            </w:r>
          </w:p>
        </w:tc>
        <w:tc>
          <w:tcPr>
            <w:tcW w:w="993" w:type="dxa"/>
          </w:tcPr>
          <w:p w14:paraId="06F8EA1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163A460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-1.34***</w:t>
            </w:r>
          </w:p>
          <w:p w14:paraId="549E7A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Pr>
          <w:p w14:paraId="5EBC2A7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73B5315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09323C2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673A9FD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-0.67***</w:t>
            </w:r>
          </w:p>
          <w:p w14:paraId="4F1429F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Borders>
              <w:left w:val="single" w:sz="4" w:space="0" w:color="auto"/>
            </w:tcBorders>
          </w:tcPr>
          <w:p w14:paraId="5399ED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5326DD4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2" w:type="dxa"/>
          </w:tcPr>
          <w:p w14:paraId="15043F1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5EF6369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3" w:type="dxa"/>
          </w:tcPr>
          <w:p w14:paraId="26983C4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394C72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Pr>
          <w:p w14:paraId="44DD704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7E2A128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Pr>
          <w:p w14:paraId="2F16066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7B01A31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Pr>
          <w:p w14:paraId="08DBAB1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6E3F482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3" w:type="dxa"/>
          </w:tcPr>
          <w:p w14:paraId="0CBEEB5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13580C7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r>
      <w:tr w:rsidR="00B65FE6" w:rsidRPr="00C051DC" w14:paraId="516E6D2B" w14:textId="77777777" w:rsidTr="00F82322">
        <w:trPr>
          <w:trHeight w:val="359"/>
        </w:trPr>
        <w:tc>
          <w:tcPr>
            <w:tcW w:w="2263" w:type="dxa"/>
          </w:tcPr>
          <w:p w14:paraId="13FF0B9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Income (1-10)</w:t>
            </w:r>
          </w:p>
        </w:tc>
        <w:tc>
          <w:tcPr>
            <w:tcW w:w="993" w:type="dxa"/>
          </w:tcPr>
          <w:p w14:paraId="3A6D3A7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0B69869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6A5CCC4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Pr>
          <w:p w14:paraId="0516C5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5AEE77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1F1CD1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2454D80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65F11A2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left w:val="single" w:sz="4" w:space="0" w:color="auto"/>
            </w:tcBorders>
          </w:tcPr>
          <w:p w14:paraId="6D85232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27A393D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Pr>
          <w:p w14:paraId="496ABFB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1F49ED4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tcPr>
          <w:p w14:paraId="7220AB2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6A53331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Pr>
          <w:p w14:paraId="14DBC21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4DB2945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Pr>
          <w:p w14:paraId="56F0FA0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75B5FD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Pr>
          <w:p w14:paraId="61C5086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5EDF9BB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tcPr>
          <w:p w14:paraId="436504C8" w14:textId="0E9D911D" w:rsidR="00B65FE6" w:rsidRPr="00C051DC" w:rsidRDefault="004419BC"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157555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r>
      <w:tr w:rsidR="00B65FE6" w:rsidRPr="00C051DC" w14:paraId="759D95A6" w14:textId="77777777" w:rsidTr="00F82322">
        <w:trPr>
          <w:trHeight w:val="359"/>
        </w:trPr>
        <w:tc>
          <w:tcPr>
            <w:tcW w:w="2263" w:type="dxa"/>
            <w:shd w:val="clear" w:color="auto" w:fill="F2F2F2" w:themeFill="background1" w:themeFillShade="F2"/>
          </w:tcPr>
          <w:p w14:paraId="145EDF11"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r w:rsidRPr="00C051DC">
              <w:rPr>
                <w:rFonts w:cs="Segoe UI"/>
                <w:b/>
                <w:sz w:val="20"/>
                <w:szCs w:val="20"/>
                <w:highlight w:val="yellow"/>
                <w:lang w:val="en-US"/>
              </w:rPr>
              <w:t>Cog. Engagement</w:t>
            </w:r>
          </w:p>
        </w:tc>
        <w:tc>
          <w:tcPr>
            <w:tcW w:w="993" w:type="dxa"/>
            <w:shd w:val="clear" w:color="auto" w:fill="F2F2F2" w:themeFill="background1" w:themeFillShade="F2"/>
          </w:tcPr>
          <w:p w14:paraId="16A05DDA"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213D4366"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464F534E"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6C3BBA77" w14:textId="77777777" w:rsidR="00B65FE6" w:rsidRPr="00C051DC" w:rsidRDefault="00B65FE6" w:rsidP="00737428">
            <w:pPr>
              <w:widowControl w:val="0"/>
              <w:autoSpaceDE w:val="0"/>
              <w:autoSpaceDN w:val="0"/>
              <w:adjustRightInd w:val="0"/>
              <w:spacing w:line="240" w:lineRule="auto"/>
              <w:jc w:val="center"/>
              <w:rPr>
                <w:rFonts w:cs="Segoe UI"/>
                <w:b/>
                <w:sz w:val="20"/>
                <w:szCs w:val="20"/>
                <w:highlight w:val="yellow"/>
                <w:lang w:val="en-US"/>
              </w:rPr>
            </w:pPr>
          </w:p>
        </w:tc>
        <w:tc>
          <w:tcPr>
            <w:tcW w:w="993" w:type="dxa"/>
            <w:shd w:val="clear" w:color="auto" w:fill="F2F2F2" w:themeFill="background1" w:themeFillShade="F2"/>
          </w:tcPr>
          <w:p w14:paraId="4A6D4CFC"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tcBorders>
              <w:right w:val="single" w:sz="4" w:space="0" w:color="auto"/>
            </w:tcBorders>
            <w:shd w:val="clear" w:color="auto" w:fill="F2F2F2" w:themeFill="background1" w:themeFillShade="F2"/>
          </w:tcPr>
          <w:p w14:paraId="5E2F2CCC"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tcBorders>
              <w:left w:val="single" w:sz="4" w:space="0" w:color="auto"/>
            </w:tcBorders>
            <w:shd w:val="clear" w:color="auto" w:fill="F2F2F2" w:themeFill="background1" w:themeFillShade="F2"/>
          </w:tcPr>
          <w:p w14:paraId="52D6725D"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07EE34FA"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3" w:type="dxa"/>
            <w:shd w:val="clear" w:color="auto" w:fill="F2F2F2" w:themeFill="background1" w:themeFillShade="F2"/>
          </w:tcPr>
          <w:p w14:paraId="58731078"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514BA788"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5E66E160"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2" w:type="dxa"/>
            <w:shd w:val="clear" w:color="auto" w:fill="F2F2F2" w:themeFill="background1" w:themeFillShade="F2"/>
          </w:tcPr>
          <w:p w14:paraId="2BE0F8F7"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c>
          <w:tcPr>
            <w:tcW w:w="993" w:type="dxa"/>
            <w:shd w:val="clear" w:color="auto" w:fill="F2F2F2" w:themeFill="background1" w:themeFillShade="F2"/>
          </w:tcPr>
          <w:p w14:paraId="70BBF471"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p>
        </w:tc>
      </w:tr>
      <w:tr w:rsidR="00B65FE6" w:rsidRPr="00C051DC" w14:paraId="0C8947FF" w14:textId="77777777" w:rsidTr="00F82322">
        <w:trPr>
          <w:trHeight w:val="359"/>
        </w:trPr>
        <w:tc>
          <w:tcPr>
            <w:tcW w:w="2263" w:type="dxa"/>
            <w:shd w:val="clear" w:color="auto" w:fill="F2F2F2" w:themeFill="background1" w:themeFillShade="F2"/>
          </w:tcPr>
          <w:p w14:paraId="3982F23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Political Interest (1-10)</w:t>
            </w:r>
          </w:p>
        </w:tc>
        <w:tc>
          <w:tcPr>
            <w:tcW w:w="993" w:type="dxa"/>
            <w:shd w:val="clear" w:color="auto" w:fill="F2F2F2" w:themeFill="background1" w:themeFillShade="F2"/>
          </w:tcPr>
          <w:p w14:paraId="6F93445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FB2341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28653D0" w14:textId="57087B68" w:rsidR="00B65FE6" w:rsidRPr="00C051DC" w:rsidRDefault="00FB265E"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w:t>
            </w:r>
            <w:r w:rsidR="00B65FE6" w:rsidRPr="00C051DC">
              <w:rPr>
                <w:rFonts w:cs="Segoe UI"/>
                <w:sz w:val="20"/>
                <w:szCs w:val="20"/>
                <w:highlight w:val="yellow"/>
                <w:lang w:val="en-US"/>
              </w:rPr>
              <w:t>0.02***</w:t>
            </w:r>
          </w:p>
          <w:p w14:paraId="264A489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0ACF0C8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4420DB8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3B91C7B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p w14:paraId="62A8A2B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left w:val="single" w:sz="4" w:space="0" w:color="auto"/>
            </w:tcBorders>
            <w:shd w:val="clear" w:color="auto" w:fill="F2F2F2" w:themeFill="background1" w:themeFillShade="F2"/>
          </w:tcPr>
          <w:p w14:paraId="7A77D08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61888B4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4E54563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147D89D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2F1E374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53C6D4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A38EA4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2480631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6C660CC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2205C4B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5258EC8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p w14:paraId="3876285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27F782A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p w14:paraId="5D5B243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r>
      <w:tr w:rsidR="00B65FE6" w:rsidRPr="00C051DC" w14:paraId="4903CC79" w14:textId="77777777" w:rsidTr="00F82322">
        <w:trPr>
          <w:trHeight w:val="359"/>
        </w:trPr>
        <w:tc>
          <w:tcPr>
            <w:tcW w:w="2263" w:type="dxa"/>
            <w:shd w:val="clear" w:color="auto" w:fill="F2F2F2" w:themeFill="background1" w:themeFillShade="F2"/>
          </w:tcPr>
          <w:p w14:paraId="099BB85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Media Use (Ref=</w:t>
            </w:r>
            <w:r w:rsidRPr="00C051DC">
              <w:rPr>
                <w:rFonts w:cs="Segoe UI"/>
                <w:i/>
                <w:sz w:val="20"/>
                <w:szCs w:val="20"/>
                <w:highlight w:val="yellow"/>
                <w:lang w:val="en-US"/>
              </w:rPr>
              <w:t>None</w:t>
            </w:r>
            <w:r w:rsidRPr="00C051DC">
              <w:rPr>
                <w:rFonts w:cs="Segoe UI"/>
                <w:sz w:val="20"/>
                <w:szCs w:val="20"/>
                <w:highlight w:val="yellow"/>
                <w:lang w:val="en-US"/>
              </w:rPr>
              <w:t>)</w:t>
            </w:r>
          </w:p>
        </w:tc>
        <w:tc>
          <w:tcPr>
            <w:tcW w:w="993" w:type="dxa"/>
            <w:shd w:val="clear" w:color="auto" w:fill="F2F2F2" w:themeFill="background1" w:themeFillShade="F2"/>
          </w:tcPr>
          <w:p w14:paraId="35FB85A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0D42F2F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5C6EE5E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2576033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3B6729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7FBC8EB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shd w:val="clear" w:color="auto" w:fill="F2F2F2" w:themeFill="background1" w:themeFillShade="F2"/>
          </w:tcPr>
          <w:p w14:paraId="7FBC077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B77BD0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6B9C343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28C57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3D125A3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041C205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4612599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5C805FBF" w14:textId="77777777" w:rsidTr="00F82322">
        <w:trPr>
          <w:trHeight w:val="359"/>
        </w:trPr>
        <w:tc>
          <w:tcPr>
            <w:tcW w:w="2263" w:type="dxa"/>
            <w:shd w:val="clear" w:color="auto" w:fill="F2F2F2" w:themeFill="background1" w:themeFillShade="F2"/>
          </w:tcPr>
          <w:p w14:paraId="31C816E6"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1-4 Sources</w:t>
            </w:r>
          </w:p>
        </w:tc>
        <w:tc>
          <w:tcPr>
            <w:tcW w:w="993" w:type="dxa"/>
            <w:shd w:val="clear" w:color="auto" w:fill="F2F2F2" w:themeFill="background1" w:themeFillShade="F2"/>
          </w:tcPr>
          <w:p w14:paraId="6423405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3767E15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273D502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-0.61***</w:t>
            </w:r>
          </w:p>
          <w:p w14:paraId="7638B7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78F0A9F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43B6197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3BFBB9E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-0.28***</w:t>
            </w:r>
          </w:p>
          <w:p w14:paraId="4316C9C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5C4887E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6591846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1A90353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2956266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shd w:val="clear" w:color="auto" w:fill="F2F2F2" w:themeFill="background1" w:themeFillShade="F2"/>
          </w:tcPr>
          <w:p w14:paraId="690BB8F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01C4F35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7BB82F3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63F920C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676C9A7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4C6E84F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46F011B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02E4310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shd w:val="clear" w:color="auto" w:fill="F2F2F2" w:themeFill="background1" w:themeFillShade="F2"/>
          </w:tcPr>
          <w:p w14:paraId="0738F4EB" w14:textId="3AFED172" w:rsidR="00B65FE6" w:rsidRPr="00C051DC" w:rsidRDefault="00624BD9"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2F18910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r>
      <w:tr w:rsidR="00B65FE6" w:rsidRPr="00C051DC" w14:paraId="08C33380" w14:textId="77777777" w:rsidTr="00F82322">
        <w:trPr>
          <w:trHeight w:val="359"/>
        </w:trPr>
        <w:tc>
          <w:tcPr>
            <w:tcW w:w="2263" w:type="dxa"/>
            <w:shd w:val="clear" w:color="auto" w:fill="F2F2F2" w:themeFill="background1" w:themeFillShade="F2"/>
          </w:tcPr>
          <w:p w14:paraId="43E60568"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 xml:space="preserve">5+ Sources </w:t>
            </w:r>
          </w:p>
        </w:tc>
        <w:tc>
          <w:tcPr>
            <w:tcW w:w="993" w:type="dxa"/>
            <w:shd w:val="clear" w:color="auto" w:fill="F2F2F2" w:themeFill="background1" w:themeFillShade="F2"/>
          </w:tcPr>
          <w:p w14:paraId="6A6A2ED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0694A41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0F67A4A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-1.51***</w:t>
            </w:r>
          </w:p>
          <w:p w14:paraId="162376A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2" w:type="dxa"/>
            <w:shd w:val="clear" w:color="auto" w:fill="F2F2F2" w:themeFill="background1" w:themeFillShade="F2"/>
          </w:tcPr>
          <w:p w14:paraId="698BA70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2D949B6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3919A32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-0.68***</w:t>
            </w:r>
          </w:p>
          <w:p w14:paraId="279574A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2BA9D25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2CF6FDA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shd w:val="clear" w:color="auto" w:fill="F2F2F2" w:themeFill="background1" w:themeFillShade="F2"/>
          </w:tcPr>
          <w:p w14:paraId="1A6D529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6F067F2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3" w:type="dxa"/>
            <w:shd w:val="clear" w:color="auto" w:fill="F2F2F2" w:themeFill="background1" w:themeFillShade="F2"/>
          </w:tcPr>
          <w:p w14:paraId="67484D7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5BD0897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shd w:val="clear" w:color="auto" w:fill="F2F2F2" w:themeFill="background1" w:themeFillShade="F2"/>
          </w:tcPr>
          <w:p w14:paraId="6A37C0F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77F3099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shd w:val="clear" w:color="auto" w:fill="F2F2F2" w:themeFill="background1" w:themeFillShade="F2"/>
          </w:tcPr>
          <w:p w14:paraId="41C4C13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343584D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shd w:val="clear" w:color="auto" w:fill="F2F2F2" w:themeFill="background1" w:themeFillShade="F2"/>
          </w:tcPr>
          <w:p w14:paraId="043623D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2C09D2F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3" w:type="dxa"/>
            <w:shd w:val="clear" w:color="auto" w:fill="F2F2F2" w:themeFill="background1" w:themeFillShade="F2"/>
          </w:tcPr>
          <w:p w14:paraId="0FEFEC42" w14:textId="1234E47F"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-0.25</w:t>
            </w:r>
          </w:p>
          <w:p w14:paraId="02476A3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r>
      <w:tr w:rsidR="00B65FE6" w:rsidRPr="00C051DC" w14:paraId="72032033" w14:textId="77777777" w:rsidTr="00F82322">
        <w:trPr>
          <w:trHeight w:val="359"/>
        </w:trPr>
        <w:tc>
          <w:tcPr>
            <w:tcW w:w="2263" w:type="dxa"/>
          </w:tcPr>
          <w:p w14:paraId="439B75B7" w14:textId="77777777" w:rsidR="00B65FE6" w:rsidRPr="00C051DC" w:rsidRDefault="00B65FE6" w:rsidP="00737428">
            <w:pPr>
              <w:widowControl w:val="0"/>
              <w:autoSpaceDE w:val="0"/>
              <w:autoSpaceDN w:val="0"/>
              <w:adjustRightInd w:val="0"/>
              <w:spacing w:line="240" w:lineRule="auto"/>
              <w:rPr>
                <w:rFonts w:cs="Segoe UI"/>
                <w:b/>
                <w:sz w:val="20"/>
                <w:szCs w:val="20"/>
                <w:highlight w:val="yellow"/>
                <w:lang w:val="en-US"/>
              </w:rPr>
            </w:pPr>
            <w:r w:rsidRPr="00C051DC">
              <w:rPr>
                <w:rFonts w:cs="Segoe UI"/>
                <w:b/>
                <w:sz w:val="20"/>
                <w:szCs w:val="20"/>
                <w:highlight w:val="yellow"/>
                <w:lang w:val="en-US"/>
              </w:rPr>
              <w:t>Social Capital</w:t>
            </w:r>
          </w:p>
        </w:tc>
        <w:tc>
          <w:tcPr>
            <w:tcW w:w="993" w:type="dxa"/>
          </w:tcPr>
          <w:p w14:paraId="3DFFD180"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1A14F8DD"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tcPr>
          <w:p w14:paraId="319BF633"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tcPr>
          <w:p w14:paraId="4740DA0B"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3" w:type="dxa"/>
          </w:tcPr>
          <w:p w14:paraId="1DF9B7D5"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right w:val="single" w:sz="4" w:space="0" w:color="auto"/>
            </w:tcBorders>
          </w:tcPr>
          <w:p w14:paraId="100E2612"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left w:val="single" w:sz="4" w:space="0" w:color="auto"/>
            </w:tcBorders>
          </w:tcPr>
          <w:p w14:paraId="09D74327"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2237F501"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57BEE5E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5187A8A3"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5C5D5280"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Pr>
          <w:p w14:paraId="0332D7D0"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tcPr>
          <w:p w14:paraId="508DFBD6"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r>
      <w:tr w:rsidR="00B65FE6" w:rsidRPr="00C051DC" w14:paraId="15310A05" w14:textId="77777777" w:rsidTr="00F82322">
        <w:trPr>
          <w:trHeight w:val="359"/>
        </w:trPr>
        <w:tc>
          <w:tcPr>
            <w:tcW w:w="2263" w:type="dxa"/>
          </w:tcPr>
          <w:p w14:paraId="7CF7451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 xml:space="preserve">Trust (Ref = </w:t>
            </w:r>
            <w:r w:rsidRPr="00C051DC">
              <w:rPr>
                <w:rFonts w:cs="Segoe UI"/>
                <w:i/>
                <w:sz w:val="20"/>
                <w:szCs w:val="20"/>
                <w:highlight w:val="yellow"/>
                <w:lang w:val="en-US"/>
              </w:rPr>
              <w:t>can’t be trusted</w:t>
            </w:r>
            <w:r w:rsidRPr="00C051DC">
              <w:rPr>
                <w:rFonts w:cs="Segoe UI"/>
                <w:sz w:val="20"/>
                <w:szCs w:val="20"/>
                <w:highlight w:val="yellow"/>
                <w:lang w:val="en-US"/>
              </w:rPr>
              <w:t>)</w:t>
            </w:r>
          </w:p>
        </w:tc>
        <w:tc>
          <w:tcPr>
            <w:tcW w:w="993" w:type="dxa"/>
          </w:tcPr>
          <w:p w14:paraId="3522EAF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179CA43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F551C2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F25471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-0.57***</w:t>
            </w:r>
          </w:p>
          <w:p w14:paraId="442588F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6F03268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66E9932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29BF537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tcBorders>
              <w:left w:val="single" w:sz="4" w:space="0" w:color="auto"/>
            </w:tcBorders>
          </w:tcPr>
          <w:p w14:paraId="2BF14E8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635E4C2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339CA6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1BB7BB2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tcPr>
          <w:p w14:paraId="72936EE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1D1191E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4617B8A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171438D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7DD6275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1BB0F3A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Pr>
          <w:p w14:paraId="6E8011A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42311DA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tcPr>
          <w:p w14:paraId="714BC40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-0.14***</w:t>
            </w:r>
          </w:p>
          <w:p w14:paraId="02ABD5A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r>
      <w:tr w:rsidR="00B65FE6" w:rsidRPr="00C051DC" w14:paraId="646D1EE9" w14:textId="77777777" w:rsidTr="00F82322">
        <w:trPr>
          <w:trHeight w:val="359"/>
        </w:trPr>
        <w:tc>
          <w:tcPr>
            <w:tcW w:w="2263" w:type="dxa"/>
          </w:tcPr>
          <w:p w14:paraId="155A0FD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Institutional Trust (1-10)</w:t>
            </w:r>
          </w:p>
        </w:tc>
        <w:tc>
          <w:tcPr>
            <w:tcW w:w="993" w:type="dxa"/>
          </w:tcPr>
          <w:p w14:paraId="3B1DF05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069AEA0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0115BB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4F7A23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1B17F18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009A8B3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43DB5A0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511A90D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Borders>
              <w:left w:val="single" w:sz="4" w:space="0" w:color="auto"/>
            </w:tcBorders>
          </w:tcPr>
          <w:p w14:paraId="033397E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6D56F57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3C13EF2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63CADE5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78BFD53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7264831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1506D6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425C631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6D53621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32E717A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6683088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4BEC13D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3AC1FA4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3EABEB4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r>
      <w:tr w:rsidR="00B65FE6" w:rsidRPr="00C051DC" w14:paraId="7C888131" w14:textId="77777777" w:rsidTr="00F82322">
        <w:trPr>
          <w:trHeight w:val="359"/>
        </w:trPr>
        <w:tc>
          <w:tcPr>
            <w:tcW w:w="2263" w:type="dxa"/>
          </w:tcPr>
          <w:p w14:paraId="4947CBF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 xml:space="preserve">Group Membership (ref = </w:t>
            </w:r>
            <w:r w:rsidRPr="00C051DC">
              <w:rPr>
                <w:rFonts w:cs="Segoe UI"/>
                <w:i/>
                <w:sz w:val="20"/>
                <w:szCs w:val="20"/>
                <w:highlight w:val="yellow"/>
                <w:lang w:val="en-US"/>
              </w:rPr>
              <w:t>None</w:t>
            </w:r>
            <w:r w:rsidRPr="00C051DC">
              <w:rPr>
                <w:rFonts w:cs="Segoe UI"/>
                <w:sz w:val="20"/>
                <w:szCs w:val="20"/>
                <w:highlight w:val="yellow"/>
                <w:lang w:val="en-US"/>
              </w:rPr>
              <w:t>)</w:t>
            </w:r>
          </w:p>
        </w:tc>
        <w:tc>
          <w:tcPr>
            <w:tcW w:w="993" w:type="dxa"/>
          </w:tcPr>
          <w:p w14:paraId="62690EE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736DD95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8387AA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9C66FF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1CC18CD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48455D4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tcPr>
          <w:p w14:paraId="2818AE6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5E7B36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34DA7EA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3D39159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51FE550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25104A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7D0323F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2046F319" w14:textId="77777777" w:rsidTr="00F82322">
        <w:trPr>
          <w:trHeight w:val="359"/>
        </w:trPr>
        <w:tc>
          <w:tcPr>
            <w:tcW w:w="2263" w:type="dxa"/>
          </w:tcPr>
          <w:p w14:paraId="1BD11E61"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One</w:t>
            </w:r>
          </w:p>
        </w:tc>
        <w:tc>
          <w:tcPr>
            <w:tcW w:w="993" w:type="dxa"/>
          </w:tcPr>
          <w:p w14:paraId="4087202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1AE9DC8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8BED94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CA23A4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-0.24***</w:t>
            </w:r>
          </w:p>
          <w:p w14:paraId="26A2AC8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49C299A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498E76B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796DF1E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left w:val="single" w:sz="4" w:space="0" w:color="auto"/>
            </w:tcBorders>
          </w:tcPr>
          <w:p w14:paraId="09E6CC9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76439F6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1B466D5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77DD441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7E8A545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1BD25EC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7089E12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748FD3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4CC2635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586A19F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7973AB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6583FDA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13A73BDA" w14:textId="5105BF50" w:rsidR="00B65FE6" w:rsidRPr="00C051DC" w:rsidRDefault="00C17C4A"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p w14:paraId="11AFCC8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r>
      <w:tr w:rsidR="00B65FE6" w:rsidRPr="00C051DC" w14:paraId="5AD0CE0B" w14:textId="77777777" w:rsidTr="00F82322">
        <w:trPr>
          <w:trHeight w:val="359"/>
        </w:trPr>
        <w:tc>
          <w:tcPr>
            <w:tcW w:w="2263" w:type="dxa"/>
          </w:tcPr>
          <w:p w14:paraId="5CE8D08F" w14:textId="77777777" w:rsidR="00B65FE6" w:rsidRPr="00C051DC" w:rsidRDefault="00B65FE6" w:rsidP="00737428">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Two or more</w:t>
            </w:r>
          </w:p>
        </w:tc>
        <w:tc>
          <w:tcPr>
            <w:tcW w:w="993" w:type="dxa"/>
          </w:tcPr>
          <w:p w14:paraId="6A95ECE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Pr>
          <w:p w14:paraId="14AECD9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111C1A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13E9BB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-0.33***</w:t>
            </w:r>
          </w:p>
          <w:p w14:paraId="09E8FEA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4A7EC6B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tcPr>
          <w:p w14:paraId="7C99C66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-0.15***</w:t>
            </w:r>
          </w:p>
          <w:p w14:paraId="325D1D2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tc>
        <w:tc>
          <w:tcPr>
            <w:tcW w:w="992" w:type="dxa"/>
            <w:tcBorders>
              <w:left w:val="single" w:sz="4" w:space="0" w:color="auto"/>
            </w:tcBorders>
          </w:tcPr>
          <w:p w14:paraId="39355DB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4F59979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3B1A433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7991855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5EB6790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194E1AE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646BA29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1049EA1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7EA6C07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5E32409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2" w:type="dxa"/>
          </w:tcPr>
          <w:p w14:paraId="48E5A77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2D5677A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c>
          <w:tcPr>
            <w:tcW w:w="993" w:type="dxa"/>
          </w:tcPr>
          <w:p w14:paraId="6939A32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6333F1D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(0.01)</w:t>
            </w:r>
          </w:p>
        </w:tc>
      </w:tr>
      <w:tr w:rsidR="00B65FE6" w:rsidRPr="00C051DC" w14:paraId="5581775B" w14:textId="77777777" w:rsidTr="00F82322">
        <w:trPr>
          <w:trHeight w:val="359"/>
        </w:trPr>
        <w:tc>
          <w:tcPr>
            <w:tcW w:w="2263" w:type="dxa"/>
            <w:shd w:val="clear" w:color="auto" w:fill="F2F2F2" w:themeFill="background1" w:themeFillShade="F2"/>
          </w:tcPr>
          <w:p w14:paraId="177D6426" w14:textId="77777777" w:rsidR="00B65FE6" w:rsidRPr="00C051DC" w:rsidRDefault="00B65FE6" w:rsidP="00737428">
            <w:pPr>
              <w:widowControl w:val="0"/>
              <w:autoSpaceDE w:val="0"/>
              <w:autoSpaceDN w:val="0"/>
              <w:adjustRightInd w:val="0"/>
              <w:spacing w:before="0" w:line="240" w:lineRule="auto"/>
              <w:rPr>
                <w:rFonts w:cs="Segoe UI"/>
                <w:b/>
                <w:sz w:val="20"/>
                <w:szCs w:val="20"/>
                <w:highlight w:val="yellow"/>
                <w:lang w:val="en-US"/>
              </w:rPr>
            </w:pPr>
            <w:r w:rsidRPr="00C051DC">
              <w:rPr>
                <w:rFonts w:cs="Segoe UI"/>
                <w:b/>
                <w:sz w:val="20"/>
                <w:szCs w:val="20"/>
                <w:highlight w:val="yellow"/>
                <w:lang w:val="en-US"/>
              </w:rPr>
              <w:t>Religion</w:t>
            </w:r>
          </w:p>
        </w:tc>
        <w:tc>
          <w:tcPr>
            <w:tcW w:w="993" w:type="dxa"/>
            <w:shd w:val="clear" w:color="auto" w:fill="F2F2F2" w:themeFill="background1" w:themeFillShade="F2"/>
          </w:tcPr>
          <w:p w14:paraId="4077CBB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ECEF10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7400EF8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2F12BE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592D7F6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417D676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tcBorders>
              <w:left w:val="single" w:sz="4" w:space="0" w:color="auto"/>
            </w:tcBorders>
            <w:shd w:val="clear" w:color="auto" w:fill="F2F2F2" w:themeFill="background1" w:themeFillShade="F2"/>
          </w:tcPr>
          <w:p w14:paraId="02F41A0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99863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16398BB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38B1A69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1251217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D7E6D1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shd w:val="clear" w:color="auto" w:fill="F2F2F2" w:themeFill="background1" w:themeFillShade="F2"/>
          </w:tcPr>
          <w:p w14:paraId="062BB31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r>
      <w:tr w:rsidR="00B65FE6" w:rsidRPr="00C051DC" w14:paraId="14F6C783" w14:textId="77777777" w:rsidTr="00F82322">
        <w:trPr>
          <w:trHeight w:val="359"/>
        </w:trPr>
        <w:tc>
          <w:tcPr>
            <w:tcW w:w="2263" w:type="dxa"/>
            <w:shd w:val="clear" w:color="auto" w:fill="F2F2F2" w:themeFill="background1" w:themeFillShade="F2"/>
          </w:tcPr>
          <w:p w14:paraId="62CCB24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 xml:space="preserve">Religiosity (1-10) </w:t>
            </w:r>
          </w:p>
        </w:tc>
        <w:tc>
          <w:tcPr>
            <w:tcW w:w="993" w:type="dxa"/>
            <w:shd w:val="clear" w:color="auto" w:fill="F2F2F2" w:themeFill="background1" w:themeFillShade="F2"/>
          </w:tcPr>
          <w:p w14:paraId="61E02DE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04EB8A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170F03E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3614E2D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5A5062D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0.19***</w:t>
            </w:r>
          </w:p>
          <w:p w14:paraId="58EBFC0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right w:val="single" w:sz="4" w:space="0" w:color="auto"/>
            </w:tcBorders>
            <w:shd w:val="clear" w:color="auto" w:fill="F2F2F2" w:themeFill="background1" w:themeFillShade="F2"/>
          </w:tcPr>
          <w:p w14:paraId="702FE43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0.17***</w:t>
            </w:r>
          </w:p>
          <w:p w14:paraId="7854009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tcBorders>
              <w:left w:val="single" w:sz="4" w:space="0" w:color="auto"/>
            </w:tcBorders>
            <w:shd w:val="clear" w:color="auto" w:fill="F2F2F2" w:themeFill="background1" w:themeFillShade="F2"/>
          </w:tcPr>
          <w:p w14:paraId="49A80B4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4EC696D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33947D7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629EC24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7F91166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7C14849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3A2F90B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4DCF79B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2B7C8AD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63E81B0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2" w:type="dxa"/>
            <w:shd w:val="clear" w:color="auto" w:fill="F2F2F2" w:themeFill="background1" w:themeFillShade="F2"/>
          </w:tcPr>
          <w:p w14:paraId="5A618DB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6B87A6A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c>
          <w:tcPr>
            <w:tcW w:w="993" w:type="dxa"/>
            <w:shd w:val="clear" w:color="auto" w:fill="F2F2F2" w:themeFill="background1" w:themeFillShade="F2"/>
          </w:tcPr>
          <w:p w14:paraId="4E1280A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p w14:paraId="36DE9B4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(0.00)</w:t>
            </w:r>
          </w:p>
        </w:tc>
      </w:tr>
      <w:tr w:rsidR="00B65FE6" w:rsidRPr="00C051DC" w14:paraId="424E90EB" w14:textId="77777777" w:rsidTr="00F82322">
        <w:trPr>
          <w:trHeight w:val="359"/>
        </w:trPr>
        <w:tc>
          <w:tcPr>
            <w:tcW w:w="2263" w:type="dxa"/>
            <w:shd w:val="clear" w:color="auto" w:fill="F2F2F2" w:themeFill="background1" w:themeFillShade="F2"/>
          </w:tcPr>
          <w:p w14:paraId="5A509739" w14:textId="77777777" w:rsidR="00B65FE6" w:rsidRPr="00C051DC" w:rsidRDefault="00B65FE6" w:rsidP="00737428">
            <w:pPr>
              <w:spacing w:line="240" w:lineRule="auto"/>
              <w:rPr>
                <w:rFonts w:cs="Segoe UI"/>
                <w:sz w:val="20"/>
                <w:szCs w:val="20"/>
                <w:highlight w:val="yellow"/>
              </w:rPr>
            </w:pPr>
            <w:r w:rsidRPr="00C051DC">
              <w:rPr>
                <w:rFonts w:cs="Segoe UI"/>
                <w:sz w:val="20"/>
                <w:szCs w:val="20"/>
                <w:highlight w:val="yellow"/>
              </w:rPr>
              <w:t xml:space="preserve">Religion (Ref = </w:t>
            </w:r>
            <w:r w:rsidRPr="00C051DC">
              <w:rPr>
                <w:rFonts w:cs="Segoe UI"/>
                <w:i/>
                <w:sz w:val="20"/>
                <w:szCs w:val="20"/>
                <w:highlight w:val="yellow"/>
              </w:rPr>
              <w:t>None</w:t>
            </w:r>
            <w:r w:rsidRPr="00C051DC">
              <w:rPr>
                <w:rFonts w:cs="Segoe UI"/>
                <w:sz w:val="20"/>
                <w:szCs w:val="20"/>
                <w:highlight w:val="yellow"/>
              </w:rPr>
              <w:t>)</w:t>
            </w:r>
          </w:p>
        </w:tc>
        <w:tc>
          <w:tcPr>
            <w:tcW w:w="993" w:type="dxa"/>
            <w:shd w:val="clear" w:color="auto" w:fill="F2F2F2" w:themeFill="background1" w:themeFillShade="F2"/>
          </w:tcPr>
          <w:p w14:paraId="60C64D1B"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3288F820"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shd w:val="clear" w:color="auto" w:fill="F2F2F2" w:themeFill="background1" w:themeFillShade="F2"/>
          </w:tcPr>
          <w:p w14:paraId="4BA3AC01"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2" w:type="dxa"/>
            <w:shd w:val="clear" w:color="auto" w:fill="F2F2F2" w:themeFill="background1" w:themeFillShade="F2"/>
          </w:tcPr>
          <w:p w14:paraId="610A8E09" w14:textId="77777777" w:rsidR="00B65FE6" w:rsidRPr="00C051DC" w:rsidRDefault="00B65FE6" w:rsidP="00737428">
            <w:pPr>
              <w:widowControl w:val="0"/>
              <w:autoSpaceDE w:val="0"/>
              <w:autoSpaceDN w:val="0"/>
              <w:adjustRightInd w:val="0"/>
              <w:spacing w:line="240" w:lineRule="auto"/>
              <w:jc w:val="center"/>
              <w:rPr>
                <w:rFonts w:cs="Segoe UI"/>
                <w:sz w:val="20"/>
                <w:szCs w:val="20"/>
                <w:highlight w:val="yellow"/>
                <w:lang w:val="en-US"/>
              </w:rPr>
            </w:pPr>
          </w:p>
        </w:tc>
        <w:tc>
          <w:tcPr>
            <w:tcW w:w="993" w:type="dxa"/>
            <w:shd w:val="clear" w:color="auto" w:fill="F2F2F2" w:themeFill="background1" w:themeFillShade="F2"/>
          </w:tcPr>
          <w:p w14:paraId="6CF7C9C8"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right w:val="single" w:sz="4" w:space="0" w:color="auto"/>
            </w:tcBorders>
            <w:shd w:val="clear" w:color="auto" w:fill="F2F2F2" w:themeFill="background1" w:themeFillShade="F2"/>
          </w:tcPr>
          <w:p w14:paraId="7904E7A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tcBorders>
              <w:left w:val="single" w:sz="4" w:space="0" w:color="auto"/>
            </w:tcBorders>
            <w:shd w:val="clear" w:color="auto" w:fill="F2F2F2" w:themeFill="background1" w:themeFillShade="F2"/>
          </w:tcPr>
          <w:p w14:paraId="4C38D8F3"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3BE7BAEB"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shd w:val="clear" w:color="auto" w:fill="F2F2F2" w:themeFill="background1" w:themeFillShade="F2"/>
          </w:tcPr>
          <w:p w14:paraId="43FA9EA4"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00A4C82F"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4CA054F1"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2" w:type="dxa"/>
            <w:shd w:val="clear" w:color="auto" w:fill="F2F2F2" w:themeFill="background1" w:themeFillShade="F2"/>
          </w:tcPr>
          <w:p w14:paraId="3DE77F4A"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c>
          <w:tcPr>
            <w:tcW w:w="993" w:type="dxa"/>
            <w:shd w:val="clear" w:color="auto" w:fill="F2F2F2" w:themeFill="background1" w:themeFillShade="F2"/>
          </w:tcPr>
          <w:p w14:paraId="750B01BC"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p>
        </w:tc>
      </w:tr>
      <w:tr w:rsidR="00B65FE6" w:rsidRPr="00C051DC" w14:paraId="5D248FBF" w14:textId="77777777" w:rsidTr="00F82322">
        <w:trPr>
          <w:trHeight w:val="359"/>
        </w:trPr>
        <w:tc>
          <w:tcPr>
            <w:tcW w:w="2263" w:type="dxa"/>
            <w:shd w:val="clear" w:color="auto" w:fill="F2F2F2" w:themeFill="background1" w:themeFillShade="F2"/>
          </w:tcPr>
          <w:p w14:paraId="5B1A5884"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Catholic</w:t>
            </w:r>
          </w:p>
        </w:tc>
        <w:tc>
          <w:tcPr>
            <w:tcW w:w="993" w:type="dxa"/>
            <w:shd w:val="clear" w:color="auto" w:fill="F2F2F2" w:themeFill="background1" w:themeFillShade="F2"/>
          </w:tcPr>
          <w:p w14:paraId="1CC2B54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4B1C2F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290FA2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ED8CEF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0E894AD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-0.20***</w:t>
            </w:r>
          </w:p>
          <w:p w14:paraId="440954C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right w:val="single" w:sz="4" w:space="0" w:color="auto"/>
            </w:tcBorders>
            <w:shd w:val="clear" w:color="auto" w:fill="F2F2F2" w:themeFill="background1" w:themeFillShade="F2"/>
          </w:tcPr>
          <w:p w14:paraId="3505357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-0.19***</w:t>
            </w:r>
          </w:p>
          <w:p w14:paraId="23E22A9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3689D54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60C8C60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11612F2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585B427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shd w:val="clear" w:color="auto" w:fill="F2F2F2" w:themeFill="background1" w:themeFillShade="F2"/>
          </w:tcPr>
          <w:p w14:paraId="401096E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577A22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0387181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70B3430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281F513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547C680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43AEB5D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0.03</w:t>
            </w:r>
          </w:p>
          <w:p w14:paraId="2083044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shd w:val="clear" w:color="auto" w:fill="F2F2F2" w:themeFill="background1" w:themeFillShade="F2"/>
          </w:tcPr>
          <w:p w14:paraId="5D46CA7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7FD302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r>
      <w:tr w:rsidR="00B65FE6" w:rsidRPr="00C051DC" w14:paraId="253829C9" w14:textId="77777777" w:rsidTr="00F82322">
        <w:trPr>
          <w:trHeight w:val="359"/>
        </w:trPr>
        <w:tc>
          <w:tcPr>
            <w:tcW w:w="2263" w:type="dxa"/>
            <w:shd w:val="clear" w:color="auto" w:fill="F2F2F2" w:themeFill="background1" w:themeFillShade="F2"/>
          </w:tcPr>
          <w:p w14:paraId="5EAB7537"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Protestant</w:t>
            </w:r>
          </w:p>
        </w:tc>
        <w:tc>
          <w:tcPr>
            <w:tcW w:w="993" w:type="dxa"/>
            <w:shd w:val="clear" w:color="auto" w:fill="F2F2F2" w:themeFill="background1" w:themeFillShade="F2"/>
          </w:tcPr>
          <w:p w14:paraId="72BCAF3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4B9AFB4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13A7412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127AD43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0D2B855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-0.21***</w:t>
            </w:r>
          </w:p>
          <w:p w14:paraId="59A81CA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right w:val="single" w:sz="4" w:space="0" w:color="auto"/>
            </w:tcBorders>
            <w:shd w:val="clear" w:color="auto" w:fill="F2F2F2" w:themeFill="background1" w:themeFillShade="F2"/>
          </w:tcPr>
          <w:p w14:paraId="215FDA4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-0.16***</w:t>
            </w:r>
          </w:p>
          <w:p w14:paraId="7546BF8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362F363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4C3F225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2D16097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41764FE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shd w:val="clear" w:color="auto" w:fill="F2F2F2" w:themeFill="background1" w:themeFillShade="F2"/>
          </w:tcPr>
          <w:p w14:paraId="72E549A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614796F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1277289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005E19A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350AF6D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00AD0B9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shd w:val="clear" w:color="auto" w:fill="F2F2F2" w:themeFill="background1" w:themeFillShade="F2"/>
          </w:tcPr>
          <w:p w14:paraId="09A1CA5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1EDD21F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3" w:type="dxa"/>
            <w:shd w:val="clear" w:color="auto" w:fill="F2F2F2" w:themeFill="background1" w:themeFillShade="F2"/>
          </w:tcPr>
          <w:p w14:paraId="246CA6F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p w14:paraId="774ECDC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r>
      <w:tr w:rsidR="00B65FE6" w:rsidRPr="00C051DC" w14:paraId="3357C97F" w14:textId="77777777" w:rsidTr="00F82322">
        <w:trPr>
          <w:trHeight w:val="359"/>
        </w:trPr>
        <w:tc>
          <w:tcPr>
            <w:tcW w:w="2263" w:type="dxa"/>
            <w:shd w:val="clear" w:color="auto" w:fill="F2F2F2" w:themeFill="background1" w:themeFillShade="F2"/>
          </w:tcPr>
          <w:p w14:paraId="76A7DCF5"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Muslim</w:t>
            </w:r>
          </w:p>
        </w:tc>
        <w:tc>
          <w:tcPr>
            <w:tcW w:w="993" w:type="dxa"/>
            <w:shd w:val="clear" w:color="auto" w:fill="F2F2F2" w:themeFill="background1" w:themeFillShade="F2"/>
          </w:tcPr>
          <w:p w14:paraId="20D4942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1644341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518E6E3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026AEA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4707673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1.07***</w:t>
            </w:r>
          </w:p>
          <w:p w14:paraId="020F1F9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right w:val="single" w:sz="4" w:space="0" w:color="auto"/>
            </w:tcBorders>
            <w:shd w:val="clear" w:color="auto" w:fill="F2F2F2" w:themeFill="background1" w:themeFillShade="F2"/>
          </w:tcPr>
          <w:p w14:paraId="193CAF3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0.92***</w:t>
            </w:r>
          </w:p>
          <w:p w14:paraId="4819A68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1B16243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0.26</w:t>
            </w:r>
          </w:p>
          <w:p w14:paraId="3B7935E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34153DB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0.26</w:t>
            </w:r>
          </w:p>
          <w:p w14:paraId="2DEDD08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shd w:val="clear" w:color="auto" w:fill="F2F2F2" w:themeFill="background1" w:themeFillShade="F2"/>
          </w:tcPr>
          <w:p w14:paraId="1764A6B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0.26</w:t>
            </w:r>
          </w:p>
          <w:p w14:paraId="0B5CFA7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0900CF3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0.26</w:t>
            </w:r>
          </w:p>
          <w:p w14:paraId="7F19543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09C1359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0.26</w:t>
            </w:r>
          </w:p>
          <w:p w14:paraId="54310FA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2" w:type="dxa"/>
            <w:shd w:val="clear" w:color="auto" w:fill="F2F2F2" w:themeFill="background1" w:themeFillShade="F2"/>
          </w:tcPr>
          <w:p w14:paraId="7932964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0.26</w:t>
            </w:r>
          </w:p>
          <w:p w14:paraId="24BBA0A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p>
        </w:tc>
        <w:tc>
          <w:tcPr>
            <w:tcW w:w="993" w:type="dxa"/>
            <w:shd w:val="clear" w:color="auto" w:fill="F2F2F2" w:themeFill="background1" w:themeFillShade="F2"/>
          </w:tcPr>
          <w:p w14:paraId="4D0FA499" w14:textId="737CC4CD" w:rsidR="00B65FE6" w:rsidRPr="00C051DC" w:rsidRDefault="000218DA"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0.27</w:t>
            </w:r>
          </w:p>
          <w:p w14:paraId="6C2A71A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r>
      <w:tr w:rsidR="00B65FE6" w:rsidRPr="00C051DC" w14:paraId="19DE2A70" w14:textId="77777777" w:rsidTr="00F82322">
        <w:trPr>
          <w:trHeight w:val="359"/>
        </w:trPr>
        <w:tc>
          <w:tcPr>
            <w:tcW w:w="2263" w:type="dxa"/>
            <w:shd w:val="clear" w:color="auto" w:fill="F2F2F2" w:themeFill="background1" w:themeFillShade="F2"/>
          </w:tcPr>
          <w:p w14:paraId="49D9EA46"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Orthodox</w:t>
            </w:r>
          </w:p>
        </w:tc>
        <w:tc>
          <w:tcPr>
            <w:tcW w:w="993" w:type="dxa"/>
            <w:shd w:val="clear" w:color="auto" w:fill="F2F2F2" w:themeFill="background1" w:themeFillShade="F2"/>
          </w:tcPr>
          <w:p w14:paraId="47FD50C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5C11AC5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2D0DD76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070D7B0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2B35E25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0.31***</w:t>
            </w:r>
          </w:p>
          <w:p w14:paraId="4D38BD7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right w:val="single" w:sz="4" w:space="0" w:color="auto"/>
            </w:tcBorders>
            <w:shd w:val="clear" w:color="auto" w:fill="F2F2F2" w:themeFill="background1" w:themeFillShade="F2"/>
          </w:tcPr>
          <w:p w14:paraId="14C8FE8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0.34***</w:t>
            </w:r>
          </w:p>
          <w:p w14:paraId="7DD976C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(0.04)</w:t>
            </w:r>
          </w:p>
        </w:tc>
        <w:tc>
          <w:tcPr>
            <w:tcW w:w="992" w:type="dxa"/>
            <w:tcBorders>
              <w:left w:val="single" w:sz="4" w:space="0" w:color="auto"/>
            </w:tcBorders>
            <w:shd w:val="clear" w:color="auto" w:fill="F2F2F2" w:themeFill="background1" w:themeFillShade="F2"/>
          </w:tcPr>
          <w:p w14:paraId="1AADB1A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1485A1C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659CDD2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4DDE384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3" w:type="dxa"/>
            <w:shd w:val="clear" w:color="auto" w:fill="F2F2F2" w:themeFill="background1" w:themeFillShade="F2"/>
          </w:tcPr>
          <w:p w14:paraId="6120E9D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46B7708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06642D2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4C2509A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43F05FB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77953969"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2" w:type="dxa"/>
            <w:shd w:val="clear" w:color="auto" w:fill="F2F2F2" w:themeFill="background1" w:themeFillShade="F2"/>
          </w:tcPr>
          <w:p w14:paraId="32C85EF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4BF0F4D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c>
          <w:tcPr>
            <w:tcW w:w="993" w:type="dxa"/>
            <w:shd w:val="clear" w:color="auto" w:fill="F2F2F2" w:themeFill="background1" w:themeFillShade="F2"/>
          </w:tcPr>
          <w:p w14:paraId="75EDA947" w14:textId="3918470E" w:rsidR="00B65FE6" w:rsidRPr="00C051DC" w:rsidRDefault="000218DA"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0.13</w:t>
            </w:r>
          </w:p>
          <w:p w14:paraId="39840C7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tc>
      </w:tr>
      <w:tr w:rsidR="00B65FE6" w:rsidRPr="00C051DC" w14:paraId="4153B5CD" w14:textId="77777777" w:rsidTr="00F82322">
        <w:trPr>
          <w:trHeight w:val="359"/>
        </w:trPr>
        <w:tc>
          <w:tcPr>
            <w:tcW w:w="2263" w:type="dxa"/>
            <w:shd w:val="clear" w:color="auto" w:fill="F2F2F2" w:themeFill="background1" w:themeFillShade="F2"/>
          </w:tcPr>
          <w:p w14:paraId="7B0EC6ED"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Buddhist</w:t>
            </w:r>
          </w:p>
        </w:tc>
        <w:tc>
          <w:tcPr>
            <w:tcW w:w="993" w:type="dxa"/>
            <w:shd w:val="clear" w:color="auto" w:fill="F2F2F2" w:themeFill="background1" w:themeFillShade="F2"/>
          </w:tcPr>
          <w:p w14:paraId="00F273C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7051432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78894A0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45E9589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23F86A4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0.62***</w:t>
            </w:r>
          </w:p>
          <w:p w14:paraId="0C12F6D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tc>
        <w:tc>
          <w:tcPr>
            <w:tcW w:w="992" w:type="dxa"/>
            <w:tcBorders>
              <w:right w:val="single" w:sz="4" w:space="0" w:color="auto"/>
            </w:tcBorders>
            <w:shd w:val="clear" w:color="auto" w:fill="F2F2F2" w:themeFill="background1" w:themeFillShade="F2"/>
          </w:tcPr>
          <w:p w14:paraId="4E93B0E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0.45***</w:t>
            </w:r>
          </w:p>
          <w:p w14:paraId="12F5725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(0.05)</w:t>
            </w:r>
          </w:p>
        </w:tc>
        <w:tc>
          <w:tcPr>
            <w:tcW w:w="992" w:type="dxa"/>
            <w:tcBorders>
              <w:left w:val="single" w:sz="4" w:space="0" w:color="auto"/>
            </w:tcBorders>
            <w:shd w:val="clear" w:color="auto" w:fill="F2F2F2" w:themeFill="background1" w:themeFillShade="F2"/>
          </w:tcPr>
          <w:p w14:paraId="6D3156B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18D7964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2" w:type="dxa"/>
            <w:shd w:val="clear" w:color="auto" w:fill="F2F2F2" w:themeFill="background1" w:themeFillShade="F2"/>
          </w:tcPr>
          <w:p w14:paraId="21ACCA7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7CE09C5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3" w:type="dxa"/>
            <w:shd w:val="clear" w:color="auto" w:fill="F2F2F2" w:themeFill="background1" w:themeFillShade="F2"/>
          </w:tcPr>
          <w:p w14:paraId="4FDB60C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2E1D30D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2" w:type="dxa"/>
            <w:shd w:val="clear" w:color="auto" w:fill="F2F2F2" w:themeFill="background1" w:themeFillShade="F2"/>
          </w:tcPr>
          <w:p w14:paraId="30E6E9C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25A2D94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2" w:type="dxa"/>
            <w:shd w:val="clear" w:color="auto" w:fill="F2F2F2" w:themeFill="background1" w:themeFillShade="F2"/>
          </w:tcPr>
          <w:p w14:paraId="737525F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703D898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2" w:type="dxa"/>
            <w:shd w:val="clear" w:color="auto" w:fill="F2F2F2" w:themeFill="background1" w:themeFillShade="F2"/>
          </w:tcPr>
          <w:p w14:paraId="03D11CE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084F0B0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c>
          <w:tcPr>
            <w:tcW w:w="993" w:type="dxa"/>
            <w:shd w:val="clear" w:color="auto" w:fill="F2F2F2" w:themeFill="background1" w:themeFillShade="F2"/>
          </w:tcPr>
          <w:p w14:paraId="5B6628F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-0.06</w:t>
            </w:r>
          </w:p>
          <w:p w14:paraId="793D578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(0.07)</w:t>
            </w:r>
          </w:p>
        </w:tc>
      </w:tr>
      <w:tr w:rsidR="00B65FE6" w:rsidRPr="00C051DC" w14:paraId="2C17A481" w14:textId="77777777" w:rsidTr="00F82322">
        <w:trPr>
          <w:trHeight w:val="359"/>
        </w:trPr>
        <w:tc>
          <w:tcPr>
            <w:tcW w:w="2263" w:type="dxa"/>
            <w:shd w:val="clear" w:color="auto" w:fill="F2F2F2" w:themeFill="background1" w:themeFillShade="F2"/>
          </w:tcPr>
          <w:p w14:paraId="437258B5"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Hindu</w:t>
            </w:r>
          </w:p>
        </w:tc>
        <w:tc>
          <w:tcPr>
            <w:tcW w:w="993" w:type="dxa"/>
            <w:shd w:val="clear" w:color="auto" w:fill="F2F2F2" w:themeFill="background1" w:themeFillShade="F2"/>
          </w:tcPr>
          <w:p w14:paraId="14C1EC6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6E97CED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50E5EAC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1F6C159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1084A75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0.37***</w:t>
            </w:r>
          </w:p>
          <w:p w14:paraId="4C14362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tcBorders>
              <w:right w:val="single" w:sz="4" w:space="0" w:color="auto"/>
            </w:tcBorders>
            <w:shd w:val="clear" w:color="auto" w:fill="F2F2F2" w:themeFill="background1" w:themeFillShade="F2"/>
          </w:tcPr>
          <w:p w14:paraId="3E6F556F"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0.23**</w:t>
            </w:r>
          </w:p>
          <w:p w14:paraId="502D4B2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tc>
        <w:tc>
          <w:tcPr>
            <w:tcW w:w="992" w:type="dxa"/>
            <w:tcBorders>
              <w:left w:val="single" w:sz="4" w:space="0" w:color="auto"/>
            </w:tcBorders>
            <w:shd w:val="clear" w:color="auto" w:fill="F2F2F2" w:themeFill="background1" w:themeFillShade="F2"/>
          </w:tcPr>
          <w:p w14:paraId="74AA04F7"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398D6F1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tc>
        <w:tc>
          <w:tcPr>
            <w:tcW w:w="992" w:type="dxa"/>
            <w:shd w:val="clear" w:color="auto" w:fill="F2F2F2" w:themeFill="background1" w:themeFillShade="F2"/>
          </w:tcPr>
          <w:p w14:paraId="01EBACD6"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49523B4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tc>
        <w:tc>
          <w:tcPr>
            <w:tcW w:w="993" w:type="dxa"/>
            <w:shd w:val="clear" w:color="auto" w:fill="F2F2F2" w:themeFill="background1" w:themeFillShade="F2"/>
          </w:tcPr>
          <w:p w14:paraId="72B9BD3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5A9D837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tc>
        <w:tc>
          <w:tcPr>
            <w:tcW w:w="992" w:type="dxa"/>
            <w:shd w:val="clear" w:color="auto" w:fill="F2F2F2" w:themeFill="background1" w:themeFillShade="F2"/>
          </w:tcPr>
          <w:p w14:paraId="67C9FA0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4A8A7B9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tc>
        <w:tc>
          <w:tcPr>
            <w:tcW w:w="992" w:type="dxa"/>
            <w:shd w:val="clear" w:color="auto" w:fill="F2F2F2" w:themeFill="background1" w:themeFillShade="F2"/>
          </w:tcPr>
          <w:p w14:paraId="3DB3686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26B8310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tc>
        <w:tc>
          <w:tcPr>
            <w:tcW w:w="992" w:type="dxa"/>
            <w:shd w:val="clear" w:color="auto" w:fill="F2F2F2" w:themeFill="background1" w:themeFillShade="F2"/>
          </w:tcPr>
          <w:p w14:paraId="033C85B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-0.09</w:t>
            </w:r>
          </w:p>
          <w:p w14:paraId="43E2D0F0"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tc>
        <w:tc>
          <w:tcPr>
            <w:tcW w:w="993" w:type="dxa"/>
            <w:shd w:val="clear" w:color="auto" w:fill="F2F2F2" w:themeFill="background1" w:themeFillShade="F2"/>
          </w:tcPr>
          <w:p w14:paraId="6F767302"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-0.08</w:t>
            </w:r>
          </w:p>
          <w:p w14:paraId="2E27132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(0.10)</w:t>
            </w:r>
          </w:p>
        </w:tc>
      </w:tr>
      <w:tr w:rsidR="00B65FE6" w:rsidRPr="00C051DC" w14:paraId="5D5B12BC" w14:textId="77777777" w:rsidTr="00F82322">
        <w:trPr>
          <w:trHeight w:val="359"/>
        </w:trPr>
        <w:tc>
          <w:tcPr>
            <w:tcW w:w="2263" w:type="dxa"/>
            <w:shd w:val="clear" w:color="auto" w:fill="F2F2F2" w:themeFill="background1" w:themeFillShade="F2"/>
          </w:tcPr>
          <w:p w14:paraId="220EA5B5" w14:textId="77777777" w:rsidR="00B65FE6" w:rsidRPr="00C051DC" w:rsidRDefault="00B65FE6" w:rsidP="00737428">
            <w:pPr>
              <w:spacing w:before="0" w:line="240" w:lineRule="auto"/>
              <w:rPr>
                <w:rFonts w:cs="Segoe UI"/>
                <w:i/>
                <w:sz w:val="20"/>
                <w:szCs w:val="20"/>
                <w:highlight w:val="yellow"/>
              </w:rPr>
            </w:pPr>
            <w:r w:rsidRPr="00C051DC">
              <w:rPr>
                <w:rFonts w:cs="Segoe UI"/>
                <w:i/>
                <w:sz w:val="20"/>
                <w:szCs w:val="20"/>
                <w:highlight w:val="yellow"/>
              </w:rPr>
              <w:t>Other</w:t>
            </w:r>
          </w:p>
        </w:tc>
        <w:tc>
          <w:tcPr>
            <w:tcW w:w="993" w:type="dxa"/>
            <w:shd w:val="clear" w:color="auto" w:fill="F2F2F2" w:themeFill="background1" w:themeFillShade="F2"/>
          </w:tcPr>
          <w:p w14:paraId="26F7D71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2" w:type="dxa"/>
            <w:shd w:val="clear" w:color="auto" w:fill="F2F2F2" w:themeFill="background1" w:themeFillShade="F2"/>
          </w:tcPr>
          <w:p w14:paraId="0D043C8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76926AA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shd w:val="clear" w:color="auto" w:fill="F2F2F2" w:themeFill="background1" w:themeFillShade="F2"/>
          </w:tcPr>
          <w:p w14:paraId="6A121BD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shd w:val="clear" w:color="auto" w:fill="F2F2F2" w:themeFill="background1" w:themeFillShade="F2"/>
          </w:tcPr>
          <w:p w14:paraId="53C340D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0.22***</w:t>
            </w:r>
            <w:r w:rsidRPr="00C051DC">
              <w:rPr>
                <w:rFonts w:cs="Segoe UI"/>
                <w:sz w:val="20"/>
                <w:szCs w:val="20"/>
                <w:highlight w:val="yellow"/>
                <w:lang w:val="en-US"/>
              </w:rPr>
              <w:br/>
              <w:t>(0.08)</w:t>
            </w:r>
          </w:p>
        </w:tc>
        <w:tc>
          <w:tcPr>
            <w:tcW w:w="992" w:type="dxa"/>
            <w:tcBorders>
              <w:right w:val="single" w:sz="4" w:space="0" w:color="auto"/>
            </w:tcBorders>
            <w:shd w:val="clear" w:color="auto" w:fill="F2F2F2" w:themeFill="background1" w:themeFillShade="F2"/>
          </w:tcPr>
          <w:p w14:paraId="049BD00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0.20***</w:t>
            </w:r>
            <w:r w:rsidRPr="00C051DC">
              <w:rPr>
                <w:rFonts w:cs="Segoe UI"/>
                <w:sz w:val="20"/>
                <w:szCs w:val="20"/>
                <w:highlight w:val="yellow"/>
                <w:lang w:val="en-US"/>
              </w:rPr>
              <w:br/>
              <w:t>(0.04)</w:t>
            </w:r>
          </w:p>
        </w:tc>
        <w:tc>
          <w:tcPr>
            <w:tcW w:w="992" w:type="dxa"/>
            <w:tcBorders>
              <w:left w:val="single" w:sz="4" w:space="0" w:color="auto"/>
            </w:tcBorders>
            <w:shd w:val="clear" w:color="auto" w:fill="F2F2F2" w:themeFill="background1" w:themeFillShade="F2"/>
          </w:tcPr>
          <w:p w14:paraId="688948EE"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Pr="00C051DC">
              <w:rPr>
                <w:rFonts w:cs="Segoe UI"/>
                <w:sz w:val="20"/>
                <w:szCs w:val="20"/>
                <w:highlight w:val="yellow"/>
                <w:lang w:val="en-US"/>
              </w:rPr>
              <w:br/>
              <w:t>(0.04)</w:t>
            </w:r>
          </w:p>
        </w:tc>
        <w:tc>
          <w:tcPr>
            <w:tcW w:w="992" w:type="dxa"/>
            <w:shd w:val="clear" w:color="auto" w:fill="F2F2F2" w:themeFill="background1" w:themeFillShade="F2"/>
          </w:tcPr>
          <w:p w14:paraId="75BFB3D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Pr="00C051DC">
              <w:rPr>
                <w:rFonts w:cs="Segoe UI"/>
                <w:sz w:val="20"/>
                <w:szCs w:val="20"/>
                <w:highlight w:val="yellow"/>
                <w:lang w:val="en-US"/>
              </w:rPr>
              <w:br/>
              <w:t>(0.04)</w:t>
            </w:r>
          </w:p>
        </w:tc>
        <w:tc>
          <w:tcPr>
            <w:tcW w:w="993" w:type="dxa"/>
            <w:shd w:val="clear" w:color="auto" w:fill="F2F2F2" w:themeFill="background1" w:themeFillShade="F2"/>
          </w:tcPr>
          <w:p w14:paraId="56642A95"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Pr="00C051DC">
              <w:rPr>
                <w:rFonts w:cs="Segoe UI"/>
                <w:sz w:val="20"/>
                <w:szCs w:val="20"/>
                <w:highlight w:val="yellow"/>
                <w:lang w:val="en-US"/>
              </w:rPr>
              <w:br/>
              <w:t>(0.04)</w:t>
            </w:r>
          </w:p>
        </w:tc>
        <w:tc>
          <w:tcPr>
            <w:tcW w:w="992" w:type="dxa"/>
            <w:shd w:val="clear" w:color="auto" w:fill="F2F2F2" w:themeFill="background1" w:themeFillShade="F2"/>
          </w:tcPr>
          <w:p w14:paraId="5BC2755D"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Pr="00C051DC">
              <w:rPr>
                <w:rFonts w:cs="Segoe UI"/>
                <w:sz w:val="20"/>
                <w:szCs w:val="20"/>
                <w:highlight w:val="yellow"/>
                <w:lang w:val="en-US"/>
              </w:rPr>
              <w:br/>
              <w:t>(0.04)</w:t>
            </w:r>
          </w:p>
        </w:tc>
        <w:tc>
          <w:tcPr>
            <w:tcW w:w="992" w:type="dxa"/>
            <w:shd w:val="clear" w:color="auto" w:fill="F2F2F2" w:themeFill="background1" w:themeFillShade="F2"/>
          </w:tcPr>
          <w:p w14:paraId="4E1D457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Pr="00C051DC">
              <w:rPr>
                <w:rFonts w:cs="Segoe UI"/>
                <w:sz w:val="20"/>
                <w:szCs w:val="20"/>
                <w:highlight w:val="yellow"/>
                <w:lang w:val="en-US"/>
              </w:rPr>
              <w:br/>
              <w:t>(0.04)</w:t>
            </w:r>
          </w:p>
        </w:tc>
        <w:tc>
          <w:tcPr>
            <w:tcW w:w="992" w:type="dxa"/>
            <w:shd w:val="clear" w:color="auto" w:fill="F2F2F2" w:themeFill="background1" w:themeFillShade="F2"/>
          </w:tcPr>
          <w:p w14:paraId="53FE56B8"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Pr="00C051DC">
              <w:rPr>
                <w:rFonts w:cs="Segoe UI"/>
                <w:sz w:val="20"/>
                <w:szCs w:val="20"/>
                <w:highlight w:val="yellow"/>
                <w:lang w:val="en-US"/>
              </w:rPr>
              <w:br/>
              <w:t>(0.04)</w:t>
            </w:r>
          </w:p>
        </w:tc>
        <w:tc>
          <w:tcPr>
            <w:tcW w:w="993" w:type="dxa"/>
            <w:shd w:val="clear" w:color="auto" w:fill="F2F2F2" w:themeFill="background1" w:themeFillShade="F2"/>
          </w:tcPr>
          <w:p w14:paraId="5F51BA0B"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-0.02</w:t>
            </w:r>
            <w:r w:rsidRPr="00C051DC">
              <w:rPr>
                <w:rFonts w:cs="Segoe UI"/>
                <w:sz w:val="20"/>
                <w:szCs w:val="20"/>
                <w:highlight w:val="yellow"/>
                <w:lang w:val="en-US"/>
              </w:rPr>
              <w:br/>
              <w:t>(0.04)</w:t>
            </w:r>
          </w:p>
        </w:tc>
      </w:tr>
      <w:tr w:rsidR="00B65FE6" w:rsidRPr="00C051DC" w14:paraId="6BC8979B" w14:textId="77777777" w:rsidTr="00F82322">
        <w:trPr>
          <w:trHeight w:val="359"/>
        </w:trPr>
        <w:tc>
          <w:tcPr>
            <w:tcW w:w="2263" w:type="dxa"/>
          </w:tcPr>
          <w:p w14:paraId="09EA8EDE" w14:textId="77777777" w:rsidR="00B65FE6" w:rsidRPr="00C051DC" w:rsidRDefault="00B65FE6" w:rsidP="00737428">
            <w:pPr>
              <w:widowControl w:val="0"/>
              <w:autoSpaceDE w:val="0"/>
              <w:autoSpaceDN w:val="0"/>
              <w:adjustRightInd w:val="0"/>
              <w:spacing w:before="0" w:line="240" w:lineRule="auto"/>
              <w:rPr>
                <w:rFonts w:cs="Segoe UI"/>
                <w:b/>
                <w:i/>
                <w:sz w:val="20"/>
                <w:szCs w:val="20"/>
                <w:highlight w:val="yellow"/>
                <w:lang w:val="en-US"/>
              </w:rPr>
            </w:pPr>
            <w:r w:rsidRPr="00C051DC">
              <w:rPr>
                <w:rFonts w:cs="Segoe UI"/>
                <w:b/>
                <w:i/>
                <w:sz w:val="20"/>
                <w:szCs w:val="20"/>
                <w:highlight w:val="yellow"/>
                <w:lang w:val="en-US"/>
              </w:rPr>
              <w:t>Country Level</w:t>
            </w:r>
          </w:p>
        </w:tc>
        <w:tc>
          <w:tcPr>
            <w:tcW w:w="993" w:type="dxa"/>
          </w:tcPr>
          <w:p w14:paraId="0677829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1D9873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12510D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603C30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95CA7F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52A5D48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3ED75FC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781AD6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74E73CE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617A7D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48E686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648F37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7B0FC3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16838865" w14:textId="77777777" w:rsidTr="00F82322">
        <w:trPr>
          <w:trHeight w:val="359"/>
        </w:trPr>
        <w:tc>
          <w:tcPr>
            <w:tcW w:w="2263" w:type="dxa"/>
          </w:tcPr>
          <w:p w14:paraId="096CF60B"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HDI (0-100)</w:t>
            </w:r>
          </w:p>
        </w:tc>
        <w:tc>
          <w:tcPr>
            <w:tcW w:w="993" w:type="dxa"/>
          </w:tcPr>
          <w:p w14:paraId="3427CAA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5964D8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228D3E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3558CF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40D05D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2A4FDF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5EAFBAC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69E550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53304EA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993" w:type="dxa"/>
          </w:tcPr>
          <w:p w14:paraId="7F46FC9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15614F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E6EFA0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279F3F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B924C3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1A9D371A" w14:textId="77777777" w:rsidTr="00F82322">
        <w:trPr>
          <w:trHeight w:val="359"/>
        </w:trPr>
        <w:tc>
          <w:tcPr>
            <w:tcW w:w="2263" w:type="dxa"/>
          </w:tcPr>
          <w:p w14:paraId="4F144210"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Press Freedom (0-100)</w:t>
            </w:r>
          </w:p>
        </w:tc>
        <w:tc>
          <w:tcPr>
            <w:tcW w:w="993" w:type="dxa"/>
          </w:tcPr>
          <w:p w14:paraId="5737429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E019DF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F1554F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06A1BF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1C0ADF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67DE127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4D77ABE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30BD2F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77A8C06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p w14:paraId="1FE9AFC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992" w:type="dxa"/>
          </w:tcPr>
          <w:p w14:paraId="6309EC1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EB2228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2E3E43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BB71B3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0C0CB6C7" w14:textId="77777777" w:rsidTr="00F82322">
        <w:trPr>
          <w:trHeight w:val="359"/>
        </w:trPr>
        <w:tc>
          <w:tcPr>
            <w:tcW w:w="2263" w:type="dxa"/>
          </w:tcPr>
          <w:p w14:paraId="1C57938D"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 xml:space="preserve">Communist (Ref = </w:t>
            </w:r>
            <w:r w:rsidRPr="00C051DC">
              <w:rPr>
                <w:rFonts w:cs="Segoe UI"/>
                <w:i/>
                <w:sz w:val="20"/>
                <w:szCs w:val="20"/>
                <w:highlight w:val="yellow"/>
                <w:lang w:val="en-US"/>
              </w:rPr>
              <w:t>not</w:t>
            </w:r>
            <w:r w:rsidRPr="00C051DC">
              <w:rPr>
                <w:rFonts w:cs="Segoe UI"/>
                <w:sz w:val="20"/>
                <w:szCs w:val="20"/>
                <w:highlight w:val="yellow"/>
                <w:lang w:val="en-US"/>
              </w:rPr>
              <w:t>)</w:t>
            </w:r>
          </w:p>
        </w:tc>
        <w:tc>
          <w:tcPr>
            <w:tcW w:w="993" w:type="dxa"/>
          </w:tcPr>
          <w:p w14:paraId="66C4370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080DBB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A79EE3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2B3D18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7779E7F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AC4799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7E79A31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B72B89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1B216AA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C04652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0.40</w:t>
            </w:r>
          </w:p>
          <w:p w14:paraId="7FAA3C2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(0.22)</w:t>
            </w:r>
          </w:p>
        </w:tc>
        <w:tc>
          <w:tcPr>
            <w:tcW w:w="992" w:type="dxa"/>
          </w:tcPr>
          <w:p w14:paraId="40D25EB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1875A8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0A8F00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32B626F2" w14:textId="77777777" w:rsidTr="00F82322">
        <w:trPr>
          <w:trHeight w:val="359"/>
        </w:trPr>
        <w:tc>
          <w:tcPr>
            <w:tcW w:w="2263" w:type="dxa"/>
          </w:tcPr>
          <w:p w14:paraId="5ECCA44B"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Democratic History (0-100)</w:t>
            </w:r>
          </w:p>
        </w:tc>
        <w:tc>
          <w:tcPr>
            <w:tcW w:w="993" w:type="dxa"/>
          </w:tcPr>
          <w:p w14:paraId="6BC7AD5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65178C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E9387D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CD0291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8C612B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21C9579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4431220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BF343E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E80DB3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065E4A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002C70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p w14:paraId="059AD70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992" w:type="dxa"/>
          </w:tcPr>
          <w:p w14:paraId="2038D05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E9D46E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4D385FC5" w14:textId="77777777" w:rsidTr="00F82322">
        <w:trPr>
          <w:trHeight w:val="359"/>
        </w:trPr>
        <w:tc>
          <w:tcPr>
            <w:tcW w:w="2263" w:type="dxa"/>
          </w:tcPr>
          <w:p w14:paraId="1100E4A3"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Inequality (GINI) (0-100)</w:t>
            </w:r>
          </w:p>
        </w:tc>
        <w:tc>
          <w:tcPr>
            <w:tcW w:w="993" w:type="dxa"/>
          </w:tcPr>
          <w:p w14:paraId="6A50091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B78D8C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621DB1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BDF823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8931E9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2F088F6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7672E78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1299A0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40628C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B56286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3593C1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163AA3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p w14:paraId="07866BC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993" w:type="dxa"/>
          </w:tcPr>
          <w:p w14:paraId="4AE1A30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5A64AD90" w14:textId="77777777" w:rsidTr="00F82322">
        <w:trPr>
          <w:trHeight w:val="359"/>
        </w:trPr>
        <w:tc>
          <w:tcPr>
            <w:tcW w:w="2263" w:type="dxa"/>
          </w:tcPr>
          <w:p w14:paraId="06BED7B2" w14:textId="77777777" w:rsidR="00B65FE6" w:rsidRPr="00C051DC" w:rsidRDefault="00B65FE6" w:rsidP="00737428">
            <w:pPr>
              <w:widowControl w:val="0"/>
              <w:autoSpaceDE w:val="0"/>
              <w:autoSpaceDN w:val="0"/>
              <w:adjustRightInd w:val="0"/>
              <w:spacing w:line="240" w:lineRule="auto"/>
              <w:rPr>
                <w:rFonts w:cs="Segoe UI"/>
                <w:sz w:val="20"/>
                <w:szCs w:val="20"/>
                <w:highlight w:val="yellow"/>
                <w:lang w:val="en-US"/>
              </w:rPr>
            </w:pPr>
            <w:r w:rsidRPr="00C051DC">
              <w:rPr>
                <w:rFonts w:cs="Segoe UI"/>
                <w:sz w:val="20"/>
                <w:szCs w:val="20"/>
                <w:highlight w:val="yellow"/>
                <w:lang w:val="en-US"/>
              </w:rPr>
              <w:t xml:space="preserve">Freedom House        (Ref = </w:t>
            </w:r>
            <w:r w:rsidRPr="00C051DC">
              <w:rPr>
                <w:rFonts w:cs="Segoe UI"/>
                <w:i/>
                <w:sz w:val="20"/>
                <w:szCs w:val="20"/>
                <w:highlight w:val="yellow"/>
                <w:lang w:val="en-US"/>
              </w:rPr>
              <w:t>Free</w:t>
            </w:r>
            <w:r w:rsidRPr="00C051DC">
              <w:rPr>
                <w:rFonts w:cs="Segoe UI"/>
                <w:sz w:val="20"/>
                <w:szCs w:val="20"/>
                <w:highlight w:val="yellow"/>
                <w:lang w:val="en-US"/>
              </w:rPr>
              <w:t>)</w:t>
            </w:r>
          </w:p>
        </w:tc>
        <w:tc>
          <w:tcPr>
            <w:tcW w:w="993" w:type="dxa"/>
          </w:tcPr>
          <w:p w14:paraId="626573F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91DF22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CE01AA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C6AAFD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3E88FA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2BDC4E6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3DB81FC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BA8F4A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7BBDB9A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888FEF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AAADAF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7A02D2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6EFD90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4B83891D" w14:textId="77777777" w:rsidTr="00F82322">
        <w:trPr>
          <w:trHeight w:val="359"/>
        </w:trPr>
        <w:tc>
          <w:tcPr>
            <w:tcW w:w="2263" w:type="dxa"/>
          </w:tcPr>
          <w:p w14:paraId="636361F9" w14:textId="77777777" w:rsidR="00B65FE6" w:rsidRPr="00C051DC" w:rsidRDefault="00B65FE6" w:rsidP="00737428">
            <w:pPr>
              <w:widowControl w:val="0"/>
              <w:autoSpaceDE w:val="0"/>
              <w:autoSpaceDN w:val="0"/>
              <w:adjustRightInd w:val="0"/>
              <w:spacing w:line="240" w:lineRule="auto"/>
              <w:rPr>
                <w:rFonts w:cs="Segoe UI"/>
                <w:i/>
                <w:sz w:val="20"/>
                <w:szCs w:val="20"/>
                <w:highlight w:val="yellow"/>
                <w:lang w:val="en-US"/>
              </w:rPr>
            </w:pPr>
            <w:r w:rsidRPr="00C051DC">
              <w:rPr>
                <w:rFonts w:cs="Segoe UI"/>
                <w:i/>
                <w:sz w:val="20"/>
                <w:szCs w:val="20"/>
                <w:highlight w:val="yellow"/>
                <w:lang w:val="en-US"/>
              </w:rPr>
              <w:t>Partly Free</w:t>
            </w:r>
          </w:p>
        </w:tc>
        <w:tc>
          <w:tcPr>
            <w:tcW w:w="993" w:type="dxa"/>
          </w:tcPr>
          <w:p w14:paraId="76B2868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9E04A5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C91400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B52248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94F72A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37EE724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51A38A3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9FAAAE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707A9BC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AB829C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6272ED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83C40B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1A8AEA2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0.96**</w:t>
            </w:r>
          </w:p>
          <w:p w14:paraId="5E4656F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(0.26)</w:t>
            </w:r>
          </w:p>
        </w:tc>
      </w:tr>
      <w:tr w:rsidR="00B65FE6" w:rsidRPr="00C051DC" w14:paraId="0DCCEEFB" w14:textId="77777777" w:rsidTr="00F82322">
        <w:trPr>
          <w:trHeight w:val="359"/>
        </w:trPr>
        <w:tc>
          <w:tcPr>
            <w:tcW w:w="2263" w:type="dxa"/>
          </w:tcPr>
          <w:p w14:paraId="103004A4" w14:textId="77777777" w:rsidR="00B65FE6" w:rsidRPr="00C051DC" w:rsidRDefault="00B65FE6" w:rsidP="00737428">
            <w:pPr>
              <w:widowControl w:val="0"/>
              <w:autoSpaceDE w:val="0"/>
              <w:autoSpaceDN w:val="0"/>
              <w:adjustRightInd w:val="0"/>
              <w:spacing w:line="240" w:lineRule="auto"/>
              <w:rPr>
                <w:rFonts w:cs="Segoe UI"/>
                <w:i/>
                <w:sz w:val="20"/>
                <w:szCs w:val="20"/>
                <w:highlight w:val="yellow"/>
                <w:lang w:val="en-US"/>
              </w:rPr>
            </w:pPr>
            <w:r w:rsidRPr="00C051DC">
              <w:rPr>
                <w:rFonts w:cs="Segoe UI"/>
                <w:i/>
                <w:sz w:val="20"/>
                <w:szCs w:val="20"/>
                <w:highlight w:val="yellow"/>
                <w:lang w:val="en-US"/>
              </w:rPr>
              <w:t>Not Free</w:t>
            </w:r>
          </w:p>
        </w:tc>
        <w:tc>
          <w:tcPr>
            <w:tcW w:w="993" w:type="dxa"/>
          </w:tcPr>
          <w:p w14:paraId="1D2EB8A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46EDDE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C43845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539CC6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562BB5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57B90BF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710CA7A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D893A0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64837EB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23A06B4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C412D6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B76DC3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9EB457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1.88**</w:t>
            </w:r>
          </w:p>
          <w:p w14:paraId="41D46FA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(0.65)</w:t>
            </w:r>
          </w:p>
        </w:tc>
      </w:tr>
      <w:tr w:rsidR="00B65FE6" w:rsidRPr="00C051DC" w14:paraId="2AB0B88A" w14:textId="77777777" w:rsidTr="00F82322">
        <w:trPr>
          <w:trHeight w:val="359"/>
        </w:trPr>
        <w:tc>
          <w:tcPr>
            <w:tcW w:w="2263" w:type="dxa"/>
          </w:tcPr>
          <w:p w14:paraId="09F8D054"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Pr>
          <w:p w14:paraId="295CE26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B65A87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5FC8F0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509045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35F8924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1C0FFC9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2C59138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704FEFF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5B6F96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78BCB1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8FB6BA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05CC86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52809A6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65059991" w14:textId="77777777" w:rsidTr="00F82322">
        <w:trPr>
          <w:trHeight w:val="359"/>
        </w:trPr>
        <w:tc>
          <w:tcPr>
            <w:tcW w:w="2263" w:type="dxa"/>
            <w:tcBorders>
              <w:bottom w:val="single" w:sz="4" w:space="0" w:color="auto"/>
            </w:tcBorders>
          </w:tcPr>
          <w:p w14:paraId="58A44C6A"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p>
        </w:tc>
        <w:tc>
          <w:tcPr>
            <w:tcW w:w="993" w:type="dxa"/>
            <w:tcBorders>
              <w:bottom w:val="single" w:sz="4" w:space="0" w:color="auto"/>
            </w:tcBorders>
          </w:tcPr>
          <w:p w14:paraId="321466E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53BBC6E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65CADE8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32C844A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47FF73F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right w:val="single" w:sz="4" w:space="0" w:color="auto"/>
            </w:tcBorders>
          </w:tcPr>
          <w:p w14:paraId="2E0FCF4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bottom w:val="single" w:sz="4" w:space="0" w:color="auto"/>
            </w:tcBorders>
          </w:tcPr>
          <w:p w14:paraId="2F8E96E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0C3FEEC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0BB8912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42A6445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7F99758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3D3EC2C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2BC2A37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29824987" w14:textId="77777777" w:rsidTr="00F82322">
        <w:trPr>
          <w:trHeight w:val="359"/>
        </w:trPr>
        <w:tc>
          <w:tcPr>
            <w:tcW w:w="2263" w:type="dxa"/>
            <w:tcBorders>
              <w:top w:val="single" w:sz="4" w:space="0" w:color="auto"/>
            </w:tcBorders>
          </w:tcPr>
          <w:p w14:paraId="22E13641"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i/>
                <w:iCs/>
                <w:sz w:val="20"/>
                <w:szCs w:val="20"/>
                <w:highlight w:val="yellow"/>
                <w:lang w:val="en-US"/>
              </w:rPr>
              <w:t>N individual</w:t>
            </w:r>
          </w:p>
        </w:tc>
        <w:tc>
          <w:tcPr>
            <w:tcW w:w="993" w:type="dxa"/>
            <w:tcBorders>
              <w:top w:val="single" w:sz="4" w:space="0" w:color="auto"/>
            </w:tcBorders>
          </w:tcPr>
          <w:p w14:paraId="34EB28A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3C82EAE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057B6DA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6B2A543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3" w:type="dxa"/>
            <w:tcBorders>
              <w:top w:val="single" w:sz="4" w:space="0" w:color="auto"/>
            </w:tcBorders>
          </w:tcPr>
          <w:p w14:paraId="51ECC24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right w:val="single" w:sz="4" w:space="0" w:color="auto"/>
            </w:tcBorders>
          </w:tcPr>
          <w:p w14:paraId="02E6F06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left w:val="single" w:sz="4" w:space="0" w:color="auto"/>
            </w:tcBorders>
          </w:tcPr>
          <w:p w14:paraId="70A1262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7141DA12"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3" w:type="dxa"/>
            <w:tcBorders>
              <w:top w:val="single" w:sz="4" w:space="0" w:color="auto"/>
            </w:tcBorders>
          </w:tcPr>
          <w:p w14:paraId="0657D9F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7351316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0CE0BBA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2" w:type="dxa"/>
            <w:tcBorders>
              <w:top w:val="single" w:sz="4" w:space="0" w:color="auto"/>
            </w:tcBorders>
          </w:tcPr>
          <w:p w14:paraId="248C702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c>
          <w:tcPr>
            <w:tcW w:w="993" w:type="dxa"/>
            <w:tcBorders>
              <w:top w:val="single" w:sz="4" w:space="0" w:color="auto"/>
            </w:tcBorders>
          </w:tcPr>
          <w:p w14:paraId="3AB76AA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45,454</w:t>
            </w:r>
          </w:p>
        </w:tc>
      </w:tr>
      <w:tr w:rsidR="00B65FE6" w:rsidRPr="00C051DC" w14:paraId="394ECD3E" w14:textId="77777777" w:rsidTr="00F82322">
        <w:trPr>
          <w:trHeight w:val="359"/>
        </w:trPr>
        <w:tc>
          <w:tcPr>
            <w:tcW w:w="2263" w:type="dxa"/>
          </w:tcPr>
          <w:p w14:paraId="064B8BE0"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N country</w:t>
            </w:r>
          </w:p>
        </w:tc>
        <w:tc>
          <w:tcPr>
            <w:tcW w:w="993" w:type="dxa"/>
          </w:tcPr>
          <w:p w14:paraId="1B41BCF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3FADFC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A67371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4B98C3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D4483B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587E526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012D3A5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3F235F5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3" w:type="dxa"/>
          </w:tcPr>
          <w:p w14:paraId="4B0E4B2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7E64F5D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02385CE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2" w:type="dxa"/>
          </w:tcPr>
          <w:p w14:paraId="4750C01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c>
          <w:tcPr>
            <w:tcW w:w="993" w:type="dxa"/>
          </w:tcPr>
          <w:p w14:paraId="7FE618B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46</w:t>
            </w:r>
          </w:p>
        </w:tc>
      </w:tr>
      <w:tr w:rsidR="00B65FE6" w:rsidRPr="00C051DC" w14:paraId="47A613F6" w14:textId="77777777" w:rsidTr="00F82322">
        <w:trPr>
          <w:trHeight w:val="359"/>
        </w:trPr>
        <w:tc>
          <w:tcPr>
            <w:tcW w:w="2263" w:type="dxa"/>
          </w:tcPr>
          <w:p w14:paraId="1F24962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i/>
                <w:iCs/>
                <w:sz w:val="20"/>
                <w:szCs w:val="20"/>
                <w:highlight w:val="yellow"/>
                <w:lang w:val="en-US"/>
              </w:rPr>
              <w:t>R</w:t>
            </w:r>
            <w:r w:rsidRPr="00C051DC">
              <w:rPr>
                <w:rFonts w:cs="Segoe UI"/>
                <w:sz w:val="20"/>
                <w:szCs w:val="20"/>
                <w:highlight w:val="yellow"/>
                <w:vertAlign w:val="superscript"/>
                <w:lang w:val="en-US"/>
              </w:rPr>
              <w:t>2</w:t>
            </w:r>
          </w:p>
        </w:tc>
        <w:tc>
          <w:tcPr>
            <w:tcW w:w="993" w:type="dxa"/>
          </w:tcPr>
          <w:p w14:paraId="59A1D6D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992" w:type="dxa"/>
          </w:tcPr>
          <w:p w14:paraId="30BD0E6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0.05</w:t>
            </w:r>
          </w:p>
        </w:tc>
        <w:tc>
          <w:tcPr>
            <w:tcW w:w="992" w:type="dxa"/>
          </w:tcPr>
          <w:p w14:paraId="5FDDE2F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0.05</w:t>
            </w:r>
          </w:p>
        </w:tc>
        <w:tc>
          <w:tcPr>
            <w:tcW w:w="992" w:type="dxa"/>
          </w:tcPr>
          <w:p w14:paraId="5E586F3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tc>
        <w:tc>
          <w:tcPr>
            <w:tcW w:w="993" w:type="dxa"/>
          </w:tcPr>
          <w:p w14:paraId="01AED91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0.13</w:t>
            </w:r>
          </w:p>
        </w:tc>
        <w:tc>
          <w:tcPr>
            <w:tcW w:w="992" w:type="dxa"/>
            <w:tcBorders>
              <w:right w:val="single" w:sz="4" w:space="0" w:color="auto"/>
            </w:tcBorders>
          </w:tcPr>
          <w:p w14:paraId="2BCAE78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0.16</w:t>
            </w:r>
          </w:p>
        </w:tc>
        <w:tc>
          <w:tcPr>
            <w:tcW w:w="992" w:type="dxa"/>
            <w:tcBorders>
              <w:left w:val="single" w:sz="4" w:space="0" w:color="auto"/>
            </w:tcBorders>
          </w:tcPr>
          <w:p w14:paraId="221FF06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3E571E5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2F332DB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96EB8D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7B5589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5314357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95471F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r>
      <w:tr w:rsidR="00B65FE6" w:rsidRPr="00C051DC" w14:paraId="7C975DBD" w14:textId="77777777" w:rsidTr="00F82322">
        <w:trPr>
          <w:trHeight w:val="359"/>
        </w:trPr>
        <w:tc>
          <w:tcPr>
            <w:tcW w:w="2263" w:type="dxa"/>
          </w:tcPr>
          <w:p w14:paraId="4958936B"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S&amp;B R</w:t>
            </w:r>
            <w:r w:rsidRPr="00C051DC">
              <w:rPr>
                <w:rFonts w:cs="Segoe UI"/>
                <w:i/>
                <w:iCs/>
                <w:sz w:val="20"/>
                <w:szCs w:val="20"/>
                <w:highlight w:val="yellow"/>
                <w:vertAlign w:val="superscript"/>
                <w:lang w:val="en-US"/>
              </w:rPr>
              <w:t xml:space="preserve">2 </w:t>
            </w:r>
            <w:r w:rsidRPr="00C051DC">
              <w:rPr>
                <w:rFonts w:cs="Segoe UI"/>
                <w:i/>
                <w:iCs/>
                <w:sz w:val="20"/>
                <w:szCs w:val="20"/>
                <w:highlight w:val="yellow"/>
                <w:lang w:val="en-US"/>
              </w:rPr>
              <w:t>(Individual)</w:t>
            </w:r>
          </w:p>
        </w:tc>
        <w:tc>
          <w:tcPr>
            <w:tcW w:w="993" w:type="dxa"/>
          </w:tcPr>
          <w:p w14:paraId="661C3B8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6425553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07439D7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7FBA5D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1C15B58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07E2752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15B63DD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0.06</w:t>
            </w:r>
          </w:p>
        </w:tc>
        <w:tc>
          <w:tcPr>
            <w:tcW w:w="992" w:type="dxa"/>
          </w:tcPr>
          <w:p w14:paraId="0B6EB8D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0.16</w:t>
            </w:r>
          </w:p>
        </w:tc>
        <w:tc>
          <w:tcPr>
            <w:tcW w:w="993" w:type="dxa"/>
          </w:tcPr>
          <w:p w14:paraId="31B7081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0.16</w:t>
            </w:r>
          </w:p>
        </w:tc>
        <w:tc>
          <w:tcPr>
            <w:tcW w:w="992" w:type="dxa"/>
          </w:tcPr>
          <w:p w14:paraId="55BE6CB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0.08</w:t>
            </w:r>
          </w:p>
        </w:tc>
        <w:tc>
          <w:tcPr>
            <w:tcW w:w="992" w:type="dxa"/>
          </w:tcPr>
          <w:p w14:paraId="055C925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0.15</w:t>
            </w:r>
          </w:p>
        </w:tc>
        <w:tc>
          <w:tcPr>
            <w:tcW w:w="992" w:type="dxa"/>
          </w:tcPr>
          <w:p w14:paraId="4B6653B1"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0.08</w:t>
            </w:r>
          </w:p>
        </w:tc>
        <w:tc>
          <w:tcPr>
            <w:tcW w:w="993" w:type="dxa"/>
          </w:tcPr>
          <w:p w14:paraId="2FA5897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0.14</w:t>
            </w:r>
          </w:p>
        </w:tc>
      </w:tr>
      <w:tr w:rsidR="00B65FE6" w:rsidRPr="00C051DC" w14:paraId="4A11991C" w14:textId="77777777" w:rsidTr="00F82322">
        <w:trPr>
          <w:trHeight w:val="359"/>
        </w:trPr>
        <w:tc>
          <w:tcPr>
            <w:tcW w:w="2263" w:type="dxa"/>
          </w:tcPr>
          <w:p w14:paraId="55F40EC0"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 xml:space="preserve">           (country)</w:t>
            </w:r>
          </w:p>
        </w:tc>
        <w:tc>
          <w:tcPr>
            <w:tcW w:w="993" w:type="dxa"/>
          </w:tcPr>
          <w:p w14:paraId="0EE6B59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3D1338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4BB29B6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Pr>
          <w:p w14:paraId="1E01BF8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Pr>
          <w:p w14:paraId="441E4FF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right w:val="single" w:sz="4" w:space="0" w:color="auto"/>
            </w:tcBorders>
          </w:tcPr>
          <w:p w14:paraId="59EEF5CC"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tcBorders>
          </w:tcPr>
          <w:p w14:paraId="3F5873F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0.13</w:t>
            </w:r>
          </w:p>
        </w:tc>
        <w:tc>
          <w:tcPr>
            <w:tcW w:w="992" w:type="dxa"/>
          </w:tcPr>
          <w:p w14:paraId="3F66ABC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0.51</w:t>
            </w:r>
          </w:p>
        </w:tc>
        <w:tc>
          <w:tcPr>
            <w:tcW w:w="993" w:type="dxa"/>
          </w:tcPr>
          <w:p w14:paraId="60D96063"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0.52</w:t>
            </w:r>
          </w:p>
        </w:tc>
        <w:tc>
          <w:tcPr>
            <w:tcW w:w="992" w:type="dxa"/>
          </w:tcPr>
          <w:p w14:paraId="0E53A76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0.19</w:t>
            </w:r>
          </w:p>
        </w:tc>
        <w:tc>
          <w:tcPr>
            <w:tcW w:w="992" w:type="dxa"/>
          </w:tcPr>
          <w:p w14:paraId="3A4A1AC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0.45</w:t>
            </w:r>
          </w:p>
        </w:tc>
        <w:tc>
          <w:tcPr>
            <w:tcW w:w="992" w:type="dxa"/>
          </w:tcPr>
          <w:p w14:paraId="47F1D72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0.21</w:t>
            </w:r>
          </w:p>
        </w:tc>
        <w:tc>
          <w:tcPr>
            <w:tcW w:w="993" w:type="dxa"/>
          </w:tcPr>
          <w:p w14:paraId="23D8AA7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0.42</w:t>
            </w:r>
          </w:p>
        </w:tc>
      </w:tr>
      <w:tr w:rsidR="00B65FE6" w:rsidRPr="00C051DC" w14:paraId="1522FA4F" w14:textId="77777777" w:rsidTr="00F82322">
        <w:trPr>
          <w:trHeight w:val="359"/>
        </w:trPr>
        <w:tc>
          <w:tcPr>
            <w:tcW w:w="2263" w:type="dxa"/>
          </w:tcPr>
          <w:p w14:paraId="202BB23F" w14:textId="77777777" w:rsidR="00B65FE6" w:rsidRPr="00C051DC" w:rsidRDefault="00B65FE6" w:rsidP="00737428">
            <w:pPr>
              <w:widowControl w:val="0"/>
              <w:autoSpaceDE w:val="0"/>
              <w:autoSpaceDN w:val="0"/>
              <w:adjustRightInd w:val="0"/>
              <w:spacing w:before="0" w:line="240" w:lineRule="auto"/>
              <w:rPr>
                <w:rFonts w:cs="Segoe UI"/>
                <w:i/>
                <w:iCs/>
                <w:sz w:val="20"/>
                <w:szCs w:val="20"/>
                <w:highlight w:val="yellow"/>
                <w:lang w:val="en-US"/>
              </w:rPr>
            </w:pPr>
            <w:r w:rsidRPr="00C051DC">
              <w:rPr>
                <w:rFonts w:cs="Segoe UI"/>
                <w:i/>
                <w:iCs/>
                <w:sz w:val="20"/>
                <w:szCs w:val="20"/>
                <w:highlight w:val="yellow"/>
                <w:lang w:val="en-US"/>
              </w:rPr>
              <w:t>Log-Likelihood</w:t>
            </w:r>
          </w:p>
        </w:tc>
        <w:tc>
          <w:tcPr>
            <w:tcW w:w="993" w:type="dxa"/>
          </w:tcPr>
          <w:p w14:paraId="4761E40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-103705</w:t>
            </w:r>
          </w:p>
        </w:tc>
        <w:tc>
          <w:tcPr>
            <w:tcW w:w="992" w:type="dxa"/>
          </w:tcPr>
          <w:p w14:paraId="1175521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-102815</w:t>
            </w:r>
          </w:p>
        </w:tc>
        <w:tc>
          <w:tcPr>
            <w:tcW w:w="992" w:type="dxa"/>
          </w:tcPr>
          <w:p w14:paraId="5CDAC74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-102846</w:t>
            </w:r>
          </w:p>
        </w:tc>
        <w:tc>
          <w:tcPr>
            <w:tcW w:w="992" w:type="dxa"/>
          </w:tcPr>
          <w:p w14:paraId="501C760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-103260</w:t>
            </w:r>
          </w:p>
        </w:tc>
        <w:tc>
          <w:tcPr>
            <w:tcW w:w="993" w:type="dxa"/>
          </w:tcPr>
          <w:p w14:paraId="6EE85543"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-100793</w:t>
            </w:r>
          </w:p>
        </w:tc>
        <w:tc>
          <w:tcPr>
            <w:tcW w:w="992" w:type="dxa"/>
            <w:tcBorders>
              <w:right w:val="single" w:sz="4" w:space="0" w:color="auto"/>
            </w:tcBorders>
          </w:tcPr>
          <w:p w14:paraId="621BD51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-99976</w:t>
            </w:r>
          </w:p>
        </w:tc>
        <w:tc>
          <w:tcPr>
            <w:tcW w:w="992" w:type="dxa"/>
            <w:tcBorders>
              <w:left w:val="single" w:sz="4" w:space="0" w:color="auto"/>
            </w:tcBorders>
          </w:tcPr>
          <w:p w14:paraId="60C9AC0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-95558</w:t>
            </w:r>
          </w:p>
        </w:tc>
        <w:tc>
          <w:tcPr>
            <w:tcW w:w="992" w:type="dxa"/>
          </w:tcPr>
          <w:p w14:paraId="33D9E4A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-95545</w:t>
            </w:r>
          </w:p>
        </w:tc>
        <w:tc>
          <w:tcPr>
            <w:tcW w:w="993" w:type="dxa"/>
          </w:tcPr>
          <w:p w14:paraId="4926DA6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-95545</w:t>
            </w:r>
          </w:p>
        </w:tc>
        <w:tc>
          <w:tcPr>
            <w:tcW w:w="992" w:type="dxa"/>
          </w:tcPr>
          <w:p w14:paraId="729475A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-95557</w:t>
            </w:r>
          </w:p>
        </w:tc>
        <w:tc>
          <w:tcPr>
            <w:tcW w:w="992" w:type="dxa"/>
          </w:tcPr>
          <w:p w14:paraId="4473882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-95548</w:t>
            </w:r>
          </w:p>
        </w:tc>
        <w:tc>
          <w:tcPr>
            <w:tcW w:w="992" w:type="dxa"/>
          </w:tcPr>
          <w:p w14:paraId="1F3A0D7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-95556</w:t>
            </w:r>
          </w:p>
        </w:tc>
        <w:tc>
          <w:tcPr>
            <w:tcW w:w="993" w:type="dxa"/>
          </w:tcPr>
          <w:p w14:paraId="11235FE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-95549</w:t>
            </w:r>
          </w:p>
        </w:tc>
      </w:tr>
      <w:tr w:rsidR="00B65FE6" w:rsidRPr="00C051DC" w14:paraId="2D2BC490" w14:textId="77777777" w:rsidTr="00F82322">
        <w:trPr>
          <w:trHeight w:val="359"/>
        </w:trPr>
        <w:tc>
          <w:tcPr>
            <w:tcW w:w="2263" w:type="dxa"/>
            <w:tcBorders>
              <w:bottom w:val="single" w:sz="4" w:space="0" w:color="auto"/>
            </w:tcBorders>
          </w:tcPr>
          <w:p w14:paraId="79E976EC" w14:textId="77777777" w:rsidR="00B65FE6" w:rsidRPr="00C051DC" w:rsidRDefault="00B65FE6" w:rsidP="00737428">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ICC</w:t>
            </w:r>
          </w:p>
        </w:tc>
        <w:tc>
          <w:tcPr>
            <w:tcW w:w="993" w:type="dxa"/>
            <w:tcBorders>
              <w:bottom w:val="single" w:sz="4" w:space="0" w:color="auto"/>
            </w:tcBorders>
          </w:tcPr>
          <w:p w14:paraId="0C842DD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45DFD03F"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3644E8BD"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tcBorders>
          </w:tcPr>
          <w:p w14:paraId="0CA16B10"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3" w:type="dxa"/>
            <w:tcBorders>
              <w:bottom w:val="single" w:sz="4" w:space="0" w:color="auto"/>
            </w:tcBorders>
          </w:tcPr>
          <w:p w14:paraId="2794F478"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bottom w:val="single" w:sz="4" w:space="0" w:color="auto"/>
              <w:right w:val="single" w:sz="4" w:space="0" w:color="auto"/>
            </w:tcBorders>
          </w:tcPr>
          <w:p w14:paraId="18736727"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p>
        </w:tc>
        <w:tc>
          <w:tcPr>
            <w:tcW w:w="992" w:type="dxa"/>
            <w:tcBorders>
              <w:left w:val="single" w:sz="4" w:space="0" w:color="auto"/>
              <w:bottom w:val="single" w:sz="4" w:space="0" w:color="auto"/>
            </w:tcBorders>
          </w:tcPr>
          <w:p w14:paraId="1E49088E"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.153013</w:t>
            </w:r>
          </w:p>
        </w:tc>
        <w:tc>
          <w:tcPr>
            <w:tcW w:w="992" w:type="dxa"/>
            <w:tcBorders>
              <w:bottom w:val="single" w:sz="4" w:space="0" w:color="auto"/>
            </w:tcBorders>
          </w:tcPr>
          <w:p w14:paraId="72D9EAB4"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.149634</w:t>
            </w:r>
          </w:p>
        </w:tc>
        <w:tc>
          <w:tcPr>
            <w:tcW w:w="993" w:type="dxa"/>
            <w:tcBorders>
              <w:bottom w:val="single" w:sz="4" w:space="0" w:color="auto"/>
            </w:tcBorders>
          </w:tcPr>
          <w:p w14:paraId="2D0DE14B"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.228472</w:t>
            </w:r>
          </w:p>
        </w:tc>
        <w:tc>
          <w:tcPr>
            <w:tcW w:w="992" w:type="dxa"/>
            <w:tcBorders>
              <w:bottom w:val="single" w:sz="4" w:space="0" w:color="auto"/>
            </w:tcBorders>
          </w:tcPr>
          <w:p w14:paraId="0888D54A"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.167148</w:t>
            </w:r>
          </w:p>
        </w:tc>
        <w:tc>
          <w:tcPr>
            <w:tcW w:w="992" w:type="dxa"/>
            <w:tcBorders>
              <w:bottom w:val="single" w:sz="4" w:space="0" w:color="auto"/>
            </w:tcBorders>
          </w:tcPr>
          <w:p w14:paraId="046B1F99"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.223712</w:t>
            </w:r>
          </w:p>
        </w:tc>
        <w:tc>
          <w:tcPr>
            <w:tcW w:w="992" w:type="dxa"/>
            <w:tcBorders>
              <w:bottom w:val="single" w:sz="4" w:space="0" w:color="auto"/>
            </w:tcBorders>
          </w:tcPr>
          <w:p w14:paraId="1CA7EE66"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.175339</w:t>
            </w:r>
          </w:p>
        </w:tc>
        <w:tc>
          <w:tcPr>
            <w:tcW w:w="993" w:type="dxa"/>
            <w:tcBorders>
              <w:bottom w:val="single" w:sz="4" w:space="0" w:color="auto"/>
            </w:tcBorders>
          </w:tcPr>
          <w:p w14:paraId="71719345" w14:textId="77777777" w:rsidR="00B65FE6" w:rsidRPr="00C051DC" w:rsidRDefault="00B65FE6" w:rsidP="00737428">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.103315</w:t>
            </w:r>
          </w:p>
        </w:tc>
      </w:tr>
    </w:tbl>
    <w:p w14:paraId="5A9B4493" w14:textId="0A347128" w:rsidR="00B65FE6" w:rsidRPr="00C82798" w:rsidRDefault="00B65FE6" w:rsidP="00B65FE6">
      <w:pPr>
        <w:widowControl w:val="0"/>
        <w:autoSpaceDE w:val="0"/>
        <w:autoSpaceDN w:val="0"/>
        <w:adjustRightInd w:val="0"/>
        <w:spacing w:line="240" w:lineRule="auto"/>
      </w:pPr>
      <w:r w:rsidRPr="00C051DC">
        <w:rPr>
          <w:rFonts w:cs="Segoe UI"/>
          <w:i/>
          <w:sz w:val="16"/>
          <w:szCs w:val="16"/>
          <w:highlight w:val="yellow"/>
          <w:lang w:val="en-US"/>
        </w:rPr>
        <w:t xml:space="preserve">Standard errors in brackets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0.05,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0.01,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0.001</w:t>
      </w:r>
    </w:p>
    <w:p w14:paraId="17B80040" w14:textId="18D21587" w:rsidR="00C86CC3" w:rsidRDefault="00C86CC3" w:rsidP="00C86CC3"/>
    <w:bookmarkEnd w:id="319"/>
    <w:p w14:paraId="4E908973" w14:textId="77777777" w:rsidR="00B65FE6" w:rsidRPr="00C86CC3" w:rsidRDefault="00B65FE6" w:rsidP="00C86CC3">
      <w:pPr>
        <w:rPr>
          <w:szCs w:val="24"/>
        </w:rPr>
        <w:sectPr w:rsidR="00B65FE6" w:rsidRPr="00C86CC3" w:rsidSect="00C86CC3">
          <w:pgSz w:w="16838" w:h="11906" w:orient="landscape"/>
          <w:pgMar w:top="1440" w:right="1440" w:bottom="1440" w:left="1440" w:header="708" w:footer="708" w:gutter="357"/>
          <w:cols w:space="708"/>
          <w:docGrid w:linePitch="360"/>
        </w:sectPr>
      </w:pPr>
    </w:p>
    <w:p w14:paraId="193E6342" w14:textId="7B620879" w:rsidR="003B1454" w:rsidRPr="003A5664" w:rsidRDefault="002646A8" w:rsidP="003B1454">
      <w:pPr>
        <w:rPr>
          <w:rFonts w:cs="Segoe UI"/>
          <w:b/>
          <w:highlight w:val="yellow"/>
        </w:rPr>
      </w:pPr>
      <w:bookmarkStart w:id="321" w:name="_Toc494687173"/>
      <w:r w:rsidRPr="003A5664">
        <w:rPr>
          <w:rFonts w:cs="Segoe UI"/>
          <w:b/>
          <w:highlight w:val="yellow"/>
        </w:rPr>
        <w:t xml:space="preserve">Figure </w:t>
      </w:r>
      <w:r w:rsidRPr="003A5664">
        <w:rPr>
          <w:rFonts w:cs="Segoe UI"/>
          <w:b/>
          <w:highlight w:val="yellow"/>
        </w:rPr>
        <w:fldChar w:fldCharType="begin"/>
      </w:r>
      <w:r w:rsidRPr="003A5664">
        <w:rPr>
          <w:rFonts w:cs="Segoe UI"/>
          <w:b/>
          <w:highlight w:val="yellow"/>
        </w:rPr>
        <w:instrText xml:space="preserve"> STYLEREF 1 \s </w:instrText>
      </w:r>
      <w:r w:rsidRPr="003A5664">
        <w:rPr>
          <w:rFonts w:cs="Segoe UI"/>
          <w:b/>
          <w:highlight w:val="yellow"/>
        </w:rPr>
        <w:fldChar w:fldCharType="separate"/>
      </w:r>
      <w:r w:rsidRPr="003A5664">
        <w:rPr>
          <w:rFonts w:cs="Segoe UI"/>
          <w:b/>
          <w:noProof/>
          <w:highlight w:val="yellow"/>
        </w:rPr>
        <w:t>5</w:t>
      </w:r>
      <w:r w:rsidRPr="003A5664">
        <w:rPr>
          <w:rFonts w:cs="Segoe UI"/>
          <w:b/>
          <w:noProof/>
          <w:highlight w:val="yellow"/>
        </w:rPr>
        <w:fldChar w:fldCharType="end"/>
      </w:r>
      <w:r w:rsidRPr="003A5664">
        <w:rPr>
          <w:rFonts w:cs="Segoe UI"/>
          <w:b/>
          <w:highlight w:val="yellow"/>
        </w:rPr>
        <w:t>:</w:t>
      </w:r>
      <w:r w:rsidRPr="003A5664">
        <w:rPr>
          <w:rFonts w:cs="Segoe UI"/>
          <w:b/>
          <w:highlight w:val="yellow"/>
        </w:rPr>
        <w:fldChar w:fldCharType="begin"/>
      </w:r>
      <w:r w:rsidRPr="003A5664">
        <w:rPr>
          <w:rFonts w:cs="Segoe UI"/>
          <w:b/>
          <w:highlight w:val="yellow"/>
        </w:rPr>
        <w:instrText xml:space="preserve"> SEQ Figure \* ARABIC \s 1 </w:instrText>
      </w:r>
      <w:r w:rsidRPr="003A5664">
        <w:rPr>
          <w:rFonts w:cs="Segoe UI"/>
          <w:b/>
          <w:highlight w:val="yellow"/>
        </w:rPr>
        <w:fldChar w:fldCharType="separate"/>
      </w:r>
      <w:r w:rsidR="007B459E">
        <w:rPr>
          <w:rFonts w:cs="Segoe UI"/>
          <w:b/>
          <w:noProof/>
          <w:highlight w:val="yellow"/>
        </w:rPr>
        <w:t>9</w:t>
      </w:r>
      <w:r w:rsidRPr="003A5664">
        <w:rPr>
          <w:rFonts w:cs="Segoe UI"/>
          <w:b/>
          <w:noProof/>
          <w:highlight w:val="yellow"/>
        </w:rPr>
        <w:fldChar w:fldCharType="end"/>
      </w:r>
      <w:r w:rsidRPr="003A5664">
        <w:rPr>
          <w:rFonts w:cs="Segoe UI"/>
          <w:b/>
          <w:noProof/>
          <w:highlight w:val="yellow"/>
        </w:rPr>
        <w:t xml:space="preserve"> </w:t>
      </w:r>
      <w:r w:rsidR="003B1454" w:rsidRPr="003A5664">
        <w:rPr>
          <w:rFonts w:cs="Segoe UI"/>
          <w:b/>
          <w:highlight w:val="yellow"/>
        </w:rPr>
        <w:t xml:space="preserve">Predictive Margins for </w:t>
      </w:r>
      <w:r w:rsidR="00532B23" w:rsidRPr="003A5664">
        <w:rPr>
          <w:rFonts w:cs="Segoe UI"/>
          <w:b/>
          <w:highlight w:val="yellow"/>
        </w:rPr>
        <w:t>Individual Level-Variables (</w:t>
      </w:r>
      <w:r w:rsidR="003B1454" w:rsidRPr="003A5664">
        <w:rPr>
          <w:rFonts w:cs="Segoe UI"/>
          <w:b/>
          <w:highlight w:val="yellow"/>
        </w:rPr>
        <w:t>Models C7 and A7)</w:t>
      </w:r>
      <w:bookmarkEnd w:id="321"/>
    </w:p>
    <w:tbl>
      <w:tblPr>
        <w:tblW w:w="9634" w:type="dxa"/>
        <w:tblLayout w:type="fixed"/>
        <w:tblLook w:val="0000" w:firstRow="0" w:lastRow="0" w:firstColumn="0" w:lastColumn="0" w:noHBand="0" w:noVBand="0"/>
      </w:tblPr>
      <w:tblGrid>
        <w:gridCol w:w="3964"/>
        <w:gridCol w:w="2694"/>
        <w:gridCol w:w="2976"/>
      </w:tblGrid>
      <w:tr w:rsidR="003B1454" w:rsidRPr="00C051DC" w14:paraId="33C17DB8" w14:textId="77777777" w:rsidTr="00163FC2">
        <w:trPr>
          <w:trHeight w:val="359"/>
        </w:trPr>
        <w:tc>
          <w:tcPr>
            <w:tcW w:w="3964" w:type="dxa"/>
          </w:tcPr>
          <w:p w14:paraId="12D86157"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bookmarkStart w:id="322" w:name="_Hlk488143249"/>
          </w:p>
        </w:tc>
        <w:tc>
          <w:tcPr>
            <w:tcW w:w="5670" w:type="dxa"/>
            <w:gridSpan w:val="2"/>
          </w:tcPr>
          <w:p w14:paraId="121B1356" w14:textId="77777777" w:rsidR="003B1454" w:rsidRPr="00C051DC" w:rsidRDefault="003B1454" w:rsidP="00BA7613">
            <w:pPr>
              <w:widowControl w:val="0"/>
              <w:autoSpaceDE w:val="0"/>
              <w:autoSpaceDN w:val="0"/>
              <w:adjustRightInd w:val="0"/>
              <w:spacing w:line="240" w:lineRule="auto"/>
              <w:jc w:val="center"/>
              <w:rPr>
                <w:rFonts w:cs="Segoe UI"/>
                <w:b/>
                <w:i/>
                <w:sz w:val="18"/>
                <w:szCs w:val="20"/>
                <w:highlight w:val="yellow"/>
                <w:lang w:val="en-US"/>
              </w:rPr>
            </w:pPr>
            <w:r w:rsidRPr="00C051DC">
              <w:rPr>
                <w:rFonts w:cs="Segoe UI"/>
                <w:b/>
                <w:i/>
                <w:sz w:val="18"/>
                <w:szCs w:val="20"/>
                <w:highlight w:val="yellow"/>
                <w:lang w:val="en-US"/>
              </w:rPr>
              <w:t>Predicted Margins</w:t>
            </w:r>
            <w:r w:rsidRPr="00C051DC">
              <w:rPr>
                <w:rFonts w:cs="Segoe UI"/>
                <w:b/>
                <w:i/>
                <w:sz w:val="18"/>
                <w:szCs w:val="20"/>
                <w:highlight w:val="yellow"/>
                <w:vertAlign w:val="superscript"/>
                <w:lang w:val="en-US"/>
              </w:rPr>
              <w:t xml:space="preserve">a </w:t>
            </w:r>
            <w:r w:rsidRPr="00C051DC">
              <w:rPr>
                <w:rFonts w:cs="Segoe UI"/>
                <w:b/>
                <w:i/>
                <w:sz w:val="18"/>
                <w:szCs w:val="20"/>
                <w:highlight w:val="yellow"/>
                <w:lang w:val="en-US"/>
              </w:rPr>
              <w:t>(1-10)</w:t>
            </w:r>
          </w:p>
        </w:tc>
      </w:tr>
      <w:tr w:rsidR="003B1454" w:rsidRPr="00C051DC" w14:paraId="0DE0F9EC" w14:textId="77777777" w:rsidTr="00163FC2">
        <w:trPr>
          <w:trHeight w:val="359"/>
        </w:trPr>
        <w:tc>
          <w:tcPr>
            <w:tcW w:w="3964" w:type="dxa"/>
          </w:tcPr>
          <w:p w14:paraId="2100CD85"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p>
        </w:tc>
        <w:tc>
          <w:tcPr>
            <w:tcW w:w="2694" w:type="dxa"/>
          </w:tcPr>
          <w:p w14:paraId="36D91A58" w14:textId="77777777" w:rsidR="003B1454" w:rsidRPr="00C051DC" w:rsidRDefault="003B1454" w:rsidP="00BA7613">
            <w:pPr>
              <w:widowControl w:val="0"/>
              <w:autoSpaceDE w:val="0"/>
              <w:autoSpaceDN w:val="0"/>
              <w:adjustRightInd w:val="0"/>
              <w:spacing w:line="240" w:lineRule="auto"/>
              <w:jc w:val="center"/>
              <w:rPr>
                <w:rFonts w:cs="Segoe UI"/>
                <w:b/>
                <w:i/>
                <w:sz w:val="18"/>
                <w:szCs w:val="20"/>
                <w:highlight w:val="yellow"/>
                <w:lang w:val="en-US"/>
              </w:rPr>
            </w:pPr>
            <w:r w:rsidRPr="00C051DC">
              <w:rPr>
                <w:rFonts w:cs="Segoe UI"/>
                <w:b/>
                <w:i/>
                <w:sz w:val="18"/>
                <w:szCs w:val="20"/>
                <w:highlight w:val="yellow"/>
                <w:lang w:val="en-US"/>
              </w:rPr>
              <w:t>Compound (Model C7)</w:t>
            </w:r>
          </w:p>
        </w:tc>
        <w:tc>
          <w:tcPr>
            <w:tcW w:w="2976" w:type="dxa"/>
          </w:tcPr>
          <w:p w14:paraId="41D47032" w14:textId="77777777" w:rsidR="003B1454" w:rsidRPr="00C051DC" w:rsidRDefault="003B1454" w:rsidP="00BA7613">
            <w:pPr>
              <w:widowControl w:val="0"/>
              <w:autoSpaceDE w:val="0"/>
              <w:autoSpaceDN w:val="0"/>
              <w:adjustRightInd w:val="0"/>
              <w:spacing w:line="240" w:lineRule="auto"/>
              <w:jc w:val="center"/>
              <w:rPr>
                <w:rFonts w:cs="Segoe UI"/>
                <w:b/>
                <w:i/>
                <w:sz w:val="18"/>
                <w:szCs w:val="20"/>
                <w:highlight w:val="yellow"/>
                <w:lang w:val="en-US"/>
              </w:rPr>
            </w:pPr>
            <w:r w:rsidRPr="00C051DC">
              <w:rPr>
                <w:rFonts w:cs="Segoe UI"/>
                <w:b/>
                <w:i/>
                <w:sz w:val="18"/>
                <w:szCs w:val="20"/>
                <w:highlight w:val="yellow"/>
                <w:lang w:val="en-US"/>
              </w:rPr>
              <w:t>Authoritarian (Model A7)</w:t>
            </w:r>
          </w:p>
        </w:tc>
      </w:tr>
      <w:tr w:rsidR="003B1454" w:rsidRPr="00C051DC" w14:paraId="39C61525" w14:textId="77777777" w:rsidTr="00163FC2">
        <w:trPr>
          <w:trHeight w:val="359"/>
        </w:trPr>
        <w:tc>
          <w:tcPr>
            <w:tcW w:w="3964" w:type="dxa"/>
            <w:shd w:val="clear" w:color="auto" w:fill="F2F2F2" w:themeFill="background1" w:themeFillShade="F2"/>
          </w:tcPr>
          <w:p w14:paraId="0AE0785A"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Age 18</w:t>
            </w:r>
          </w:p>
        </w:tc>
        <w:tc>
          <w:tcPr>
            <w:tcW w:w="2694" w:type="dxa"/>
            <w:shd w:val="clear" w:color="auto" w:fill="F2F2F2" w:themeFill="background1" w:themeFillShade="F2"/>
          </w:tcPr>
          <w:p w14:paraId="6075CF36"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8.20</w:t>
            </w:r>
          </w:p>
        </w:tc>
        <w:tc>
          <w:tcPr>
            <w:tcW w:w="2976" w:type="dxa"/>
            <w:shd w:val="clear" w:color="auto" w:fill="F2F2F2" w:themeFill="background1" w:themeFillShade="F2"/>
          </w:tcPr>
          <w:p w14:paraId="229B4580"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0A74C303" w14:textId="77777777" w:rsidTr="00163FC2">
        <w:trPr>
          <w:trHeight w:val="359"/>
        </w:trPr>
        <w:tc>
          <w:tcPr>
            <w:tcW w:w="3964" w:type="dxa"/>
            <w:shd w:val="clear" w:color="auto" w:fill="F2F2F2" w:themeFill="background1" w:themeFillShade="F2"/>
          </w:tcPr>
          <w:p w14:paraId="7F25F784"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Age 80</w:t>
            </w:r>
          </w:p>
        </w:tc>
        <w:tc>
          <w:tcPr>
            <w:tcW w:w="2694" w:type="dxa"/>
            <w:shd w:val="clear" w:color="auto" w:fill="F2F2F2" w:themeFill="background1" w:themeFillShade="F2"/>
          </w:tcPr>
          <w:p w14:paraId="6E95834E"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8.95</w:t>
            </w:r>
          </w:p>
        </w:tc>
        <w:tc>
          <w:tcPr>
            <w:tcW w:w="2976" w:type="dxa"/>
            <w:shd w:val="clear" w:color="auto" w:fill="F2F2F2" w:themeFill="background1" w:themeFillShade="F2"/>
          </w:tcPr>
          <w:p w14:paraId="78DB2704"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3F4241F0" w14:textId="77777777" w:rsidTr="00163FC2">
        <w:trPr>
          <w:trHeight w:val="359"/>
        </w:trPr>
        <w:tc>
          <w:tcPr>
            <w:tcW w:w="3964" w:type="dxa"/>
            <w:shd w:val="clear" w:color="auto" w:fill="F2F2F2" w:themeFill="background1" w:themeFillShade="F2"/>
          </w:tcPr>
          <w:p w14:paraId="3C69F5A0" w14:textId="77777777" w:rsidR="003B1454" w:rsidRPr="00C051DC" w:rsidRDefault="003B1454" w:rsidP="00BA7613">
            <w:pPr>
              <w:widowControl w:val="0"/>
              <w:autoSpaceDE w:val="0"/>
              <w:autoSpaceDN w:val="0"/>
              <w:adjustRightInd w:val="0"/>
              <w:spacing w:line="240" w:lineRule="auto"/>
              <w:rPr>
                <w:rFonts w:cs="Segoe UI"/>
                <w:color w:val="A6A6A6" w:themeColor="background1" w:themeShade="A6"/>
                <w:sz w:val="18"/>
                <w:szCs w:val="20"/>
                <w:highlight w:val="yellow"/>
                <w:lang w:val="en-US"/>
              </w:rPr>
            </w:pPr>
            <w:r w:rsidRPr="00C051DC">
              <w:rPr>
                <w:rFonts w:cs="Segoe UI"/>
                <w:color w:val="A6A6A6" w:themeColor="background1" w:themeShade="A6"/>
                <w:sz w:val="18"/>
                <w:szCs w:val="20"/>
                <w:highlight w:val="yellow"/>
                <w:lang w:val="en-US"/>
              </w:rPr>
              <w:t>Gender</w:t>
            </w:r>
          </w:p>
        </w:tc>
        <w:tc>
          <w:tcPr>
            <w:tcW w:w="2694" w:type="dxa"/>
            <w:shd w:val="clear" w:color="auto" w:fill="F2F2F2" w:themeFill="background1" w:themeFillShade="F2"/>
          </w:tcPr>
          <w:p w14:paraId="4800C30E"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6047D84F"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70E41F73" w14:textId="77777777" w:rsidTr="00163FC2">
        <w:trPr>
          <w:trHeight w:val="359"/>
        </w:trPr>
        <w:tc>
          <w:tcPr>
            <w:tcW w:w="3964" w:type="dxa"/>
          </w:tcPr>
          <w:p w14:paraId="6BE87BF6" w14:textId="77777777" w:rsidR="003B1454" w:rsidRPr="00C051DC" w:rsidRDefault="003B1454" w:rsidP="00BA7613">
            <w:pPr>
              <w:widowControl w:val="0"/>
              <w:autoSpaceDE w:val="0"/>
              <w:autoSpaceDN w:val="0"/>
              <w:adjustRightInd w:val="0"/>
              <w:spacing w:line="240" w:lineRule="auto"/>
              <w:rPr>
                <w:rFonts w:cs="Segoe UI"/>
                <w:b/>
                <w:sz w:val="18"/>
                <w:szCs w:val="20"/>
                <w:highlight w:val="yellow"/>
                <w:lang w:val="en-US"/>
              </w:rPr>
            </w:pPr>
            <w:r w:rsidRPr="00C051DC">
              <w:rPr>
                <w:rFonts w:cs="Segoe UI"/>
                <w:b/>
                <w:sz w:val="18"/>
                <w:szCs w:val="20"/>
                <w:highlight w:val="yellow"/>
                <w:lang w:val="en-US"/>
              </w:rPr>
              <w:t>Modernization</w:t>
            </w:r>
          </w:p>
        </w:tc>
        <w:tc>
          <w:tcPr>
            <w:tcW w:w="2694" w:type="dxa"/>
          </w:tcPr>
          <w:p w14:paraId="50E87C29"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p>
        </w:tc>
        <w:tc>
          <w:tcPr>
            <w:tcW w:w="2976" w:type="dxa"/>
          </w:tcPr>
          <w:p w14:paraId="01F00B0A"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p>
        </w:tc>
      </w:tr>
      <w:tr w:rsidR="003B1454" w:rsidRPr="00C051DC" w14:paraId="584CDCFB" w14:textId="77777777" w:rsidTr="00163FC2">
        <w:trPr>
          <w:trHeight w:val="359"/>
        </w:trPr>
        <w:tc>
          <w:tcPr>
            <w:tcW w:w="3964" w:type="dxa"/>
          </w:tcPr>
          <w:p w14:paraId="7A976E0C"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bookmarkStart w:id="323" w:name="_Hlk486257608"/>
            <w:r w:rsidRPr="00C051DC">
              <w:rPr>
                <w:rFonts w:cs="Segoe UI"/>
                <w:sz w:val="18"/>
                <w:szCs w:val="20"/>
                <w:highlight w:val="yellow"/>
                <w:lang w:val="en-US"/>
              </w:rPr>
              <w:t>Low Education (ref)</w:t>
            </w:r>
          </w:p>
        </w:tc>
        <w:tc>
          <w:tcPr>
            <w:tcW w:w="2694" w:type="dxa"/>
          </w:tcPr>
          <w:p w14:paraId="1E65A917"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7.88</w:t>
            </w:r>
          </w:p>
        </w:tc>
        <w:tc>
          <w:tcPr>
            <w:tcW w:w="2976" w:type="dxa"/>
          </w:tcPr>
          <w:p w14:paraId="3D148C08"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4.72</w:t>
            </w:r>
          </w:p>
        </w:tc>
      </w:tr>
      <w:tr w:rsidR="003B1454" w:rsidRPr="00C051DC" w14:paraId="777F16B2" w14:textId="77777777" w:rsidTr="00163FC2">
        <w:trPr>
          <w:trHeight w:val="359"/>
        </w:trPr>
        <w:tc>
          <w:tcPr>
            <w:tcW w:w="3964" w:type="dxa"/>
          </w:tcPr>
          <w:p w14:paraId="17C66D5E"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Middle Education</w:t>
            </w:r>
          </w:p>
        </w:tc>
        <w:tc>
          <w:tcPr>
            <w:tcW w:w="2694" w:type="dxa"/>
          </w:tcPr>
          <w:p w14:paraId="325E5D01"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7.98</w:t>
            </w:r>
          </w:p>
        </w:tc>
        <w:tc>
          <w:tcPr>
            <w:tcW w:w="2976" w:type="dxa"/>
          </w:tcPr>
          <w:p w14:paraId="6922CF7E"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4.48</w:t>
            </w:r>
          </w:p>
        </w:tc>
      </w:tr>
      <w:tr w:rsidR="003B1454" w:rsidRPr="00C051DC" w14:paraId="637EC82D" w14:textId="77777777" w:rsidTr="00163FC2">
        <w:trPr>
          <w:trHeight w:val="359"/>
        </w:trPr>
        <w:tc>
          <w:tcPr>
            <w:tcW w:w="3964" w:type="dxa"/>
          </w:tcPr>
          <w:p w14:paraId="6196A984"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Higher Education</w:t>
            </w:r>
          </w:p>
        </w:tc>
        <w:tc>
          <w:tcPr>
            <w:tcW w:w="2694" w:type="dxa"/>
          </w:tcPr>
          <w:p w14:paraId="6BF21AB9"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8.10</w:t>
            </w:r>
          </w:p>
        </w:tc>
        <w:tc>
          <w:tcPr>
            <w:tcW w:w="2976" w:type="dxa"/>
          </w:tcPr>
          <w:p w14:paraId="41F80904"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4.11</w:t>
            </w:r>
          </w:p>
        </w:tc>
      </w:tr>
      <w:bookmarkEnd w:id="323"/>
      <w:tr w:rsidR="003B1454" w:rsidRPr="00C051DC" w14:paraId="0B014B29" w14:textId="77777777" w:rsidTr="00163FC2">
        <w:trPr>
          <w:trHeight w:val="359"/>
        </w:trPr>
        <w:tc>
          <w:tcPr>
            <w:tcW w:w="3964" w:type="dxa"/>
          </w:tcPr>
          <w:p w14:paraId="11D24B81"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Income</w:t>
            </w:r>
          </w:p>
        </w:tc>
        <w:tc>
          <w:tcPr>
            <w:tcW w:w="2694" w:type="dxa"/>
          </w:tcPr>
          <w:p w14:paraId="4BA74F95"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6CA4D80D"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438990EF" w14:textId="77777777" w:rsidTr="00163FC2">
        <w:trPr>
          <w:trHeight w:val="359"/>
        </w:trPr>
        <w:tc>
          <w:tcPr>
            <w:tcW w:w="3964" w:type="dxa"/>
            <w:shd w:val="clear" w:color="auto" w:fill="F2F2F2" w:themeFill="background1" w:themeFillShade="F2"/>
          </w:tcPr>
          <w:p w14:paraId="4BAD0EAE" w14:textId="77777777" w:rsidR="003B1454" w:rsidRPr="00C051DC" w:rsidRDefault="003B1454" w:rsidP="00BA7613">
            <w:pPr>
              <w:widowControl w:val="0"/>
              <w:autoSpaceDE w:val="0"/>
              <w:autoSpaceDN w:val="0"/>
              <w:adjustRightInd w:val="0"/>
              <w:spacing w:line="240" w:lineRule="auto"/>
              <w:rPr>
                <w:rFonts w:cs="Segoe UI"/>
                <w:b/>
                <w:sz w:val="18"/>
                <w:szCs w:val="20"/>
                <w:highlight w:val="yellow"/>
                <w:lang w:val="en-US"/>
              </w:rPr>
            </w:pPr>
            <w:r w:rsidRPr="00C051DC">
              <w:rPr>
                <w:rFonts w:cs="Segoe UI"/>
                <w:b/>
                <w:sz w:val="18"/>
                <w:szCs w:val="20"/>
                <w:highlight w:val="yellow"/>
                <w:lang w:val="en-US"/>
              </w:rPr>
              <w:t>Cog. Engagement</w:t>
            </w:r>
          </w:p>
        </w:tc>
        <w:tc>
          <w:tcPr>
            <w:tcW w:w="2694" w:type="dxa"/>
            <w:shd w:val="clear" w:color="auto" w:fill="F2F2F2" w:themeFill="background1" w:themeFillShade="F2"/>
          </w:tcPr>
          <w:p w14:paraId="4918F82F" w14:textId="77777777" w:rsidR="003B1454" w:rsidRPr="00C051DC" w:rsidRDefault="003B1454" w:rsidP="00BA7613">
            <w:pPr>
              <w:widowControl w:val="0"/>
              <w:autoSpaceDE w:val="0"/>
              <w:autoSpaceDN w:val="0"/>
              <w:adjustRightInd w:val="0"/>
              <w:spacing w:line="240" w:lineRule="auto"/>
              <w:jc w:val="center"/>
              <w:rPr>
                <w:rFonts w:cs="Segoe UI"/>
                <w:b/>
                <w:sz w:val="18"/>
                <w:szCs w:val="20"/>
                <w:highlight w:val="yellow"/>
                <w:lang w:val="en-US"/>
              </w:rPr>
            </w:pPr>
          </w:p>
        </w:tc>
        <w:tc>
          <w:tcPr>
            <w:tcW w:w="2976" w:type="dxa"/>
            <w:shd w:val="clear" w:color="auto" w:fill="F2F2F2" w:themeFill="background1" w:themeFillShade="F2"/>
          </w:tcPr>
          <w:p w14:paraId="5DF60E25" w14:textId="77777777" w:rsidR="003B1454" w:rsidRPr="00C051DC" w:rsidRDefault="003B1454" w:rsidP="00BA7613">
            <w:pPr>
              <w:widowControl w:val="0"/>
              <w:autoSpaceDE w:val="0"/>
              <w:autoSpaceDN w:val="0"/>
              <w:adjustRightInd w:val="0"/>
              <w:spacing w:line="240" w:lineRule="auto"/>
              <w:jc w:val="center"/>
              <w:rPr>
                <w:rFonts w:cs="Segoe UI"/>
                <w:b/>
                <w:sz w:val="18"/>
                <w:szCs w:val="20"/>
                <w:highlight w:val="yellow"/>
                <w:lang w:val="en-US"/>
              </w:rPr>
            </w:pPr>
          </w:p>
        </w:tc>
      </w:tr>
      <w:tr w:rsidR="003B1454" w:rsidRPr="00C051DC" w14:paraId="5CBF0E1E" w14:textId="77777777" w:rsidTr="00163FC2">
        <w:trPr>
          <w:trHeight w:val="359"/>
        </w:trPr>
        <w:tc>
          <w:tcPr>
            <w:tcW w:w="3964" w:type="dxa"/>
            <w:shd w:val="clear" w:color="auto" w:fill="F2F2F2" w:themeFill="background1" w:themeFillShade="F2"/>
          </w:tcPr>
          <w:p w14:paraId="0F8A0575"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bookmarkStart w:id="324" w:name="_Hlk486258099"/>
            <w:r w:rsidRPr="00C051DC">
              <w:rPr>
                <w:rFonts w:cs="Segoe UI"/>
                <w:sz w:val="18"/>
                <w:szCs w:val="20"/>
                <w:highlight w:val="yellow"/>
                <w:lang w:val="en-US"/>
              </w:rPr>
              <w:t>High Political Interest (10)</w:t>
            </w:r>
          </w:p>
        </w:tc>
        <w:tc>
          <w:tcPr>
            <w:tcW w:w="2694" w:type="dxa"/>
            <w:shd w:val="clear" w:color="auto" w:fill="F2F2F2" w:themeFill="background1" w:themeFillShade="F2"/>
          </w:tcPr>
          <w:p w14:paraId="3D000ACF"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8.14</w:t>
            </w:r>
          </w:p>
        </w:tc>
        <w:tc>
          <w:tcPr>
            <w:tcW w:w="2976" w:type="dxa"/>
            <w:shd w:val="clear" w:color="auto" w:fill="F2F2F2" w:themeFill="background1" w:themeFillShade="F2"/>
          </w:tcPr>
          <w:p w14:paraId="45AB6E9B"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4.23</w:t>
            </w:r>
          </w:p>
        </w:tc>
      </w:tr>
      <w:tr w:rsidR="003B1454" w:rsidRPr="00C051DC" w14:paraId="7C6D7846" w14:textId="77777777" w:rsidTr="00163FC2">
        <w:trPr>
          <w:trHeight w:val="359"/>
        </w:trPr>
        <w:tc>
          <w:tcPr>
            <w:tcW w:w="3964" w:type="dxa"/>
            <w:shd w:val="clear" w:color="auto" w:fill="F2F2F2" w:themeFill="background1" w:themeFillShade="F2"/>
          </w:tcPr>
          <w:p w14:paraId="288D7EA0"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Low Political Interest (1)</w:t>
            </w:r>
          </w:p>
        </w:tc>
        <w:tc>
          <w:tcPr>
            <w:tcW w:w="2694" w:type="dxa"/>
            <w:shd w:val="clear" w:color="auto" w:fill="F2F2F2" w:themeFill="background1" w:themeFillShade="F2"/>
          </w:tcPr>
          <w:p w14:paraId="573F7EEA"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8.00</w:t>
            </w:r>
          </w:p>
        </w:tc>
        <w:tc>
          <w:tcPr>
            <w:tcW w:w="2976" w:type="dxa"/>
            <w:shd w:val="clear" w:color="auto" w:fill="F2F2F2" w:themeFill="background1" w:themeFillShade="F2"/>
          </w:tcPr>
          <w:p w14:paraId="39F4B917"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4.44</w:t>
            </w:r>
          </w:p>
        </w:tc>
      </w:tr>
      <w:bookmarkEnd w:id="324"/>
      <w:tr w:rsidR="003B1454" w:rsidRPr="00C051DC" w14:paraId="0D7833A7" w14:textId="77777777" w:rsidTr="00163FC2">
        <w:trPr>
          <w:trHeight w:val="359"/>
        </w:trPr>
        <w:tc>
          <w:tcPr>
            <w:tcW w:w="3964" w:type="dxa"/>
            <w:shd w:val="clear" w:color="auto" w:fill="F2F2F2" w:themeFill="background1" w:themeFillShade="F2"/>
          </w:tcPr>
          <w:p w14:paraId="0EAC1C3B"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No Media Use (ref)</w:t>
            </w:r>
          </w:p>
        </w:tc>
        <w:tc>
          <w:tcPr>
            <w:tcW w:w="2694" w:type="dxa"/>
            <w:shd w:val="clear" w:color="auto" w:fill="F2F2F2" w:themeFill="background1" w:themeFillShade="F2"/>
          </w:tcPr>
          <w:p w14:paraId="7BC3AE37"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7.52</w:t>
            </w:r>
          </w:p>
        </w:tc>
        <w:tc>
          <w:tcPr>
            <w:tcW w:w="2976" w:type="dxa"/>
            <w:shd w:val="clear" w:color="auto" w:fill="F2F2F2" w:themeFill="background1" w:themeFillShade="F2"/>
          </w:tcPr>
          <w:p w14:paraId="1CFF6952"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4174D1D2" w14:textId="77777777" w:rsidTr="00163FC2">
        <w:trPr>
          <w:trHeight w:val="359"/>
        </w:trPr>
        <w:tc>
          <w:tcPr>
            <w:tcW w:w="3964" w:type="dxa"/>
            <w:shd w:val="clear" w:color="auto" w:fill="F2F2F2" w:themeFill="background1" w:themeFillShade="F2"/>
          </w:tcPr>
          <w:p w14:paraId="57623E5F"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1-4 Media Sources</w:t>
            </w:r>
          </w:p>
        </w:tc>
        <w:tc>
          <w:tcPr>
            <w:tcW w:w="2694" w:type="dxa"/>
            <w:shd w:val="clear" w:color="auto" w:fill="F2F2F2" w:themeFill="background1" w:themeFillShade="F2"/>
          </w:tcPr>
          <w:p w14:paraId="6EFF9EE5"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7.95</w:t>
            </w:r>
          </w:p>
        </w:tc>
        <w:tc>
          <w:tcPr>
            <w:tcW w:w="2976" w:type="dxa"/>
            <w:shd w:val="clear" w:color="auto" w:fill="F2F2F2" w:themeFill="background1" w:themeFillShade="F2"/>
          </w:tcPr>
          <w:p w14:paraId="5F7FB5F8"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7D55F248" w14:textId="77777777" w:rsidTr="00163FC2">
        <w:trPr>
          <w:trHeight w:val="359"/>
        </w:trPr>
        <w:tc>
          <w:tcPr>
            <w:tcW w:w="3964" w:type="dxa"/>
            <w:shd w:val="clear" w:color="auto" w:fill="F2F2F2" w:themeFill="background1" w:themeFillShade="F2"/>
          </w:tcPr>
          <w:p w14:paraId="39A24041"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 xml:space="preserve">5+ Media Sources </w:t>
            </w:r>
          </w:p>
        </w:tc>
        <w:tc>
          <w:tcPr>
            <w:tcW w:w="2694" w:type="dxa"/>
            <w:shd w:val="clear" w:color="auto" w:fill="F2F2F2" w:themeFill="background1" w:themeFillShade="F2"/>
          </w:tcPr>
          <w:p w14:paraId="2087C4B9"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8.07</w:t>
            </w:r>
          </w:p>
        </w:tc>
        <w:tc>
          <w:tcPr>
            <w:tcW w:w="2976" w:type="dxa"/>
            <w:shd w:val="clear" w:color="auto" w:fill="F2F2F2" w:themeFill="background1" w:themeFillShade="F2"/>
          </w:tcPr>
          <w:p w14:paraId="1392AF26"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41B27FBE" w14:textId="77777777" w:rsidTr="00163FC2">
        <w:trPr>
          <w:trHeight w:val="359"/>
        </w:trPr>
        <w:tc>
          <w:tcPr>
            <w:tcW w:w="3964" w:type="dxa"/>
          </w:tcPr>
          <w:p w14:paraId="653CBE2C" w14:textId="77777777" w:rsidR="003B1454" w:rsidRPr="00C051DC" w:rsidRDefault="003B1454" w:rsidP="00BA7613">
            <w:pPr>
              <w:widowControl w:val="0"/>
              <w:autoSpaceDE w:val="0"/>
              <w:autoSpaceDN w:val="0"/>
              <w:adjustRightInd w:val="0"/>
              <w:spacing w:line="240" w:lineRule="auto"/>
              <w:rPr>
                <w:rFonts w:cs="Segoe UI"/>
                <w:b/>
                <w:sz w:val="18"/>
                <w:szCs w:val="20"/>
                <w:highlight w:val="yellow"/>
                <w:lang w:val="en-US"/>
              </w:rPr>
            </w:pPr>
            <w:r w:rsidRPr="00C051DC">
              <w:rPr>
                <w:rFonts w:cs="Segoe UI"/>
                <w:b/>
                <w:sz w:val="18"/>
                <w:szCs w:val="20"/>
                <w:highlight w:val="yellow"/>
                <w:lang w:val="en-US"/>
              </w:rPr>
              <w:t>Social Capital</w:t>
            </w:r>
          </w:p>
        </w:tc>
        <w:tc>
          <w:tcPr>
            <w:tcW w:w="2694" w:type="dxa"/>
          </w:tcPr>
          <w:p w14:paraId="66588E4D"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p>
        </w:tc>
        <w:tc>
          <w:tcPr>
            <w:tcW w:w="2976" w:type="dxa"/>
          </w:tcPr>
          <w:p w14:paraId="6E580486"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p>
        </w:tc>
      </w:tr>
      <w:tr w:rsidR="003B1454" w:rsidRPr="00C051DC" w14:paraId="300EAA64" w14:textId="77777777" w:rsidTr="00163FC2">
        <w:trPr>
          <w:trHeight w:val="359"/>
        </w:trPr>
        <w:tc>
          <w:tcPr>
            <w:tcW w:w="3964" w:type="dxa"/>
          </w:tcPr>
          <w:p w14:paraId="77DB679F" w14:textId="77777777" w:rsidR="003B1454" w:rsidRPr="00C051DC" w:rsidRDefault="003B1454" w:rsidP="00BA7613">
            <w:pPr>
              <w:widowControl w:val="0"/>
              <w:autoSpaceDE w:val="0"/>
              <w:autoSpaceDN w:val="0"/>
              <w:adjustRightInd w:val="0"/>
              <w:spacing w:line="240" w:lineRule="auto"/>
              <w:rPr>
                <w:rFonts w:cs="Segoe UI"/>
                <w:color w:val="A6A6A6" w:themeColor="background1" w:themeShade="A6"/>
                <w:sz w:val="18"/>
                <w:szCs w:val="20"/>
                <w:highlight w:val="yellow"/>
                <w:lang w:val="en-US"/>
              </w:rPr>
            </w:pPr>
            <w:r w:rsidRPr="00C051DC">
              <w:rPr>
                <w:rFonts w:cs="Segoe UI"/>
                <w:color w:val="000000" w:themeColor="text1"/>
                <w:sz w:val="18"/>
                <w:szCs w:val="20"/>
                <w:highlight w:val="yellow"/>
                <w:lang w:val="en-US"/>
              </w:rPr>
              <w:t>People can’t be trusted (ref)</w:t>
            </w:r>
          </w:p>
        </w:tc>
        <w:tc>
          <w:tcPr>
            <w:tcW w:w="2694" w:type="dxa"/>
          </w:tcPr>
          <w:p w14:paraId="37234988"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5FC8A92A" w14:textId="77777777" w:rsidR="003B1454" w:rsidRPr="00C051DC" w:rsidRDefault="003B1454" w:rsidP="00BA7613">
            <w:pPr>
              <w:widowControl w:val="0"/>
              <w:autoSpaceDE w:val="0"/>
              <w:autoSpaceDN w:val="0"/>
              <w:adjustRightInd w:val="0"/>
              <w:spacing w:line="240" w:lineRule="auto"/>
              <w:jc w:val="center"/>
              <w:rPr>
                <w:rFonts w:cs="Segoe UI"/>
                <w:color w:val="000000" w:themeColor="text1"/>
                <w:sz w:val="18"/>
                <w:szCs w:val="20"/>
                <w:highlight w:val="yellow"/>
                <w:lang w:val="en-US"/>
              </w:rPr>
            </w:pPr>
            <w:r w:rsidRPr="00C051DC">
              <w:rPr>
                <w:rFonts w:cs="Segoe UI"/>
                <w:color w:val="000000" w:themeColor="text1"/>
                <w:sz w:val="18"/>
                <w:szCs w:val="20"/>
                <w:highlight w:val="yellow"/>
                <w:lang w:val="en-US"/>
              </w:rPr>
              <w:t>4.49</w:t>
            </w:r>
          </w:p>
        </w:tc>
      </w:tr>
      <w:tr w:rsidR="003B1454" w:rsidRPr="00C051DC" w14:paraId="062DB439" w14:textId="77777777" w:rsidTr="00163FC2">
        <w:trPr>
          <w:trHeight w:val="359"/>
        </w:trPr>
        <w:tc>
          <w:tcPr>
            <w:tcW w:w="3964" w:type="dxa"/>
          </w:tcPr>
          <w:p w14:paraId="3DAB9B04" w14:textId="77777777" w:rsidR="003B1454" w:rsidRPr="00C051DC" w:rsidRDefault="003B1454" w:rsidP="00BA7613">
            <w:pPr>
              <w:widowControl w:val="0"/>
              <w:autoSpaceDE w:val="0"/>
              <w:autoSpaceDN w:val="0"/>
              <w:adjustRightInd w:val="0"/>
              <w:spacing w:line="240" w:lineRule="auto"/>
              <w:rPr>
                <w:rFonts w:cs="Segoe UI"/>
                <w:color w:val="A6A6A6" w:themeColor="background1" w:themeShade="A6"/>
                <w:sz w:val="18"/>
                <w:szCs w:val="20"/>
                <w:highlight w:val="yellow"/>
                <w:lang w:val="en-US"/>
              </w:rPr>
            </w:pPr>
            <w:r w:rsidRPr="00C051DC">
              <w:rPr>
                <w:rFonts w:cs="Segoe UI"/>
                <w:color w:val="000000" w:themeColor="text1"/>
                <w:sz w:val="18"/>
                <w:szCs w:val="20"/>
                <w:highlight w:val="yellow"/>
                <w:lang w:val="en-US"/>
              </w:rPr>
              <w:t>People can be trusted</w:t>
            </w:r>
          </w:p>
        </w:tc>
        <w:tc>
          <w:tcPr>
            <w:tcW w:w="2694" w:type="dxa"/>
          </w:tcPr>
          <w:p w14:paraId="7B66B660"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2E6F7D7B" w14:textId="77777777" w:rsidR="003B1454" w:rsidRPr="00C051DC" w:rsidRDefault="003B1454" w:rsidP="00BA7613">
            <w:pPr>
              <w:widowControl w:val="0"/>
              <w:autoSpaceDE w:val="0"/>
              <w:autoSpaceDN w:val="0"/>
              <w:adjustRightInd w:val="0"/>
              <w:spacing w:line="240" w:lineRule="auto"/>
              <w:jc w:val="center"/>
              <w:rPr>
                <w:rFonts w:cs="Segoe UI"/>
                <w:color w:val="000000" w:themeColor="text1"/>
                <w:sz w:val="18"/>
                <w:szCs w:val="20"/>
                <w:highlight w:val="yellow"/>
                <w:lang w:val="en-US"/>
              </w:rPr>
            </w:pPr>
            <w:r w:rsidRPr="00C051DC">
              <w:rPr>
                <w:rFonts w:cs="Segoe UI"/>
                <w:color w:val="000000" w:themeColor="text1"/>
                <w:sz w:val="18"/>
                <w:szCs w:val="20"/>
                <w:highlight w:val="yellow"/>
                <w:lang w:val="en-US"/>
              </w:rPr>
              <w:t>4.35</w:t>
            </w:r>
          </w:p>
        </w:tc>
      </w:tr>
      <w:tr w:rsidR="003B1454" w:rsidRPr="00C051DC" w14:paraId="006D7062" w14:textId="77777777" w:rsidTr="00163FC2">
        <w:trPr>
          <w:trHeight w:val="359"/>
        </w:trPr>
        <w:tc>
          <w:tcPr>
            <w:tcW w:w="3964" w:type="dxa"/>
          </w:tcPr>
          <w:p w14:paraId="2267AEB3"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High Institutional Trust (10)</w:t>
            </w:r>
          </w:p>
        </w:tc>
        <w:tc>
          <w:tcPr>
            <w:tcW w:w="2694" w:type="dxa"/>
          </w:tcPr>
          <w:p w14:paraId="7EA5C125"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8.23</w:t>
            </w:r>
          </w:p>
        </w:tc>
        <w:tc>
          <w:tcPr>
            <w:tcW w:w="2976" w:type="dxa"/>
          </w:tcPr>
          <w:p w14:paraId="37EFAA85"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5.37</w:t>
            </w:r>
          </w:p>
        </w:tc>
      </w:tr>
      <w:tr w:rsidR="003B1454" w:rsidRPr="00C051DC" w14:paraId="3EEFEF9A" w14:textId="77777777" w:rsidTr="00163FC2">
        <w:trPr>
          <w:trHeight w:val="359"/>
        </w:trPr>
        <w:tc>
          <w:tcPr>
            <w:tcW w:w="3964" w:type="dxa"/>
          </w:tcPr>
          <w:p w14:paraId="017D1EB2"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Low Institutional Trust (1)</w:t>
            </w:r>
          </w:p>
        </w:tc>
        <w:tc>
          <w:tcPr>
            <w:tcW w:w="2694" w:type="dxa"/>
          </w:tcPr>
          <w:p w14:paraId="380F43E5"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8.01</w:t>
            </w:r>
          </w:p>
        </w:tc>
        <w:tc>
          <w:tcPr>
            <w:tcW w:w="2976" w:type="dxa"/>
          </w:tcPr>
          <w:p w14:paraId="3CAC7421"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4.54</w:t>
            </w:r>
          </w:p>
        </w:tc>
      </w:tr>
      <w:tr w:rsidR="003B1454" w:rsidRPr="00C051DC" w14:paraId="3C52E0AB" w14:textId="77777777" w:rsidTr="00163FC2">
        <w:trPr>
          <w:trHeight w:val="359"/>
        </w:trPr>
        <w:tc>
          <w:tcPr>
            <w:tcW w:w="3964" w:type="dxa"/>
          </w:tcPr>
          <w:p w14:paraId="15C7CA14" w14:textId="77777777" w:rsidR="003B1454" w:rsidRPr="00C051DC" w:rsidRDefault="003B1454" w:rsidP="00BA7613">
            <w:pPr>
              <w:widowControl w:val="0"/>
              <w:autoSpaceDE w:val="0"/>
              <w:autoSpaceDN w:val="0"/>
              <w:adjustRightInd w:val="0"/>
              <w:spacing w:line="240" w:lineRule="auto"/>
              <w:rPr>
                <w:rFonts w:cs="Segoe UI"/>
                <w:color w:val="000000" w:themeColor="text1"/>
                <w:sz w:val="18"/>
                <w:szCs w:val="20"/>
                <w:highlight w:val="yellow"/>
                <w:lang w:val="en-US"/>
              </w:rPr>
            </w:pPr>
            <w:r w:rsidRPr="00C051DC">
              <w:rPr>
                <w:rFonts w:cs="Segoe UI"/>
                <w:color w:val="000000" w:themeColor="text1"/>
                <w:sz w:val="18"/>
                <w:szCs w:val="20"/>
                <w:highlight w:val="yellow"/>
                <w:lang w:val="en-US"/>
              </w:rPr>
              <w:t>Not a Group Member (ref)</w:t>
            </w:r>
          </w:p>
        </w:tc>
        <w:tc>
          <w:tcPr>
            <w:tcW w:w="2694" w:type="dxa"/>
          </w:tcPr>
          <w:p w14:paraId="2CA020A8"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16119A23"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38E8C75C" w14:textId="77777777" w:rsidTr="00163FC2">
        <w:trPr>
          <w:trHeight w:val="359"/>
        </w:trPr>
        <w:tc>
          <w:tcPr>
            <w:tcW w:w="3964" w:type="dxa"/>
          </w:tcPr>
          <w:p w14:paraId="5281E38D" w14:textId="77777777" w:rsidR="003B1454" w:rsidRPr="00C051DC" w:rsidRDefault="003B1454" w:rsidP="00BA7613">
            <w:pPr>
              <w:widowControl w:val="0"/>
              <w:autoSpaceDE w:val="0"/>
              <w:autoSpaceDN w:val="0"/>
              <w:adjustRightInd w:val="0"/>
              <w:spacing w:line="240" w:lineRule="auto"/>
              <w:rPr>
                <w:rFonts w:cs="Segoe UI"/>
                <w:color w:val="000000" w:themeColor="text1"/>
                <w:sz w:val="18"/>
                <w:szCs w:val="20"/>
                <w:highlight w:val="yellow"/>
                <w:lang w:val="en-US"/>
              </w:rPr>
            </w:pPr>
            <w:r w:rsidRPr="00C051DC">
              <w:rPr>
                <w:rFonts w:cs="Segoe UI"/>
                <w:color w:val="000000" w:themeColor="text1"/>
                <w:sz w:val="18"/>
                <w:szCs w:val="20"/>
                <w:highlight w:val="yellow"/>
                <w:lang w:val="en-US"/>
              </w:rPr>
              <w:t>Member of one group</w:t>
            </w:r>
          </w:p>
        </w:tc>
        <w:tc>
          <w:tcPr>
            <w:tcW w:w="2694" w:type="dxa"/>
          </w:tcPr>
          <w:p w14:paraId="5C03737C"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0B723F08"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19B06EBF" w14:textId="77777777" w:rsidTr="00163FC2">
        <w:trPr>
          <w:trHeight w:val="359"/>
        </w:trPr>
        <w:tc>
          <w:tcPr>
            <w:tcW w:w="3964" w:type="dxa"/>
          </w:tcPr>
          <w:p w14:paraId="5534E9C4" w14:textId="77777777" w:rsidR="003B1454" w:rsidRPr="00C051DC" w:rsidRDefault="003B1454" w:rsidP="00BA7613">
            <w:pPr>
              <w:widowControl w:val="0"/>
              <w:autoSpaceDE w:val="0"/>
              <w:autoSpaceDN w:val="0"/>
              <w:adjustRightInd w:val="0"/>
              <w:spacing w:line="240" w:lineRule="auto"/>
              <w:rPr>
                <w:rFonts w:cs="Segoe UI"/>
                <w:color w:val="000000" w:themeColor="text1"/>
                <w:sz w:val="18"/>
                <w:szCs w:val="20"/>
                <w:highlight w:val="yellow"/>
                <w:lang w:val="en-US"/>
              </w:rPr>
            </w:pPr>
            <w:r w:rsidRPr="00C051DC">
              <w:rPr>
                <w:rFonts w:cs="Segoe UI"/>
                <w:color w:val="000000" w:themeColor="text1"/>
                <w:sz w:val="18"/>
                <w:szCs w:val="20"/>
                <w:highlight w:val="yellow"/>
                <w:lang w:val="en-US"/>
              </w:rPr>
              <w:t>Member of 2+ groups</w:t>
            </w:r>
          </w:p>
        </w:tc>
        <w:tc>
          <w:tcPr>
            <w:tcW w:w="2694" w:type="dxa"/>
          </w:tcPr>
          <w:p w14:paraId="69F8D9C5"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0AC7450B"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71A1DE83" w14:textId="77777777" w:rsidTr="00163FC2">
        <w:trPr>
          <w:trHeight w:val="359"/>
        </w:trPr>
        <w:tc>
          <w:tcPr>
            <w:tcW w:w="3964" w:type="dxa"/>
            <w:shd w:val="clear" w:color="auto" w:fill="F2F2F2" w:themeFill="background1" w:themeFillShade="F2"/>
          </w:tcPr>
          <w:p w14:paraId="20954E42" w14:textId="77777777" w:rsidR="003B1454" w:rsidRPr="00C051DC" w:rsidRDefault="003B1454" w:rsidP="00BA7613">
            <w:pPr>
              <w:widowControl w:val="0"/>
              <w:autoSpaceDE w:val="0"/>
              <w:autoSpaceDN w:val="0"/>
              <w:adjustRightInd w:val="0"/>
              <w:spacing w:line="240" w:lineRule="auto"/>
              <w:rPr>
                <w:rFonts w:cs="Segoe UI"/>
                <w:b/>
                <w:sz w:val="18"/>
                <w:szCs w:val="20"/>
                <w:highlight w:val="yellow"/>
                <w:lang w:val="en-US"/>
              </w:rPr>
            </w:pPr>
            <w:r w:rsidRPr="00C051DC">
              <w:rPr>
                <w:rFonts w:cs="Segoe UI"/>
                <w:b/>
                <w:sz w:val="18"/>
                <w:szCs w:val="20"/>
                <w:highlight w:val="yellow"/>
                <w:lang w:val="en-US"/>
              </w:rPr>
              <w:t>Religion</w:t>
            </w:r>
          </w:p>
        </w:tc>
        <w:tc>
          <w:tcPr>
            <w:tcW w:w="2694" w:type="dxa"/>
            <w:shd w:val="clear" w:color="auto" w:fill="F2F2F2" w:themeFill="background1" w:themeFillShade="F2"/>
          </w:tcPr>
          <w:p w14:paraId="1AE80EA6"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p>
        </w:tc>
        <w:tc>
          <w:tcPr>
            <w:tcW w:w="2976" w:type="dxa"/>
            <w:shd w:val="clear" w:color="auto" w:fill="F2F2F2" w:themeFill="background1" w:themeFillShade="F2"/>
          </w:tcPr>
          <w:p w14:paraId="5386B385"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p>
        </w:tc>
      </w:tr>
      <w:tr w:rsidR="003B1454" w:rsidRPr="00C051DC" w14:paraId="75DA66E3" w14:textId="77777777" w:rsidTr="00163FC2">
        <w:trPr>
          <w:trHeight w:val="359"/>
        </w:trPr>
        <w:tc>
          <w:tcPr>
            <w:tcW w:w="3964" w:type="dxa"/>
            <w:shd w:val="clear" w:color="auto" w:fill="F2F2F2" w:themeFill="background1" w:themeFillShade="F2"/>
          </w:tcPr>
          <w:p w14:paraId="69E248B0"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 xml:space="preserve">High Religiosity (10) </w:t>
            </w:r>
          </w:p>
        </w:tc>
        <w:tc>
          <w:tcPr>
            <w:tcW w:w="2694" w:type="dxa"/>
            <w:shd w:val="clear" w:color="auto" w:fill="F2F2F2" w:themeFill="background1" w:themeFillShade="F2"/>
          </w:tcPr>
          <w:p w14:paraId="290B86F1"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8.21</w:t>
            </w:r>
          </w:p>
        </w:tc>
        <w:tc>
          <w:tcPr>
            <w:tcW w:w="2976" w:type="dxa"/>
            <w:shd w:val="clear" w:color="auto" w:fill="F2F2F2" w:themeFill="background1" w:themeFillShade="F2"/>
          </w:tcPr>
          <w:p w14:paraId="3A44A0D2"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5.43</w:t>
            </w:r>
          </w:p>
        </w:tc>
      </w:tr>
      <w:tr w:rsidR="003B1454" w:rsidRPr="00C051DC" w14:paraId="45F8914A" w14:textId="77777777" w:rsidTr="00163FC2">
        <w:trPr>
          <w:trHeight w:val="359"/>
        </w:trPr>
        <w:tc>
          <w:tcPr>
            <w:tcW w:w="3964" w:type="dxa"/>
            <w:shd w:val="clear" w:color="auto" w:fill="F2F2F2" w:themeFill="background1" w:themeFillShade="F2"/>
          </w:tcPr>
          <w:p w14:paraId="56AA010F" w14:textId="77777777" w:rsidR="003B1454" w:rsidRPr="00C051DC" w:rsidRDefault="003B1454" w:rsidP="00BA7613">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Low Religiosity (1)</w:t>
            </w:r>
          </w:p>
        </w:tc>
        <w:tc>
          <w:tcPr>
            <w:tcW w:w="2694" w:type="dxa"/>
            <w:shd w:val="clear" w:color="auto" w:fill="F2F2F2" w:themeFill="background1" w:themeFillShade="F2"/>
          </w:tcPr>
          <w:p w14:paraId="52F77A2F"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8.01</w:t>
            </w:r>
          </w:p>
        </w:tc>
        <w:tc>
          <w:tcPr>
            <w:tcW w:w="2976" w:type="dxa"/>
            <w:shd w:val="clear" w:color="auto" w:fill="F2F2F2" w:themeFill="background1" w:themeFillShade="F2"/>
          </w:tcPr>
          <w:p w14:paraId="7B173FD4"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4.56</w:t>
            </w:r>
          </w:p>
        </w:tc>
      </w:tr>
      <w:tr w:rsidR="003B1454" w:rsidRPr="00C051DC" w14:paraId="460F0DB5" w14:textId="77777777" w:rsidTr="00163FC2">
        <w:trPr>
          <w:trHeight w:val="359"/>
        </w:trPr>
        <w:tc>
          <w:tcPr>
            <w:tcW w:w="3964" w:type="dxa"/>
            <w:shd w:val="clear" w:color="auto" w:fill="F2F2F2" w:themeFill="background1" w:themeFillShade="F2"/>
          </w:tcPr>
          <w:p w14:paraId="6BEAA5A9" w14:textId="77777777" w:rsidR="003B1454" w:rsidRPr="00C051DC" w:rsidRDefault="003B1454" w:rsidP="00BA7613">
            <w:pPr>
              <w:spacing w:line="240" w:lineRule="auto"/>
              <w:rPr>
                <w:rFonts w:cs="Segoe UI"/>
                <w:sz w:val="18"/>
                <w:szCs w:val="20"/>
                <w:highlight w:val="yellow"/>
              </w:rPr>
            </w:pPr>
            <w:r w:rsidRPr="00C051DC">
              <w:rPr>
                <w:rFonts w:cs="Segoe UI"/>
                <w:sz w:val="18"/>
                <w:szCs w:val="20"/>
                <w:highlight w:val="yellow"/>
              </w:rPr>
              <w:t>No religion (ref)</w:t>
            </w:r>
          </w:p>
        </w:tc>
        <w:tc>
          <w:tcPr>
            <w:tcW w:w="2694" w:type="dxa"/>
            <w:shd w:val="clear" w:color="auto" w:fill="F2F2F2" w:themeFill="background1" w:themeFillShade="F2"/>
          </w:tcPr>
          <w:p w14:paraId="23E2462C"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8.02</w:t>
            </w:r>
          </w:p>
        </w:tc>
        <w:tc>
          <w:tcPr>
            <w:tcW w:w="2976" w:type="dxa"/>
            <w:shd w:val="clear" w:color="auto" w:fill="F2F2F2" w:themeFill="background1" w:themeFillShade="F2"/>
          </w:tcPr>
          <w:p w14:paraId="3AAAD08A"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2CD8CE6F" w14:textId="77777777" w:rsidTr="00163FC2">
        <w:trPr>
          <w:trHeight w:val="359"/>
        </w:trPr>
        <w:tc>
          <w:tcPr>
            <w:tcW w:w="3964" w:type="dxa"/>
            <w:shd w:val="clear" w:color="auto" w:fill="F2F2F2" w:themeFill="background1" w:themeFillShade="F2"/>
          </w:tcPr>
          <w:p w14:paraId="4A8DAED9" w14:textId="77777777" w:rsidR="003B1454" w:rsidRPr="00C051DC" w:rsidRDefault="003B1454" w:rsidP="00BA7613">
            <w:pPr>
              <w:spacing w:line="240" w:lineRule="auto"/>
              <w:rPr>
                <w:rFonts w:cs="Segoe UI"/>
                <w:sz w:val="18"/>
                <w:szCs w:val="20"/>
                <w:highlight w:val="yellow"/>
              </w:rPr>
            </w:pPr>
            <w:r w:rsidRPr="00C051DC">
              <w:rPr>
                <w:rFonts w:cs="Segoe UI"/>
                <w:sz w:val="18"/>
                <w:szCs w:val="20"/>
                <w:highlight w:val="yellow"/>
              </w:rPr>
              <w:t>Catholic</w:t>
            </w:r>
          </w:p>
        </w:tc>
        <w:tc>
          <w:tcPr>
            <w:tcW w:w="2694" w:type="dxa"/>
            <w:shd w:val="clear" w:color="auto" w:fill="F2F2F2" w:themeFill="background1" w:themeFillShade="F2"/>
          </w:tcPr>
          <w:p w14:paraId="3879895C"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29974FB0"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2C9CF5B9" w14:textId="77777777" w:rsidTr="00163FC2">
        <w:trPr>
          <w:trHeight w:val="359"/>
        </w:trPr>
        <w:tc>
          <w:tcPr>
            <w:tcW w:w="3964" w:type="dxa"/>
            <w:shd w:val="clear" w:color="auto" w:fill="F2F2F2" w:themeFill="background1" w:themeFillShade="F2"/>
          </w:tcPr>
          <w:p w14:paraId="14743458" w14:textId="77777777" w:rsidR="003B1454" w:rsidRPr="00C051DC" w:rsidRDefault="003B1454" w:rsidP="00BA7613">
            <w:pPr>
              <w:spacing w:line="240" w:lineRule="auto"/>
              <w:rPr>
                <w:rFonts w:cs="Segoe UI"/>
                <w:color w:val="000000" w:themeColor="text1"/>
                <w:sz w:val="18"/>
                <w:szCs w:val="20"/>
                <w:highlight w:val="yellow"/>
              </w:rPr>
            </w:pPr>
            <w:r w:rsidRPr="00C051DC">
              <w:rPr>
                <w:rFonts w:cs="Segoe UI"/>
                <w:color w:val="000000" w:themeColor="text1"/>
                <w:sz w:val="18"/>
                <w:szCs w:val="20"/>
                <w:highlight w:val="yellow"/>
              </w:rPr>
              <w:t>Protestant</w:t>
            </w:r>
          </w:p>
        </w:tc>
        <w:tc>
          <w:tcPr>
            <w:tcW w:w="2694" w:type="dxa"/>
            <w:shd w:val="clear" w:color="auto" w:fill="F2F2F2" w:themeFill="background1" w:themeFillShade="F2"/>
          </w:tcPr>
          <w:p w14:paraId="4908DA67"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73AF715D" w14:textId="77777777" w:rsidR="003B1454" w:rsidRPr="00C051DC" w:rsidRDefault="003B1454" w:rsidP="00BA7613">
            <w:pPr>
              <w:widowControl w:val="0"/>
              <w:autoSpaceDE w:val="0"/>
              <w:autoSpaceDN w:val="0"/>
              <w:adjustRightInd w:val="0"/>
              <w:spacing w:line="240" w:lineRule="auto"/>
              <w:jc w:val="center"/>
              <w:rPr>
                <w:rFonts w:cs="Segoe UI"/>
                <w:color w:val="A6A6A6" w:themeColor="background1" w:themeShade="A6"/>
                <w:sz w:val="18"/>
                <w:szCs w:val="20"/>
                <w:highlight w:val="yellow"/>
                <w:lang w:val="en-US"/>
              </w:rPr>
            </w:pPr>
            <w:r w:rsidRPr="00C051DC">
              <w:rPr>
                <w:rFonts w:cs="Segoe UI"/>
                <w:sz w:val="18"/>
                <w:szCs w:val="20"/>
                <w:highlight w:val="yellow"/>
                <w:lang w:val="en-US"/>
              </w:rPr>
              <w:t>n.s</w:t>
            </w:r>
          </w:p>
        </w:tc>
      </w:tr>
      <w:tr w:rsidR="003B1454" w:rsidRPr="00C051DC" w14:paraId="100FA9DD" w14:textId="77777777" w:rsidTr="00163FC2">
        <w:trPr>
          <w:trHeight w:val="359"/>
        </w:trPr>
        <w:tc>
          <w:tcPr>
            <w:tcW w:w="3964" w:type="dxa"/>
            <w:shd w:val="clear" w:color="auto" w:fill="F2F2F2" w:themeFill="background1" w:themeFillShade="F2"/>
          </w:tcPr>
          <w:p w14:paraId="1C8B7447" w14:textId="77777777" w:rsidR="003B1454" w:rsidRPr="00C051DC" w:rsidRDefault="003B1454" w:rsidP="00BA7613">
            <w:pPr>
              <w:spacing w:line="240" w:lineRule="auto"/>
              <w:rPr>
                <w:rFonts w:cs="Segoe UI"/>
                <w:color w:val="000000" w:themeColor="text1"/>
                <w:sz w:val="18"/>
                <w:szCs w:val="20"/>
                <w:highlight w:val="yellow"/>
              </w:rPr>
            </w:pPr>
            <w:r w:rsidRPr="00C051DC">
              <w:rPr>
                <w:rFonts w:cs="Segoe UI"/>
                <w:color w:val="000000" w:themeColor="text1"/>
                <w:sz w:val="18"/>
                <w:szCs w:val="20"/>
                <w:highlight w:val="yellow"/>
              </w:rPr>
              <w:t>Muslim</w:t>
            </w:r>
          </w:p>
        </w:tc>
        <w:tc>
          <w:tcPr>
            <w:tcW w:w="2694" w:type="dxa"/>
            <w:shd w:val="clear" w:color="auto" w:fill="F2F2F2" w:themeFill="background1" w:themeFillShade="F2"/>
          </w:tcPr>
          <w:p w14:paraId="2CF898DE"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580D44A7" w14:textId="77777777" w:rsidR="003B1454" w:rsidRPr="00C051DC" w:rsidRDefault="003B1454" w:rsidP="00BA7613">
            <w:pPr>
              <w:widowControl w:val="0"/>
              <w:autoSpaceDE w:val="0"/>
              <w:autoSpaceDN w:val="0"/>
              <w:adjustRightInd w:val="0"/>
              <w:spacing w:line="240" w:lineRule="auto"/>
              <w:jc w:val="center"/>
              <w:rPr>
                <w:rFonts w:cs="Segoe UI"/>
                <w:color w:val="A6A6A6" w:themeColor="background1" w:themeShade="A6"/>
                <w:sz w:val="18"/>
                <w:szCs w:val="20"/>
                <w:highlight w:val="yellow"/>
                <w:lang w:val="en-US"/>
              </w:rPr>
            </w:pPr>
            <w:r w:rsidRPr="00C051DC">
              <w:rPr>
                <w:rFonts w:cs="Segoe UI"/>
                <w:sz w:val="18"/>
                <w:szCs w:val="20"/>
                <w:highlight w:val="yellow"/>
                <w:lang w:val="en-US"/>
              </w:rPr>
              <w:t>n.s</w:t>
            </w:r>
          </w:p>
        </w:tc>
      </w:tr>
      <w:tr w:rsidR="003B1454" w:rsidRPr="00C051DC" w14:paraId="641C9EFE" w14:textId="77777777" w:rsidTr="00163FC2">
        <w:trPr>
          <w:trHeight w:val="359"/>
        </w:trPr>
        <w:tc>
          <w:tcPr>
            <w:tcW w:w="3964" w:type="dxa"/>
            <w:shd w:val="clear" w:color="auto" w:fill="F2F2F2" w:themeFill="background1" w:themeFillShade="F2"/>
          </w:tcPr>
          <w:p w14:paraId="43F44C0A" w14:textId="77777777" w:rsidR="003B1454" w:rsidRPr="00C051DC" w:rsidRDefault="003B1454" w:rsidP="00BA7613">
            <w:pPr>
              <w:spacing w:line="240" w:lineRule="auto"/>
              <w:rPr>
                <w:rFonts w:cs="Segoe UI"/>
                <w:sz w:val="18"/>
                <w:szCs w:val="20"/>
                <w:highlight w:val="yellow"/>
              </w:rPr>
            </w:pPr>
            <w:r w:rsidRPr="00C051DC">
              <w:rPr>
                <w:rFonts w:cs="Segoe UI"/>
                <w:sz w:val="18"/>
                <w:szCs w:val="20"/>
                <w:highlight w:val="yellow"/>
              </w:rPr>
              <w:t>Orthodox</w:t>
            </w:r>
          </w:p>
        </w:tc>
        <w:tc>
          <w:tcPr>
            <w:tcW w:w="2694" w:type="dxa"/>
            <w:shd w:val="clear" w:color="auto" w:fill="F2F2F2" w:themeFill="background1" w:themeFillShade="F2"/>
          </w:tcPr>
          <w:p w14:paraId="0E1603C9"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7D9BFBED"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2BC2AE91" w14:textId="77777777" w:rsidTr="00163FC2">
        <w:trPr>
          <w:trHeight w:val="359"/>
        </w:trPr>
        <w:tc>
          <w:tcPr>
            <w:tcW w:w="3964" w:type="dxa"/>
            <w:shd w:val="clear" w:color="auto" w:fill="F2F2F2" w:themeFill="background1" w:themeFillShade="F2"/>
          </w:tcPr>
          <w:p w14:paraId="390C65B1" w14:textId="77777777" w:rsidR="003B1454" w:rsidRPr="00C051DC" w:rsidRDefault="003B1454" w:rsidP="00BA7613">
            <w:pPr>
              <w:spacing w:line="240" w:lineRule="auto"/>
              <w:rPr>
                <w:rFonts w:cs="Segoe UI"/>
                <w:sz w:val="18"/>
                <w:szCs w:val="20"/>
                <w:highlight w:val="yellow"/>
              </w:rPr>
            </w:pPr>
            <w:r w:rsidRPr="00C051DC">
              <w:rPr>
                <w:rFonts w:cs="Segoe UI"/>
                <w:sz w:val="18"/>
                <w:szCs w:val="20"/>
                <w:highlight w:val="yellow"/>
              </w:rPr>
              <w:t>Buddhist</w:t>
            </w:r>
          </w:p>
        </w:tc>
        <w:tc>
          <w:tcPr>
            <w:tcW w:w="2694" w:type="dxa"/>
            <w:shd w:val="clear" w:color="auto" w:fill="F2F2F2" w:themeFill="background1" w:themeFillShade="F2"/>
          </w:tcPr>
          <w:p w14:paraId="2BA614F6"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1D7EFD28"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79CE3CB6" w14:textId="77777777" w:rsidTr="00163FC2">
        <w:trPr>
          <w:trHeight w:val="359"/>
        </w:trPr>
        <w:tc>
          <w:tcPr>
            <w:tcW w:w="3964" w:type="dxa"/>
            <w:shd w:val="clear" w:color="auto" w:fill="F2F2F2" w:themeFill="background1" w:themeFillShade="F2"/>
          </w:tcPr>
          <w:p w14:paraId="66AFABA4" w14:textId="77777777" w:rsidR="003B1454" w:rsidRPr="00C051DC" w:rsidRDefault="003B1454" w:rsidP="00BA7613">
            <w:pPr>
              <w:spacing w:line="240" w:lineRule="auto"/>
              <w:rPr>
                <w:rFonts w:cs="Segoe UI"/>
                <w:color w:val="A6A6A6" w:themeColor="background1" w:themeShade="A6"/>
                <w:sz w:val="18"/>
                <w:szCs w:val="20"/>
                <w:highlight w:val="yellow"/>
              </w:rPr>
            </w:pPr>
            <w:r w:rsidRPr="00C051DC">
              <w:rPr>
                <w:rFonts w:cs="Segoe UI"/>
                <w:color w:val="000000" w:themeColor="text1"/>
                <w:sz w:val="18"/>
                <w:szCs w:val="20"/>
                <w:highlight w:val="yellow"/>
              </w:rPr>
              <w:t>Hindu</w:t>
            </w:r>
          </w:p>
        </w:tc>
        <w:tc>
          <w:tcPr>
            <w:tcW w:w="2694" w:type="dxa"/>
            <w:shd w:val="clear" w:color="auto" w:fill="F2F2F2" w:themeFill="background1" w:themeFillShade="F2"/>
          </w:tcPr>
          <w:p w14:paraId="7C58B0E7"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7187978F" w14:textId="77777777" w:rsidR="003B1454" w:rsidRPr="00C051DC" w:rsidRDefault="003B1454" w:rsidP="00BA7613">
            <w:pPr>
              <w:widowControl w:val="0"/>
              <w:autoSpaceDE w:val="0"/>
              <w:autoSpaceDN w:val="0"/>
              <w:adjustRightInd w:val="0"/>
              <w:spacing w:line="240" w:lineRule="auto"/>
              <w:jc w:val="center"/>
              <w:rPr>
                <w:rFonts w:cs="Segoe UI"/>
                <w:color w:val="A6A6A6" w:themeColor="background1" w:themeShade="A6"/>
                <w:sz w:val="18"/>
                <w:szCs w:val="20"/>
                <w:highlight w:val="yellow"/>
                <w:lang w:val="en-US"/>
              </w:rPr>
            </w:pPr>
            <w:r w:rsidRPr="00C051DC">
              <w:rPr>
                <w:rFonts w:cs="Segoe UI"/>
                <w:sz w:val="18"/>
                <w:szCs w:val="20"/>
                <w:highlight w:val="yellow"/>
                <w:lang w:val="en-US"/>
              </w:rPr>
              <w:t>n.s</w:t>
            </w:r>
          </w:p>
        </w:tc>
      </w:tr>
      <w:tr w:rsidR="003B1454" w:rsidRPr="00C051DC" w14:paraId="16D6AB40" w14:textId="77777777" w:rsidTr="00163FC2">
        <w:trPr>
          <w:trHeight w:val="359"/>
        </w:trPr>
        <w:tc>
          <w:tcPr>
            <w:tcW w:w="3964" w:type="dxa"/>
            <w:shd w:val="clear" w:color="auto" w:fill="F2F2F2" w:themeFill="background1" w:themeFillShade="F2"/>
          </w:tcPr>
          <w:p w14:paraId="77FC0461" w14:textId="77777777" w:rsidR="003B1454" w:rsidRPr="00C051DC" w:rsidRDefault="003B1454" w:rsidP="00BA7613">
            <w:pPr>
              <w:spacing w:line="240" w:lineRule="auto"/>
              <w:rPr>
                <w:rFonts w:cs="Segoe UI"/>
                <w:sz w:val="18"/>
                <w:szCs w:val="20"/>
                <w:highlight w:val="yellow"/>
              </w:rPr>
            </w:pPr>
            <w:r w:rsidRPr="00C051DC">
              <w:rPr>
                <w:rFonts w:cs="Segoe UI"/>
                <w:sz w:val="18"/>
                <w:szCs w:val="20"/>
                <w:highlight w:val="yellow"/>
              </w:rPr>
              <w:t>Other</w:t>
            </w:r>
          </w:p>
        </w:tc>
        <w:tc>
          <w:tcPr>
            <w:tcW w:w="2694" w:type="dxa"/>
            <w:shd w:val="clear" w:color="auto" w:fill="F2F2F2" w:themeFill="background1" w:themeFillShade="F2"/>
          </w:tcPr>
          <w:p w14:paraId="1A40FD98"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7.90</w:t>
            </w:r>
          </w:p>
        </w:tc>
        <w:tc>
          <w:tcPr>
            <w:tcW w:w="2976" w:type="dxa"/>
            <w:shd w:val="clear" w:color="auto" w:fill="F2F2F2" w:themeFill="background1" w:themeFillShade="F2"/>
          </w:tcPr>
          <w:p w14:paraId="4A4D698A" w14:textId="77777777" w:rsidR="003B1454" w:rsidRPr="00C051DC" w:rsidRDefault="003B1454" w:rsidP="00BA7613">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bl>
    <w:bookmarkEnd w:id="322"/>
    <w:p w14:paraId="0C555DFD" w14:textId="16D1DA78" w:rsidR="003B1454" w:rsidRDefault="003B1454" w:rsidP="003B1454">
      <w:pPr>
        <w:spacing w:line="240" w:lineRule="auto"/>
        <w:jc w:val="right"/>
      </w:pPr>
      <w:r w:rsidRPr="00C051DC">
        <w:rPr>
          <w:sz w:val="18"/>
          <w:highlight w:val="yellow"/>
          <w:vertAlign w:val="superscript"/>
        </w:rPr>
        <w:t xml:space="preserve">a </w:t>
      </w:r>
      <w:r w:rsidRPr="00C051DC">
        <w:rPr>
          <w:sz w:val="18"/>
          <w:highlight w:val="yellow"/>
        </w:rPr>
        <w:t>Linear prediction, fixed portion, other variables held at means</w:t>
      </w:r>
    </w:p>
    <w:p w14:paraId="51CC0385" w14:textId="660469AB" w:rsidR="003B1454" w:rsidRPr="003A5664" w:rsidRDefault="004F281C" w:rsidP="003B1454">
      <w:pPr>
        <w:rPr>
          <w:rFonts w:cs="Segoe UI"/>
          <w:b/>
          <w:highlight w:val="yellow"/>
        </w:rPr>
      </w:pPr>
      <w:bookmarkStart w:id="325" w:name="_Toc494687174"/>
      <w:r w:rsidRPr="003A5664">
        <w:rPr>
          <w:rFonts w:cs="Segoe UI"/>
          <w:b/>
          <w:highlight w:val="yellow"/>
        </w:rPr>
        <w:t xml:space="preserve">Figure </w:t>
      </w:r>
      <w:r w:rsidRPr="003A5664">
        <w:rPr>
          <w:rFonts w:cs="Segoe UI"/>
          <w:b/>
          <w:highlight w:val="yellow"/>
        </w:rPr>
        <w:fldChar w:fldCharType="begin"/>
      </w:r>
      <w:r w:rsidRPr="003A5664">
        <w:rPr>
          <w:rFonts w:cs="Segoe UI"/>
          <w:b/>
          <w:highlight w:val="yellow"/>
        </w:rPr>
        <w:instrText xml:space="preserve"> STYLEREF 1 \s </w:instrText>
      </w:r>
      <w:r w:rsidRPr="003A5664">
        <w:rPr>
          <w:rFonts w:cs="Segoe UI"/>
          <w:b/>
          <w:highlight w:val="yellow"/>
        </w:rPr>
        <w:fldChar w:fldCharType="separate"/>
      </w:r>
      <w:r w:rsidRPr="003A5664">
        <w:rPr>
          <w:rFonts w:cs="Segoe UI"/>
          <w:b/>
          <w:noProof/>
          <w:highlight w:val="yellow"/>
        </w:rPr>
        <w:t>5</w:t>
      </w:r>
      <w:r w:rsidRPr="003A5664">
        <w:rPr>
          <w:rFonts w:cs="Segoe UI"/>
          <w:b/>
          <w:noProof/>
          <w:highlight w:val="yellow"/>
        </w:rPr>
        <w:fldChar w:fldCharType="end"/>
      </w:r>
      <w:r w:rsidRPr="003A5664">
        <w:rPr>
          <w:rFonts w:cs="Segoe UI"/>
          <w:b/>
          <w:highlight w:val="yellow"/>
        </w:rPr>
        <w:t>:</w:t>
      </w:r>
      <w:r w:rsidRPr="003A5664">
        <w:rPr>
          <w:rFonts w:cs="Segoe UI"/>
          <w:b/>
          <w:highlight w:val="yellow"/>
        </w:rPr>
        <w:fldChar w:fldCharType="begin"/>
      </w:r>
      <w:r w:rsidRPr="003A5664">
        <w:rPr>
          <w:rFonts w:cs="Segoe UI"/>
          <w:b/>
          <w:highlight w:val="yellow"/>
        </w:rPr>
        <w:instrText xml:space="preserve"> SEQ Figure \* ARABIC \s 1 </w:instrText>
      </w:r>
      <w:r w:rsidRPr="003A5664">
        <w:rPr>
          <w:rFonts w:cs="Segoe UI"/>
          <w:b/>
          <w:highlight w:val="yellow"/>
        </w:rPr>
        <w:fldChar w:fldCharType="separate"/>
      </w:r>
      <w:r w:rsidR="007B459E">
        <w:rPr>
          <w:rFonts w:cs="Segoe UI"/>
          <w:b/>
          <w:noProof/>
          <w:highlight w:val="yellow"/>
        </w:rPr>
        <w:t>10</w:t>
      </w:r>
      <w:r w:rsidRPr="003A5664">
        <w:rPr>
          <w:rFonts w:cs="Segoe UI"/>
          <w:b/>
          <w:noProof/>
          <w:highlight w:val="yellow"/>
        </w:rPr>
        <w:fldChar w:fldCharType="end"/>
      </w:r>
      <w:r w:rsidRPr="003A5664">
        <w:rPr>
          <w:rFonts w:cs="Segoe UI"/>
          <w:b/>
          <w:noProof/>
          <w:highlight w:val="yellow"/>
        </w:rPr>
        <w:t xml:space="preserve"> </w:t>
      </w:r>
      <w:r w:rsidRPr="003A5664">
        <w:rPr>
          <w:rFonts w:cs="Segoe UI"/>
          <w:b/>
          <w:highlight w:val="yellow"/>
        </w:rPr>
        <w:t xml:space="preserve">Predictive Margins </w:t>
      </w:r>
      <w:r w:rsidR="00532B23" w:rsidRPr="003A5664">
        <w:rPr>
          <w:rFonts w:cs="Segoe UI"/>
          <w:b/>
          <w:highlight w:val="yellow"/>
        </w:rPr>
        <w:t>for Country Level Variables (Models C8-C13 and A8-A13)</w:t>
      </w:r>
      <w:bookmarkEnd w:id="325"/>
    </w:p>
    <w:tbl>
      <w:tblPr>
        <w:tblW w:w="9634" w:type="dxa"/>
        <w:tblLayout w:type="fixed"/>
        <w:tblLook w:val="0000" w:firstRow="0" w:lastRow="0" w:firstColumn="0" w:lastColumn="0" w:noHBand="0" w:noVBand="0"/>
      </w:tblPr>
      <w:tblGrid>
        <w:gridCol w:w="3964"/>
        <w:gridCol w:w="2694"/>
        <w:gridCol w:w="2976"/>
      </w:tblGrid>
      <w:tr w:rsidR="003B1454" w:rsidRPr="00C051DC" w14:paraId="219A34C4" w14:textId="77777777" w:rsidTr="00163FC2">
        <w:trPr>
          <w:trHeight w:val="359"/>
        </w:trPr>
        <w:tc>
          <w:tcPr>
            <w:tcW w:w="3964" w:type="dxa"/>
          </w:tcPr>
          <w:p w14:paraId="27FC80E6" w14:textId="77777777" w:rsidR="003B1454" w:rsidRPr="00C051DC" w:rsidRDefault="003B1454" w:rsidP="003B1454">
            <w:pPr>
              <w:widowControl w:val="0"/>
              <w:autoSpaceDE w:val="0"/>
              <w:autoSpaceDN w:val="0"/>
              <w:adjustRightInd w:val="0"/>
              <w:spacing w:line="240" w:lineRule="auto"/>
              <w:rPr>
                <w:rFonts w:cs="Segoe UI"/>
                <w:b/>
                <w:i/>
                <w:sz w:val="18"/>
                <w:szCs w:val="20"/>
                <w:highlight w:val="yellow"/>
                <w:lang w:val="en-US"/>
              </w:rPr>
            </w:pPr>
          </w:p>
        </w:tc>
        <w:tc>
          <w:tcPr>
            <w:tcW w:w="5670" w:type="dxa"/>
            <w:gridSpan w:val="2"/>
          </w:tcPr>
          <w:p w14:paraId="4F2A3759" w14:textId="46F556C7" w:rsidR="003B1454" w:rsidRPr="00C051DC" w:rsidRDefault="003B1454" w:rsidP="003B1454">
            <w:pPr>
              <w:widowControl w:val="0"/>
              <w:autoSpaceDE w:val="0"/>
              <w:autoSpaceDN w:val="0"/>
              <w:adjustRightInd w:val="0"/>
              <w:spacing w:line="240" w:lineRule="auto"/>
              <w:jc w:val="center"/>
              <w:rPr>
                <w:rFonts w:cs="Segoe UI"/>
                <w:b/>
                <w:sz w:val="18"/>
                <w:szCs w:val="20"/>
                <w:highlight w:val="yellow"/>
                <w:lang w:val="en-US"/>
              </w:rPr>
            </w:pPr>
            <w:r w:rsidRPr="00C051DC">
              <w:rPr>
                <w:rFonts w:cs="Segoe UI"/>
                <w:b/>
                <w:i/>
                <w:sz w:val="18"/>
                <w:szCs w:val="20"/>
                <w:highlight w:val="yellow"/>
                <w:lang w:val="en-US"/>
              </w:rPr>
              <w:t>Predicted Margins</w:t>
            </w:r>
            <w:r w:rsidRPr="00C051DC">
              <w:rPr>
                <w:rFonts w:cs="Segoe UI"/>
                <w:b/>
                <w:i/>
                <w:sz w:val="18"/>
                <w:szCs w:val="20"/>
                <w:highlight w:val="yellow"/>
                <w:vertAlign w:val="superscript"/>
                <w:lang w:val="en-US"/>
              </w:rPr>
              <w:t xml:space="preserve">a </w:t>
            </w:r>
            <w:r w:rsidRPr="00C051DC">
              <w:rPr>
                <w:rFonts w:cs="Segoe UI"/>
                <w:b/>
                <w:i/>
                <w:sz w:val="18"/>
                <w:szCs w:val="20"/>
                <w:highlight w:val="yellow"/>
                <w:lang w:val="en-US"/>
              </w:rPr>
              <w:t>(1-10)</w:t>
            </w:r>
          </w:p>
        </w:tc>
      </w:tr>
      <w:tr w:rsidR="003B1454" w:rsidRPr="00C051DC" w14:paraId="6D122969" w14:textId="77777777" w:rsidTr="00163FC2">
        <w:trPr>
          <w:trHeight w:val="359"/>
        </w:trPr>
        <w:tc>
          <w:tcPr>
            <w:tcW w:w="3964" w:type="dxa"/>
          </w:tcPr>
          <w:p w14:paraId="73065891" w14:textId="77777777" w:rsidR="003B1454" w:rsidRPr="00C051DC" w:rsidRDefault="003B1454" w:rsidP="003B1454">
            <w:pPr>
              <w:widowControl w:val="0"/>
              <w:autoSpaceDE w:val="0"/>
              <w:autoSpaceDN w:val="0"/>
              <w:adjustRightInd w:val="0"/>
              <w:spacing w:line="240" w:lineRule="auto"/>
              <w:rPr>
                <w:rFonts w:cs="Segoe UI"/>
                <w:b/>
                <w:i/>
                <w:sz w:val="18"/>
                <w:szCs w:val="20"/>
                <w:highlight w:val="yellow"/>
                <w:lang w:val="en-US"/>
              </w:rPr>
            </w:pPr>
            <w:r w:rsidRPr="00C051DC">
              <w:rPr>
                <w:rFonts w:cs="Segoe UI"/>
                <w:b/>
                <w:i/>
                <w:sz w:val="18"/>
                <w:szCs w:val="20"/>
                <w:highlight w:val="yellow"/>
                <w:lang w:val="en-US"/>
              </w:rPr>
              <w:t>Country Level</w:t>
            </w:r>
          </w:p>
        </w:tc>
        <w:tc>
          <w:tcPr>
            <w:tcW w:w="2694" w:type="dxa"/>
          </w:tcPr>
          <w:p w14:paraId="4453BBA6" w14:textId="77777777" w:rsidR="003B1454" w:rsidRPr="00C051DC" w:rsidRDefault="00532B23" w:rsidP="003B1454">
            <w:pPr>
              <w:widowControl w:val="0"/>
              <w:autoSpaceDE w:val="0"/>
              <w:autoSpaceDN w:val="0"/>
              <w:adjustRightInd w:val="0"/>
              <w:spacing w:line="240" w:lineRule="auto"/>
              <w:jc w:val="center"/>
              <w:rPr>
                <w:rFonts w:cs="Segoe UI"/>
                <w:b/>
                <w:sz w:val="18"/>
                <w:szCs w:val="20"/>
                <w:highlight w:val="yellow"/>
                <w:lang w:val="en-US"/>
              </w:rPr>
            </w:pPr>
            <w:r w:rsidRPr="00C051DC">
              <w:rPr>
                <w:rFonts w:cs="Segoe UI"/>
                <w:b/>
                <w:sz w:val="18"/>
                <w:szCs w:val="20"/>
                <w:highlight w:val="yellow"/>
                <w:lang w:val="en-US"/>
              </w:rPr>
              <w:t>Compound Understanding</w:t>
            </w:r>
          </w:p>
          <w:p w14:paraId="55809AFA" w14:textId="351D1B5C" w:rsidR="00532B23" w:rsidRPr="00C051DC" w:rsidRDefault="00532B23" w:rsidP="003B1454">
            <w:pPr>
              <w:widowControl w:val="0"/>
              <w:autoSpaceDE w:val="0"/>
              <w:autoSpaceDN w:val="0"/>
              <w:adjustRightInd w:val="0"/>
              <w:spacing w:line="240" w:lineRule="auto"/>
              <w:jc w:val="center"/>
              <w:rPr>
                <w:rFonts w:cs="Segoe UI"/>
                <w:b/>
                <w:sz w:val="18"/>
                <w:szCs w:val="20"/>
                <w:highlight w:val="yellow"/>
                <w:lang w:val="en-US"/>
              </w:rPr>
            </w:pPr>
            <w:r w:rsidRPr="00C051DC">
              <w:rPr>
                <w:rFonts w:cs="Segoe UI"/>
                <w:b/>
                <w:sz w:val="18"/>
                <w:szCs w:val="20"/>
                <w:highlight w:val="yellow"/>
                <w:lang w:val="en-US"/>
              </w:rPr>
              <w:t>(various models)</w:t>
            </w:r>
          </w:p>
        </w:tc>
        <w:tc>
          <w:tcPr>
            <w:tcW w:w="2976" w:type="dxa"/>
          </w:tcPr>
          <w:p w14:paraId="30774883" w14:textId="77777777" w:rsidR="003B1454" w:rsidRPr="00C051DC" w:rsidRDefault="00532B23" w:rsidP="003B1454">
            <w:pPr>
              <w:widowControl w:val="0"/>
              <w:autoSpaceDE w:val="0"/>
              <w:autoSpaceDN w:val="0"/>
              <w:adjustRightInd w:val="0"/>
              <w:spacing w:line="240" w:lineRule="auto"/>
              <w:jc w:val="center"/>
              <w:rPr>
                <w:rFonts w:cs="Segoe UI"/>
                <w:b/>
                <w:sz w:val="18"/>
                <w:szCs w:val="20"/>
                <w:highlight w:val="yellow"/>
                <w:lang w:val="en-US"/>
              </w:rPr>
            </w:pPr>
            <w:r w:rsidRPr="00C051DC">
              <w:rPr>
                <w:rFonts w:cs="Segoe UI"/>
                <w:b/>
                <w:sz w:val="18"/>
                <w:szCs w:val="20"/>
                <w:highlight w:val="yellow"/>
                <w:lang w:val="en-US"/>
              </w:rPr>
              <w:t>Authoritarian Understanding</w:t>
            </w:r>
          </w:p>
          <w:p w14:paraId="41C63CAA" w14:textId="62481952" w:rsidR="00532B23" w:rsidRPr="00C051DC" w:rsidRDefault="00532B23" w:rsidP="003B1454">
            <w:pPr>
              <w:widowControl w:val="0"/>
              <w:autoSpaceDE w:val="0"/>
              <w:autoSpaceDN w:val="0"/>
              <w:adjustRightInd w:val="0"/>
              <w:spacing w:line="240" w:lineRule="auto"/>
              <w:jc w:val="center"/>
              <w:rPr>
                <w:rFonts w:cs="Segoe UI"/>
                <w:b/>
                <w:sz w:val="18"/>
                <w:szCs w:val="20"/>
                <w:highlight w:val="yellow"/>
                <w:lang w:val="en-US"/>
              </w:rPr>
            </w:pPr>
            <w:r w:rsidRPr="00C051DC">
              <w:rPr>
                <w:rFonts w:cs="Segoe UI"/>
                <w:b/>
                <w:sz w:val="18"/>
                <w:szCs w:val="20"/>
                <w:highlight w:val="yellow"/>
                <w:lang w:val="en-US"/>
              </w:rPr>
              <w:t>(various models)</w:t>
            </w:r>
          </w:p>
        </w:tc>
      </w:tr>
      <w:tr w:rsidR="003B1454" w:rsidRPr="00C051DC" w14:paraId="610E28B5" w14:textId="77777777" w:rsidTr="00163FC2">
        <w:trPr>
          <w:trHeight w:val="359"/>
        </w:trPr>
        <w:tc>
          <w:tcPr>
            <w:tcW w:w="3964" w:type="dxa"/>
          </w:tcPr>
          <w:p w14:paraId="6CCB914F"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 xml:space="preserve">High HDI (Norway) </w:t>
            </w:r>
          </w:p>
        </w:tc>
        <w:tc>
          <w:tcPr>
            <w:tcW w:w="2694" w:type="dxa"/>
          </w:tcPr>
          <w:p w14:paraId="589280C1"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07624C1A"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3.78</w:t>
            </w:r>
          </w:p>
        </w:tc>
      </w:tr>
      <w:tr w:rsidR="003B1454" w:rsidRPr="00C051DC" w14:paraId="0F5515F8" w14:textId="77777777" w:rsidTr="00163FC2">
        <w:trPr>
          <w:trHeight w:val="359"/>
        </w:trPr>
        <w:tc>
          <w:tcPr>
            <w:tcW w:w="3964" w:type="dxa"/>
          </w:tcPr>
          <w:p w14:paraId="773C887C"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Low HDI (Burkina Faso)</w:t>
            </w:r>
          </w:p>
        </w:tc>
        <w:tc>
          <w:tcPr>
            <w:tcW w:w="2694" w:type="dxa"/>
          </w:tcPr>
          <w:p w14:paraId="684CE9FE"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69B9934E"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5.89</w:t>
            </w:r>
          </w:p>
        </w:tc>
      </w:tr>
      <w:tr w:rsidR="003B1454" w:rsidRPr="00C051DC" w14:paraId="7C53619C" w14:textId="77777777" w:rsidTr="00163FC2">
        <w:trPr>
          <w:trHeight w:val="359"/>
        </w:trPr>
        <w:tc>
          <w:tcPr>
            <w:tcW w:w="3964" w:type="dxa"/>
            <w:shd w:val="clear" w:color="auto" w:fill="F2F2F2" w:themeFill="background1" w:themeFillShade="F2"/>
          </w:tcPr>
          <w:p w14:paraId="4E387D85"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High Press Freedom (Finland)</w:t>
            </w:r>
          </w:p>
        </w:tc>
        <w:tc>
          <w:tcPr>
            <w:tcW w:w="2694" w:type="dxa"/>
            <w:shd w:val="clear" w:color="auto" w:fill="F2F2F2" w:themeFill="background1" w:themeFillShade="F2"/>
          </w:tcPr>
          <w:p w14:paraId="68343A85"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36B5ED0A"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4.06</w:t>
            </w:r>
          </w:p>
        </w:tc>
      </w:tr>
      <w:tr w:rsidR="003B1454" w:rsidRPr="00C051DC" w14:paraId="320C925A" w14:textId="77777777" w:rsidTr="00163FC2">
        <w:trPr>
          <w:trHeight w:val="359"/>
        </w:trPr>
        <w:tc>
          <w:tcPr>
            <w:tcW w:w="3964" w:type="dxa"/>
            <w:shd w:val="clear" w:color="auto" w:fill="F2F2F2" w:themeFill="background1" w:themeFillShade="F2"/>
          </w:tcPr>
          <w:p w14:paraId="25D49ABB"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Low Press Freedom (Iran)</w:t>
            </w:r>
          </w:p>
        </w:tc>
        <w:tc>
          <w:tcPr>
            <w:tcW w:w="2694" w:type="dxa"/>
            <w:shd w:val="clear" w:color="auto" w:fill="F2F2F2" w:themeFill="background1" w:themeFillShade="F2"/>
          </w:tcPr>
          <w:p w14:paraId="6840B18D"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14E86237"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5.83</w:t>
            </w:r>
          </w:p>
        </w:tc>
      </w:tr>
      <w:tr w:rsidR="003B1454" w:rsidRPr="00C051DC" w14:paraId="0B9BA22B" w14:textId="77777777" w:rsidTr="00163FC2">
        <w:trPr>
          <w:trHeight w:val="359"/>
        </w:trPr>
        <w:tc>
          <w:tcPr>
            <w:tcW w:w="3964" w:type="dxa"/>
          </w:tcPr>
          <w:p w14:paraId="27574D48"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 xml:space="preserve">Never Communist </w:t>
            </w:r>
          </w:p>
        </w:tc>
        <w:tc>
          <w:tcPr>
            <w:tcW w:w="2694" w:type="dxa"/>
          </w:tcPr>
          <w:p w14:paraId="5B3C7AAD"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7.85</w:t>
            </w:r>
          </w:p>
        </w:tc>
        <w:tc>
          <w:tcPr>
            <w:tcW w:w="2976" w:type="dxa"/>
          </w:tcPr>
          <w:p w14:paraId="3A3B2F8A"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65ABA646" w14:textId="77777777" w:rsidTr="00163FC2">
        <w:trPr>
          <w:trHeight w:val="359"/>
        </w:trPr>
        <w:tc>
          <w:tcPr>
            <w:tcW w:w="3964" w:type="dxa"/>
          </w:tcPr>
          <w:p w14:paraId="6CA907B6"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 xml:space="preserve">Previously Communist </w:t>
            </w:r>
          </w:p>
        </w:tc>
        <w:tc>
          <w:tcPr>
            <w:tcW w:w="2694" w:type="dxa"/>
          </w:tcPr>
          <w:p w14:paraId="2B99C4E2"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8.58</w:t>
            </w:r>
          </w:p>
        </w:tc>
        <w:tc>
          <w:tcPr>
            <w:tcW w:w="2976" w:type="dxa"/>
          </w:tcPr>
          <w:p w14:paraId="4522DE01"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r>
      <w:tr w:rsidR="003B1454" w:rsidRPr="00C051DC" w14:paraId="7876C284" w14:textId="77777777" w:rsidTr="00163FC2">
        <w:trPr>
          <w:trHeight w:val="359"/>
        </w:trPr>
        <w:tc>
          <w:tcPr>
            <w:tcW w:w="3964" w:type="dxa"/>
            <w:shd w:val="clear" w:color="auto" w:fill="F2F2F2" w:themeFill="background1" w:themeFillShade="F2"/>
          </w:tcPr>
          <w:p w14:paraId="0516CA70"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Long Democratic History (e.g. US)</w:t>
            </w:r>
            <w:r w:rsidRPr="00C051DC">
              <w:rPr>
                <w:rFonts w:cs="Segoe UI"/>
                <w:sz w:val="18"/>
                <w:szCs w:val="20"/>
                <w:highlight w:val="yellow"/>
                <w:vertAlign w:val="superscript"/>
                <w:lang w:val="en-US"/>
              </w:rPr>
              <w:t>b</w:t>
            </w:r>
          </w:p>
        </w:tc>
        <w:tc>
          <w:tcPr>
            <w:tcW w:w="2694" w:type="dxa"/>
            <w:shd w:val="clear" w:color="auto" w:fill="F2F2F2" w:themeFill="background1" w:themeFillShade="F2"/>
          </w:tcPr>
          <w:p w14:paraId="5660D997"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5C886AD1"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4.44</w:t>
            </w:r>
          </w:p>
        </w:tc>
      </w:tr>
      <w:tr w:rsidR="003B1454" w:rsidRPr="00C051DC" w14:paraId="4DF45AB0" w14:textId="77777777" w:rsidTr="00163FC2">
        <w:trPr>
          <w:trHeight w:val="359"/>
        </w:trPr>
        <w:tc>
          <w:tcPr>
            <w:tcW w:w="3964" w:type="dxa"/>
            <w:shd w:val="clear" w:color="auto" w:fill="F2F2F2" w:themeFill="background1" w:themeFillShade="F2"/>
          </w:tcPr>
          <w:p w14:paraId="7F11460C"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Short/No Democratic History (China)</w:t>
            </w:r>
          </w:p>
        </w:tc>
        <w:tc>
          <w:tcPr>
            <w:tcW w:w="2694" w:type="dxa"/>
            <w:shd w:val="clear" w:color="auto" w:fill="F2F2F2" w:themeFill="background1" w:themeFillShade="F2"/>
          </w:tcPr>
          <w:p w14:paraId="54B9438D"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6261688A"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4.59</w:t>
            </w:r>
          </w:p>
        </w:tc>
      </w:tr>
      <w:tr w:rsidR="003B1454" w:rsidRPr="00C051DC" w14:paraId="186F15C1" w14:textId="77777777" w:rsidTr="00163FC2">
        <w:trPr>
          <w:trHeight w:val="359"/>
        </w:trPr>
        <w:tc>
          <w:tcPr>
            <w:tcW w:w="3964" w:type="dxa"/>
          </w:tcPr>
          <w:p w14:paraId="3247E2A3"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High GINI income inequality (South Africa)</w:t>
            </w:r>
          </w:p>
        </w:tc>
        <w:tc>
          <w:tcPr>
            <w:tcW w:w="2694" w:type="dxa"/>
          </w:tcPr>
          <w:p w14:paraId="0ACE52BF"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28492076"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4.76</w:t>
            </w:r>
          </w:p>
        </w:tc>
      </w:tr>
      <w:tr w:rsidR="003B1454" w:rsidRPr="00C051DC" w14:paraId="28A0851E" w14:textId="77777777" w:rsidTr="00163FC2">
        <w:trPr>
          <w:trHeight w:val="359"/>
        </w:trPr>
        <w:tc>
          <w:tcPr>
            <w:tcW w:w="3964" w:type="dxa"/>
          </w:tcPr>
          <w:p w14:paraId="78A23A24"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Low GINI income inequality (Slovenia)</w:t>
            </w:r>
          </w:p>
        </w:tc>
        <w:tc>
          <w:tcPr>
            <w:tcW w:w="2694" w:type="dxa"/>
          </w:tcPr>
          <w:p w14:paraId="029D7DA7"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tcPr>
          <w:p w14:paraId="6EEA2BD5"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4.41</w:t>
            </w:r>
          </w:p>
        </w:tc>
      </w:tr>
      <w:tr w:rsidR="003B1454" w:rsidRPr="00C051DC" w14:paraId="0C3A79DC" w14:textId="77777777" w:rsidTr="00163FC2">
        <w:trPr>
          <w:trHeight w:val="359"/>
        </w:trPr>
        <w:tc>
          <w:tcPr>
            <w:tcW w:w="3964" w:type="dxa"/>
            <w:shd w:val="clear" w:color="auto" w:fill="F2F2F2" w:themeFill="background1" w:themeFillShade="F2"/>
          </w:tcPr>
          <w:p w14:paraId="311F8852"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Free (ref)</w:t>
            </w:r>
          </w:p>
        </w:tc>
        <w:tc>
          <w:tcPr>
            <w:tcW w:w="2694" w:type="dxa"/>
            <w:shd w:val="clear" w:color="auto" w:fill="F2F2F2" w:themeFill="background1" w:themeFillShade="F2"/>
          </w:tcPr>
          <w:p w14:paraId="21BD8303"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7.83</w:t>
            </w:r>
          </w:p>
        </w:tc>
        <w:tc>
          <w:tcPr>
            <w:tcW w:w="2976" w:type="dxa"/>
            <w:shd w:val="clear" w:color="auto" w:fill="F2F2F2" w:themeFill="background1" w:themeFillShade="F2"/>
          </w:tcPr>
          <w:p w14:paraId="7E57E007"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4.07</w:t>
            </w:r>
          </w:p>
        </w:tc>
      </w:tr>
      <w:tr w:rsidR="003B1454" w:rsidRPr="00C051DC" w14:paraId="0BB3C99D" w14:textId="77777777" w:rsidTr="00163FC2">
        <w:trPr>
          <w:trHeight w:val="359"/>
        </w:trPr>
        <w:tc>
          <w:tcPr>
            <w:tcW w:w="3964" w:type="dxa"/>
            <w:shd w:val="clear" w:color="auto" w:fill="F2F2F2" w:themeFill="background1" w:themeFillShade="F2"/>
          </w:tcPr>
          <w:p w14:paraId="3A61B694"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Partly Free</w:t>
            </w:r>
          </w:p>
        </w:tc>
        <w:tc>
          <w:tcPr>
            <w:tcW w:w="2694" w:type="dxa"/>
            <w:shd w:val="clear" w:color="auto" w:fill="F2F2F2" w:themeFill="background1" w:themeFillShade="F2"/>
          </w:tcPr>
          <w:p w14:paraId="51A61472"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n.s</w:t>
            </w:r>
          </w:p>
        </w:tc>
        <w:tc>
          <w:tcPr>
            <w:tcW w:w="2976" w:type="dxa"/>
            <w:shd w:val="clear" w:color="auto" w:fill="F2F2F2" w:themeFill="background1" w:themeFillShade="F2"/>
          </w:tcPr>
          <w:p w14:paraId="6B6B3A98"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5.02</w:t>
            </w:r>
          </w:p>
        </w:tc>
      </w:tr>
      <w:tr w:rsidR="003B1454" w:rsidRPr="00C051DC" w14:paraId="1791C104" w14:textId="77777777" w:rsidTr="00163FC2">
        <w:trPr>
          <w:trHeight w:val="359"/>
        </w:trPr>
        <w:tc>
          <w:tcPr>
            <w:tcW w:w="3964" w:type="dxa"/>
            <w:shd w:val="clear" w:color="auto" w:fill="F2F2F2" w:themeFill="background1" w:themeFillShade="F2"/>
          </w:tcPr>
          <w:p w14:paraId="0B4A5133" w14:textId="77777777" w:rsidR="003B1454" w:rsidRPr="00C051DC" w:rsidRDefault="003B1454" w:rsidP="003B1454">
            <w:pPr>
              <w:widowControl w:val="0"/>
              <w:autoSpaceDE w:val="0"/>
              <w:autoSpaceDN w:val="0"/>
              <w:adjustRightInd w:val="0"/>
              <w:spacing w:line="240" w:lineRule="auto"/>
              <w:rPr>
                <w:rFonts w:cs="Segoe UI"/>
                <w:sz w:val="18"/>
                <w:szCs w:val="20"/>
                <w:highlight w:val="yellow"/>
                <w:lang w:val="en-US"/>
              </w:rPr>
            </w:pPr>
            <w:r w:rsidRPr="00C051DC">
              <w:rPr>
                <w:rFonts w:cs="Segoe UI"/>
                <w:sz w:val="18"/>
                <w:szCs w:val="20"/>
                <w:highlight w:val="yellow"/>
                <w:lang w:val="en-US"/>
              </w:rPr>
              <w:t>Not Free</w:t>
            </w:r>
          </w:p>
        </w:tc>
        <w:tc>
          <w:tcPr>
            <w:tcW w:w="2694" w:type="dxa"/>
            <w:shd w:val="clear" w:color="auto" w:fill="F2F2F2" w:themeFill="background1" w:themeFillShade="F2"/>
          </w:tcPr>
          <w:p w14:paraId="3D19B7BE"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8.83</w:t>
            </w:r>
          </w:p>
        </w:tc>
        <w:tc>
          <w:tcPr>
            <w:tcW w:w="2976" w:type="dxa"/>
            <w:shd w:val="clear" w:color="auto" w:fill="F2F2F2" w:themeFill="background1" w:themeFillShade="F2"/>
          </w:tcPr>
          <w:p w14:paraId="1EAABFEE" w14:textId="77777777" w:rsidR="003B1454" w:rsidRPr="00C051DC" w:rsidRDefault="003B1454" w:rsidP="003B1454">
            <w:pPr>
              <w:widowControl w:val="0"/>
              <w:autoSpaceDE w:val="0"/>
              <w:autoSpaceDN w:val="0"/>
              <w:adjustRightInd w:val="0"/>
              <w:spacing w:line="240" w:lineRule="auto"/>
              <w:jc w:val="center"/>
              <w:rPr>
                <w:rFonts w:cs="Segoe UI"/>
                <w:sz w:val="18"/>
                <w:szCs w:val="20"/>
                <w:highlight w:val="yellow"/>
                <w:lang w:val="en-US"/>
              </w:rPr>
            </w:pPr>
            <w:r w:rsidRPr="00C051DC">
              <w:rPr>
                <w:rFonts w:cs="Segoe UI"/>
                <w:sz w:val="18"/>
                <w:szCs w:val="20"/>
                <w:highlight w:val="yellow"/>
                <w:lang w:val="en-US"/>
              </w:rPr>
              <w:t>5.94</w:t>
            </w:r>
          </w:p>
        </w:tc>
      </w:tr>
    </w:tbl>
    <w:p w14:paraId="0A7069DF" w14:textId="39FD0531" w:rsidR="00532B23" w:rsidRDefault="00532B23" w:rsidP="00532B23">
      <w:pPr>
        <w:spacing w:line="240" w:lineRule="auto"/>
        <w:jc w:val="right"/>
      </w:pPr>
      <w:r w:rsidRPr="00C051DC">
        <w:rPr>
          <w:sz w:val="18"/>
          <w:highlight w:val="yellow"/>
          <w:vertAlign w:val="superscript"/>
        </w:rPr>
        <w:t xml:space="preserve">a </w:t>
      </w:r>
      <w:r w:rsidRPr="00C051DC">
        <w:rPr>
          <w:sz w:val="18"/>
          <w:highlight w:val="yellow"/>
        </w:rPr>
        <w:t>Linear prediction, other variables held at means</w:t>
      </w:r>
    </w:p>
    <w:p w14:paraId="54283094" w14:textId="7552B32A" w:rsidR="00502AD7" w:rsidRPr="00C051DC" w:rsidRDefault="00502AD7" w:rsidP="00502AD7">
      <w:pPr>
        <w:pStyle w:val="Heading3"/>
        <w:rPr>
          <w:highlight w:val="yellow"/>
        </w:rPr>
      </w:pPr>
      <w:r w:rsidRPr="00C051DC">
        <w:rPr>
          <w:highlight w:val="yellow"/>
        </w:rPr>
        <w:t>Modernization Theory</w:t>
      </w:r>
    </w:p>
    <w:p w14:paraId="24DC7FD9" w14:textId="1F629468" w:rsidR="00502AD7" w:rsidRPr="00C051DC" w:rsidRDefault="00502AD7" w:rsidP="00502AD7">
      <w:pPr>
        <w:rPr>
          <w:szCs w:val="24"/>
          <w:highlight w:val="yellow"/>
        </w:rPr>
      </w:pPr>
      <w:r w:rsidRPr="00C051DC">
        <w:rPr>
          <w:szCs w:val="24"/>
          <w:highlight w:val="yellow"/>
        </w:rPr>
        <w:t>In terms of modernization theory, education has the expected positive relationship with the compound understanding of democracy. This result holds in the composite and MLM models. Compared to those who have low levels of education, those with middle levels of education are more likely to score higher on the compound understanding of democracy, and those with higher levels of educational attainment more likely to score higher st</w:t>
      </w:r>
      <w:r w:rsidR="009E5B02">
        <w:rPr>
          <w:szCs w:val="24"/>
          <w:highlight w:val="yellow"/>
        </w:rPr>
        <w:t>il</w:t>
      </w:r>
      <w:r w:rsidR="00163FC2">
        <w:rPr>
          <w:szCs w:val="24"/>
          <w:highlight w:val="yellow"/>
        </w:rPr>
        <w:t>l. We can see this in Figure 5.9</w:t>
      </w:r>
      <w:r w:rsidRPr="00C051DC">
        <w:rPr>
          <w:szCs w:val="24"/>
          <w:highlight w:val="yellow"/>
        </w:rPr>
        <w:t xml:space="preserve"> which shows the predictive margins of Model C7: holding all other variables at their mean, those with lower education levels are predicted to score 7.85 compared to 8.10 for those with higher levels of education. In contrast, p</w:t>
      </w:r>
      <w:r w:rsidR="009E5B02">
        <w:rPr>
          <w:szCs w:val="24"/>
          <w:highlight w:val="yellow"/>
        </w:rPr>
        <w:t>re</w:t>
      </w:r>
      <w:r w:rsidR="00163FC2">
        <w:rPr>
          <w:szCs w:val="24"/>
          <w:highlight w:val="yellow"/>
        </w:rPr>
        <w:t>sented in Model A7 of Figure 5.9</w:t>
      </w:r>
      <w:r w:rsidRPr="00C051DC">
        <w:rPr>
          <w:szCs w:val="24"/>
          <w:highlight w:val="yellow"/>
        </w:rPr>
        <w:t xml:space="preserve">, the relationship is reversed for the authoritarian understanding. The authoritarian result also suggests something of a wider gap between those </w:t>
      </w:r>
      <w:r w:rsidR="002B7CCC" w:rsidRPr="00C051DC">
        <w:rPr>
          <w:szCs w:val="24"/>
          <w:highlight w:val="yellow"/>
        </w:rPr>
        <w:t>with</w:t>
      </w:r>
      <w:r w:rsidRPr="00C051DC">
        <w:rPr>
          <w:szCs w:val="24"/>
          <w:highlight w:val="yellow"/>
        </w:rPr>
        <w:t xml:space="preserve"> low (4.72) and middle education (4.48) compared to those with higher education (4.11). This strong and consistent result suggests that education plays a role in turning people away from authoritarian understanding of democracy, higher levels of education especially so.</w:t>
      </w:r>
    </w:p>
    <w:p w14:paraId="3A2178C1" w14:textId="77777777" w:rsidR="00502AD7" w:rsidRPr="00C051DC" w:rsidRDefault="00502AD7" w:rsidP="00502AD7">
      <w:pPr>
        <w:rPr>
          <w:szCs w:val="24"/>
          <w:highlight w:val="yellow"/>
        </w:rPr>
      </w:pPr>
      <w:r w:rsidRPr="00C051DC">
        <w:rPr>
          <w:szCs w:val="24"/>
          <w:highlight w:val="yellow"/>
        </w:rPr>
        <w:t>Perceived income has a weak and negative relationship with the compound understanding of democracy in the modernization (C2) and composite OLS models (C6) but it is notable that in C7, when country level errors are taken into account, the relationship no longer holds. It also fails to reach significance in the MLM models for the authoritarian understanding of democracy.</w:t>
      </w:r>
    </w:p>
    <w:p w14:paraId="6145808D" w14:textId="161FF636" w:rsidR="00B511CF" w:rsidRPr="00C051DC" w:rsidRDefault="00502AD7" w:rsidP="00502AD7">
      <w:pPr>
        <w:rPr>
          <w:rFonts w:cstheme="majorBidi"/>
          <w:szCs w:val="24"/>
          <w:highlight w:val="yellow"/>
        </w:rPr>
      </w:pPr>
      <w:r w:rsidRPr="00C051DC">
        <w:rPr>
          <w:rFonts w:cstheme="majorBidi"/>
          <w:szCs w:val="24"/>
          <w:highlight w:val="yellow"/>
        </w:rPr>
        <w:t xml:space="preserve">At the national level the development variable (as measured by HDI) has no significant relationship with the compound understanding of democracy (C8) </w:t>
      </w:r>
      <w:r w:rsidR="00A86C3B" w:rsidRPr="00C051DC">
        <w:rPr>
          <w:rFonts w:cstheme="majorBidi"/>
          <w:szCs w:val="24"/>
          <w:highlight w:val="yellow"/>
        </w:rPr>
        <w:t>but</w:t>
      </w:r>
      <w:r w:rsidRPr="00C051DC">
        <w:rPr>
          <w:rFonts w:cstheme="majorBidi"/>
          <w:szCs w:val="24"/>
          <w:highlight w:val="yellow"/>
        </w:rPr>
        <w:t xml:space="preserve"> a </w:t>
      </w:r>
      <w:r w:rsidR="00A86C3B" w:rsidRPr="00C051DC">
        <w:rPr>
          <w:rFonts w:cstheme="majorBidi"/>
          <w:szCs w:val="24"/>
          <w:highlight w:val="yellow"/>
        </w:rPr>
        <w:t>significant</w:t>
      </w:r>
      <w:r w:rsidRPr="00C051DC">
        <w:rPr>
          <w:rFonts w:cstheme="majorBidi"/>
          <w:szCs w:val="24"/>
          <w:highlight w:val="yellow"/>
        </w:rPr>
        <w:t xml:space="preserve"> negative relationship with the authoritarian understanding (A8). </w:t>
      </w:r>
      <w:r w:rsidR="00A86C3B" w:rsidRPr="00C051DC">
        <w:rPr>
          <w:rFonts w:cstheme="majorBidi"/>
          <w:szCs w:val="24"/>
          <w:highlight w:val="yellow"/>
        </w:rPr>
        <w:t>To demonstrate the difference we might expect across this scale, predictive margins were generated for an example of a low HDI country, Burkina Faso and a high HDI country, Finland. The predicted margins demonstrate a large difference, with Burkina Faso scoring 5.89 whilst Finland scores 4.06.</w:t>
      </w:r>
      <w:r w:rsidR="007B085B" w:rsidRPr="00C051DC">
        <w:rPr>
          <w:rFonts w:cstheme="majorBidi"/>
          <w:szCs w:val="24"/>
          <w:highlight w:val="yellow"/>
        </w:rPr>
        <w:t xml:space="preserve"> Therefore whilst the influence of development and grand theories of modernization have possibly plateaued when it comes to the compound understanding of democracy (i.e. it does not matter what level of development a country is at, citizens are expected to have democratic conceptualisations of this mixed kind), these processes however have either not led citizens away from authoritarian understandings, or they bolster authoritarian understandings in less developed contexts. This provides us with an important research consideration – studies may generate more insight if they focus less on the degree to which people align with liberal and instrumental notions of democracy, and focus more on how characteristics that may clash entirely with the ethos of democracy (coups and theocracy) come to be understood as democratic.</w:t>
      </w:r>
    </w:p>
    <w:p w14:paraId="4739C900" w14:textId="15153366" w:rsidR="0043569B" w:rsidRPr="00C051DC" w:rsidRDefault="00393561" w:rsidP="00D433C9">
      <w:pPr>
        <w:rPr>
          <w:color w:val="000000" w:themeColor="text1"/>
          <w:szCs w:val="24"/>
          <w:highlight w:val="yellow"/>
        </w:rPr>
      </w:pPr>
      <w:r w:rsidRPr="00C051DC">
        <w:rPr>
          <w:color w:val="000000" w:themeColor="text1"/>
          <w:szCs w:val="24"/>
          <w:highlight w:val="yellow"/>
        </w:rPr>
        <w:t>Continuing to look at</w:t>
      </w:r>
      <w:r w:rsidR="00B018F5" w:rsidRPr="00C051DC">
        <w:rPr>
          <w:color w:val="000000" w:themeColor="text1"/>
          <w:szCs w:val="24"/>
          <w:highlight w:val="yellow"/>
        </w:rPr>
        <w:t xml:space="preserve"> the country context</w:t>
      </w:r>
      <w:r w:rsidR="00D433C9" w:rsidRPr="00C051DC">
        <w:rPr>
          <w:color w:val="000000" w:themeColor="text1"/>
          <w:szCs w:val="24"/>
          <w:highlight w:val="yellow"/>
        </w:rPr>
        <w:t xml:space="preserve">, </w:t>
      </w:r>
      <w:r w:rsidR="004443C3" w:rsidRPr="00C051DC">
        <w:rPr>
          <w:color w:val="000000" w:themeColor="text1"/>
          <w:szCs w:val="24"/>
          <w:highlight w:val="yellow"/>
        </w:rPr>
        <w:t xml:space="preserve">whilst </w:t>
      </w:r>
      <w:r w:rsidR="00D433C9" w:rsidRPr="00C051DC">
        <w:rPr>
          <w:color w:val="000000" w:themeColor="text1"/>
          <w:szCs w:val="24"/>
          <w:highlight w:val="yellow"/>
        </w:rPr>
        <w:t xml:space="preserve">HDI </w:t>
      </w:r>
      <w:r w:rsidR="00B018F5" w:rsidRPr="00C051DC">
        <w:rPr>
          <w:color w:val="000000" w:themeColor="text1"/>
          <w:szCs w:val="24"/>
          <w:highlight w:val="yellow"/>
        </w:rPr>
        <w:t>demonstrates no statistically significant relationship with th</w:t>
      </w:r>
      <w:r w:rsidR="004443C3" w:rsidRPr="00C051DC">
        <w:rPr>
          <w:color w:val="000000" w:themeColor="text1"/>
          <w:szCs w:val="24"/>
          <w:highlight w:val="yellow"/>
        </w:rPr>
        <w:t>e compound measure of democracy</w:t>
      </w:r>
      <w:r w:rsidR="00B018F5" w:rsidRPr="00C051DC">
        <w:rPr>
          <w:color w:val="000000" w:themeColor="text1"/>
          <w:szCs w:val="24"/>
          <w:highlight w:val="yellow"/>
        </w:rPr>
        <w:t>, neither does press freedom, democratic history</w:t>
      </w:r>
      <w:r w:rsidR="002B7CCC" w:rsidRPr="00C051DC">
        <w:rPr>
          <w:color w:val="000000" w:themeColor="text1"/>
          <w:szCs w:val="24"/>
          <w:highlight w:val="yellow"/>
        </w:rPr>
        <w:t>,</w:t>
      </w:r>
      <w:r w:rsidR="00B018F5" w:rsidRPr="00C051DC">
        <w:rPr>
          <w:color w:val="000000" w:themeColor="text1"/>
          <w:szCs w:val="24"/>
          <w:highlight w:val="yellow"/>
        </w:rPr>
        <w:t xml:space="preserve"> or inequality. Only the communist and Not Free classification from the Freedom</w:t>
      </w:r>
      <w:r w:rsidR="009E5B02">
        <w:rPr>
          <w:color w:val="000000" w:themeColor="text1"/>
          <w:szCs w:val="24"/>
          <w:highlight w:val="yellow"/>
        </w:rPr>
        <w:t xml:space="preserve"> H</w:t>
      </w:r>
      <w:r w:rsidR="00B018F5" w:rsidRPr="00C051DC">
        <w:rPr>
          <w:color w:val="000000" w:themeColor="text1"/>
          <w:szCs w:val="24"/>
          <w:highlight w:val="yellow"/>
        </w:rPr>
        <w:t>ouse Index have a statistically significant relationship with the compound understanding, and they are both an unexpected result as they are positive.</w:t>
      </w:r>
      <w:r w:rsidR="00B37841" w:rsidRPr="00C051DC">
        <w:rPr>
          <w:color w:val="000000" w:themeColor="text1"/>
          <w:szCs w:val="24"/>
          <w:highlight w:val="yellow"/>
        </w:rPr>
        <w:t xml:space="preserve"> Individuals living in countries </w:t>
      </w:r>
      <w:r w:rsidR="00631EBD" w:rsidRPr="00C051DC">
        <w:rPr>
          <w:color w:val="000000" w:themeColor="text1"/>
          <w:szCs w:val="24"/>
          <w:highlight w:val="yellow"/>
        </w:rPr>
        <w:t>with an experience of communism – w</w:t>
      </w:r>
      <w:r w:rsidR="00B37841" w:rsidRPr="00C051DC">
        <w:rPr>
          <w:color w:val="000000" w:themeColor="text1"/>
          <w:szCs w:val="24"/>
          <w:highlight w:val="yellow"/>
        </w:rPr>
        <w:t>hether currently or</w:t>
      </w:r>
      <w:r w:rsidR="00631EBD" w:rsidRPr="00C051DC">
        <w:rPr>
          <w:color w:val="000000" w:themeColor="text1"/>
          <w:szCs w:val="24"/>
          <w:highlight w:val="yellow"/>
        </w:rPr>
        <w:t xml:space="preserve"> historically communist – </w:t>
      </w:r>
      <w:r w:rsidR="00B37841" w:rsidRPr="00C051DC">
        <w:rPr>
          <w:color w:val="000000" w:themeColor="text1"/>
          <w:szCs w:val="24"/>
          <w:highlight w:val="yellow"/>
        </w:rPr>
        <w:t>and individuals living in countries with closed and repressive regimes</w:t>
      </w:r>
      <w:r w:rsidR="00631EBD" w:rsidRPr="00C051DC">
        <w:rPr>
          <w:color w:val="000000" w:themeColor="text1"/>
          <w:szCs w:val="24"/>
          <w:highlight w:val="yellow"/>
        </w:rPr>
        <w:t xml:space="preserve"> score,</w:t>
      </w:r>
      <w:r w:rsidR="00B37841" w:rsidRPr="00C051DC">
        <w:rPr>
          <w:color w:val="000000" w:themeColor="text1"/>
          <w:szCs w:val="24"/>
          <w:highlight w:val="yellow"/>
        </w:rPr>
        <w:t xml:space="preserve"> on average, higher on the compound measure of democracy compared to those without communist regimes or those in Free or Partly Free countries. </w:t>
      </w:r>
      <w:r w:rsidR="00931220" w:rsidRPr="00C051DC">
        <w:rPr>
          <w:color w:val="000000" w:themeColor="text1"/>
          <w:szCs w:val="24"/>
          <w:highlight w:val="yellow"/>
        </w:rPr>
        <w:t xml:space="preserve"> On one hand, it could be suggested that the mixed, messy, compound understanding of democracy is truly something shared across much of the globe, as the insignificant results attest to. It could also be that those countries with no or limited experience of democracy play a</w:t>
      </w:r>
      <w:r w:rsidR="002B7CCC" w:rsidRPr="00C051DC">
        <w:rPr>
          <w:color w:val="000000" w:themeColor="text1"/>
          <w:szCs w:val="24"/>
          <w:highlight w:val="yellow"/>
        </w:rPr>
        <w:t>n important</w:t>
      </w:r>
      <w:r w:rsidR="00931220" w:rsidRPr="00C051DC">
        <w:rPr>
          <w:color w:val="000000" w:themeColor="text1"/>
          <w:szCs w:val="24"/>
          <w:highlight w:val="yellow"/>
        </w:rPr>
        <w:t xml:space="preserve"> role in shaping this global understanding of democracy, potentially by blurring the conceptualisation to include the more populist and instrumental elements. </w:t>
      </w:r>
      <w:r w:rsidR="0043569B" w:rsidRPr="00C051DC">
        <w:rPr>
          <w:color w:val="000000" w:themeColor="text1"/>
          <w:szCs w:val="24"/>
          <w:highlight w:val="yellow"/>
        </w:rPr>
        <w:t xml:space="preserve">Another alternative to consider is that the effect of modernization in informing this understanding of democracy works at very low levels, and then levels off (see Arat 1988, p.29 for a discussion on this potential relationship). This curvilinear effect might not be present in this data with its smaller number of very low HDI countries. Further analysis to examine this in detail would require longitudinal data. </w:t>
      </w:r>
    </w:p>
    <w:p w14:paraId="6E6257E5" w14:textId="05AF3A3B" w:rsidR="00B018F5" w:rsidRPr="00C051DC" w:rsidRDefault="00D24C07" w:rsidP="00D433C9">
      <w:pPr>
        <w:rPr>
          <w:color w:val="000000" w:themeColor="text1"/>
          <w:szCs w:val="24"/>
          <w:highlight w:val="yellow"/>
        </w:rPr>
      </w:pPr>
      <w:r w:rsidRPr="00C051DC">
        <w:rPr>
          <w:color w:val="000000" w:themeColor="text1"/>
          <w:szCs w:val="24"/>
          <w:highlight w:val="yellow"/>
        </w:rPr>
        <w:t xml:space="preserve">The </w:t>
      </w:r>
      <w:r w:rsidR="002B7CCC" w:rsidRPr="00C051DC">
        <w:rPr>
          <w:color w:val="000000" w:themeColor="text1"/>
          <w:szCs w:val="24"/>
          <w:highlight w:val="yellow"/>
        </w:rPr>
        <w:t xml:space="preserve">national level </w:t>
      </w:r>
      <w:r w:rsidRPr="00C051DC">
        <w:rPr>
          <w:color w:val="000000" w:themeColor="text1"/>
          <w:szCs w:val="24"/>
          <w:highlight w:val="yellow"/>
        </w:rPr>
        <w:t>picture is different for the authoritarian understanding. For the authoritarian understanding there is a significant and negative relationship with HDI</w:t>
      </w:r>
      <w:r w:rsidR="00393561" w:rsidRPr="00C051DC">
        <w:rPr>
          <w:color w:val="000000" w:themeColor="text1"/>
          <w:szCs w:val="24"/>
          <w:highlight w:val="yellow"/>
        </w:rPr>
        <w:t xml:space="preserve"> (as discussed) and also</w:t>
      </w:r>
      <w:r w:rsidRPr="00C051DC">
        <w:rPr>
          <w:color w:val="000000" w:themeColor="text1"/>
          <w:szCs w:val="24"/>
          <w:highlight w:val="yellow"/>
        </w:rPr>
        <w:t xml:space="preserve"> Press Freedom, and democratic history. There is also a significant and positive relationship with inequality and the Partly Free and Not Free categories compared to the Free category. The communism variable does not reach significance. Taken together these various results paint an intuitive picture. Citizens might adhere to a compound understanding of democracy across much of the world, but the conceptualisation of democracy that has authoritarian characteristics is more likely in countries that are less developed, less free, and </w:t>
      </w:r>
      <w:r w:rsidR="001675C4" w:rsidRPr="00C051DC">
        <w:rPr>
          <w:color w:val="000000" w:themeColor="text1"/>
          <w:szCs w:val="24"/>
          <w:highlight w:val="yellow"/>
        </w:rPr>
        <w:t>have a less open media</w:t>
      </w:r>
      <w:r w:rsidRPr="00C051DC">
        <w:rPr>
          <w:color w:val="000000" w:themeColor="text1"/>
          <w:szCs w:val="24"/>
          <w:highlight w:val="yellow"/>
        </w:rPr>
        <w:t xml:space="preserve">. Here, </w:t>
      </w:r>
      <w:r w:rsidR="004443C3" w:rsidRPr="00C051DC">
        <w:rPr>
          <w:color w:val="000000" w:themeColor="text1"/>
          <w:szCs w:val="24"/>
          <w:highlight w:val="yellow"/>
        </w:rPr>
        <w:t xml:space="preserve">a closed and potentially repressive </w:t>
      </w:r>
      <w:r w:rsidRPr="00C051DC">
        <w:rPr>
          <w:color w:val="000000" w:themeColor="text1"/>
          <w:szCs w:val="24"/>
          <w:highlight w:val="yellow"/>
        </w:rPr>
        <w:t xml:space="preserve">context helps </w:t>
      </w:r>
      <w:r w:rsidR="001675C4" w:rsidRPr="00C051DC">
        <w:rPr>
          <w:color w:val="000000" w:themeColor="text1"/>
          <w:szCs w:val="24"/>
          <w:highlight w:val="yellow"/>
        </w:rPr>
        <w:t xml:space="preserve">promote a conceptualisation of </w:t>
      </w:r>
      <w:r w:rsidRPr="00C051DC">
        <w:rPr>
          <w:color w:val="000000" w:themeColor="text1"/>
          <w:szCs w:val="24"/>
          <w:highlight w:val="yellow"/>
        </w:rPr>
        <w:t>democracy that does not align with the liberal theory espoused by elites in the West.</w:t>
      </w:r>
    </w:p>
    <w:p w14:paraId="16334073" w14:textId="2006E5AF" w:rsidR="00880F3E" w:rsidRPr="00C051DC" w:rsidRDefault="00393561" w:rsidP="00D433C9">
      <w:pPr>
        <w:rPr>
          <w:color w:val="000000" w:themeColor="text1"/>
          <w:szCs w:val="24"/>
          <w:highlight w:val="yellow"/>
        </w:rPr>
      </w:pPr>
      <w:r w:rsidRPr="00C051DC">
        <w:rPr>
          <w:color w:val="000000" w:themeColor="text1"/>
          <w:szCs w:val="24"/>
          <w:highlight w:val="yellow"/>
        </w:rPr>
        <w:t>To f</w:t>
      </w:r>
      <w:r w:rsidR="00772A57" w:rsidRPr="00C051DC">
        <w:rPr>
          <w:color w:val="000000" w:themeColor="text1"/>
          <w:szCs w:val="24"/>
          <w:highlight w:val="yellow"/>
        </w:rPr>
        <w:t>urther the moderniz</w:t>
      </w:r>
      <w:r w:rsidR="004443C3" w:rsidRPr="00C051DC">
        <w:rPr>
          <w:color w:val="000000" w:themeColor="text1"/>
          <w:szCs w:val="24"/>
          <w:highlight w:val="yellow"/>
        </w:rPr>
        <w:t>ation discussion,</w:t>
      </w:r>
      <w:r w:rsidR="00D433C9" w:rsidRPr="00C051DC">
        <w:rPr>
          <w:color w:val="000000" w:themeColor="text1"/>
          <w:szCs w:val="24"/>
          <w:highlight w:val="yellow"/>
        </w:rPr>
        <w:t xml:space="preserve"> </w:t>
      </w:r>
      <w:r w:rsidR="00163FC2">
        <w:rPr>
          <w:color w:val="000000" w:themeColor="text1"/>
          <w:szCs w:val="24"/>
          <w:highlight w:val="yellow"/>
        </w:rPr>
        <w:t>Figure 5.11</w:t>
      </w:r>
      <w:r w:rsidR="00D433C9" w:rsidRPr="00C051DC">
        <w:rPr>
          <w:color w:val="000000" w:themeColor="text1"/>
          <w:szCs w:val="24"/>
          <w:highlight w:val="yellow"/>
        </w:rPr>
        <w:t xml:space="preserve"> </w:t>
      </w:r>
      <w:r w:rsidR="004443C3" w:rsidRPr="00C051DC">
        <w:rPr>
          <w:color w:val="000000" w:themeColor="text1"/>
          <w:szCs w:val="24"/>
          <w:highlight w:val="yellow"/>
        </w:rPr>
        <w:t>presents</w:t>
      </w:r>
      <w:r w:rsidR="00D433C9" w:rsidRPr="00C051DC">
        <w:rPr>
          <w:color w:val="000000" w:themeColor="text1"/>
          <w:szCs w:val="24"/>
          <w:highlight w:val="yellow"/>
        </w:rPr>
        <w:t xml:space="preserve"> results of analysis which bring</w:t>
      </w:r>
      <w:r w:rsidR="00262151" w:rsidRPr="00C051DC">
        <w:rPr>
          <w:color w:val="000000" w:themeColor="text1"/>
          <w:szCs w:val="24"/>
          <w:highlight w:val="yellow"/>
        </w:rPr>
        <w:t>s</w:t>
      </w:r>
      <w:r w:rsidR="00D433C9" w:rsidRPr="00C051DC">
        <w:rPr>
          <w:color w:val="000000" w:themeColor="text1"/>
          <w:szCs w:val="24"/>
          <w:highlight w:val="yellow"/>
        </w:rPr>
        <w:t xml:space="preserve"> a</w:t>
      </w:r>
      <w:r w:rsidR="00262151" w:rsidRPr="00C051DC">
        <w:rPr>
          <w:color w:val="000000" w:themeColor="text1"/>
          <w:szCs w:val="24"/>
          <w:highlight w:val="yellow"/>
        </w:rPr>
        <w:t xml:space="preserve">nother angle to the unresolved </w:t>
      </w:r>
      <w:r w:rsidR="00D433C9" w:rsidRPr="00C051DC">
        <w:rPr>
          <w:color w:val="000000" w:themeColor="text1"/>
          <w:szCs w:val="24"/>
          <w:highlight w:val="yellow"/>
        </w:rPr>
        <w:t>conclusions found in the literature when examining democracy, democratization</w:t>
      </w:r>
      <w:r w:rsidR="002B7CCC" w:rsidRPr="00C051DC">
        <w:rPr>
          <w:color w:val="000000" w:themeColor="text1"/>
          <w:szCs w:val="24"/>
          <w:highlight w:val="yellow"/>
        </w:rPr>
        <w:t>,</w:t>
      </w:r>
      <w:r w:rsidR="00D433C9" w:rsidRPr="00C051DC">
        <w:rPr>
          <w:color w:val="000000" w:themeColor="text1"/>
          <w:szCs w:val="24"/>
          <w:highlight w:val="yellow"/>
        </w:rPr>
        <w:t xml:space="preserve"> and</w:t>
      </w:r>
      <w:r w:rsidR="002B7CCC" w:rsidRPr="00C051DC">
        <w:rPr>
          <w:color w:val="000000" w:themeColor="text1"/>
          <w:szCs w:val="24"/>
          <w:highlight w:val="yellow"/>
        </w:rPr>
        <w:t xml:space="preserve"> income</w:t>
      </w:r>
      <w:r w:rsidR="00D433C9" w:rsidRPr="00C051DC">
        <w:rPr>
          <w:color w:val="000000" w:themeColor="text1"/>
          <w:szCs w:val="24"/>
          <w:highlight w:val="yellow"/>
        </w:rPr>
        <w:t xml:space="preserve"> inequality. </w:t>
      </w:r>
      <w:r w:rsidR="00880F3E" w:rsidRPr="00C051DC">
        <w:rPr>
          <w:color w:val="000000" w:themeColor="text1"/>
          <w:szCs w:val="24"/>
          <w:highlight w:val="yellow"/>
        </w:rPr>
        <w:t>The section</w:t>
      </w:r>
      <w:r w:rsidR="00772A57" w:rsidRPr="00C051DC">
        <w:rPr>
          <w:color w:val="000000" w:themeColor="text1"/>
          <w:szCs w:val="24"/>
          <w:highlight w:val="yellow"/>
        </w:rPr>
        <w:t xml:space="preserve"> </w:t>
      </w:r>
      <w:r w:rsidR="00163FC2">
        <w:rPr>
          <w:color w:val="000000" w:themeColor="text1"/>
          <w:szCs w:val="24"/>
          <w:highlight w:val="yellow"/>
        </w:rPr>
        <w:t>Figure 5.11</w:t>
      </w:r>
      <w:r w:rsidR="00880F3E" w:rsidRPr="00C051DC">
        <w:rPr>
          <w:color w:val="000000" w:themeColor="text1"/>
          <w:szCs w:val="24"/>
          <w:highlight w:val="yellow"/>
        </w:rPr>
        <w:t xml:space="preserve"> titled ‘Original Results’ summarises the re</w:t>
      </w:r>
      <w:r w:rsidR="00163FC2">
        <w:rPr>
          <w:color w:val="000000" w:themeColor="text1"/>
          <w:szCs w:val="24"/>
          <w:highlight w:val="yellow"/>
        </w:rPr>
        <w:t>sults from Figure 5.7 and Figure 5.8</w:t>
      </w:r>
      <w:r w:rsidR="002B7CCC" w:rsidRPr="00C051DC">
        <w:rPr>
          <w:color w:val="000000" w:themeColor="text1"/>
          <w:szCs w:val="24"/>
          <w:highlight w:val="yellow"/>
        </w:rPr>
        <w:t>, omitting</w:t>
      </w:r>
      <w:r w:rsidR="00880F3E" w:rsidRPr="00C051DC">
        <w:rPr>
          <w:color w:val="000000" w:themeColor="text1"/>
          <w:szCs w:val="24"/>
          <w:highlight w:val="yellow"/>
        </w:rPr>
        <w:t xml:space="preserve"> all variables </w:t>
      </w:r>
      <w:r w:rsidR="002B7CCC" w:rsidRPr="00C051DC">
        <w:rPr>
          <w:color w:val="000000" w:themeColor="text1"/>
          <w:szCs w:val="24"/>
          <w:highlight w:val="yellow"/>
        </w:rPr>
        <w:t>except</w:t>
      </w:r>
      <w:r w:rsidR="00880F3E" w:rsidRPr="00C051DC">
        <w:rPr>
          <w:color w:val="000000" w:themeColor="text1"/>
          <w:szCs w:val="24"/>
          <w:highlight w:val="yellow"/>
        </w:rPr>
        <w:t xml:space="preserve"> the one under discussion.</w:t>
      </w:r>
      <w:r w:rsidR="00262151" w:rsidRPr="00C051DC">
        <w:rPr>
          <w:color w:val="000000" w:themeColor="text1"/>
          <w:szCs w:val="24"/>
          <w:highlight w:val="yellow"/>
        </w:rPr>
        <w:t xml:space="preserve"> For both the compound and authoritarian understanding i</w:t>
      </w:r>
      <w:r w:rsidR="00880F3E" w:rsidRPr="00C051DC">
        <w:rPr>
          <w:color w:val="000000" w:themeColor="text1"/>
          <w:szCs w:val="24"/>
          <w:highlight w:val="yellow"/>
        </w:rPr>
        <w:t>t reports the results of income in the MLM model 7 with no contextual variables, followed by the country-level resu</w:t>
      </w:r>
      <w:r w:rsidR="00E748F7" w:rsidRPr="00C051DC">
        <w:rPr>
          <w:color w:val="000000" w:themeColor="text1"/>
          <w:szCs w:val="24"/>
          <w:highlight w:val="yellow"/>
        </w:rPr>
        <w:t>l</w:t>
      </w:r>
      <w:r w:rsidR="00880F3E" w:rsidRPr="00C051DC">
        <w:rPr>
          <w:color w:val="000000" w:themeColor="text1"/>
          <w:szCs w:val="24"/>
          <w:highlight w:val="yellow"/>
        </w:rPr>
        <w:t>t for HDI from model 8 and inequality from model 12.</w:t>
      </w:r>
      <w:r w:rsidR="00262151" w:rsidRPr="00C051DC">
        <w:rPr>
          <w:color w:val="000000" w:themeColor="text1"/>
          <w:szCs w:val="24"/>
          <w:highlight w:val="yellow"/>
        </w:rPr>
        <w:t xml:space="preserve"> Next it presents the coefficient when income is interacted with HDI and then, in a separate model, when income is interacted with inequality. Finally, it presents a three-way interaction bet</w:t>
      </w:r>
      <w:r w:rsidRPr="00C051DC">
        <w:rPr>
          <w:color w:val="000000" w:themeColor="text1"/>
          <w:szCs w:val="24"/>
          <w:highlight w:val="yellow"/>
        </w:rPr>
        <w:t>ween income, HDI and inequality. For reasons of space the full results for the interaction models</w:t>
      </w:r>
      <w:r w:rsidR="00975CA1">
        <w:rPr>
          <w:color w:val="000000" w:themeColor="text1"/>
          <w:szCs w:val="24"/>
          <w:highlight w:val="yellow"/>
        </w:rPr>
        <w:t xml:space="preserve"> are provided in the Appendix, Figure C3</w:t>
      </w:r>
      <w:r w:rsidRPr="00C051DC">
        <w:rPr>
          <w:color w:val="000000" w:themeColor="text1"/>
          <w:szCs w:val="24"/>
          <w:highlight w:val="yellow"/>
        </w:rPr>
        <w:t>, and only the coefficient is presented here.</w:t>
      </w:r>
      <w:r w:rsidR="00262151" w:rsidRPr="00C051DC">
        <w:rPr>
          <w:color w:val="000000" w:themeColor="text1"/>
          <w:szCs w:val="24"/>
          <w:highlight w:val="yellow"/>
        </w:rPr>
        <w:t xml:space="preserve"> This parsimonious way of presenting interact</w:t>
      </w:r>
      <w:r w:rsidR="00772A57" w:rsidRPr="00C051DC">
        <w:rPr>
          <w:color w:val="000000" w:themeColor="text1"/>
          <w:szCs w:val="24"/>
          <w:highlight w:val="yellow"/>
        </w:rPr>
        <w:t xml:space="preserve">ion </w:t>
      </w:r>
      <w:r w:rsidR="0062679D">
        <w:rPr>
          <w:color w:val="000000" w:themeColor="text1"/>
          <w:szCs w:val="24"/>
          <w:highlight w:val="yellow"/>
        </w:rPr>
        <w:t>res</w:t>
      </w:r>
      <w:r w:rsidR="00163FC2">
        <w:rPr>
          <w:color w:val="000000" w:themeColor="text1"/>
          <w:szCs w:val="24"/>
          <w:highlight w:val="yellow"/>
        </w:rPr>
        <w:t>ults is repeated in Figures 5.18 and 5.21</w:t>
      </w:r>
      <w:r w:rsidR="00262151" w:rsidRPr="00C051DC">
        <w:rPr>
          <w:color w:val="000000" w:themeColor="text1"/>
          <w:szCs w:val="24"/>
          <w:highlight w:val="yellow"/>
        </w:rPr>
        <w:t>.</w:t>
      </w:r>
    </w:p>
    <w:p w14:paraId="2A766170" w14:textId="7758BA43" w:rsidR="00D433C9" w:rsidRPr="003A5664" w:rsidRDefault="00D433C9" w:rsidP="00D433C9">
      <w:pPr>
        <w:pStyle w:val="Caption"/>
        <w:rPr>
          <w:rFonts w:ascii="Segoe UI" w:hAnsi="Segoe UI" w:cs="Segoe UI"/>
          <w:i w:val="0"/>
          <w:highlight w:val="yellow"/>
        </w:rPr>
      </w:pPr>
      <w:bookmarkStart w:id="326" w:name="_Toc494687175"/>
      <w:r w:rsidRPr="003A5664">
        <w:rPr>
          <w:rFonts w:ascii="Segoe UI" w:hAnsi="Segoe UI" w:cs="Segoe UI"/>
          <w:i w:val="0"/>
          <w:highlight w:val="yellow"/>
        </w:rPr>
        <w:t xml:space="preserve">Figure </w:t>
      </w:r>
      <w:r w:rsidR="002B0B69" w:rsidRPr="003A5664">
        <w:rPr>
          <w:rFonts w:ascii="Segoe UI" w:hAnsi="Segoe UI" w:cs="Segoe UI"/>
          <w:i w:val="0"/>
          <w:highlight w:val="yellow"/>
        </w:rPr>
        <w:fldChar w:fldCharType="begin"/>
      </w:r>
      <w:r w:rsidR="002B0B69" w:rsidRPr="003A5664">
        <w:rPr>
          <w:rFonts w:ascii="Segoe UI" w:hAnsi="Segoe UI" w:cs="Segoe UI"/>
          <w:i w:val="0"/>
          <w:highlight w:val="yellow"/>
        </w:rPr>
        <w:instrText xml:space="preserve"> STYLEREF 1 \s </w:instrText>
      </w:r>
      <w:r w:rsidR="002B0B69" w:rsidRPr="003A5664">
        <w:rPr>
          <w:rFonts w:ascii="Segoe UI" w:hAnsi="Segoe UI" w:cs="Segoe UI"/>
          <w:i w:val="0"/>
          <w:highlight w:val="yellow"/>
        </w:rPr>
        <w:fldChar w:fldCharType="separate"/>
      </w:r>
      <w:r w:rsidRPr="003A5664">
        <w:rPr>
          <w:rFonts w:ascii="Segoe UI" w:hAnsi="Segoe UI" w:cs="Segoe UI"/>
          <w:i w:val="0"/>
          <w:noProof/>
          <w:highlight w:val="yellow"/>
        </w:rPr>
        <w:t>5</w:t>
      </w:r>
      <w:r w:rsidR="002B0B69" w:rsidRPr="003A5664">
        <w:rPr>
          <w:rFonts w:ascii="Segoe UI" w:hAnsi="Segoe UI" w:cs="Segoe UI"/>
          <w:i w:val="0"/>
          <w:noProof/>
          <w:highlight w:val="yellow"/>
        </w:rPr>
        <w:fldChar w:fldCharType="end"/>
      </w:r>
      <w:r w:rsidRPr="003A5664">
        <w:rPr>
          <w:rFonts w:ascii="Segoe UI" w:hAnsi="Segoe UI" w:cs="Segoe UI"/>
          <w:i w:val="0"/>
          <w:highlight w:val="yellow"/>
        </w:rPr>
        <w:t>:</w:t>
      </w:r>
      <w:r w:rsidR="002B0B69" w:rsidRPr="003A5664">
        <w:rPr>
          <w:rFonts w:ascii="Segoe UI" w:hAnsi="Segoe UI" w:cs="Segoe UI"/>
          <w:i w:val="0"/>
          <w:highlight w:val="yellow"/>
        </w:rPr>
        <w:fldChar w:fldCharType="begin"/>
      </w:r>
      <w:r w:rsidR="002B0B69" w:rsidRPr="003A5664">
        <w:rPr>
          <w:rFonts w:ascii="Segoe UI" w:hAnsi="Segoe UI" w:cs="Segoe UI"/>
          <w:i w:val="0"/>
          <w:highlight w:val="yellow"/>
        </w:rPr>
        <w:instrText xml:space="preserve"> SEQ Figure \* ARABIC \s 1 </w:instrText>
      </w:r>
      <w:r w:rsidR="002B0B69" w:rsidRPr="003A5664">
        <w:rPr>
          <w:rFonts w:ascii="Segoe UI" w:hAnsi="Segoe UI" w:cs="Segoe UI"/>
          <w:i w:val="0"/>
          <w:highlight w:val="yellow"/>
        </w:rPr>
        <w:fldChar w:fldCharType="separate"/>
      </w:r>
      <w:r w:rsidR="007B459E">
        <w:rPr>
          <w:rFonts w:ascii="Segoe UI" w:hAnsi="Segoe UI" w:cs="Segoe UI"/>
          <w:i w:val="0"/>
          <w:noProof/>
          <w:highlight w:val="yellow"/>
        </w:rPr>
        <w:t>11</w:t>
      </w:r>
      <w:r w:rsidR="002B0B69" w:rsidRPr="003A5664">
        <w:rPr>
          <w:rFonts w:ascii="Segoe UI" w:hAnsi="Segoe UI" w:cs="Segoe UI"/>
          <w:i w:val="0"/>
          <w:noProof/>
          <w:highlight w:val="yellow"/>
        </w:rPr>
        <w:fldChar w:fldCharType="end"/>
      </w:r>
      <w:r w:rsidRPr="003A5664">
        <w:rPr>
          <w:rFonts w:ascii="Segoe UI" w:hAnsi="Segoe UI" w:cs="Segoe UI"/>
          <w:i w:val="0"/>
          <w:highlight w:val="yellow"/>
        </w:rPr>
        <w:t xml:space="preserve"> </w:t>
      </w:r>
      <w:r w:rsidR="003A5664">
        <w:rPr>
          <w:rFonts w:ascii="Segoe UI" w:hAnsi="Segoe UI" w:cs="Segoe UI"/>
          <w:i w:val="0"/>
          <w:highlight w:val="yellow"/>
        </w:rPr>
        <w:t xml:space="preserve">Truncated Interaction Results for </w:t>
      </w:r>
      <w:r w:rsidRPr="003A5664">
        <w:rPr>
          <w:rFonts w:ascii="Segoe UI" w:hAnsi="Segoe UI" w:cs="Segoe UI"/>
          <w:i w:val="0"/>
          <w:highlight w:val="yellow"/>
        </w:rPr>
        <w:t xml:space="preserve">Income *HDI/GINI for </w:t>
      </w:r>
      <w:r w:rsidR="00717D00">
        <w:rPr>
          <w:rFonts w:ascii="Segoe UI" w:hAnsi="Segoe UI" w:cs="Segoe UI"/>
          <w:i w:val="0"/>
          <w:highlight w:val="yellow"/>
        </w:rPr>
        <w:t xml:space="preserve">Compound and Authoritarian </w:t>
      </w:r>
      <w:r w:rsidRPr="003A5664">
        <w:rPr>
          <w:rFonts w:ascii="Segoe UI" w:hAnsi="Segoe UI" w:cs="Segoe UI"/>
          <w:i w:val="0"/>
          <w:highlight w:val="yellow"/>
        </w:rPr>
        <w:t>Understandings of Democracy</w:t>
      </w:r>
      <w:bookmarkEnd w:id="326"/>
    </w:p>
    <w:tbl>
      <w:tblPr>
        <w:tblW w:w="0" w:type="auto"/>
        <w:tblLayout w:type="fixed"/>
        <w:tblLook w:val="0000" w:firstRow="0" w:lastRow="0" w:firstColumn="0" w:lastColumn="0" w:noHBand="0" w:noVBand="0"/>
      </w:tblPr>
      <w:tblGrid>
        <w:gridCol w:w="3369"/>
        <w:gridCol w:w="2126"/>
        <w:gridCol w:w="2126"/>
      </w:tblGrid>
      <w:tr w:rsidR="00D433C9" w:rsidRPr="00C051DC" w14:paraId="28194913" w14:textId="77777777" w:rsidTr="008B22D5">
        <w:trPr>
          <w:trHeight w:val="359"/>
        </w:trPr>
        <w:tc>
          <w:tcPr>
            <w:tcW w:w="3369" w:type="dxa"/>
            <w:tcBorders>
              <w:bottom w:val="single" w:sz="4" w:space="0" w:color="auto"/>
            </w:tcBorders>
          </w:tcPr>
          <w:p w14:paraId="1A84CAC6" w14:textId="77777777" w:rsidR="00D433C9" w:rsidRPr="00C051DC" w:rsidRDefault="00D433C9" w:rsidP="008B22D5">
            <w:pPr>
              <w:widowControl w:val="0"/>
              <w:autoSpaceDE w:val="0"/>
              <w:autoSpaceDN w:val="0"/>
              <w:adjustRightInd w:val="0"/>
              <w:spacing w:before="0" w:line="240" w:lineRule="auto"/>
              <w:rPr>
                <w:rFonts w:cs="Segoe UI"/>
                <w:sz w:val="20"/>
                <w:szCs w:val="20"/>
                <w:highlight w:val="yellow"/>
                <w:lang w:val="en-US"/>
              </w:rPr>
            </w:pPr>
            <w:bookmarkStart w:id="327" w:name="_Hlk488670214"/>
          </w:p>
        </w:tc>
        <w:tc>
          <w:tcPr>
            <w:tcW w:w="2126" w:type="dxa"/>
            <w:tcBorders>
              <w:bottom w:val="single" w:sz="4" w:space="0" w:color="auto"/>
            </w:tcBorders>
          </w:tcPr>
          <w:p w14:paraId="7363D389" w14:textId="77777777" w:rsidR="00D433C9" w:rsidRPr="00C051DC" w:rsidRDefault="00D433C9" w:rsidP="008B22D5">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Compound Democracy</w:t>
            </w:r>
          </w:p>
        </w:tc>
        <w:tc>
          <w:tcPr>
            <w:tcW w:w="2126" w:type="dxa"/>
            <w:tcBorders>
              <w:bottom w:val="single" w:sz="4" w:space="0" w:color="auto"/>
            </w:tcBorders>
          </w:tcPr>
          <w:p w14:paraId="57B72528" w14:textId="77777777" w:rsidR="00D433C9" w:rsidRPr="00C051DC" w:rsidRDefault="00D433C9" w:rsidP="008B22D5">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b/>
                <w:sz w:val="20"/>
                <w:szCs w:val="20"/>
                <w:highlight w:val="yellow"/>
                <w:lang w:val="en-US"/>
              </w:rPr>
              <w:t>Authoritarian Democracy</w:t>
            </w:r>
          </w:p>
        </w:tc>
      </w:tr>
      <w:tr w:rsidR="00D433C9" w:rsidRPr="00C051DC" w14:paraId="325DF0A7" w14:textId="77777777" w:rsidTr="008B22D5">
        <w:trPr>
          <w:trHeight w:val="359"/>
        </w:trPr>
        <w:tc>
          <w:tcPr>
            <w:tcW w:w="3369" w:type="dxa"/>
            <w:tcBorders>
              <w:top w:val="single" w:sz="4" w:space="0" w:color="auto"/>
            </w:tcBorders>
            <w:shd w:val="clear" w:color="auto" w:fill="F2F2F2" w:themeFill="background1" w:themeFillShade="F2"/>
          </w:tcPr>
          <w:p w14:paraId="6D1513B3" w14:textId="32A5139E" w:rsidR="00D433C9" w:rsidRPr="00C051DC" w:rsidRDefault="00D433C9" w:rsidP="008B22D5">
            <w:pPr>
              <w:widowControl w:val="0"/>
              <w:autoSpaceDE w:val="0"/>
              <w:autoSpaceDN w:val="0"/>
              <w:adjustRightInd w:val="0"/>
              <w:spacing w:before="0" w:line="240" w:lineRule="auto"/>
              <w:rPr>
                <w:rFonts w:cs="Segoe UI"/>
                <w:b/>
                <w:i/>
                <w:sz w:val="20"/>
                <w:szCs w:val="20"/>
                <w:highlight w:val="yellow"/>
                <w:lang w:val="en-US"/>
              </w:rPr>
            </w:pPr>
            <w:r w:rsidRPr="00C051DC">
              <w:rPr>
                <w:rFonts w:cs="Segoe UI"/>
                <w:b/>
                <w:i/>
                <w:sz w:val="20"/>
                <w:szCs w:val="20"/>
                <w:highlight w:val="yellow"/>
                <w:lang w:val="en-US"/>
              </w:rPr>
              <w:t xml:space="preserve">Original </w:t>
            </w:r>
            <w:r w:rsidR="00880F3E" w:rsidRPr="00C051DC">
              <w:rPr>
                <w:rFonts w:cs="Segoe UI"/>
                <w:b/>
                <w:i/>
                <w:sz w:val="20"/>
                <w:szCs w:val="20"/>
                <w:highlight w:val="yellow"/>
                <w:lang w:val="en-US"/>
              </w:rPr>
              <w:t>Results</w:t>
            </w:r>
          </w:p>
        </w:tc>
        <w:tc>
          <w:tcPr>
            <w:tcW w:w="2126" w:type="dxa"/>
            <w:tcBorders>
              <w:top w:val="single" w:sz="4" w:space="0" w:color="auto"/>
            </w:tcBorders>
            <w:shd w:val="clear" w:color="auto" w:fill="F2F2F2" w:themeFill="background1" w:themeFillShade="F2"/>
          </w:tcPr>
          <w:p w14:paraId="5CA1A3E6" w14:textId="77777777" w:rsidR="00D433C9" w:rsidRPr="00C051DC" w:rsidRDefault="00D433C9" w:rsidP="008B22D5">
            <w:pPr>
              <w:widowControl w:val="0"/>
              <w:autoSpaceDE w:val="0"/>
              <w:autoSpaceDN w:val="0"/>
              <w:adjustRightInd w:val="0"/>
              <w:spacing w:before="0" w:line="240" w:lineRule="auto"/>
              <w:jc w:val="center"/>
              <w:rPr>
                <w:rFonts w:cs="Segoe UI"/>
                <w:sz w:val="20"/>
                <w:szCs w:val="20"/>
                <w:highlight w:val="yellow"/>
                <w:lang w:val="en-US"/>
              </w:rPr>
            </w:pPr>
          </w:p>
        </w:tc>
        <w:tc>
          <w:tcPr>
            <w:tcW w:w="2126" w:type="dxa"/>
            <w:tcBorders>
              <w:top w:val="single" w:sz="4" w:space="0" w:color="auto"/>
            </w:tcBorders>
            <w:shd w:val="clear" w:color="auto" w:fill="F2F2F2" w:themeFill="background1" w:themeFillShade="F2"/>
          </w:tcPr>
          <w:p w14:paraId="4019A1B8" w14:textId="77777777" w:rsidR="00D433C9" w:rsidRPr="00C051DC" w:rsidRDefault="00D433C9" w:rsidP="008B22D5">
            <w:pPr>
              <w:widowControl w:val="0"/>
              <w:autoSpaceDE w:val="0"/>
              <w:autoSpaceDN w:val="0"/>
              <w:adjustRightInd w:val="0"/>
              <w:spacing w:before="0" w:line="240" w:lineRule="auto"/>
              <w:jc w:val="center"/>
              <w:rPr>
                <w:rFonts w:cs="Segoe UI"/>
                <w:sz w:val="20"/>
                <w:szCs w:val="20"/>
                <w:highlight w:val="yellow"/>
                <w:lang w:val="en-US"/>
              </w:rPr>
            </w:pPr>
          </w:p>
        </w:tc>
      </w:tr>
      <w:tr w:rsidR="00D433C9" w:rsidRPr="00C051DC" w14:paraId="65D3BCE2" w14:textId="77777777" w:rsidTr="008B22D5">
        <w:trPr>
          <w:trHeight w:val="359"/>
        </w:trPr>
        <w:tc>
          <w:tcPr>
            <w:tcW w:w="3369" w:type="dxa"/>
            <w:tcBorders>
              <w:top w:val="single" w:sz="4" w:space="0" w:color="auto"/>
            </w:tcBorders>
            <w:shd w:val="clear" w:color="auto" w:fill="F2F2F2" w:themeFill="background1" w:themeFillShade="F2"/>
          </w:tcPr>
          <w:p w14:paraId="58E60438" w14:textId="5842FECB" w:rsidR="00D433C9" w:rsidRPr="00C051DC" w:rsidRDefault="00D433C9" w:rsidP="008B22D5">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Income</w:t>
            </w:r>
            <w:r w:rsidR="00880F3E" w:rsidRPr="00C051DC">
              <w:rPr>
                <w:rFonts w:cs="Segoe UI"/>
                <w:sz w:val="20"/>
                <w:szCs w:val="20"/>
                <w:highlight w:val="yellow"/>
                <w:lang w:val="en-US"/>
              </w:rPr>
              <w:t xml:space="preserve"> (C7/A7)</w:t>
            </w:r>
          </w:p>
        </w:tc>
        <w:tc>
          <w:tcPr>
            <w:tcW w:w="2126" w:type="dxa"/>
            <w:tcBorders>
              <w:top w:val="single" w:sz="4" w:space="0" w:color="auto"/>
            </w:tcBorders>
            <w:shd w:val="clear" w:color="auto" w:fill="F2F2F2" w:themeFill="background1" w:themeFillShade="F2"/>
          </w:tcPr>
          <w:p w14:paraId="0B3CB21D" w14:textId="13428E64" w:rsidR="00D433C9" w:rsidRPr="00C051DC" w:rsidRDefault="00880F3E" w:rsidP="008B22D5">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2126" w:type="dxa"/>
            <w:tcBorders>
              <w:top w:val="single" w:sz="4" w:space="0" w:color="auto"/>
            </w:tcBorders>
            <w:shd w:val="clear" w:color="auto" w:fill="F2F2F2" w:themeFill="background1" w:themeFillShade="F2"/>
          </w:tcPr>
          <w:p w14:paraId="3289A6E0" w14:textId="77777777" w:rsidR="00D433C9" w:rsidRPr="00C051DC" w:rsidRDefault="00D433C9" w:rsidP="008B22D5">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D433C9" w:rsidRPr="00C051DC" w14:paraId="20DCDEC2" w14:textId="77777777" w:rsidTr="008B22D5">
        <w:trPr>
          <w:trHeight w:val="359"/>
        </w:trPr>
        <w:tc>
          <w:tcPr>
            <w:tcW w:w="3369" w:type="dxa"/>
            <w:shd w:val="clear" w:color="auto" w:fill="F2F2F2" w:themeFill="background1" w:themeFillShade="F2"/>
          </w:tcPr>
          <w:p w14:paraId="07021E52" w14:textId="77777777" w:rsidR="00D433C9" w:rsidRPr="00C051DC" w:rsidRDefault="00D433C9" w:rsidP="008B22D5">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7751D8B2" w14:textId="77777777" w:rsidR="00D433C9" w:rsidRPr="00C051DC" w:rsidRDefault="00D433C9" w:rsidP="008B22D5">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2126" w:type="dxa"/>
            <w:shd w:val="clear" w:color="auto" w:fill="F2F2F2" w:themeFill="background1" w:themeFillShade="F2"/>
          </w:tcPr>
          <w:p w14:paraId="19F32B9D" w14:textId="77777777" w:rsidR="00D433C9" w:rsidRPr="00C051DC" w:rsidRDefault="00D433C9" w:rsidP="008B22D5">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r>
      <w:tr w:rsidR="00880F3E" w:rsidRPr="00C051DC" w14:paraId="5A007B7A" w14:textId="77777777" w:rsidTr="008B22D5">
        <w:trPr>
          <w:trHeight w:val="359"/>
        </w:trPr>
        <w:tc>
          <w:tcPr>
            <w:tcW w:w="3369" w:type="dxa"/>
            <w:shd w:val="clear" w:color="auto" w:fill="F2F2F2" w:themeFill="background1" w:themeFillShade="F2"/>
          </w:tcPr>
          <w:p w14:paraId="545A7F35" w14:textId="3FEEF808" w:rsidR="00880F3E" w:rsidRPr="00C051DC" w:rsidRDefault="00880F3E" w:rsidP="00880F3E">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HDI (C8/A8)</w:t>
            </w:r>
          </w:p>
        </w:tc>
        <w:tc>
          <w:tcPr>
            <w:tcW w:w="2126" w:type="dxa"/>
            <w:shd w:val="clear" w:color="auto" w:fill="F2F2F2" w:themeFill="background1" w:themeFillShade="F2"/>
          </w:tcPr>
          <w:p w14:paraId="2ECF0014" w14:textId="2878799D"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5642C15A" w14:textId="30DE44B8"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tc>
      </w:tr>
      <w:tr w:rsidR="00880F3E" w:rsidRPr="00C051DC" w14:paraId="1567EDA9" w14:textId="77777777" w:rsidTr="008B22D5">
        <w:trPr>
          <w:trHeight w:val="359"/>
        </w:trPr>
        <w:tc>
          <w:tcPr>
            <w:tcW w:w="3369" w:type="dxa"/>
            <w:shd w:val="clear" w:color="auto" w:fill="F2F2F2" w:themeFill="background1" w:themeFillShade="F2"/>
          </w:tcPr>
          <w:p w14:paraId="5F8DD2BB" w14:textId="77777777" w:rsidR="00880F3E" w:rsidRPr="00C051DC" w:rsidRDefault="00880F3E" w:rsidP="00880F3E">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5EDA40D9" w14:textId="59FF01A9"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75F6BAC4" w14:textId="26EFA0CA"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r>
      <w:tr w:rsidR="00880F3E" w:rsidRPr="00C051DC" w14:paraId="45337C6F" w14:textId="77777777" w:rsidTr="008B22D5">
        <w:trPr>
          <w:trHeight w:val="359"/>
        </w:trPr>
        <w:tc>
          <w:tcPr>
            <w:tcW w:w="3369" w:type="dxa"/>
            <w:shd w:val="clear" w:color="auto" w:fill="F2F2F2" w:themeFill="background1" w:themeFillShade="F2"/>
          </w:tcPr>
          <w:p w14:paraId="4F153AFE" w14:textId="0B9627F0" w:rsidR="00880F3E" w:rsidRPr="00C051DC" w:rsidRDefault="00880F3E" w:rsidP="00880F3E">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Inequality (GINI) (C12/A12)</w:t>
            </w:r>
          </w:p>
        </w:tc>
        <w:tc>
          <w:tcPr>
            <w:tcW w:w="2126" w:type="dxa"/>
            <w:shd w:val="clear" w:color="auto" w:fill="F2F2F2" w:themeFill="background1" w:themeFillShade="F2"/>
          </w:tcPr>
          <w:p w14:paraId="7C8510DD" w14:textId="4799A0F8"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2126" w:type="dxa"/>
            <w:shd w:val="clear" w:color="auto" w:fill="F2F2F2" w:themeFill="background1" w:themeFillShade="F2"/>
          </w:tcPr>
          <w:p w14:paraId="17E4F263" w14:textId="6BC112C6"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r>
      <w:tr w:rsidR="00880F3E" w:rsidRPr="00C051DC" w14:paraId="2CCCF93C" w14:textId="77777777" w:rsidTr="008B22D5">
        <w:trPr>
          <w:trHeight w:val="359"/>
        </w:trPr>
        <w:tc>
          <w:tcPr>
            <w:tcW w:w="3369" w:type="dxa"/>
            <w:shd w:val="clear" w:color="auto" w:fill="F2F2F2" w:themeFill="background1" w:themeFillShade="F2"/>
          </w:tcPr>
          <w:p w14:paraId="63397834" w14:textId="77777777" w:rsidR="00880F3E" w:rsidRPr="00C051DC" w:rsidRDefault="00880F3E" w:rsidP="00880F3E">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2EC5407A" w14:textId="68FA171C"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2126" w:type="dxa"/>
            <w:shd w:val="clear" w:color="auto" w:fill="F2F2F2" w:themeFill="background1" w:themeFillShade="F2"/>
          </w:tcPr>
          <w:p w14:paraId="60475D23" w14:textId="5D557DA3"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r>
      <w:tr w:rsidR="00880F3E" w:rsidRPr="00C051DC" w14:paraId="19A26E3C" w14:textId="77777777" w:rsidTr="005C5EB6">
        <w:trPr>
          <w:trHeight w:val="359"/>
        </w:trPr>
        <w:tc>
          <w:tcPr>
            <w:tcW w:w="3369" w:type="dxa"/>
            <w:tcBorders>
              <w:top w:val="single" w:sz="4" w:space="0" w:color="auto"/>
              <w:bottom w:val="single" w:sz="4" w:space="0" w:color="auto"/>
            </w:tcBorders>
            <w:shd w:val="clear" w:color="auto" w:fill="F2F2F2" w:themeFill="background1" w:themeFillShade="F2"/>
          </w:tcPr>
          <w:p w14:paraId="4E822D64" w14:textId="23F6F380" w:rsidR="00880F3E" w:rsidRPr="00C051DC" w:rsidRDefault="00880F3E" w:rsidP="00880F3E">
            <w:pPr>
              <w:widowControl w:val="0"/>
              <w:autoSpaceDE w:val="0"/>
              <w:autoSpaceDN w:val="0"/>
              <w:adjustRightInd w:val="0"/>
              <w:spacing w:before="0" w:line="240" w:lineRule="auto"/>
              <w:rPr>
                <w:rFonts w:cs="Segoe UI"/>
                <w:b/>
                <w:i/>
                <w:sz w:val="20"/>
                <w:szCs w:val="20"/>
                <w:highlight w:val="yellow"/>
                <w:lang w:val="en-US"/>
              </w:rPr>
            </w:pPr>
            <w:r w:rsidRPr="00C051DC">
              <w:rPr>
                <w:rFonts w:cs="Segoe UI"/>
                <w:b/>
                <w:i/>
                <w:sz w:val="20"/>
                <w:szCs w:val="20"/>
                <w:highlight w:val="yellow"/>
                <w:lang w:val="en-US"/>
              </w:rPr>
              <w:t>Interaction Model</w:t>
            </w:r>
            <w:r w:rsidR="005C5EB6" w:rsidRPr="00C051DC">
              <w:rPr>
                <w:rFonts w:cs="Segoe UI"/>
                <w:b/>
                <w:i/>
                <w:sz w:val="20"/>
                <w:szCs w:val="20"/>
                <w:highlight w:val="yellow"/>
                <w:lang w:val="en-US"/>
              </w:rPr>
              <w:t xml:space="preserve"> 1</w:t>
            </w:r>
            <w:r w:rsidR="002C2D20" w:rsidRPr="00C051DC">
              <w:rPr>
                <w:rFonts w:cs="Segoe UI"/>
                <w:b/>
                <w:i/>
                <w:sz w:val="20"/>
                <w:szCs w:val="20"/>
                <w:highlight w:val="yellow"/>
                <w:lang w:val="en-US"/>
              </w:rPr>
              <w:t>: Income*HDI</w:t>
            </w:r>
          </w:p>
        </w:tc>
        <w:tc>
          <w:tcPr>
            <w:tcW w:w="2126" w:type="dxa"/>
            <w:tcBorders>
              <w:top w:val="single" w:sz="4" w:space="0" w:color="auto"/>
              <w:bottom w:val="single" w:sz="4" w:space="0" w:color="auto"/>
            </w:tcBorders>
            <w:shd w:val="clear" w:color="auto" w:fill="F2F2F2" w:themeFill="background1" w:themeFillShade="F2"/>
          </w:tcPr>
          <w:p w14:paraId="731430D0" w14:textId="77777777"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p>
        </w:tc>
        <w:tc>
          <w:tcPr>
            <w:tcW w:w="2126" w:type="dxa"/>
            <w:tcBorders>
              <w:top w:val="single" w:sz="4" w:space="0" w:color="auto"/>
              <w:bottom w:val="single" w:sz="4" w:space="0" w:color="auto"/>
            </w:tcBorders>
            <w:shd w:val="clear" w:color="auto" w:fill="F2F2F2" w:themeFill="background1" w:themeFillShade="F2"/>
          </w:tcPr>
          <w:p w14:paraId="68A19372" w14:textId="77777777" w:rsidR="00880F3E" w:rsidRPr="00C051DC" w:rsidRDefault="00880F3E" w:rsidP="00880F3E">
            <w:pPr>
              <w:widowControl w:val="0"/>
              <w:autoSpaceDE w:val="0"/>
              <w:autoSpaceDN w:val="0"/>
              <w:adjustRightInd w:val="0"/>
              <w:spacing w:before="0" w:line="240" w:lineRule="auto"/>
              <w:jc w:val="center"/>
              <w:rPr>
                <w:rFonts w:cs="Segoe UI"/>
                <w:sz w:val="20"/>
                <w:szCs w:val="20"/>
                <w:highlight w:val="yellow"/>
                <w:lang w:val="en-US"/>
              </w:rPr>
            </w:pPr>
          </w:p>
        </w:tc>
      </w:tr>
      <w:tr w:rsidR="005C5EB6" w:rsidRPr="00C051DC" w14:paraId="60B6FEAA" w14:textId="77777777" w:rsidTr="005C5EB6">
        <w:trPr>
          <w:trHeight w:val="359"/>
        </w:trPr>
        <w:tc>
          <w:tcPr>
            <w:tcW w:w="3369" w:type="dxa"/>
            <w:tcBorders>
              <w:top w:val="single" w:sz="4" w:space="0" w:color="auto"/>
            </w:tcBorders>
            <w:shd w:val="clear" w:color="auto" w:fill="F2F2F2" w:themeFill="background1" w:themeFillShade="F2"/>
          </w:tcPr>
          <w:p w14:paraId="5402ECE1" w14:textId="7D7782DD" w:rsidR="005C5EB6" w:rsidRPr="00C051DC" w:rsidRDefault="005C5EB6"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w:t>
            </w:r>
          </w:p>
        </w:tc>
        <w:tc>
          <w:tcPr>
            <w:tcW w:w="2126" w:type="dxa"/>
            <w:tcBorders>
              <w:top w:val="single" w:sz="4" w:space="0" w:color="auto"/>
            </w:tcBorders>
            <w:shd w:val="clear" w:color="auto" w:fill="F2F2F2" w:themeFill="background1" w:themeFillShade="F2"/>
          </w:tcPr>
          <w:p w14:paraId="6F7B44D3" w14:textId="77777777" w:rsidR="005C5EB6" w:rsidRPr="00C051DC" w:rsidRDefault="005C5EB6"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-0.10***</w:t>
            </w:r>
          </w:p>
          <w:p w14:paraId="0F4661BC" w14:textId="289063A2" w:rsidR="005C5EB6" w:rsidRPr="00C051DC" w:rsidRDefault="005C5EB6"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tcBorders>
              <w:top w:val="single" w:sz="4" w:space="0" w:color="auto"/>
            </w:tcBorders>
            <w:shd w:val="clear" w:color="auto" w:fill="F2F2F2" w:themeFill="background1" w:themeFillShade="F2"/>
          </w:tcPr>
          <w:p w14:paraId="010590F2" w14:textId="77777777" w:rsidR="005C5EB6" w:rsidRPr="00C051DC" w:rsidRDefault="005C5EB6"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0.06**</w:t>
            </w:r>
          </w:p>
          <w:p w14:paraId="1A2035A7" w14:textId="798ADDA8" w:rsidR="005C5EB6" w:rsidRPr="00C051DC" w:rsidRDefault="005C5EB6"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r>
      <w:tr w:rsidR="002C2D20" w:rsidRPr="00C051DC" w14:paraId="1954F105" w14:textId="77777777" w:rsidTr="005C5EB6">
        <w:trPr>
          <w:trHeight w:val="359"/>
        </w:trPr>
        <w:tc>
          <w:tcPr>
            <w:tcW w:w="3369" w:type="dxa"/>
            <w:shd w:val="clear" w:color="auto" w:fill="F2F2F2" w:themeFill="background1" w:themeFillShade="F2"/>
          </w:tcPr>
          <w:p w14:paraId="36CD18AA" w14:textId="0EAB3370"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HDI</w:t>
            </w:r>
          </w:p>
        </w:tc>
        <w:tc>
          <w:tcPr>
            <w:tcW w:w="2126" w:type="dxa"/>
            <w:shd w:val="clear" w:color="auto" w:fill="F2F2F2" w:themeFill="background1" w:themeFillShade="F2"/>
          </w:tcPr>
          <w:p w14:paraId="19806A1C"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7537F304" w14:textId="35A45470"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63C8A8E5"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7E72E8AB" w14:textId="0A94653A"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E748F7" w:rsidRPr="00C051DC" w14:paraId="283E16D8" w14:textId="77777777" w:rsidTr="005C5EB6">
        <w:trPr>
          <w:trHeight w:val="359"/>
        </w:trPr>
        <w:tc>
          <w:tcPr>
            <w:tcW w:w="3369" w:type="dxa"/>
            <w:shd w:val="clear" w:color="auto" w:fill="F2F2F2" w:themeFill="background1" w:themeFillShade="F2"/>
          </w:tcPr>
          <w:p w14:paraId="076BA3E8" w14:textId="0A98E87E" w:rsidR="00E748F7" w:rsidRPr="00C051DC" w:rsidRDefault="00E748F7"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Income*HDI</w:t>
            </w:r>
          </w:p>
        </w:tc>
        <w:tc>
          <w:tcPr>
            <w:tcW w:w="2126" w:type="dxa"/>
            <w:shd w:val="clear" w:color="auto" w:fill="F2F2F2" w:themeFill="background1" w:themeFillShade="F2"/>
          </w:tcPr>
          <w:p w14:paraId="66BDA22F" w14:textId="77777777" w:rsidR="00E748F7"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477B9FEC" w14:textId="24244EE5"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60CFBFB8" w14:textId="77777777" w:rsidR="00E748F7"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6CB2F3C1" w14:textId="520C49BB"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5C5EB6" w:rsidRPr="00C051DC" w14:paraId="767B520F" w14:textId="77777777" w:rsidTr="005C5EB6">
        <w:trPr>
          <w:trHeight w:val="359"/>
        </w:trPr>
        <w:tc>
          <w:tcPr>
            <w:tcW w:w="3369" w:type="dxa"/>
            <w:tcBorders>
              <w:top w:val="single" w:sz="4" w:space="0" w:color="auto"/>
              <w:bottom w:val="single" w:sz="4" w:space="0" w:color="auto"/>
            </w:tcBorders>
            <w:shd w:val="clear" w:color="auto" w:fill="F2F2F2" w:themeFill="background1" w:themeFillShade="F2"/>
          </w:tcPr>
          <w:p w14:paraId="02E3E2ED" w14:textId="07790F4C" w:rsidR="005C5EB6" w:rsidRPr="00C051DC" w:rsidRDefault="005C5EB6" w:rsidP="00E748F7">
            <w:pPr>
              <w:widowControl w:val="0"/>
              <w:autoSpaceDE w:val="0"/>
              <w:autoSpaceDN w:val="0"/>
              <w:adjustRightInd w:val="0"/>
              <w:spacing w:before="0" w:line="240" w:lineRule="auto"/>
              <w:rPr>
                <w:rFonts w:cs="Segoe UI"/>
                <w:b/>
                <w:i/>
                <w:sz w:val="20"/>
                <w:szCs w:val="20"/>
                <w:highlight w:val="yellow"/>
                <w:lang w:val="en-US"/>
              </w:rPr>
            </w:pPr>
            <w:r w:rsidRPr="00C051DC">
              <w:rPr>
                <w:rFonts w:cs="Segoe UI"/>
                <w:b/>
                <w:i/>
                <w:sz w:val="20"/>
                <w:szCs w:val="20"/>
                <w:highlight w:val="yellow"/>
                <w:lang w:val="en-US"/>
              </w:rPr>
              <w:t>Interaction Model 2</w:t>
            </w:r>
            <w:r w:rsidR="002C2D20" w:rsidRPr="00C051DC">
              <w:rPr>
                <w:rFonts w:cs="Segoe UI"/>
                <w:b/>
                <w:i/>
                <w:sz w:val="20"/>
                <w:szCs w:val="20"/>
                <w:highlight w:val="yellow"/>
                <w:lang w:val="en-US"/>
              </w:rPr>
              <w:t>: Income*GINI</w:t>
            </w:r>
          </w:p>
        </w:tc>
        <w:tc>
          <w:tcPr>
            <w:tcW w:w="2126" w:type="dxa"/>
            <w:tcBorders>
              <w:top w:val="single" w:sz="4" w:space="0" w:color="auto"/>
              <w:bottom w:val="single" w:sz="4" w:space="0" w:color="auto"/>
            </w:tcBorders>
            <w:shd w:val="clear" w:color="auto" w:fill="F2F2F2" w:themeFill="background1" w:themeFillShade="F2"/>
          </w:tcPr>
          <w:p w14:paraId="7B85510C" w14:textId="77777777" w:rsidR="005C5EB6" w:rsidRPr="00C051DC" w:rsidRDefault="005C5EB6" w:rsidP="00E748F7">
            <w:pPr>
              <w:widowControl w:val="0"/>
              <w:autoSpaceDE w:val="0"/>
              <w:autoSpaceDN w:val="0"/>
              <w:adjustRightInd w:val="0"/>
              <w:spacing w:before="0" w:line="240" w:lineRule="auto"/>
              <w:jc w:val="center"/>
              <w:rPr>
                <w:rFonts w:cs="Segoe UI"/>
                <w:b/>
                <w:sz w:val="20"/>
                <w:szCs w:val="20"/>
                <w:highlight w:val="yellow"/>
                <w:lang w:val="en-US"/>
              </w:rPr>
            </w:pPr>
          </w:p>
        </w:tc>
        <w:tc>
          <w:tcPr>
            <w:tcW w:w="2126" w:type="dxa"/>
            <w:tcBorders>
              <w:top w:val="single" w:sz="4" w:space="0" w:color="auto"/>
              <w:bottom w:val="single" w:sz="4" w:space="0" w:color="auto"/>
            </w:tcBorders>
            <w:shd w:val="clear" w:color="auto" w:fill="F2F2F2" w:themeFill="background1" w:themeFillShade="F2"/>
          </w:tcPr>
          <w:p w14:paraId="448326FB" w14:textId="77777777" w:rsidR="005C5EB6" w:rsidRPr="00C051DC" w:rsidRDefault="005C5EB6" w:rsidP="00E748F7">
            <w:pPr>
              <w:widowControl w:val="0"/>
              <w:autoSpaceDE w:val="0"/>
              <w:autoSpaceDN w:val="0"/>
              <w:adjustRightInd w:val="0"/>
              <w:spacing w:before="0" w:line="240" w:lineRule="auto"/>
              <w:jc w:val="center"/>
              <w:rPr>
                <w:rFonts w:cs="Segoe UI"/>
                <w:sz w:val="20"/>
                <w:szCs w:val="20"/>
                <w:highlight w:val="yellow"/>
                <w:lang w:val="en-US"/>
              </w:rPr>
            </w:pPr>
          </w:p>
        </w:tc>
      </w:tr>
      <w:tr w:rsidR="002C2D20" w:rsidRPr="00C051DC" w14:paraId="13EBD62E" w14:textId="77777777" w:rsidTr="002C2D20">
        <w:trPr>
          <w:trHeight w:val="359"/>
        </w:trPr>
        <w:tc>
          <w:tcPr>
            <w:tcW w:w="3369" w:type="dxa"/>
            <w:tcBorders>
              <w:top w:val="single" w:sz="4" w:space="0" w:color="auto"/>
            </w:tcBorders>
            <w:shd w:val="clear" w:color="auto" w:fill="F2F2F2" w:themeFill="background1" w:themeFillShade="F2"/>
          </w:tcPr>
          <w:p w14:paraId="49597B2B" w14:textId="2010549E"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w:t>
            </w:r>
          </w:p>
        </w:tc>
        <w:tc>
          <w:tcPr>
            <w:tcW w:w="2126" w:type="dxa"/>
            <w:tcBorders>
              <w:top w:val="single" w:sz="4" w:space="0" w:color="auto"/>
            </w:tcBorders>
            <w:shd w:val="clear" w:color="auto" w:fill="F2F2F2" w:themeFill="background1" w:themeFillShade="F2"/>
          </w:tcPr>
          <w:p w14:paraId="436BBB5B"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08D6FA04" w14:textId="10688DA1"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2126" w:type="dxa"/>
            <w:tcBorders>
              <w:top w:val="single" w:sz="4" w:space="0" w:color="auto"/>
            </w:tcBorders>
            <w:shd w:val="clear" w:color="auto" w:fill="F2F2F2" w:themeFill="background1" w:themeFillShade="F2"/>
          </w:tcPr>
          <w:p w14:paraId="3CB2E6FC"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3A421351" w14:textId="772B52F8"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r>
      <w:tr w:rsidR="002C2D20" w:rsidRPr="00C051DC" w14:paraId="2CF91EF9" w14:textId="77777777" w:rsidTr="002C2D20">
        <w:trPr>
          <w:trHeight w:val="359"/>
        </w:trPr>
        <w:tc>
          <w:tcPr>
            <w:tcW w:w="3369" w:type="dxa"/>
            <w:shd w:val="clear" w:color="auto" w:fill="F2F2F2" w:themeFill="background1" w:themeFillShade="F2"/>
          </w:tcPr>
          <w:p w14:paraId="69E9D625" w14:textId="64788E63"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Inequality (GINI)</w:t>
            </w:r>
          </w:p>
        </w:tc>
        <w:tc>
          <w:tcPr>
            <w:tcW w:w="2126" w:type="dxa"/>
            <w:shd w:val="clear" w:color="auto" w:fill="F2F2F2" w:themeFill="background1" w:themeFillShade="F2"/>
          </w:tcPr>
          <w:p w14:paraId="0AF7E758"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4AC94945" w14:textId="6FEC36BB"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c>
          <w:tcPr>
            <w:tcW w:w="2126" w:type="dxa"/>
            <w:shd w:val="clear" w:color="auto" w:fill="F2F2F2" w:themeFill="background1" w:themeFillShade="F2"/>
          </w:tcPr>
          <w:p w14:paraId="5F7DC7EF"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p w14:paraId="270CB143" w14:textId="53D83AE2"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r>
      <w:tr w:rsidR="00E748F7" w:rsidRPr="00C051DC" w14:paraId="10957A01" w14:textId="77777777" w:rsidTr="002C2D20">
        <w:trPr>
          <w:trHeight w:val="359"/>
        </w:trPr>
        <w:tc>
          <w:tcPr>
            <w:tcW w:w="3369" w:type="dxa"/>
            <w:shd w:val="clear" w:color="auto" w:fill="F2F2F2" w:themeFill="background1" w:themeFillShade="F2"/>
          </w:tcPr>
          <w:p w14:paraId="2A114DB3" w14:textId="50EF64E2" w:rsidR="00E748F7" w:rsidRPr="00C051DC" w:rsidRDefault="00E748F7"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Income*Inequality (GINI)</w:t>
            </w:r>
          </w:p>
        </w:tc>
        <w:tc>
          <w:tcPr>
            <w:tcW w:w="2126" w:type="dxa"/>
            <w:shd w:val="clear" w:color="auto" w:fill="F2F2F2" w:themeFill="background1" w:themeFillShade="F2"/>
          </w:tcPr>
          <w:p w14:paraId="74DE83C5" w14:textId="414F99B6" w:rsidR="00E748F7"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1772222B" w14:textId="0AB165F7" w:rsidR="00E748F7"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r w:rsidR="00FA749F" w:rsidRPr="00C051DC">
              <w:rPr>
                <w:rFonts w:cs="Segoe UI"/>
                <w:sz w:val="20"/>
                <w:szCs w:val="20"/>
                <w:highlight w:val="yellow"/>
                <w:lang w:val="en-US"/>
              </w:rPr>
              <w:t>*</w:t>
            </w:r>
          </w:p>
        </w:tc>
      </w:tr>
      <w:tr w:rsidR="00E748F7" w:rsidRPr="00C051DC" w14:paraId="556AEC04" w14:textId="77777777" w:rsidTr="00F12AE1">
        <w:trPr>
          <w:trHeight w:val="359"/>
        </w:trPr>
        <w:tc>
          <w:tcPr>
            <w:tcW w:w="3369" w:type="dxa"/>
            <w:shd w:val="clear" w:color="auto" w:fill="F2F2F2" w:themeFill="background1" w:themeFillShade="F2"/>
          </w:tcPr>
          <w:p w14:paraId="51763C8C" w14:textId="77777777" w:rsidR="00E748F7" w:rsidRPr="00C051DC" w:rsidRDefault="00E748F7" w:rsidP="00E748F7">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3FFDABF0" w14:textId="201E11F9" w:rsidR="00E748F7"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01B9F14E" w14:textId="3CA430B5" w:rsidR="00E748F7"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E748F7" w:rsidRPr="00C051DC" w14:paraId="042ACE31" w14:textId="77777777" w:rsidTr="008B22D5">
        <w:trPr>
          <w:trHeight w:val="359"/>
        </w:trPr>
        <w:tc>
          <w:tcPr>
            <w:tcW w:w="7621" w:type="dxa"/>
            <w:gridSpan w:val="3"/>
            <w:tcBorders>
              <w:top w:val="single" w:sz="4" w:space="0" w:color="auto"/>
              <w:bottom w:val="single" w:sz="4" w:space="0" w:color="auto"/>
            </w:tcBorders>
            <w:shd w:val="clear" w:color="auto" w:fill="F2F2F2" w:themeFill="background1" w:themeFillShade="F2"/>
          </w:tcPr>
          <w:p w14:paraId="01ED3585" w14:textId="1F647B74" w:rsidR="00E748F7" w:rsidRPr="00C051DC" w:rsidRDefault="002C2D20" w:rsidP="00E748F7">
            <w:pPr>
              <w:widowControl w:val="0"/>
              <w:autoSpaceDE w:val="0"/>
              <w:autoSpaceDN w:val="0"/>
              <w:adjustRightInd w:val="0"/>
              <w:spacing w:before="0" w:line="240" w:lineRule="auto"/>
              <w:rPr>
                <w:rFonts w:cs="Segoe UI"/>
                <w:b/>
                <w:sz w:val="20"/>
                <w:szCs w:val="20"/>
                <w:highlight w:val="yellow"/>
                <w:lang w:val="en-US"/>
              </w:rPr>
            </w:pPr>
            <w:r w:rsidRPr="00C051DC">
              <w:rPr>
                <w:rFonts w:cs="Segoe UI"/>
                <w:b/>
                <w:i/>
                <w:sz w:val="20"/>
                <w:szCs w:val="20"/>
                <w:highlight w:val="yellow"/>
                <w:lang w:val="en-US"/>
              </w:rPr>
              <w:t xml:space="preserve">Interaction Model 3: </w:t>
            </w:r>
            <w:r w:rsidR="00E748F7" w:rsidRPr="00C051DC">
              <w:rPr>
                <w:rFonts w:cs="Segoe UI"/>
                <w:b/>
                <w:i/>
                <w:sz w:val="20"/>
                <w:szCs w:val="20"/>
                <w:highlight w:val="yellow"/>
                <w:lang w:val="en-US"/>
              </w:rPr>
              <w:t>3-way Interaction Model (HDI = Developed vs Developing</w:t>
            </w:r>
          </w:p>
        </w:tc>
      </w:tr>
      <w:tr w:rsidR="002C2D20" w:rsidRPr="00C051DC" w14:paraId="68ABDFB3" w14:textId="77777777" w:rsidTr="002C2D20">
        <w:trPr>
          <w:trHeight w:val="359"/>
        </w:trPr>
        <w:tc>
          <w:tcPr>
            <w:tcW w:w="3369" w:type="dxa"/>
            <w:tcBorders>
              <w:top w:val="single" w:sz="4" w:space="0" w:color="auto"/>
            </w:tcBorders>
            <w:shd w:val="clear" w:color="auto" w:fill="F2F2F2" w:themeFill="background1" w:themeFillShade="F2"/>
          </w:tcPr>
          <w:p w14:paraId="3EBCF8AC" w14:textId="32EF0D6D"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w:t>
            </w:r>
          </w:p>
        </w:tc>
        <w:tc>
          <w:tcPr>
            <w:tcW w:w="2126" w:type="dxa"/>
            <w:tcBorders>
              <w:top w:val="single" w:sz="4" w:space="0" w:color="auto"/>
            </w:tcBorders>
            <w:shd w:val="clear" w:color="auto" w:fill="F2F2F2" w:themeFill="background1" w:themeFillShade="F2"/>
          </w:tcPr>
          <w:p w14:paraId="278A03DA"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0.05**</w:t>
            </w:r>
          </w:p>
          <w:p w14:paraId="729CC2E3" w14:textId="23164EBE"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2126" w:type="dxa"/>
            <w:tcBorders>
              <w:top w:val="single" w:sz="4" w:space="0" w:color="auto"/>
            </w:tcBorders>
            <w:shd w:val="clear" w:color="auto" w:fill="F2F2F2" w:themeFill="background1" w:themeFillShade="F2"/>
          </w:tcPr>
          <w:p w14:paraId="6510D2C6"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-0.05</w:t>
            </w:r>
          </w:p>
          <w:p w14:paraId="02ED6798" w14:textId="5A14F7DF"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tc>
      </w:tr>
      <w:tr w:rsidR="002C2D20" w:rsidRPr="00C051DC" w14:paraId="2167EE51" w14:textId="77777777" w:rsidTr="002C2D20">
        <w:trPr>
          <w:trHeight w:val="359"/>
        </w:trPr>
        <w:tc>
          <w:tcPr>
            <w:tcW w:w="3369" w:type="dxa"/>
            <w:shd w:val="clear" w:color="auto" w:fill="F2F2F2" w:themeFill="background1" w:themeFillShade="F2"/>
          </w:tcPr>
          <w:p w14:paraId="0662F019" w14:textId="041BB009"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HDI (ref = developing)</w:t>
            </w:r>
          </w:p>
        </w:tc>
        <w:tc>
          <w:tcPr>
            <w:tcW w:w="2126" w:type="dxa"/>
            <w:shd w:val="clear" w:color="auto" w:fill="F2F2F2" w:themeFill="background1" w:themeFillShade="F2"/>
          </w:tcPr>
          <w:p w14:paraId="6E6B7F35"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-0.81</w:t>
            </w:r>
          </w:p>
          <w:p w14:paraId="1CA1B2E5" w14:textId="07D2721F"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(0.67)</w:t>
            </w:r>
          </w:p>
        </w:tc>
        <w:tc>
          <w:tcPr>
            <w:tcW w:w="2126" w:type="dxa"/>
            <w:shd w:val="clear" w:color="auto" w:fill="F2F2F2" w:themeFill="background1" w:themeFillShade="F2"/>
          </w:tcPr>
          <w:p w14:paraId="187C29CC"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-4.29***</w:t>
            </w:r>
          </w:p>
          <w:p w14:paraId="0258BD6F" w14:textId="656B491A"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(1.05)</w:t>
            </w:r>
          </w:p>
        </w:tc>
      </w:tr>
      <w:tr w:rsidR="002C2D20" w:rsidRPr="00C051DC" w14:paraId="01D2A22E" w14:textId="77777777" w:rsidTr="002C2D20">
        <w:trPr>
          <w:trHeight w:val="359"/>
        </w:trPr>
        <w:tc>
          <w:tcPr>
            <w:tcW w:w="3369" w:type="dxa"/>
            <w:shd w:val="clear" w:color="auto" w:fill="F2F2F2" w:themeFill="background1" w:themeFillShade="F2"/>
          </w:tcPr>
          <w:p w14:paraId="2CDD2EAB" w14:textId="64F4EE73"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Income*GINI</w:t>
            </w:r>
          </w:p>
        </w:tc>
        <w:tc>
          <w:tcPr>
            <w:tcW w:w="2126" w:type="dxa"/>
            <w:shd w:val="clear" w:color="auto" w:fill="F2F2F2" w:themeFill="background1" w:themeFillShade="F2"/>
          </w:tcPr>
          <w:p w14:paraId="150EB168" w14:textId="1CAB9EAB"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3C542851" w14:textId="4CA00E45"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0553E107"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039B8F3C" w14:textId="2B0F8423"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2C2D20" w:rsidRPr="00C051DC" w14:paraId="087B4704" w14:textId="77777777" w:rsidTr="002C2D20">
        <w:trPr>
          <w:trHeight w:val="359"/>
        </w:trPr>
        <w:tc>
          <w:tcPr>
            <w:tcW w:w="3369" w:type="dxa"/>
            <w:shd w:val="clear" w:color="auto" w:fill="F2F2F2" w:themeFill="background1" w:themeFillShade="F2"/>
          </w:tcPr>
          <w:p w14:paraId="644A8415" w14:textId="7F35C391"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Income*HDI (ref = developing)</w:t>
            </w:r>
          </w:p>
        </w:tc>
        <w:tc>
          <w:tcPr>
            <w:tcW w:w="2126" w:type="dxa"/>
            <w:shd w:val="clear" w:color="auto" w:fill="F2F2F2" w:themeFill="background1" w:themeFillShade="F2"/>
          </w:tcPr>
          <w:p w14:paraId="071C6FB1" w14:textId="0CFD4C5C"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-0.12***</w:t>
            </w:r>
          </w:p>
          <w:p w14:paraId="19BA10FE" w14:textId="38AD2BE3"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tc>
        <w:tc>
          <w:tcPr>
            <w:tcW w:w="2126" w:type="dxa"/>
            <w:shd w:val="clear" w:color="auto" w:fill="F2F2F2" w:themeFill="background1" w:themeFillShade="F2"/>
          </w:tcPr>
          <w:p w14:paraId="5ED9C2F8" w14:textId="77777777"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122AA150" w14:textId="752F1754" w:rsidR="002C2D20" w:rsidRPr="00C051DC" w:rsidRDefault="002C2D20"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2C2D20" w:rsidRPr="00C051DC" w14:paraId="302289C6" w14:textId="77777777" w:rsidTr="0085241F">
        <w:trPr>
          <w:trHeight w:val="359"/>
        </w:trPr>
        <w:tc>
          <w:tcPr>
            <w:tcW w:w="3369" w:type="dxa"/>
            <w:shd w:val="clear" w:color="auto" w:fill="F2F2F2" w:themeFill="background1" w:themeFillShade="F2"/>
          </w:tcPr>
          <w:p w14:paraId="3D65CBFA" w14:textId="0CFA03CB" w:rsidR="002C2D20" w:rsidRPr="00C051DC" w:rsidRDefault="002C2D20"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HDI</w:t>
            </w:r>
            <w:r w:rsidRPr="00C051DC">
              <w:rPr>
                <w:rFonts w:cs="Segoe UI"/>
                <w:i/>
                <w:sz w:val="18"/>
                <w:szCs w:val="20"/>
                <w:highlight w:val="yellow"/>
                <w:lang w:val="en-US"/>
              </w:rPr>
              <w:t>(ref= developing)</w:t>
            </w:r>
            <w:r w:rsidRPr="00C051DC">
              <w:rPr>
                <w:rFonts w:cs="Segoe UI"/>
                <w:i/>
                <w:sz w:val="20"/>
                <w:szCs w:val="20"/>
                <w:highlight w:val="yellow"/>
                <w:lang w:val="en-US"/>
              </w:rPr>
              <w:t>*Inequality(GINI)</w:t>
            </w:r>
          </w:p>
        </w:tc>
        <w:tc>
          <w:tcPr>
            <w:tcW w:w="2126" w:type="dxa"/>
            <w:shd w:val="clear" w:color="auto" w:fill="F2F2F2" w:themeFill="background1" w:themeFillShade="F2"/>
          </w:tcPr>
          <w:p w14:paraId="222CAA94" w14:textId="77777777" w:rsidR="002C2D20" w:rsidRPr="00C051DC" w:rsidRDefault="0085241F"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p w14:paraId="054F13A2" w14:textId="6A110619" w:rsidR="0085241F" w:rsidRPr="00C051DC" w:rsidRDefault="0085241F"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2126" w:type="dxa"/>
            <w:shd w:val="clear" w:color="auto" w:fill="F2F2F2" w:themeFill="background1" w:themeFillShade="F2"/>
          </w:tcPr>
          <w:p w14:paraId="1F8059A9" w14:textId="77777777" w:rsidR="002C2D20" w:rsidRPr="00C051DC" w:rsidRDefault="0085241F"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0.07**</w:t>
            </w:r>
          </w:p>
          <w:p w14:paraId="45B0F136" w14:textId="0567B474" w:rsidR="0085241F" w:rsidRPr="00C051DC" w:rsidRDefault="0085241F"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tc>
      </w:tr>
      <w:tr w:rsidR="00E748F7" w:rsidRPr="00C051DC" w14:paraId="2159C426" w14:textId="77777777" w:rsidTr="0085241F">
        <w:trPr>
          <w:trHeight w:val="359"/>
        </w:trPr>
        <w:tc>
          <w:tcPr>
            <w:tcW w:w="3369" w:type="dxa"/>
            <w:tcBorders>
              <w:bottom w:val="single" w:sz="4" w:space="0" w:color="auto"/>
            </w:tcBorders>
            <w:shd w:val="clear" w:color="auto" w:fill="F2F2F2" w:themeFill="background1" w:themeFillShade="F2"/>
          </w:tcPr>
          <w:p w14:paraId="7934DAFB" w14:textId="77777777" w:rsidR="00E748F7" w:rsidRPr="00C051DC" w:rsidRDefault="00E748F7" w:rsidP="00E748F7">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Income*Inequality(GINI)*HDI</w:t>
            </w:r>
          </w:p>
        </w:tc>
        <w:tc>
          <w:tcPr>
            <w:tcW w:w="2126" w:type="dxa"/>
            <w:tcBorders>
              <w:bottom w:val="single" w:sz="4" w:space="0" w:color="auto"/>
            </w:tcBorders>
            <w:shd w:val="clear" w:color="auto" w:fill="F2F2F2" w:themeFill="background1" w:themeFillShade="F2"/>
          </w:tcPr>
          <w:p w14:paraId="11F2C3E8" w14:textId="77777777" w:rsidR="0085241F"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r w:rsidR="0085241F" w:rsidRPr="00C051DC">
              <w:rPr>
                <w:rFonts w:cs="Segoe UI"/>
                <w:sz w:val="20"/>
                <w:szCs w:val="20"/>
                <w:highlight w:val="yellow"/>
                <w:lang w:val="en-US"/>
              </w:rPr>
              <w:t xml:space="preserve">       </w:t>
            </w:r>
          </w:p>
          <w:p w14:paraId="7BC1D452" w14:textId="6266846A" w:rsidR="00E748F7" w:rsidRPr="00C051DC" w:rsidRDefault="0085241F"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tcBorders>
              <w:bottom w:val="single" w:sz="4" w:space="0" w:color="auto"/>
            </w:tcBorders>
            <w:shd w:val="clear" w:color="auto" w:fill="F2F2F2" w:themeFill="background1" w:themeFillShade="F2"/>
          </w:tcPr>
          <w:p w14:paraId="63A01446" w14:textId="77777777" w:rsidR="0085241F" w:rsidRPr="00C051DC" w:rsidRDefault="00E748F7"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55FB362A" w14:textId="14D251FD" w:rsidR="00E748F7" w:rsidRPr="00C051DC" w:rsidRDefault="0085241F" w:rsidP="00E748F7">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bl>
    <w:bookmarkEnd w:id="327"/>
    <w:p w14:paraId="125197D8" w14:textId="77777777" w:rsidR="00D433C9" w:rsidRPr="00C051DC" w:rsidRDefault="00D433C9" w:rsidP="00D433C9">
      <w:pPr>
        <w:widowControl w:val="0"/>
        <w:autoSpaceDE w:val="0"/>
        <w:autoSpaceDN w:val="0"/>
        <w:adjustRightInd w:val="0"/>
        <w:spacing w:line="240" w:lineRule="auto"/>
        <w:rPr>
          <w:rFonts w:cs="Segoe UI"/>
          <w:i/>
          <w:sz w:val="16"/>
          <w:szCs w:val="16"/>
          <w:highlight w:val="yellow"/>
          <w:lang w:val="en-US"/>
        </w:rPr>
      </w:pPr>
      <w:r w:rsidRPr="00C051DC">
        <w:rPr>
          <w:rFonts w:cs="Segoe UI"/>
          <w:i/>
          <w:sz w:val="16"/>
          <w:szCs w:val="16"/>
          <w:highlight w:val="yellow"/>
          <w:lang w:val="en-US"/>
        </w:rPr>
        <w:t xml:space="preserve">Standard errors in brackets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0.05,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0.01,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0.001</w:t>
      </w:r>
    </w:p>
    <w:p w14:paraId="5F3AE7D9" w14:textId="77777777" w:rsidR="00D433C9" w:rsidRPr="00C051DC" w:rsidRDefault="00D433C9" w:rsidP="00D433C9">
      <w:pPr>
        <w:rPr>
          <w:highlight w:val="yellow"/>
          <w:lang w:eastAsia="en-GB"/>
        </w:rPr>
      </w:pPr>
    </w:p>
    <w:p w14:paraId="321A5523" w14:textId="6381FFB9" w:rsidR="00975CA1" w:rsidRPr="00C051DC" w:rsidRDefault="00975CA1" w:rsidP="00975CA1">
      <w:pPr>
        <w:rPr>
          <w:rFonts w:cstheme="majorBidi"/>
          <w:noProof/>
          <w:szCs w:val="24"/>
          <w:highlight w:val="yellow"/>
        </w:rPr>
      </w:pPr>
      <w:r w:rsidRPr="00C051DC">
        <w:rPr>
          <w:color w:val="000000" w:themeColor="text1"/>
          <w:szCs w:val="24"/>
          <w:highlight w:val="yellow"/>
        </w:rPr>
        <w:t>As a summary</w:t>
      </w:r>
      <w:r>
        <w:rPr>
          <w:color w:val="000000" w:themeColor="text1"/>
          <w:szCs w:val="24"/>
          <w:highlight w:val="yellow"/>
        </w:rPr>
        <w:t xml:space="preserve"> of the discussion in </w:t>
      </w:r>
      <w:r w:rsidRPr="00C051DC">
        <w:rPr>
          <w:color w:val="000000" w:themeColor="text1"/>
          <w:szCs w:val="24"/>
          <w:highlight w:val="yellow"/>
        </w:rPr>
        <w:t>Section 5.1, whilst some have argued that democratization is likely to occur at higher levels of inequality (Ansell &amp; Samuels 2014), others say that have levels of equality are a better spur for democratization (Boix 2003). A third line of argument is that democratization will more likely occur at middling levels of inequality, and at extreme ends of the scale, the process is stifled (A</w:t>
      </w:r>
      <w:r w:rsidRPr="00C051DC">
        <w:rPr>
          <w:rFonts w:cstheme="majorBidi"/>
          <w:noProof/>
          <w:szCs w:val="24"/>
          <w:highlight w:val="yellow"/>
        </w:rPr>
        <w:t>cemoglu &amp; Robinson 2006). Furthermore, for some higher levels of inequality are corrosive for a society (</w:t>
      </w:r>
      <w:r w:rsidRPr="00C051DC">
        <w:rPr>
          <w:rFonts w:cstheme="majorBidi"/>
          <w:szCs w:val="24"/>
          <w:highlight w:val="yellow"/>
        </w:rPr>
        <w:fldChar w:fldCharType="begin" w:fldLock="1"/>
      </w:r>
      <w:r w:rsidRPr="00C051DC">
        <w:rPr>
          <w:rFonts w:cstheme="majorBidi"/>
          <w:szCs w:val="24"/>
          <w:highlight w:val="yellow"/>
        </w:rPr>
        <w:instrText>ADDIN CSL_CITATION { "citationItems" : [ { "id" : "ITEM-1", "itemData" : { "author" : [ { "dropping-particle" : "", "family" : "Wilkinson", "given" : "R", "non-dropping-particle" : "", "parse-names" : false, "suffix" : "" }, { "dropping-particle" : "", "family" : "Pickett", "given" : "K", "non-dropping-particle" : "", "parse-names" : false, "suffix" : "" } ], "id" : "ITEM-1", "issued" : { "date-parts" : [ [ "2009" ] ] }, "publisher" : "Penguin", "publisher-place" : "London", "title" : "The Spirit Level; Why More Equal Societies Almost Always Do Better", "type" : "book" }, "uris" : [ "http://www.mendeley.com/documents/?uuid=33ca5c25-1e69-4bb3-a412-f698a91ca5d2" ] } ], "mendeley" : { "formattedCitation" : "(Wilkinson and Pickett, 2009)", "manualFormatting" : "Wilkinson &amp; Pickett 2009", "plainTextFormattedCitation" : "(Wilkinson and Pickett, 2009)", "previouslyFormattedCitation" : "(Wilkinson and Pickett, 2009)" }, "properties" : { "noteIndex" : 0 }, "schema" : "https://github.com/citation-style-language/schema/raw/master/csl-citation.json" }</w:instrText>
      </w:r>
      <w:r w:rsidRPr="00C051DC">
        <w:rPr>
          <w:rFonts w:cstheme="majorBidi"/>
          <w:szCs w:val="24"/>
          <w:highlight w:val="yellow"/>
        </w:rPr>
        <w:fldChar w:fldCharType="separate"/>
      </w:r>
      <w:r w:rsidRPr="00C051DC">
        <w:rPr>
          <w:rFonts w:cstheme="majorBidi"/>
          <w:noProof/>
          <w:szCs w:val="24"/>
          <w:highlight w:val="yellow"/>
        </w:rPr>
        <w:t>Wilkinson &amp; Pickett 2009</w:t>
      </w:r>
      <w:r w:rsidRPr="00C051DC">
        <w:rPr>
          <w:rFonts w:cstheme="majorBidi"/>
          <w:szCs w:val="24"/>
          <w:highlight w:val="yellow"/>
        </w:rPr>
        <w:fldChar w:fldCharType="end"/>
      </w:r>
      <w:r w:rsidRPr="00C051DC">
        <w:rPr>
          <w:rFonts w:cstheme="majorBidi"/>
          <w:szCs w:val="24"/>
          <w:highlight w:val="yellow"/>
        </w:rPr>
        <w:t xml:space="preserve">; </w:t>
      </w:r>
      <w:r w:rsidRPr="00C051DC">
        <w:rPr>
          <w:rFonts w:cstheme="majorBidi"/>
          <w:szCs w:val="24"/>
          <w:highlight w:val="yellow"/>
        </w:rPr>
        <w:fldChar w:fldCharType="begin" w:fldLock="1"/>
      </w:r>
      <w:r w:rsidRPr="00C051DC">
        <w:rPr>
          <w:rFonts w:cstheme="majorBidi"/>
          <w:szCs w:val="24"/>
          <w:highlight w:val="yellow"/>
        </w:rPr>
        <w:instrText>ADDIN CSL_CITATION { "citationItems" : [ { "id" : "ITEM-1", "itemData" : { "author" : [ { "dropping-particle" : "", "family" : "Bartels", "given" : "Larry M.", "non-dropping-particle" : "", "parse-names" : false, "suffix" : "" } ], "id" : "ITEM-1", "issued" : { "date-parts" : [ [ "2008" ] ] }, "publisher" : "Princeton University Press", "publisher-place" : "Princeton", "title" : "Unequal Democracy: The Political Economy of the New Guilded Age", "type" : "book" }, "uris" : [ "http://www.mendeley.com/documents/?uuid=4297bfd8-a92b-41c5-bf42-68a7bc020150" ] } ], "mendeley" : { "formattedCitation" : "(Bartels, 2008)", "manualFormatting" : "Bartels 2008)", "plainTextFormattedCitation" : "(Bartels, 2008)", "previouslyFormattedCitation" : "(Bartels, 2008)" }, "properties" : { "noteIndex" : 0 }, "schema" : "https://github.com/citation-style-language/schema/raw/master/csl-citation.json" }</w:instrText>
      </w:r>
      <w:r w:rsidRPr="00C051DC">
        <w:rPr>
          <w:rFonts w:cstheme="majorBidi"/>
          <w:szCs w:val="24"/>
          <w:highlight w:val="yellow"/>
        </w:rPr>
        <w:fldChar w:fldCharType="separate"/>
      </w:r>
      <w:r w:rsidRPr="00C051DC">
        <w:rPr>
          <w:rFonts w:cstheme="majorBidi"/>
          <w:noProof/>
          <w:szCs w:val="24"/>
          <w:highlight w:val="yellow"/>
        </w:rPr>
        <w:t>Bartels 2008)</w:t>
      </w:r>
      <w:r w:rsidRPr="00C051DC">
        <w:rPr>
          <w:rFonts w:cstheme="majorBidi"/>
          <w:szCs w:val="24"/>
          <w:highlight w:val="yellow"/>
        </w:rPr>
        <w:fldChar w:fldCharType="end"/>
      </w:r>
      <w:r w:rsidRPr="00C051DC">
        <w:rPr>
          <w:rFonts w:cstheme="majorBidi"/>
          <w:noProof/>
          <w:szCs w:val="24"/>
          <w:highlight w:val="yellow"/>
        </w:rPr>
        <w:t xml:space="preserve"> yet the opposing argument is that they might be neccesary to spur competition and innovation (Oliver 1999).</w:t>
      </w:r>
    </w:p>
    <w:p w14:paraId="71DD5A61" w14:textId="77B353BC" w:rsidR="00D433C9" w:rsidRPr="00C051DC" w:rsidRDefault="00D433C9" w:rsidP="00D433C9">
      <w:pPr>
        <w:rPr>
          <w:highlight w:val="yellow"/>
          <w:lang w:eastAsia="en-GB"/>
        </w:rPr>
      </w:pPr>
      <w:r w:rsidRPr="00C051DC">
        <w:rPr>
          <w:highlight w:val="yellow"/>
          <w:lang w:eastAsia="en-GB"/>
        </w:rPr>
        <w:t>To try and unpack these different lines of thinking, and bring a different angle to the debate by looking</w:t>
      </w:r>
      <w:r w:rsidR="00675539" w:rsidRPr="00C051DC">
        <w:rPr>
          <w:highlight w:val="yellow"/>
          <w:lang w:eastAsia="en-GB"/>
        </w:rPr>
        <w:t xml:space="preserve"> at understandings of democracy</w:t>
      </w:r>
      <w:r w:rsidRPr="00C051DC">
        <w:rPr>
          <w:highlight w:val="yellow"/>
          <w:lang w:eastAsia="en-GB"/>
        </w:rPr>
        <w:t xml:space="preserve"> as opposed to degrees of democratization, I interacted the income variable at the individual level with the gini and HDI variables. I </w:t>
      </w:r>
      <w:r w:rsidR="00F12AE1" w:rsidRPr="00C051DC">
        <w:rPr>
          <w:highlight w:val="yellow"/>
          <w:lang w:eastAsia="en-GB"/>
        </w:rPr>
        <w:t>did</w:t>
      </w:r>
      <w:r w:rsidRPr="00C051DC">
        <w:rPr>
          <w:highlight w:val="yellow"/>
          <w:lang w:eastAsia="en-GB"/>
        </w:rPr>
        <w:t xml:space="preserve"> this separately, and then also looked at a three-way interaction.</w:t>
      </w:r>
      <w:r w:rsidR="00F12AE1" w:rsidRPr="00C051DC">
        <w:rPr>
          <w:highlight w:val="yellow"/>
          <w:lang w:eastAsia="en-GB"/>
        </w:rPr>
        <w:t xml:space="preserve"> For the more complicated three-</w:t>
      </w:r>
      <w:r w:rsidRPr="00C051DC">
        <w:rPr>
          <w:highlight w:val="yellow"/>
          <w:lang w:eastAsia="en-GB"/>
        </w:rPr>
        <w:t xml:space="preserve">way interaction, I simplified the HDI variable from a continuous measure of 0-100 to a binary measure which compares developed vs. developing countries. Following the United Nations Development Programme, I use the cut-off point of 70; above 70 are countries classed as ‘High’ and ‘Very High’, and below are ‘Middle’ and ‘Low’ development </w:t>
      </w:r>
      <w:r w:rsidRPr="00C051DC">
        <w:rPr>
          <w:highlight w:val="yellow"/>
          <w:lang w:eastAsia="en-GB"/>
        </w:rPr>
        <w:fldChar w:fldCharType="begin" w:fldLock="1"/>
      </w:r>
      <w:r w:rsidRPr="00C051DC">
        <w:rPr>
          <w:highlight w:val="yellow"/>
          <w:lang w:eastAsia="en-GB"/>
        </w:rPr>
        <w:instrText>ADDIN CSL_CITATION { "citationItems" : [ { "id" : "ITEM-1", "itemData" : { "ISBN" : "9789211263985", "author" : [ { "dropping-particle" : "", "family" : "UNDP", "given" : "", "non-dropping-particle" : "", "parse-names" : false, "suffix" : "" } ], "id" : "ITEM-1", "issued" : { "date-parts" : [ [ "2015" ] ] }, "publisher-place" : "New York", "title" : "Human Development Report 2015. Work for Human Development", "type" : "report" }, "uris" : [ "http://www.mendeley.com/documents/?uuid=8e067d2d-c6d8-45d0-a11f-8949a31d5eb1" ] }, { "id" : "ITEM-2", "itemData" : { "DOI" : "10.1016/j.rmr.2010.03.023", "ISBN" : "0961452951", "ISSN" : "1776-2588", "PMID" : "20403539", "author" : [ { "dropping-particle" : "", "family" : "UNDP", "given" : "", "non-dropping-particle" : "", "parse-names" : false, "suffix" : "" } ], "id" : "ITEM-2", "issued" : { "date-parts" : [ [ "2015" ] ] }, "publisher-place" : "New York", "title" : "Human Development Report: Technical Notes", "type" : "report" }, "uris" : [ "http://www.mendeley.com/documents/?uuid=20810780-808a-476e-9a29-e81adb297e4a" ] } ], "mendeley" : { "formattedCitation" : "(UNDP, 2015a, 2015b)", "manualFormatting" : "(UNDP 2015a, p.56 Figure 2.1; UNDP 2015b, p.3)", "plainTextFormattedCitation" : "(UNDP, 2015a, 2015b)", "previouslyFormattedCitation" : "(UNDP, 2015a, 2015b)" }, "properties" : { "noteIndex" : 0 }, "schema" : "https://github.com/citation-style-language/schema/raw/master/csl-citation.json" }</w:instrText>
      </w:r>
      <w:r w:rsidRPr="00C051DC">
        <w:rPr>
          <w:highlight w:val="yellow"/>
          <w:lang w:eastAsia="en-GB"/>
        </w:rPr>
        <w:fldChar w:fldCharType="separate"/>
      </w:r>
      <w:r w:rsidRPr="00C051DC">
        <w:rPr>
          <w:noProof/>
          <w:highlight w:val="yellow"/>
          <w:lang w:eastAsia="en-GB"/>
        </w:rPr>
        <w:t>(UNDP 2015a, p.56 Figure 2.1; UNDP 2015b, p.3)</w:t>
      </w:r>
      <w:r w:rsidRPr="00C051DC">
        <w:rPr>
          <w:highlight w:val="yellow"/>
          <w:lang w:eastAsia="en-GB"/>
        </w:rPr>
        <w:fldChar w:fldCharType="end"/>
      </w:r>
      <w:r w:rsidR="003B570F">
        <w:rPr>
          <w:highlight w:val="yellow"/>
          <w:lang w:eastAsia="en-GB"/>
        </w:rPr>
        <w:t>.</w:t>
      </w:r>
    </w:p>
    <w:p w14:paraId="287D046E" w14:textId="25D9CB9C" w:rsidR="008D05CD" w:rsidRPr="008D05CD" w:rsidRDefault="004443C3" w:rsidP="008D05CD">
      <w:pPr>
        <w:rPr>
          <w:szCs w:val="24"/>
          <w:highlight w:val="yellow"/>
        </w:rPr>
      </w:pPr>
      <w:r w:rsidRPr="00C051DC">
        <w:rPr>
          <w:szCs w:val="24"/>
          <w:highlight w:val="yellow"/>
        </w:rPr>
        <w:t>T</w:t>
      </w:r>
      <w:r w:rsidR="00D433C9" w:rsidRPr="00C051DC">
        <w:rPr>
          <w:szCs w:val="24"/>
          <w:highlight w:val="yellow"/>
        </w:rPr>
        <w:t>he interaction between HDI and income for the compound and authoritar</w:t>
      </w:r>
      <w:r w:rsidRPr="00C051DC">
        <w:rPr>
          <w:szCs w:val="24"/>
          <w:highlight w:val="yellow"/>
        </w:rPr>
        <w:t xml:space="preserve">ian understanding of democracy </w:t>
      </w:r>
      <w:r w:rsidR="00502AD7" w:rsidRPr="00C051DC">
        <w:rPr>
          <w:szCs w:val="24"/>
          <w:highlight w:val="yellow"/>
        </w:rPr>
        <w:t xml:space="preserve">were </w:t>
      </w:r>
      <w:r w:rsidR="00D433C9" w:rsidRPr="00C051DC">
        <w:rPr>
          <w:szCs w:val="24"/>
          <w:highlight w:val="yellow"/>
        </w:rPr>
        <w:t>both significant. The results show a positive interaction with the compound understand and a negative interaction with the authoritarian one, although for both the coefficients are rather small so that at 2 decimal places they round to (-/+) 0.00. However, plotting the interaction allows us to make better sense of this.</w:t>
      </w:r>
      <w:r w:rsidR="00D17DEC" w:rsidRPr="00C051DC">
        <w:rPr>
          <w:szCs w:val="24"/>
          <w:highlight w:val="yellow"/>
        </w:rPr>
        <w:t xml:space="preserve"> For comparison, in the following figures the margins are predicted for someone who considers themselves at the very bottom of the income pile (1) in contrast to someone who considers themselves to be at the top (10).</w:t>
      </w:r>
    </w:p>
    <w:p w14:paraId="164908BA" w14:textId="70D59466" w:rsidR="008D05CD" w:rsidRPr="00C051DC" w:rsidRDefault="008D05CD" w:rsidP="008D05CD">
      <w:pPr>
        <w:rPr>
          <w:highlight w:val="yellow"/>
        </w:rPr>
      </w:pPr>
      <w:r w:rsidRPr="00C051DC">
        <w:rPr>
          <w:highlight w:val="yellow"/>
        </w:rPr>
        <w:t xml:space="preserve">For the compound understanding </w:t>
      </w:r>
      <w:r w:rsidR="00163FC2">
        <w:rPr>
          <w:szCs w:val="24"/>
          <w:highlight w:val="yellow"/>
        </w:rPr>
        <w:t>in Figure 5.12</w:t>
      </w:r>
      <w:r w:rsidRPr="00C051DC">
        <w:rPr>
          <w:highlight w:val="yellow"/>
        </w:rPr>
        <w:t>, the predictive margins demonstrate that for those who see themselves at the bottom of the income piles, there is limited mediation by developmental context. However, for those at the top, it does matter; in low development contexts those at the top of the income pile score lower on the compound understanding, however, in the more highly developed contexts, this gap between rich and poor disappears.</w:t>
      </w:r>
    </w:p>
    <w:p w14:paraId="6584F1DF" w14:textId="2876547F" w:rsidR="008D05CD" w:rsidRPr="008D05CD" w:rsidRDefault="008D05CD" w:rsidP="008D05CD">
      <w:pPr>
        <w:rPr>
          <w:highlight w:val="yellow"/>
        </w:rPr>
      </w:pPr>
    </w:p>
    <w:p w14:paraId="1C9C1195" w14:textId="32F46503" w:rsidR="00D433C9" w:rsidRPr="00717D00" w:rsidRDefault="00D433C9" w:rsidP="00D433C9">
      <w:pPr>
        <w:pStyle w:val="Caption"/>
        <w:rPr>
          <w:rFonts w:ascii="Segoe UI" w:hAnsi="Segoe UI" w:cs="Segoe UI"/>
          <w:i w:val="0"/>
          <w:highlight w:val="yellow"/>
        </w:rPr>
      </w:pPr>
      <w:bookmarkStart w:id="328" w:name="_Toc494687176"/>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12</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Predictive Margins: Income *HDI for Compound Understanding</w:t>
      </w:r>
      <w:bookmarkEnd w:id="328"/>
      <w:r w:rsidR="0015465D" w:rsidRPr="00717D00">
        <w:rPr>
          <w:rFonts w:ascii="Segoe UI" w:hAnsi="Segoe UI" w:cs="Segoe UI"/>
          <w:i w:val="0"/>
          <w:highlight w:val="yellow"/>
        </w:rPr>
        <w:t xml:space="preserve"> </w:t>
      </w:r>
    </w:p>
    <w:p w14:paraId="706CD901" w14:textId="7136FF18" w:rsidR="00D433C9" w:rsidRPr="00C051DC" w:rsidRDefault="00B7392A" w:rsidP="000561DF">
      <w:pPr>
        <w:rPr>
          <w:szCs w:val="24"/>
          <w:highlight w:val="yellow"/>
        </w:rPr>
      </w:pPr>
      <w:r w:rsidRPr="00C051DC">
        <w:rPr>
          <w:noProof/>
          <w:szCs w:val="24"/>
          <w:highlight w:val="yellow"/>
          <w:lang w:eastAsia="zh-CN"/>
        </w:rPr>
        <w:drawing>
          <wp:inline distT="0" distB="0" distL="0" distR="0" wp14:anchorId="592009AC" wp14:editId="1AF98383">
            <wp:extent cx="5113020" cy="374142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3020" cy="3741420"/>
                    </a:xfrm>
                    <a:prstGeom prst="rect">
                      <a:avLst/>
                    </a:prstGeom>
                    <a:noFill/>
                    <a:ln>
                      <a:noFill/>
                    </a:ln>
                  </pic:spPr>
                </pic:pic>
              </a:graphicData>
            </a:graphic>
          </wp:inline>
        </w:drawing>
      </w:r>
    </w:p>
    <w:p w14:paraId="1ACDE34B" w14:textId="6EA27998" w:rsidR="00D433C9" w:rsidRPr="00717D00" w:rsidRDefault="00D433C9" w:rsidP="00D433C9">
      <w:pPr>
        <w:pStyle w:val="Caption"/>
        <w:rPr>
          <w:rFonts w:ascii="Segoe UI" w:hAnsi="Segoe UI" w:cs="Segoe UI"/>
          <w:i w:val="0"/>
          <w:szCs w:val="24"/>
          <w:highlight w:val="yellow"/>
          <w:lang w:eastAsia="en-GB"/>
        </w:rPr>
      </w:pPr>
      <w:bookmarkStart w:id="329" w:name="_Toc494687177"/>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13</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Predictive Margins: Income*HDI for Authoritarian Understanding</w:t>
      </w:r>
      <w:bookmarkEnd w:id="329"/>
      <w:r w:rsidRPr="00717D00">
        <w:rPr>
          <w:rFonts w:ascii="Segoe UI" w:hAnsi="Segoe UI" w:cs="Segoe UI"/>
          <w:i w:val="0"/>
          <w:szCs w:val="24"/>
          <w:highlight w:val="yellow"/>
          <w:lang w:eastAsia="en-GB"/>
        </w:rPr>
        <w:t xml:space="preserve"> </w:t>
      </w:r>
    </w:p>
    <w:p w14:paraId="67956552" w14:textId="60E1AC71" w:rsidR="00D433C9" w:rsidRPr="00C051DC" w:rsidRDefault="00B7392A" w:rsidP="00D433C9">
      <w:pPr>
        <w:pStyle w:val="Caption"/>
        <w:rPr>
          <w:highlight w:val="yellow"/>
        </w:rPr>
      </w:pPr>
      <w:r w:rsidRPr="00C051DC">
        <w:rPr>
          <w:noProof/>
          <w:highlight w:val="yellow"/>
          <w:lang w:eastAsia="zh-CN"/>
        </w:rPr>
        <w:drawing>
          <wp:inline distT="0" distB="0" distL="0" distR="0" wp14:anchorId="5A8A3754" wp14:editId="4DE18CC1">
            <wp:extent cx="5113020" cy="374142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3020" cy="3741420"/>
                    </a:xfrm>
                    <a:prstGeom prst="rect">
                      <a:avLst/>
                    </a:prstGeom>
                    <a:noFill/>
                    <a:ln>
                      <a:noFill/>
                    </a:ln>
                  </pic:spPr>
                </pic:pic>
              </a:graphicData>
            </a:graphic>
          </wp:inline>
        </w:drawing>
      </w:r>
      <w:r w:rsidR="00D433C9" w:rsidRPr="00C051DC">
        <w:rPr>
          <w:highlight w:val="yellow"/>
        </w:rPr>
        <w:t xml:space="preserve"> </w:t>
      </w:r>
    </w:p>
    <w:p w14:paraId="15496654" w14:textId="757E7760" w:rsidR="0002743E" w:rsidRPr="00C051DC" w:rsidRDefault="00D433C9" w:rsidP="00D433C9">
      <w:pPr>
        <w:rPr>
          <w:szCs w:val="24"/>
          <w:highlight w:val="yellow"/>
        </w:rPr>
      </w:pPr>
      <w:r w:rsidRPr="00C051DC">
        <w:rPr>
          <w:szCs w:val="24"/>
          <w:highlight w:val="yellow"/>
        </w:rPr>
        <w:t xml:space="preserve">With the authoritarian understanding of democracy, in </w:t>
      </w:r>
      <w:r w:rsidR="00163FC2">
        <w:rPr>
          <w:szCs w:val="24"/>
          <w:highlight w:val="yellow"/>
        </w:rPr>
        <w:t>Figure 5.11</w:t>
      </w:r>
      <w:r w:rsidR="00934EEF" w:rsidRPr="00C051DC">
        <w:rPr>
          <w:szCs w:val="24"/>
          <w:highlight w:val="yellow"/>
        </w:rPr>
        <w:t xml:space="preserve"> we can see that in this model controlling for the interaction, income has a positive effect – those who are richer are scoring higher on the authoritarian understanding. However the interaction shows us that this relationship is in low develo</w:t>
      </w:r>
      <w:r w:rsidR="008D05CD">
        <w:rPr>
          <w:szCs w:val="24"/>
          <w:highlight w:val="yellow"/>
        </w:rPr>
        <w:t>pme</w:t>
      </w:r>
      <w:r w:rsidR="00163FC2">
        <w:rPr>
          <w:szCs w:val="24"/>
          <w:highlight w:val="yellow"/>
        </w:rPr>
        <w:t>ntal contexts and in Figure 5.13</w:t>
      </w:r>
      <w:r w:rsidRPr="00C051DC">
        <w:rPr>
          <w:szCs w:val="24"/>
          <w:highlight w:val="yellow"/>
        </w:rPr>
        <w:t xml:space="preserve"> we can see</w:t>
      </w:r>
      <w:r w:rsidR="0002743E" w:rsidRPr="00C051DC">
        <w:rPr>
          <w:szCs w:val="24"/>
          <w:highlight w:val="yellow"/>
        </w:rPr>
        <w:t xml:space="preserve"> at both ends of the income spectrum the authoritarian understanding score drops as HDI increases. </w:t>
      </w:r>
    </w:p>
    <w:p w14:paraId="7BC43559" w14:textId="3D59582F" w:rsidR="00B40428" w:rsidRPr="00C051DC" w:rsidRDefault="000561DF" w:rsidP="00D17DEC">
      <w:pPr>
        <w:rPr>
          <w:highlight w:val="yellow"/>
          <w:lang w:eastAsia="en-GB"/>
        </w:rPr>
      </w:pPr>
      <w:r w:rsidRPr="00C051DC">
        <w:rPr>
          <w:highlight w:val="yellow"/>
          <w:lang w:eastAsia="en-GB"/>
        </w:rPr>
        <w:t>The interaction between inequality and income was also significant for both understandings of democracy</w:t>
      </w:r>
      <w:r w:rsidR="00BF71AC" w:rsidRPr="00C051DC">
        <w:rPr>
          <w:highlight w:val="yellow"/>
          <w:lang w:eastAsia="en-GB"/>
        </w:rPr>
        <w:t>.</w:t>
      </w:r>
      <w:r w:rsidR="0002743E" w:rsidRPr="00C051DC">
        <w:rPr>
          <w:highlight w:val="yellow"/>
          <w:lang w:eastAsia="en-GB"/>
        </w:rPr>
        <w:t xml:space="preserve"> For the compounding understanding</w:t>
      </w:r>
      <w:r w:rsidR="00163FC2">
        <w:rPr>
          <w:highlight w:val="yellow"/>
          <w:lang w:eastAsia="en-GB"/>
        </w:rPr>
        <w:t xml:space="preserve"> (Figure 5.14</w:t>
      </w:r>
      <w:r w:rsidR="008D05CD">
        <w:rPr>
          <w:highlight w:val="yellow"/>
          <w:lang w:eastAsia="en-GB"/>
        </w:rPr>
        <w:t>)</w:t>
      </w:r>
      <w:r w:rsidR="0002743E" w:rsidRPr="00C051DC">
        <w:rPr>
          <w:highlight w:val="yellow"/>
          <w:lang w:eastAsia="en-GB"/>
        </w:rPr>
        <w:t>, in the countries with lowest levels of income inequality, both the two ends of the perceived income scale score highly. However, as inequality increases, the score drops for the compound understanding, and it drops quicker for those who perceive themselves at the top of the income pile.</w:t>
      </w:r>
      <w:r w:rsidR="00D17DEC" w:rsidRPr="00C051DC">
        <w:rPr>
          <w:highlight w:val="yellow"/>
          <w:lang w:eastAsia="en-GB"/>
        </w:rPr>
        <w:t xml:space="preserve"> This alignment with the compound understanding of democracy </w:t>
      </w:r>
      <w:r w:rsidR="008D05CD">
        <w:rPr>
          <w:highlight w:val="yellow"/>
          <w:lang w:eastAsia="en-GB"/>
        </w:rPr>
        <w:t>may</w:t>
      </w:r>
      <w:r w:rsidR="00D17DEC" w:rsidRPr="00C051DC">
        <w:rPr>
          <w:highlight w:val="yellow"/>
          <w:lang w:eastAsia="en-GB"/>
        </w:rPr>
        <w:t xml:space="preserve"> fall more steeply for those who consider themselves on the top of the income pile as in more unequal countries they will have more to lose by the redistributive elements of this understanding of democracy.</w:t>
      </w:r>
      <w:r w:rsidR="0002743E" w:rsidRPr="00C051DC">
        <w:rPr>
          <w:highlight w:val="yellow"/>
          <w:lang w:eastAsia="en-GB"/>
        </w:rPr>
        <w:t xml:space="preserve"> </w:t>
      </w:r>
      <w:r w:rsidR="00B40428" w:rsidRPr="00C051DC">
        <w:rPr>
          <w:highlight w:val="yellow"/>
          <w:lang w:eastAsia="en-GB"/>
        </w:rPr>
        <w:t>For the authoritarian understanding</w:t>
      </w:r>
      <w:r w:rsidR="00163FC2">
        <w:rPr>
          <w:highlight w:val="yellow"/>
          <w:lang w:eastAsia="en-GB"/>
        </w:rPr>
        <w:t xml:space="preserve"> (Figure 5.15</w:t>
      </w:r>
      <w:r w:rsidR="008D05CD">
        <w:rPr>
          <w:highlight w:val="yellow"/>
          <w:lang w:eastAsia="en-GB"/>
        </w:rPr>
        <w:t>)</w:t>
      </w:r>
      <w:r w:rsidR="00B40428" w:rsidRPr="00C051DC">
        <w:rPr>
          <w:highlight w:val="yellow"/>
          <w:lang w:eastAsia="en-GB"/>
        </w:rPr>
        <w:t xml:space="preserve">, both ends of the income spectrum have a similar positive relationship. In the less equal countries, individuals score more highly on the authoritarian understanding, regardless of their place on the income spectrum. </w:t>
      </w:r>
      <w:bookmarkStart w:id="330" w:name="_Hlk488412017"/>
    </w:p>
    <w:p w14:paraId="637B58D2" w14:textId="65E81103" w:rsidR="000561DF" w:rsidRPr="00717D00" w:rsidRDefault="00B7392A" w:rsidP="0002743E">
      <w:pPr>
        <w:pStyle w:val="Caption"/>
        <w:rPr>
          <w:rFonts w:ascii="Segoe UI" w:hAnsi="Segoe UI" w:cs="Segoe UI"/>
          <w:i w:val="0"/>
          <w:highlight w:val="yellow"/>
        </w:rPr>
      </w:pPr>
      <w:bookmarkStart w:id="331" w:name="_Toc494687178"/>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14</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Predictive Margins: Income *GINI for Com</w:t>
      </w:r>
      <w:r w:rsidR="0002743E" w:rsidRPr="00717D00">
        <w:rPr>
          <w:rFonts w:ascii="Segoe UI" w:hAnsi="Segoe UI" w:cs="Segoe UI"/>
          <w:i w:val="0"/>
          <w:highlight w:val="yellow"/>
        </w:rPr>
        <w:t>pound Understanding</w:t>
      </w:r>
      <w:bookmarkEnd w:id="331"/>
    </w:p>
    <w:p w14:paraId="0645839E" w14:textId="587AC3C7" w:rsidR="008D05CD" w:rsidRPr="00717D00" w:rsidRDefault="00110820" w:rsidP="00717D00">
      <w:pPr>
        <w:rPr>
          <w:szCs w:val="24"/>
          <w:highlight w:val="yellow"/>
        </w:rPr>
      </w:pPr>
      <w:r w:rsidRPr="00C051DC">
        <w:rPr>
          <w:noProof/>
          <w:szCs w:val="24"/>
          <w:highlight w:val="yellow"/>
          <w:lang w:eastAsia="zh-CN"/>
        </w:rPr>
        <w:drawing>
          <wp:inline distT="0" distB="0" distL="0" distR="0" wp14:anchorId="01126836" wp14:editId="04CD7FA2">
            <wp:extent cx="5113020" cy="307086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3020" cy="3070860"/>
                    </a:xfrm>
                    <a:prstGeom prst="rect">
                      <a:avLst/>
                    </a:prstGeom>
                    <a:noFill/>
                    <a:ln>
                      <a:noFill/>
                    </a:ln>
                  </pic:spPr>
                </pic:pic>
              </a:graphicData>
            </a:graphic>
          </wp:inline>
        </w:drawing>
      </w:r>
    </w:p>
    <w:p w14:paraId="1C4B16C7" w14:textId="4EEC8777" w:rsidR="000561DF" w:rsidRPr="00717D00" w:rsidRDefault="000561DF" w:rsidP="000561DF">
      <w:pPr>
        <w:pStyle w:val="Caption"/>
        <w:rPr>
          <w:rFonts w:ascii="Segoe UI" w:hAnsi="Segoe UI" w:cs="Segoe UI"/>
          <w:i w:val="0"/>
          <w:highlight w:val="yellow"/>
        </w:rPr>
      </w:pPr>
      <w:bookmarkStart w:id="332" w:name="_Toc494687179"/>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15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Predictive Margins: Income *GINI for Authoritarian Understanding</w:t>
      </w:r>
      <w:bookmarkEnd w:id="332"/>
    </w:p>
    <w:p w14:paraId="7AD9DF96" w14:textId="5F0ECD6A" w:rsidR="000561DF" w:rsidRPr="00C051DC" w:rsidRDefault="00B7392A" w:rsidP="00D433C9">
      <w:pPr>
        <w:rPr>
          <w:noProof/>
          <w:highlight w:val="yellow"/>
          <w:lang w:eastAsia="en-GB"/>
        </w:rPr>
      </w:pPr>
      <w:r w:rsidRPr="00C051DC">
        <w:rPr>
          <w:noProof/>
          <w:highlight w:val="yellow"/>
          <w:lang w:eastAsia="zh-CN"/>
        </w:rPr>
        <w:drawing>
          <wp:inline distT="0" distB="0" distL="0" distR="0" wp14:anchorId="40DB6469" wp14:editId="6B5BFD23">
            <wp:extent cx="5050539" cy="36957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0988" cy="3696029"/>
                    </a:xfrm>
                    <a:prstGeom prst="rect">
                      <a:avLst/>
                    </a:prstGeom>
                    <a:noFill/>
                    <a:ln>
                      <a:noFill/>
                    </a:ln>
                  </pic:spPr>
                </pic:pic>
              </a:graphicData>
            </a:graphic>
          </wp:inline>
        </w:drawing>
      </w:r>
    </w:p>
    <w:bookmarkEnd w:id="330"/>
    <w:p w14:paraId="393D552D" w14:textId="4F683606" w:rsidR="008F7CF6" w:rsidRPr="00C051DC" w:rsidRDefault="00D17DEC" w:rsidP="00D774DA">
      <w:pPr>
        <w:rPr>
          <w:szCs w:val="24"/>
          <w:highlight w:val="yellow"/>
        </w:rPr>
      </w:pPr>
      <w:r w:rsidRPr="00C051DC">
        <w:rPr>
          <w:szCs w:val="24"/>
          <w:highlight w:val="yellow"/>
        </w:rPr>
        <w:t>Finally, the three-way interaction test was significant for both understandings: a positive relationship for the compound understanding and a negative one for the authorit</w:t>
      </w:r>
      <w:r w:rsidR="00163FC2">
        <w:rPr>
          <w:szCs w:val="24"/>
          <w:highlight w:val="yellow"/>
        </w:rPr>
        <w:t>arian understanding. Figure 5.16</w:t>
      </w:r>
      <w:r w:rsidRPr="00C051DC">
        <w:rPr>
          <w:szCs w:val="24"/>
          <w:highlight w:val="yellow"/>
        </w:rPr>
        <w:t xml:space="preserve"> and Figure 5.1</w:t>
      </w:r>
      <w:r w:rsidR="00163FC2">
        <w:rPr>
          <w:szCs w:val="24"/>
          <w:highlight w:val="yellow"/>
        </w:rPr>
        <w:t>7</w:t>
      </w:r>
      <w:r w:rsidRPr="00C051DC">
        <w:rPr>
          <w:szCs w:val="24"/>
          <w:highlight w:val="yellow"/>
        </w:rPr>
        <w:t xml:space="preserve"> help to outline the interactions</w:t>
      </w:r>
      <w:r w:rsidR="00D774DA" w:rsidRPr="00C051DC">
        <w:rPr>
          <w:szCs w:val="24"/>
          <w:highlight w:val="yellow"/>
        </w:rPr>
        <w:t xml:space="preserve"> between these three variables.</w:t>
      </w:r>
    </w:p>
    <w:p w14:paraId="0FF0BCD5" w14:textId="60D81775" w:rsidR="008F7CF6" w:rsidRPr="00717D00" w:rsidRDefault="008F7CF6" w:rsidP="00D433C9">
      <w:pPr>
        <w:pStyle w:val="Caption"/>
        <w:rPr>
          <w:rFonts w:ascii="Segoe UI" w:hAnsi="Segoe UI" w:cs="Segoe UI"/>
          <w:i w:val="0"/>
          <w:szCs w:val="24"/>
          <w:highlight w:val="yellow"/>
          <w:lang w:eastAsia="en-GB"/>
        </w:rPr>
      </w:pPr>
      <w:bookmarkStart w:id="333" w:name="_Toc494687180"/>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16</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w:t>
      </w:r>
      <w:r w:rsidR="006F5E88" w:rsidRPr="00717D00">
        <w:rPr>
          <w:rFonts w:ascii="Segoe UI" w:hAnsi="Segoe UI" w:cs="Segoe UI"/>
          <w:i w:val="0"/>
          <w:highlight w:val="yellow"/>
        </w:rPr>
        <w:t>Predictive</w:t>
      </w:r>
      <w:r w:rsidRPr="00717D00">
        <w:rPr>
          <w:rFonts w:ascii="Segoe UI" w:hAnsi="Segoe UI" w:cs="Segoe UI"/>
          <w:i w:val="0"/>
          <w:highlight w:val="yellow"/>
        </w:rPr>
        <w:t xml:space="preserve"> Margin</w:t>
      </w:r>
      <w:r w:rsidR="006F5E88" w:rsidRPr="00717D00">
        <w:rPr>
          <w:rFonts w:ascii="Segoe UI" w:hAnsi="Segoe UI" w:cs="Segoe UI"/>
          <w:i w:val="0"/>
          <w:highlight w:val="yellow"/>
        </w:rPr>
        <w:t>s</w:t>
      </w:r>
      <w:r w:rsidRPr="00717D00">
        <w:rPr>
          <w:rFonts w:ascii="Segoe UI" w:hAnsi="Segoe UI" w:cs="Segoe UI"/>
          <w:i w:val="0"/>
          <w:highlight w:val="yellow"/>
        </w:rPr>
        <w:t>: Income*GINI*HDI for Compound Understanding</w:t>
      </w:r>
      <w:bookmarkEnd w:id="333"/>
      <w:r w:rsidRPr="00717D00">
        <w:rPr>
          <w:rFonts w:ascii="Segoe UI" w:hAnsi="Segoe UI" w:cs="Segoe UI"/>
          <w:i w:val="0"/>
          <w:szCs w:val="24"/>
          <w:highlight w:val="yellow"/>
          <w:lang w:eastAsia="en-GB"/>
        </w:rPr>
        <w:t xml:space="preserve"> </w:t>
      </w:r>
    </w:p>
    <w:p w14:paraId="4D268713" w14:textId="256A8D4A" w:rsidR="008F7CF6" w:rsidRPr="00C051DC" w:rsidRDefault="00224BD2" w:rsidP="00D433C9">
      <w:pPr>
        <w:pStyle w:val="Caption"/>
        <w:rPr>
          <w:highlight w:val="yellow"/>
        </w:rPr>
      </w:pPr>
      <w:r w:rsidRPr="00C051DC">
        <w:rPr>
          <w:noProof/>
          <w:highlight w:val="yellow"/>
          <w:lang w:eastAsia="zh-CN"/>
        </w:rPr>
        <w:drawing>
          <wp:inline distT="0" distB="0" distL="0" distR="0" wp14:anchorId="778CF7D6" wp14:editId="77550447">
            <wp:extent cx="5113020" cy="3215640"/>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3020" cy="3215640"/>
                    </a:xfrm>
                    <a:prstGeom prst="rect">
                      <a:avLst/>
                    </a:prstGeom>
                    <a:noFill/>
                    <a:ln>
                      <a:noFill/>
                    </a:ln>
                  </pic:spPr>
                </pic:pic>
              </a:graphicData>
            </a:graphic>
          </wp:inline>
        </w:drawing>
      </w:r>
    </w:p>
    <w:p w14:paraId="74C04F9D" w14:textId="28A98BBF" w:rsidR="006F5E88" w:rsidRPr="00717D00" w:rsidRDefault="006F5E88" w:rsidP="006F5E88">
      <w:pPr>
        <w:pStyle w:val="Caption"/>
        <w:rPr>
          <w:rFonts w:ascii="Segoe UI" w:hAnsi="Segoe UI" w:cs="Segoe UI"/>
          <w:i w:val="0"/>
          <w:szCs w:val="24"/>
          <w:highlight w:val="yellow"/>
          <w:lang w:eastAsia="en-GB"/>
        </w:rPr>
      </w:pPr>
      <w:bookmarkStart w:id="334" w:name="_Toc494687181"/>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17</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Predictive Margins: Income*GINI*HDI for Authoritarian Understanding</w:t>
      </w:r>
      <w:bookmarkEnd w:id="334"/>
      <w:r w:rsidRPr="00717D00">
        <w:rPr>
          <w:rFonts w:ascii="Segoe UI" w:hAnsi="Segoe UI" w:cs="Segoe UI"/>
          <w:i w:val="0"/>
          <w:szCs w:val="24"/>
          <w:highlight w:val="yellow"/>
          <w:lang w:eastAsia="en-GB"/>
        </w:rPr>
        <w:t xml:space="preserve"> </w:t>
      </w:r>
    </w:p>
    <w:p w14:paraId="453A5F4E" w14:textId="78F93818" w:rsidR="00BF71AC" w:rsidRPr="00C051DC" w:rsidRDefault="006F5E88" w:rsidP="00D433C9">
      <w:pPr>
        <w:rPr>
          <w:szCs w:val="24"/>
          <w:highlight w:val="yellow"/>
        </w:rPr>
      </w:pPr>
      <w:r w:rsidRPr="00C051DC">
        <w:rPr>
          <w:noProof/>
          <w:szCs w:val="24"/>
          <w:highlight w:val="yellow"/>
          <w:lang w:eastAsia="zh-CN"/>
        </w:rPr>
        <w:drawing>
          <wp:inline distT="0" distB="0" distL="0" distR="0" wp14:anchorId="72163A5C" wp14:editId="594AB2CB">
            <wp:extent cx="5113020" cy="37414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3020" cy="3741420"/>
                    </a:xfrm>
                    <a:prstGeom prst="rect">
                      <a:avLst/>
                    </a:prstGeom>
                    <a:noFill/>
                    <a:ln>
                      <a:noFill/>
                    </a:ln>
                  </pic:spPr>
                </pic:pic>
              </a:graphicData>
            </a:graphic>
          </wp:inline>
        </w:drawing>
      </w:r>
    </w:p>
    <w:p w14:paraId="74863DDA" w14:textId="2ED9B88F" w:rsidR="00D774DA" w:rsidRPr="00C051DC" w:rsidRDefault="00D17DEC" w:rsidP="00D433C9">
      <w:pPr>
        <w:rPr>
          <w:szCs w:val="24"/>
          <w:highlight w:val="yellow"/>
        </w:rPr>
      </w:pPr>
      <w:r w:rsidRPr="00C051DC">
        <w:rPr>
          <w:szCs w:val="24"/>
          <w:highlight w:val="yellow"/>
        </w:rPr>
        <w:t>Overall, w</w:t>
      </w:r>
      <w:r w:rsidR="00D433C9" w:rsidRPr="00C051DC">
        <w:rPr>
          <w:szCs w:val="24"/>
          <w:highlight w:val="yellow"/>
        </w:rPr>
        <w:t>hen it comes to the compound understanding of democracy, there is little change for respondents from developed countries when it comes to</w:t>
      </w:r>
      <w:r w:rsidRPr="00C051DC">
        <w:rPr>
          <w:szCs w:val="24"/>
          <w:highlight w:val="yellow"/>
        </w:rPr>
        <w:t xml:space="preserve"> the influence of</w:t>
      </w:r>
      <w:r w:rsidR="00D433C9" w:rsidRPr="00C051DC">
        <w:rPr>
          <w:szCs w:val="24"/>
          <w:highlight w:val="yellow"/>
        </w:rPr>
        <w:t xml:space="preserve"> increasing </w:t>
      </w:r>
      <w:r w:rsidRPr="00C051DC">
        <w:rPr>
          <w:szCs w:val="24"/>
          <w:highlight w:val="yellow"/>
        </w:rPr>
        <w:t xml:space="preserve">income </w:t>
      </w:r>
      <w:r w:rsidR="00D433C9" w:rsidRPr="00C051DC">
        <w:rPr>
          <w:szCs w:val="24"/>
          <w:highlight w:val="yellow"/>
        </w:rPr>
        <w:t xml:space="preserve">inequality. However, the relationship between the different incomes in developing countries is more </w:t>
      </w:r>
      <w:r w:rsidRPr="00C051DC">
        <w:rPr>
          <w:szCs w:val="24"/>
          <w:highlight w:val="yellow"/>
        </w:rPr>
        <w:t>pronounced</w:t>
      </w:r>
      <w:r w:rsidR="00D433C9" w:rsidRPr="00C051DC">
        <w:rPr>
          <w:szCs w:val="24"/>
          <w:highlight w:val="yellow"/>
        </w:rPr>
        <w:t xml:space="preserve">; in highly equal </w:t>
      </w:r>
      <w:r w:rsidRPr="00C051DC">
        <w:rPr>
          <w:szCs w:val="24"/>
          <w:highlight w:val="yellow"/>
        </w:rPr>
        <w:t xml:space="preserve">developing </w:t>
      </w:r>
      <w:r w:rsidR="00D433C9" w:rsidRPr="00C051DC">
        <w:rPr>
          <w:szCs w:val="24"/>
          <w:highlight w:val="yellow"/>
        </w:rPr>
        <w:t xml:space="preserve">countries, both income groups, at the top and the bottom, score highly on the compound understanding. </w:t>
      </w:r>
      <w:r w:rsidRPr="00C051DC">
        <w:rPr>
          <w:szCs w:val="24"/>
          <w:highlight w:val="yellow"/>
        </w:rPr>
        <w:t>At higher levels of</w:t>
      </w:r>
      <w:r w:rsidR="00D433C9" w:rsidRPr="00C051DC">
        <w:rPr>
          <w:szCs w:val="24"/>
          <w:highlight w:val="yellow"/>
        </w:rPr>
        <w:t xml:space="preserve"> inequality their score drops, however, it drops more precipitously for those who see themselves as the wealthiest in their society. Arguably, in more unequal </w:t>
      </w:r>
      <w:r w:rsidRPr="00C051DC">
        <w:rPr>
          <w:szCs w:val="24"/>
          <w:highlight w:val="yellow"/>
        </w:rPr>
        <w:t xml:space="preserve">developing </w:t>
      </w:r>
      <w:r w:rsidR="00D433C9" w:rsidRPr="00C051DC">
        <w:rPr>
          <w:szCs w:val="24"/>
          <w:highlight w:val="yellow"/>
        </w:rPr>
        <w:t>societies, those at the top of the income have more to lose from any redistributive policies which may be supported by democratization.  And so we can speculate that elites in highly unequal countries are not conducive to democratization, a</w:t>
      </w:r>
      <w:r w:rsidRPr="00C051DC">
        <w:rPr>
          <w:szCs w:val="24"/>
          <w:highlight w:val="yellow"/>
        </w:rPr>
        <w:t xml:space="preserve"> conclusion which aligns closest to</w:t>
      </w:r>
      <w:r w:rsidR="00D433C9" w:rsidRPr="00C051DC">
        <w:rPr>
          <w:szCs w:val="24"/>
          <w:highlight w:val="yellow"/>
        </w:rPr>
        <w:t xml:space="preserve"> Boix’s (2003) theory, and contradicts the arguments made by </w:t>
      </w:r>
      <w:r w:rsidR="00D433C9" w:rsidRPr="00C051DC">
        <w:rPr>
          <w:color w:val="000000" w:themeColor="text1"/>
          <w:szCs w:val="24"/>
          <w:highlight w:val="yellow"/>
        </w:rPr>
        <w:t>Ansell and Samuels (2014)</w:t>
      </w:r>
      <w:r w:rsidR="002F2D67" w:rsidRPr="00C051DC">
        <w:rPr>
          <w:szCs w:val="24"/>
          <w:highlight w:val="yellow"/>
        </w:rPr>
        <w:t>.</w:t>
      </w:r>
    </w:p>
    <w:p w14:paraId="22762D81" w14:textId="085D80C4" w:rsidR="00CD4AB0" w:rsidRPr="00C051DC" w:rsidRDefault="002F4405" w:rsidP="00D433C9">
      <w:pPr>
        <w:rPr>
          <w:szCs w:val="24"/>
          <w:highlight w:val="yellow"/>
        </w:rPr>
      </w:pPr>
      <w:r w:rsidRPr="00C051DC">
        <w:rPr>
          <w:szCs w:val="24"/>
          <w:highlight w:val="yellow"/>
        </w:rPr>
        <w:t>However, for the authoritarian understanding the stronger interaction effect is for income in</w:t>
      </w:r>
      <w:r w:rsidR="00CD4AB0" w:rsidRPr="00C051DC">
        <w:rPr>
          <w:szCs w:val="24"/>
          <w:highlight w:val="yellow"/>
        </w:rPr>
        <w:t xml:space="preserve"> developed countries: here, the relationship is positive, suggesting that in more unequal developed countries respondents scored higher on the authoritarian understanding, with minimal difference between the end of the income spectrum. In developing countries the relationship is weaker and in fact negative, so that the relationship converges. </w:t>
      </w:r>
      <w:r w:rsidR="002F2D67" w:rsidRPr="00C051DC">
        <w:rPr>
          <w:szCs w:val="24"/>
          <w:highlight w:val="yellow"/>
        </w:rPr>
        <w:t>In light of the results for the compound understanding, t</w:t>
      </w:r>
      <w:r w:rsidR="00CD4AB0" w:rsidRPr="00C051DC">
        <w:rPr>
          <w:szCs w:val="24"/>
          <w:highlight w:val="yellow"/>
        </w:rPr>
        <w:t xml:space="preserve">he fact that in the more equal developing countries respondents at either end of the income spectrum are predicted to score highly on </w:t>
      </w:r>
      <w:r w:rsidR="002F2D67" w:rsidRPr="00C051DC">
        <w:rPr>
          <w:szCs w:val="24"/>
          <w:highlight w:val="yellow"/>
        </w:rPr>
        <w:t xml:space="preserve">the authoritarian understanding lends some tentative support to </w:t>
      </w:r>
      <w:r w:rsidR="002F2D67" w:rsidRPr="00C051DC">
        <w:rPr>
          <w:color w:val="000000" w:themeColor="text1"/>
          <w:szCs w:val="24"/>
          <w:highlight w:val="yellow"/>
        </w:rPr>
        <w:t>A</w:t>
      </w:r>
      <w:r w:rsidR="002F2D67" w:rsidRPr="00C051DC">
        <w:rPr>
          <w:rFonts w:cstheme="majorBidi"/>
          <w:noProof/>
          <w:szCs w:val="24"/>
          <w:highlight w:val="yellow"/>
        </w:rPr>
        <w:t xml:space="preserve">cemoglu &amp; Robinson’s (2006) thesis regading democratization that there may be something of an n-shaped curvilinear relationship with understandings of democracy, and that at the extreme ends of the equality spectrum there are important effects at work. At the highly equal end, those in developing countries align more strongly with the authoritarian understanding </w:t>
      </w:r>
      <w:r w:rsidR="002660FC" w:rsidRPr="00C051DC">
        <w:rPr>
          <w:rFonts w:cstheme="majorBidi"/>
          <w:noProof/>
          <w:szCs w:val="24"/>
          <w:highlight w:val="yellow"/>
        </w:rPr>
        <w:t xml:space="preserve">than their counterparts in developed countries. However, in a highly unequal context, those in developed countries score lower on the compound understanding than their counterparts in developing countries, most especially so for those who consider themselves at the top of the income pile. </w:t>
      </w:r>
    </w:p>
    <w:p w14:paraId="4909ECD3" w14:textId="39E136DC" w:rsidR="00D433C9" w:rsidRPr="00C051DC" w:rsidRDefault="002660FC" w:rsidP="00D433C9">
      <w:pPr>
        <w:rPr>
          <w:szCs w:val="24"/>
          <w:highlight w:val="yellow"/>
        </w:rPr>
      </w:pPr>
      <w:r w:rsidRPr="00C051DC">
        <w:rPr>
          <w:szCs w:val="24"/>
          <w:highlight w:val="yellow"/>
        </w:rPr>
        <w:t>In sum</w:t>
      </w:r>
      <w:r w:rsidR="00D433C9" w:rsidRPr="00C051DC">
        <w:rPr>
          <w:szCs w:val="24"/>
          <w:highlight w:val="yellow"/>
        </w:rPr>
        <w:t xml:space="preserve">, the interactions suggest </w:t>
      </w:r>
      <w:r w:rsidRPr="00C051DC">
        <w:rPr>
          <w:szCs w:val="24"/>
          <w:highlight w:val="yellow"/>
        </w:rPr>
        <w:t>a</w:t>
      </w:r>
      <w:r w:rsidR="00870C9D" w:rsidRPr="00C051DC">
        <w:rPr>
          <w:szCs w:val="24"/>
          <w:highlight w:val="yellow"/>
        </w:rPr>
        <w:t xml:space="preserve">n important confounding factor for the modernization approach: income equality </w:t>
      </w:r>
      <w:r w:rsidR="00425D00" w:rsidRPr="00C051DC">
        <w:rPr>
          <w:szCs w:val="24"/>
          <w:highlight w:val="yellow"/>
        </w:rPr>
        <w:t xml:space="preserve">also </w:t>
      </w:r>
      <w:r w:rsidR="00870C9D" w:rsidRPr="00C051DC">
        <w:rPr>
          <w:szCs w:val="24"/>
          <w:highlight w:val="yellow"/>
        </w:rPr>
        <w:t xml:space="preserve">plays </w:t>
      </w:r>
      <w:r w:rsidR="00425D00" w:rsidRPr="00C051DC">
        <w:rPr>
          <w:szCs w:val="24"/>
          <w:highlight w:val="yellow"/>
        </w:rPr>
        <w:t>a part. Whilst education has a straightforward influence on understandings of democracy, the simple linear modernization approach should bear in mind differential effects of income distribution in developing and developed contexts.</w:t>
      </w:r>
    </w:p>
    <w:p w14:paraId="60BD17C8" w14:textId="3E5B20E6" w:rsidR="003600BE" w:rsidRPr="00C051DC" w:rsidRDefault="00CF3286" w:rsidP="00AD0A81">
      <w:pPr>
        <w:pStyle w:val="Heading3"/>
        <w:rPr>
          <w:highlight w:val="yellow"/>
        </w:rPr>
      </w:pPr>
      <w:r w:rsidRPr="00C051DC">
        <w:rPr>
          <w:highlight w:val="yellow"/>
        </w:rPr>
        <w:t>Cognitive Engagement</w:t>
      </w:r>
    </w:p>
    <w:p w14:paraId="7F3F3849" w14:textId="35AB8F31" w:rsidR="00624BD9" w:rsidRPr="00C051DC" w:rsidRDefault="00E74711" w:rsidP="003600BE">
      <w:pPr>
        <w:rPr>
          <w:szCs w:val="24"/>
          <w:highlight w:val="yellow"/>
        </w:rPr>
      </w:pPr>
      <w:r w:rsidRPr="00C051DC">
        <w:rPr>
          <w:szCs w:val="24"/>
          <w:highlight w:val="yellow"/>
        </w:rPr>
        <w:t>In the OLS Model</w:t>
      </w:r>
      <w:r w:rsidR="00AD0A81" w:rsidRPr="00C051DC">
        <w:rPr>
          <w:szCs w:val="24"/>
          <w:highlight w:val="yellow"/>
        </w:rPr>
        <w:t>s</w:t>
      </w:r>
      <w:r w:rsidRPr="00C051DC">
        <w:rPr>
          <w:szCs w:val="24"/>
          <w:highlight w:val="yellow"/>
        </w:rPr>
        <w:t xml:space="preserve"> </w:t>
      </w:r>
      <w:r w:rsidR="00AD0A81" w:rsidRPr="00C051DC">
        <w:rPr>
          <w:szCs w:val="24"/>
          <w:highlight w:val="yellow"/>
        </w:rPr>
        <w:t>C</w:t>
      </w:r>
      <w:r w:rsidRPr="00C051DC">
        <w:rPr>
          <w:szCs w:val="24"/>
          <w:highlight w:val="yellow"/>
        </w:rPr>
        <w:t>3</w:t>
      </w:r>
      <w:r w:rsidR="00AD0A81" w:rsidRPr="00C051DC">
        <w:rPr>
          <w:szCs w:val="24"/>
          <w:highlight w:val="yellow"/>
        </w:rPr>
        <w:t xml:space="preserve"> and C6</w:t>
      </w:r>
      <w:r w:rsidR="007135A4" w:rsidRPr="00C051DC">
        <w:rPr>
          <w:szCs w:val="24"/>
          <w:highlight w:val="yellow"/>
        </w:rPr>
        <w:t xml:space="preserve"> t</w:t>
      </w:r>
      <w:r w:rsidR="00CB273E" w:rsidRPr="00C051DC">
        <w:rPr>
          <w:szCs w:val="24"/>
          <w:highlight w:val="yellow"/>
        </w:rPr>
        <w:t>here</w:t>
      </w:r>
      <w:r w:rsidR="003600BE" w:rsidRPr="00C051DC">
        <w:rPr>
          <w:szCs w:val="24"/>
          <w:highlight w:val="yellow"/>
        </w:rPr>
        <w:t xml:space="preserve"> is a positive and statistically significant relationship betwe</w:t>
      </w:r>
      <w:r w:rsidR="007135A4" w:rsidRPr="00C051DC">
        <w:rPr>
          <w:szCs w:val="24"/>
          <w:highlight w:val="yellow"/>
        </w:rPr>
        <w:t>en interest in politics and the</w:t>
      </w:r>
      <w:r w:rsidR="003600BE" w:rsidRPr="00C051DC">
        <w:rPr>
          <w:szCs w:val="24"/>
          <w:highlight w:val="yellow"/>
        </w:rPr>
        <w:t xml:space="preserve"> </w:t>
      </w:r>
      <w:r w:rsidR="00CB273E" w:rsidRPr="00C051DC">
        <w:rPr>
          <w:szCs w:val="24"/>
          <w:highlight w:val="yellow"/>
        </w:rPr>
        <w:t>compound</w:t>
      </w:r>
      <w:r w:rsidR="003600BE" w:rsidRPr="00C051DC">
        <w:rPr>
          <w:szCs w:val="24"/>
          <w:highlight w:val="yellow"/>
        </w:rPr>
        <w:t xml:space="preserve"> understanding of democracy.</w:t>
      </w:r>
      <w:r w:rsidR="007135A4" w:rsidRPr="00C051DC">
        <w:rPr>
          <w:szCs w:val="24"/>
          <w:highlight w:val="yellow"/>
        </w:rPr>
        <w:t xml:space="preserve"> </w:t>
      </w:r>
      <w:r w:rsidR="00686220" w:rsidRPr="00C051DC">
        <w:rPr>
          <w:szCs w:val="24"/>
          <w:highlight w:val="yellow"/>
        </w:rPr>
        <w:t>At a lower level of significance this</w:t>
      </w:r>
      <w:r w:rsidR="007135A4" w:rsidRPr="00C051DC">
        <w:rPr>
          <w:szCs w:val="24"/>
          <w:highlight w:val="yellow"/>
        </w:rPr>
        <w:t xml:space="preserve"> relationship holds </w:t>
      </w:r>
      <w:r w:rsidR="00AD0A81" w:rsidRPr="00C051DC">
        <w:rPr>
          <w:szCs w:val="24"/>
          <w:highlight w:val="yellow"/>
        </w:rPr>
        <w:t xml:space="preserve">across the </w:t>
      </w:r>
      <w:r w:rsidR="008D05CD">
        <w:rPr>
          <w:szCs w:val="24"/>
          <w:highlight w:val="yellow"/>
        </w:rPr>
        <w:t xml:space="preserve">multilevel </w:t>
      </w:r>
      <w:r w:rsidR="00C52975" w:rsidRPr="00C051DC">
        <w:rPr>
          <w:szCs w:val="24"/>
          <w:highlight w:val="yellow"/>
        </w:rPr>
        <w:t>models</w:t>
      </w:r>
      <w:r w:rsidR="00AD0A81" w:rsidRPr="00C051DC">
        <w:rPr>
          <w:szCs w:val="24"/>
          <w:highlight w:val="yellow"/>
        </w:rPr>
        <w:t xml:space="preserve"> (C7-C13</w:t>
      </w:r>
      <w:r w:rsidR="00686220" w:rsidRPr="00C051DC">
        <w:rPr>
          <w:szCs w:val="24"/>
          <w:highlight w:val="yellow"/>
        </w:rPr>
        <w:t>)</w:t>
      </w:r>
      <w:r w:rsidR="007135A4" w:rsidRPr="00C051DC">
        <w:rPr>
          <w:szCs w:val="24"/>
          <w:highlight w:val="yellow"/>
        </w:rPr>
        <w:t xml:space="preserve">. </w:t>
      </w:r>
      <w:r w:rsidR="00686220" w:rsidRPr="00C051DC">
        <w:rPr>
          <w:szCs w:val="24"/>
          <w:highlight w:val="yellow"/>
        </w:rPr>
        <w:t>C</w:t>
      </w:r>
      <w:r w:rsidR="003600BE" w:rsidRPr="00C051DC">
        <w:rPr>
          <w:szCs w:val="24"/>
          <w:highlight w:val="yellow"/>
        </w:rPr>
        <w:t xml:space="preserve">ontrolling for all other variables, someone who scores the highest on the political </w:t>
      </w:r>
      <w:r w:rsidR="006C4FAA" w:rsidRPr="00C051DC">
        <w:rPr>
          <w:szCs w:val="24"/>
          <w:highlight w:val="yellow"/>
        </w:rPr>
        <w:t xml:space="preserve">interest variable is expected to </w:t>
      </w:r>
      <w:r w:rsidR="00521313" w:rsidRPr="00C051DC">
        <w:rPr>
          <w:szCs w:val="24"/>
          <w:highlight w:val="yellow"/>
        </w:rPr>
        <w:t>score 8.14</w:t>
      </w:r>
      <w:r w:rsidR="003600BE" w:rsidRPr="00C051DC">
        <w:rPr>
          <w:szCs w:val="24"/>
          <w:highlight w:val="yellow"/>
        </w:rPr>
        <w:t xml:space="preserve"> on </w:t>
      </w:r>
      <w:r w:rsidR="00CB273E" w:rsidRPr="00C051DC">
        <w:rPr>
          <w:szCs w:val="24"/>
          <w:highlight w:val="yellow"/>
        </w:rPr>
        <w:t xml:space="preserve">the </w:t>
      </w:r>
      <w:r w:rsidR="007135A4" w:rsidRPr="00C051DC">
        <w:rPr>
          <w:szCs w:val="24"/>
          <w:highlight w:val="yellow"/>
        </w:rPr>
        <w:t>compound understanding</w:t>
      </w:r>
      <w:r w:rsidR="003600BE" w:rsidRPr="00C051DC">
        <w:rPr>
          <w:szCs w:val="24"/>
          <w:highlight w:val="yellow"/>
        </w:rPr>
        <w:t xml:space="preserve"> of democracy compared </w:t>
      </w:r>
      <w:r w:rsidR="00521313" w:rsidRPr="00C051DC">
        <w:rPr>
          <w:szCs w:val="24"/>
          <w:highlight w:val="yellow"/>
        </w:rPr>
        <w:t>to 8</w:t>
      </w:r>
      <w:r w:rsidR="007135A4" w:rsidRPr="00C051DC">
        <w:rPr>
          <w:szCs w:val="24"/>
          <w:highlight w:val="yellow"/>
        </w:rPr>
        <w:t xml:space="preserve"> for someone</w:t>
      </w:r>
      <w:r w:rsidR="003600BE" w:rsidRPr="00C051DC">
        <w:rPr>
          <w:szCs w:val="24"/>
          <w:highlight w:val="yellow"/>
        </w:rPr>
        <w:t xml:space="preserve"> </w:t>
      </w:r>
      <w:r w:rsidR="006C4FAA" w:rsidRPr="00C051DC">
        <w:rPr>
          <w:szCs w:val="24"/>
          <w:highlight w:val="yellow"/>
        </w:rPr>
        <w:t>at the bottom of the political interest</w:t>
      </w:r>
      <w:r w:rsidR="00686220" w:rsidRPr="00C051DC">
        <w:rPr>
          <w:szCs w:val="24"/>
          <w:highlight w:val="yellow"/>
        </w:rPr>
        <w:t xml:space="preserve"> scale. </w:t>
      </w:r>
      <w:r w:rsidR="003600BE" w:rsidRPr="00C051DC">
        <w:rPr>
          <w:szCs w:val="24"/>
          <w:highlight w:val="yellow"/>
        </w:rPr>
        <w:t xml:space="preserve">As </w:t>
      </w:r>
      <w:r w:rsidR="00521313" w:rsidRPr="00C051DC">
        <w:rPr>
          <w:szCs w:val="24"/>
          <w:highlight w:val="yellow"/>
        </w:rPr>
        <w:t>predicted</w:t>
      </w:r>
      <w:r w:rsidR="003600BE" w:rsidRPr="00C051DC">
        <w:rPr>
          <w:szCs w:val="24"/>
          <w:highlight w:val="yellow"/>
        </w:rPr>
        <w:t>,</w:t>
      </w:r>
      <w:r w:rsidR="00BC59D1" w:rsidRPr="00C051DC">
        <w:rPr>
          <w:szCs w:val="24"/>
          <w:highlight w:val="yellow"/>
        </w:rPr>
        <w:t xml:space="preserve"> with an</w:t>
      </w:r>
      <w:r w:rsidR="003600BE" w:rsidRPr="00C051DC">
        <w:rPr>
          <w:szCs w:val="24"/>
          <w:highlight w:val="yellow"/>
        </w:rPr>
        <w:t xml:space="preserve"> increased interest in politics </w:t>
      </w:r>
      <w:r w:rsidR="00521313" w:rsidRPr="00C051DC">
        <w:rPr>
          <w:szCs w:val="24"/>
          <w:highlight w:val="yellow"/>
        </w:rPr>
        <w:t xml:space="preserve">an individual </w:t>
      </w:r>
      <w:r w:rsidR="00BC59D1" w:rsidRPr="00C051DC">
        <w:rPr>
          <w:szCs w:val="24"/>
          <w:highlight w:val="yellow"/>
        </w:rPr>
        <w:t xml:space="preserve">is expected to </w:t>
      </w:r>
      <w:r w:rsidR="000374A1" w:rsidRPr="00C051DC">
        <w:rPr>
          <w:szCs w:val="24"/>
          <w:highlight w:val="yellow"/>
        </w:rPr>
        <w:t>score</w:t>
      </w:r>
      <w:r w:rsidR="00521313" w:rsidRPr="00C051DC">
        <w:rPr>
          <w:szCs w:val="24"/>
          <w:highlight w:val="yellow"/>
        </w:rPr>
        <w:t xml:space="preserve"> more highly on the compound understanding. </w:t>
      </w:r>
      <w:r w:rsidR="00763A62" w:rsidRPr="00C051DC">
        <w:rPr>
          <w:szCs w:val="24"/>
          <w:highlight w:val="yellow"/>
        </w:rPr>
        <w:t xml:space="preserve">When it comes media use the relationship is consistent across the OLS and MLM analysis. All things being equal, those respondents using more types of media to find out about what is going on in the world score higher on </w:t>
      </w:r>
      <w:r w:rsidR="000374A1" w:rsidRPr="00C051DC">
        <w:rPr>
          <w:szCs w:val="24"/>
          <w:highlight w:val="yellow"/>
        </w:rPr>
        <w:t>the compound understanding. T</w:t>
      </w:r>
      <w:r w:rsidR="008D05CD">
        <w:rPr>
          <w:szCs w:val="24"/>
          <w:highlight w:val="yellow"/>
        </w:rPr>
        <w:t>herefore, as outlined in Figures 5.1 and 5.2</w:t>
      </w:r>
      <w:r w:rsidR="000374A1" w:rsidRPr="00C051DC">
        <w:rPr>
          <w:szCs w:val="24"/>
          <w:highlight w:val="yellow"/>
        </w:rPr>
        <w:t>, the predictions for the cognitive en</w:t>
      </w:r>
      <w:r w:rsidR="00F76DCC" w:rsidRPr="00C051DC">
        <w:rPr>
          <w:szCs w:val="24"/>
          <w:highlight w:val="yellow"/>
        </w:rPr>
        <w:t>gagement approach are borne out for the most part, however, the Press Freedom variable is insignificant at the national level, and so there appears to be no evidence of an information environment effect for this understanding.</w:t>
      </w:r>
    </w:p>
    <w:p w14:paraId="35DFCE6B" w14:textId="534DB00B" w:rsidR="000374A1" w:rsidRPr="00C051DC" w:rsidRDefault="00686220" w:rsidP="003600BE">
      <w:pPr>
        <w:rPr>
          <w:szCs w:val="24"/>
          <w:highlight w:val="yellow"/>
        </w:rPr>
      </w:pPr>
      <w:r w:rsidRPr="00C051DC">
        <w:rPr>
          <w:szCs w:val="24"/>
          <w:highlight w:val="yellow"/>
        </w:rPr>
        <w:t xml:space="preserve">For the authoritarian understanding of democracy </w:t>
      </w:r>
      <w:r w:rsidR="00624BD9" w:rsidRPr="00C051DC">
        <w:rPr>
          <w:szCs w:val="24"/>
          <w:highlight w:val="yellow"/>
        </w:rPr>
        <w:t xml:space="preserve">political interest </w:t>
      </w:r>
      <w:r w:rsidR="004B6D19" w:rsidRPr="00C051DC">
        <w:rPr>
          <w:szCs w:val="24"/>
          <w:highlight w:val="yellow"/>
        </w:rPr>
        <w:t>has a negative significant result yet t</w:t>
      </w:r>
      <w:r w:rsidR="00624BD9" w:rsidRPr="00C051DC">
        <w:rPr>
          <w:szCs w:val="24"/>
          <w:highlight w:val="yellow"/>
        </w:rPr>
        <w:t>his falls out of significance in the compos</w:t>
      </w:r>
      <w:r w:rsidRPr="00C051DC">
        <w:rPr>
          <w:szCs w:val="24"/>
          <w:highlight w:val="yellow"/>
        </w:rPr>
        <w:t>ite model (A6)</w:t>
      </w:r>
      <w:r w:rsidR="00624BD9" w:rsidRPr="00C051DC">
        <w:rPr>
          <w:szCs w:val="24"/>
          <w:highlight w:val="yellow"/>
        </w:rPr>
        <w:t xml:space="preserve">, </w:t>
      </w:r>
      <w:r w:rsidR="004B6D19" w:rsidRPr="00C051DC">
        <w:rPr>
          <w:szCs w:val="24"/>
          <w:highlight w:val="yellow"/>
        </w:rPr>
        <w:t>and is only weakly significant in the MLM models.</w:t>
      </w:r>
      <w:r w:rsidR="00624BD9" w:rsidRPr="00C051DC">
        <w:rPr>
          <w:szCs w:val="24"/>
          <w:highlight w:val="yellow"/>
        </w:rPr>
        <w:t xml:space="preserve"> </w:t>
      </w:r>
      <w:r w:rsidR="000374A1" w:rsidRPr="00C051DC">
        <w:rPr>
          <w:szCs w:val="24"/>
          <w:highlight w:val="yellow"/>
        </w:rPr>
        <w:t xml:space="preserve">When it comes to media use, higher user of media results in a lower score on the authoritarian understanding in the OLS model, however it drops out of significance in </w:t>
      </w:r>
      <w:r w:rsidR="00BF6977" w:rsidRPr="00C051DC">
        <w:rPr>
          <w:szCs w:val="24"/>
          <w:highlight w:val="yellow"/>
        </w:rPr>
        <w:t xml:space="preserve">the MLM models. </w:t>
      </w:r>
      <w:r w:rsidR="00FB265E" w:rsidRPr="00C051DC">
        <w:rPr>
          <w:szCs w:val="24"/>
          <w:highlight w:val="yellow"/>
        </w:rPr>
        <w:t>Finally</w:t>
      </w:r>
      <w:r w:rsidR="000374A1" w:rsidRPr="00C051DC">
        <w:rPr>
          <w:szCs w:val="24"/>
          <w:highlight w:val="yellow"/>
        </w:rPr>
        <w:t>, the Press Freedom Index variable at the national level suggests that respondents in countries with higher levels of press freedom score lower on the authoritarian understanding of democracy.</w:t>
      </w:r>
      <w:r w:rsidR="004B6D19" w:rsidRPr="00C051DC">
        <w:rPr>
          <w:szCs w:val="24"/>
          <w:highlight w:val="yellow"/>
        </w:rPr>
        <w:t xml:space="preserve"> Therefore</w:t>
      </w:r>
      <w:r w:rsidR="00F76DCC" w:rsidRPr="00C051DC">
        <w:rPr>
          <w:szCs w:val="24"/>
          <w:highlight w:val="yellow"/>
        </w:rPr>
        <w:t>,</w:t>
      </w:r>
      <w:r w:rsidR="004B6D19" w:rsidRPr="00C051DC">
        <w:rPr>
          <w:szCs w:val="24"/>
          <w:highlight w:val="yellow"/>
        </w:rPr>
        <w:t xml:space="preserve"> there is evidence supporting the cognitive engagement approach for authoritarian model – that more engagement lowers the authoritarian understanding – however, it is relatively weak and not consistent across models. </w:t>
      </w:r>
    </w:p>
    <w:p w14:paraId="246D8BBB" w14:textId="462D261D" w:rsidR="00C3461D" w:rsidRDefault="00127E4B" w:rsidP="00127E4B">
      <w:pPr>
        <w:rPr>
          <w:szCs w:val="24"/>
          <w:highlight w:val="yellow"/>
        </w:rPr>
      </w:pPr>
      <w:r w:rsidRPr="00C051DC">
        <w:rPr>
          <w:szCs w:val="24"/>
          <w:highlight w:val="yellow"/>
        </w:rPr>
        <w:t xml:space="preserve">There remains the issue of </w:t>
      </w:r>
      <w:r w:rsidR="008D05CD">
        <w:rPr>
          <w:szCs w:val="24"/>
          <w:highlight w:val="yellow"/>
        </w:rPr>
        <w:t>looking in</w:t>
      </w:r>
      <w:r w:rsidR="00F76DCC" w:rsidRPr="00C051DC">
        <w:rPr>
          <w:szCs w:val="24"/>
          <w:highlight w:val="yellow"/>
        </w:rPr>
        <w:t xml:space="preserve"> more detail as to whether</w:t>
      </w:r>
      <w:r w:rsidRPr="00C051DC">
        <w:rPr>
          <w:szCs w:val="24"/>
          <w:highlight w:val="yellow"/>
        </w:rPr>
        <w:t xml:space="preserve"> the environment information make</w:t>
      </w:r>
      <w:r w:rsidR="00F76DCC" w:rsidRPr="00C051DC">
        <w:rPr>
          <w:szCs w:val="24"/>
          <w:highlight w:val="yellow"/>
        </w:rPr>
        <w:t>s a difference to these results. A</w:t>
      </w:r>
      <w:r w:rsidRPr="00C051DC">
        <w:rPr>
          <w:szCs w:val="24"/>
          <w:highlight w:val="yellow"/>
        </w:rPr>
        <w:t xml:space="preserve">s suggested in in the discussion in Section 5.1, the impact of media-use might vary across contexts. </w:t>
      </w:r>
      <w:r w:rsidR="003D65D8" w:rsidRPr="00C051DC">
        <w:rPr>
          <w:szCs w:val="24"/>
          <w:highlight w:val="yellow"/>
        </w:rPr>
        <w:t xml:space="preserve">To </w:t>
      </w:r>
      <w:r w:rsidR="00013EFB" w:rsidRPr="00C051DC">
        <w:rPr>
          <w:szCs w:val="24"/>
          <w:highlight w:val="yellow"/>
        </w:rPr>
        <w:t>examine these results in more depth I under</w:t>
      </w:r>
      <w:r w:rsidR="00C3461D" w:rsidRPr="00C051DC">
        <w:rPr>
          <w:szCs w:val="24"/>
          <w:highlight w:val="yellow"/>
        </w:rPr>
        <w:t>took some explanatory analysis examining interaction effects between media use at the individual and press freedom at the country level.</w:t>
      </w:r>
    </w:p>
    <w:p w14:paraId="47055302" w14:textId="0AC75E8D" w:rsidR="008D05CD" w:rsidRPr="00C051DC" w:rsidRDefault="008D05CD" w:rsidP="008D05CD">
      <w:pPr>
        <w:rPr>
          <w:szCs w:val="24"/>
          <w:highlight w:val="yellow"/>
        </w:rPr>
      </w:pPr>
      <w:r w:rsidRPr="00C051DC">
        <w:rPr>
          <w:szCs w:val="24"/>
          <w:highlight w:val="yellow"/>
        </w:rPr>
        <w:t>The results suggest that there is an interaction effect for the compound understanding and that press freedom actually has a negative relationship with this understanding, but that this relationship is off-set when respondents read more media</w:t>
      </w:r>
      <w:r w:rsidR="00163FC2">
        <w:rPr>
          <w:szCs w:val="24"/>
          <w:highlight w:val="yellow"/>
        </w:rPr>
        <w:t xml:space="preserve"> (Figure 5.18</w:t>
      </w:r>
      <w:r w:rsidR="006621DC">
        <w:rPr>
          <w:szCs w:val="24"/>
          <w:highlight w:val="yellow"/>
        </w:rPr>
        <w:t>, full model in Appendix, Figure C4</w:t>
      </w:r>
      <w:r>
        <w:rPr>
          <w:szCs w:val="24"/>
          <w:highlight w:val="yellow"/>
        </w:rPr>
        <w:t>)</w:t>
      </w:r>
      <w:r w:rsidRPr="00C051DC">
        <w:rPr>
          <w:szCs w:val="24"/>
          <w:highlight w:val="yellow"/>
        </w:rPr>
        <w:t xml:space="preserve">. However, we can see from </w:t>
      </w:r>
      <w:r>
        <w:rPr>
          <w:szCs w:val="24"/>
          <w:highlight w:val="yellow"/>
        </w:rPr>
        <w:t xml:space="preserve">narrow </w:t>
      </w:r>
      <w:r w:rsidRPr="00C051DC">
        <w:rPr>
          <w:szCs w:val="24"/>
          <w:highlight w:val="yellow"/>
        </w:rPr>
        <w:t xml:space="preserve">Y-axis in the graph in Figure </w:t>
      </w:r>
      <w:r>
        <w:rPr>
          <w:szCs w:val="24"/>
          <w:highlight w:val="yellow"/>
        </w:rPr>
        <w:t>5.18</w:t>
      </w:r>
      <w:r w:rsidRPr="00C051DC">
        <w:rPr>
          <w:szCs w:val="24"/>
          <w:highlight w:val="yellow"/>
        </w:rPr>
        <w:t xml:space="preserve"> that this overall relationship is a weak one. When it comes to the Authoritarian understanding however we can see in the interaction model that the media usage variable is positive, but the press freedom and interaction between the two are negative</w:t>
      </w:r>
      <w:r w:rsidR="00163FC2">
        <w:rPr>
          <w:szCs w:val="24"/>
          <w:highlight w:val="yellow"/>
        </w:rPr>
        <w:t xml:space="preserve"> (Figure 5.20</w:t>
      </w:r>
      <w:r>
        <w:rPr>
          <w:szCs w:val="24"/>
          <w:highlight w:val="yellow"/>
        </w:rPr>
        <w:t>)</w:t>
      </w:r>
      <w:r w:rsidRPr="00C051DC">
        <w:rPr>
          <w:szCs w:val="24"/>
          <w:highlight w:val="yellow"/>
        </w:rPr>
        <w:t>. Therefore in a context of low press freedom, more media usage results in a higher authoritarian score. This is as suggested by the discussion in Section 5.1: when controlled by an oppressive state, the press could feed citizens information regarding what democracy is that is skewed in comparison to understandings in freer places. In this instance, it suggests it can skew conceptions of democracy towards understandings that place an emphasis on military and religious actors.</w:t>
      </w:r>
    </w:p>
    <w:p w14:paraId="031F1F87" w14:textId="0E6D2A27" w:rsidR="005C5EB6" w:rsidRDefault="005C5EB6" w:rsidP="005C5EB6">
      <w:pPr>
        <w:pStyle w:val="Caption"/>
        <w:rPr>
          <w:rFonts w:ascii="Segoe UI" w:hAnsi="Segoe UI" w:cs="Segoe UI"/>
          <w:i w:val="0"/>
          <w:highlight w:val="yellow"/>
        </w:rPr>
      </w:pPr>
      <w:bookmarkStart w:id="335" w:name="_Toc494687182"/>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18</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w:t>
      </w:r>
      <w:r w:rsidR="00717D00">
        <w:rPr>
          <w:rFonts w:ascii="Segoe UI" w:hAnsi="Segoe UI" w:cs="Segoe UI"/>
          <w:i w:val="0"/>
          <w:highlight w:val="yellow"/>
        </w:rPr>
        <w:t>Truncated Interaction Results for Press Freedom * Media Use</w:t>
      </w:r>
      <w:r w:rsidR="00717D00" w:rsidRPr="003A5664">
        <w:rPr>
          <w:rFonts w:ascii="Segoe UI" w:hAnsi="Segoe UI" w:cs="Segoe UI"/>
          <w:i w:val="0"/>
          <w:highlight w:val="yellow"/>
        </w:rPr>
        <w:t xml:space="preserve"> for </w:t>
      </w:r>
      <w:r w:rsidR="00717D00">
        <w:rPr>
          <w:rFonts w:ascii="Segoe UI" w:hAnsi="Segoe UI" w:cs="Segoe UI"/>
          <w:i w:val="0"/>
          <w:highlight w:val="yellow"/>
        </w:rPr>
        <w:t xml:space="preserve">Compound and Authoritarian </w:t>
      </w:r>
      <w:r w:rsidR="00717D00" w:rsidRPr="003A5664">
        <w:rPr>
          <w:rFonts w:ascii="Segoe UI" w:hAnsi="Segoe UI" w:cs="Segoe UI"/>
          <w:i w:val="0"/>
          <w:highlight w:val="yellow"/>
        </w:rPr>
        <w:t>Understandings of Democracy</w:t>
      </w:r>
      <w:r w:rsidR="00717D00" w:rsidRPr="00717D00">
        <w:rPr>
          <w:rFonts w:ascii="Segoe UI" w:hAnsi="Segoe UI" w:cs="Segoe UI"/>
          <w:i w:val="0"/>
          <w:highlight w:val="yellow"/>
        </w:rPr>
        <w:t xml:space="preserve"> </w:t>
      </w:r>
      <w:bookmarkEnd w:id="335"/>
    </w:p>
    <w:p w14:paraId="0FE019D7" w14:textId="77777777" w:rsidR="00717D00" w:rsidRPr="00717D00" w:rsidRDefault="00717D00" w:rsidP="00717D00">
      <w:pPr>
        <w:rPr>
          <w:highlight w:val="yellow"/>
        </w:rPr>
      </w:pPr>
    </w:p>
    <w:tbl>
      <w:tblPr>
        <w:tblW w:w="0" w:type="auto"/>
        <w:tblLayout w:type="fixed"/>
        <w:tblLook w:val="0000" w:firstRow="0" w:lastRow="0" w:firstColumn="0" w:lastColumn="0" w:noHBand="0" w:noVBand="0"/>
      </w:tblPr>
      <w:tblGrid>
        <w:gridCol w:w="3369"/>
        <w:gridCol w:w="2126"/>
        <w:gridCol w:w="2126"/>
      </w:tblGrid>
      <w:tr w:rsidR="005C5EB6" w:rsidRPr="00C051DC" w14:paraId="4C124276" w14:textId="77777777" w:rsidTr="0015465D">
        <w:trPr>
          <w:trHeight w:val="359"/>
        </w:trPr>
        <w:tc>
          <w:tcPr>
            <w:tcW w:w="3369" w:type="dxa"/>
            <w:tcBorders>
              <w:bottom w:val="single" w:sz="4" w:space="0" w:color="auto"/>
            </w:tcBorders>
          </w:tcPr>
          <w:p w14:paraId="5C092B39" w14:textId="77777777" w:rsidR="005C5EB6" w:rsidRPr="00C051DC" w:rsidRDefault="005C5EB6" w:rsidP="0015465D">
            <w:pPr>
              <w:widowControl w:val="0"/>
              <w:autoSpaceDE w:val="0"/>
              <w:autoSpaceDN w:val="0"/>
              <w:adjustRightInd w:val="0"/>
              <w:spacing w:before="0" w:line="240" w:lineRule="auto"/>
              <w:rPr>
                <w:rFonts w:cs="Segoe UI"/>
                <w:sz w:val="20"/>
                <w:szCs w:val="20"/>
                <w:highlight w:val="yellow"/>
                <w:lang w:val="en-US"/>
              </w:rPr>
            </w:pPr>
          </w:p>
        </w:tc>
        <w:tc>
          <w:tcPr>
            <w:tcW w:w="2126" w:type="dxa"/>
            <w:tcBorders>
              <w:bottom w:val="single" w:sz="4" w:space="0" w:color="auto"/>
            </w:tcBorders>
          </w:tcPr>
          <w:p w14:paraId="66CC17DA" w14:textId="77777777" w:rsidR="005C5EB6" w:rsidRPr="00C051DC" w:rsidRDefault="005C5EB6" w:rsidP="0015465D">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Compound Democracy</w:t>
            </w:r>
          </w:p>
        </w:tc>
        <w:tc>
          <w:tcPr>
            <w:tcW w:w="2126" w:type="dxa"/>
            <w:tcBorders>
              <w:bottom w:val="single" w:sz="4" w:space="0" w:color="auto"/>
            </w:tcBorders>
          </w:tcPr>
          <w:p w14:paraId="3EBBF77D" w14:textId="77777777"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b/>
                <w:sz w:val="20"/>
                <w:szCs w:val="20"/>
                <w:highlight w:val="yellow"/>
                <w:lang w:val="en-US"/>
              </w:rPr>
              <w:t>Authoritarian Democracy</w:t>
            </w:r>
          </w:p>
        </w:tc>
      </w:tr>
      <w:tr w:rsidR="005C5EB6" w:rsidRPr="00C051DC" w14:paraId="7DF9A6FF" w14:textId="77777777" w:rsidTr="0015465D">
        <w:trPr>
          <w:trHeight w:val="359"/>
        </w:trPr>
        <w:tc>
          <w:tcPr>
            <w:tcW w:w="3369" w:type="dxa"/>
            <w:tcBorders>
              <w:top w:val="single" w:sz="4" w:space="0" w:color="auto"/>
            </w:tcBorders>
            <w:shd w:val="clear" w:color="auto" w:fill="F2F2F2" w:themeFill="background1" w:themeFillShade="F2"/>
          </w:tcPr>
          <w:p w14:paraId="738C90B7" w14:textId="77777777" w:rsidR="005C5EB6" w:rsidRPr="00C051DC" w:rsidRDefault="005C5EB6" w:rsidP="0015465D">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Original Results</w:t>
            </w:r>
          </w:p>
        </w:tc>
        <w:tc>
          <w:tcPr>
            <w:tcW w:w="2126" w:type="dxa"/>
            <w:tcBorders>
              <w:top w:val="single" w:sz="4" w:space="0" w:color="auto"/>
            </w:tcBorders>
            <w:shd w:val="clear" w:color="auto" w:fill="F2F2F2" w:themeFill="background1" w:themeFillShade="F2"/>
          </w:tcPr>
          <w:p w14:paraId="7298B33D" w14:textId="77777777"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p>
        </w:tc>
        <w:tc>
          <w:tcPr>
            <w:tcW w:w="2126" w:type="dxa"/>
            <w:tcBorders>
              <w:top w:val="single" w:sz="4" w:space="0" w:color="auto"/>
            </w:tcBorders>
            <w:shd w:val="clear" w:color="auto" w:fill="F2F2F2" w:themeFill="background1" w:themeFillShade="F2"/>
          </w:tcPr>
          <w:p w14:paraId="6721279D" w14:textId="77777777"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p>
        </w:tc>
      </w:tr>
      <w:tr w:rsidR="005C5EB6" w:rsidRPr="00C051DC" w14:paraId="2BCA0C05" w14:textId="77777777" w:rsidTr="0015465D">
        <w:trPr>
          <w:trHeight w:val="359"/>
        </w:trPr>
        <w:tc>
          <w:tcPr>
            <w:tcW w:w="3369" w:type="dxa"/>
            <w:tcBorders>
              <w:top w:val="single" w:sz="4" w:space="0" w:color="auto"/>
            </w:tcBorders>
            <w:shd w:val="clear" w:color="auto" w:fill="F2F2F2" w:themeFill="background1" w:themeFillShade="F2"/>
          </w:tcPr>
          <w:p w14:paraId="0AD23F5C" w14:textId="3A49E726" w:rsidR="005C5EB6" w:rsidRPr="00C051DC" w:rsidRDefault="005C5EB6" w:rsidP="0015465D">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Media</w:t>
            </w:r>
            <w:r w:rsidR="004949B5" w:rsidRPr="00C051DC">
              <w:rPr>
                <w:rFonts w:cs="Segoe UI"/>
                <w:sz w:val="20"/>
                <w:szCs w:val="20"/>
                <w:highlight w:val="yellow"/>
                <w:lang w:val="en-US"/>
              </w:rPr>
              <w:t xml:space="preserve"> (C7/A7)</w:t>
            </w:r>
          </w:p>
          <w:p w14:paraId="3ED0E82F" w14:textId="77777777" w:rsidR="004949B5" w:rsidRPr="00C051DC" w:rsidRDefault="004949B5" w:rsidP="0015465D">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1-4 sources</w:t>
            </w:r>
          </w:p>
          <w:p w14:paraId="7A65E3FF" w14:textId="77777777" w:rsidR="00A01BFC" w:rsidRPr="00C051DC" w:rsidRDefault="00A01BFC" w:rsidP="0015465D">
            <w:pPr>
              <w:widowControl w:val="0"/>
              <w:autoSpaceDE w:val="0"/>
              <w:autoSpaceDN w:val="0"/>
              <w:adjustRightInd w:val="0"/>
              <w:spacing w:before="0" w:line="240" w:lineRule="auto"/>
              <w:rPr>
                <w:rFonts w:cs="Segoe UI"/>
                <w:i/>
                <w:sz w:val="20"/>
                <w:szCs w:val="20"/>
                <w:highlight w:val="yellow"/>
                <w:lang w:val="en-US"/>
              </w:rPr>
            </w:pPr>
          </w:p>
          <w:p w14:paraId="6D88733A" w14:textId="7E6EC419" w:rsidR="004949B5" w:rsidRPr="00C051DC" w:rsidRDefault="004949B5" w:rsidP="0015465D">
            <w:pPr>
              <w:widowControl w:val="0"/>
              <w:autoSpaceDE w:val="0"/>
              <w:autoSpaceDN w:val="0"/>
              <w:adjustRightInd w:val="0"/>
              <w:spacing w:before="0" w:line="240" w:lineRule="auto"/>
              <w:rPr>
                <w:rFonts w:cs="Segoe UI"/>
                <w:sz w:val="20"/>
                <w:szCs w:val="20"/>
                <w:highlight w:val="yellow"/>
                <w:lang w:val="en-US"/>
              </w:rPr>
            </w:pPr>
            <w:r w:rsidRPr="00C051DC">
              <w:rPr>
                <w:rFonts w:cs="Segoe UI"/>
                <w:i/>
                <w:sz w:val="20"/>
                <w:szCs w:val="20"/>
                <w:highlight w:val="yellow"/>
                <w:lang w:val="en-US"/>
              </w:rPr>
              <w:t>5+ sources</w:t>
            </w:r>
          </w:p>
        </w:tc>
        <w:tc>
          <w:tcPr>
            <w:tcW w:w="2126" w:type="dxa"/>
            <w:tcBorders>
              <w:top w:val="single" w:sz="4" w:space="0" w:color="auto"/>
            </w:tcBorders>
            <w:shd w:val="clear" w:color="auto" w:fill="F2F2F2" w:themeFill="background1" w:themeFillShade="F2"/>
          </w:tcPr>
          <w:p w14:paraId="475B2D5B" w14:textId="77777777" w:rsidR="004949B5" w:rsidRPr="00C051DC" w:rsidRDefault="004949B5" w:rsidP="0015465D">
            <w:pPr>
              <w:widowControl w:val="0"/>
              <w:autoSpaceDE w:val="0"/>
              <w:autoSpaceDN w:val="0"/>
              <w:adjustRightInd w:val="0"/>
              <w:spacing w:before="0" w:line="240" w:lineRule="auto"/>
              <w:jc w:val="center"/>
              <w:rPr>
                <w:rFonts w:cs="Segoe UI"/>
                <w:sz w:val="20"/>
                <w:szCs w:val="20"/>
                <w:highlight w:val="yellow"/>
                <w:lang w:val="en-US"/>
              </w:rPr>
            </w:pPr>
          </w:p>
          <w:p w14:paraId="75629455" w14:textId="77777777" w:rsidR="005C5EB6"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0.44***</w:t>
            </w:r>
          </w:p>
          <w:p w14:paraId="3C5353F0" w14:textId="77777777" w:rsidR="00A01BFC"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(0.08)</w:t>
            </w:r>
          </w:p>
          <w:p w14:paraId="26B97C2C" w14:textId="2F15ADA4" w:rsidR="00A01BFC"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0.55***</w:t>
            </w:r>
          </w:p>
        </w:tc>
        <w:tc>
          <w:tcPr>
            <w:tcW w:w="2126" w:type="dxa"/>
            <w:tcBorders>
              <w:top w:val="single" w:sz="4" w:space="0" w:color="auto"/>
            </w:tcBorders>
            <w:shd w:val="clear" w:color="auto" w:fill="F2F2F2" w:themeFill="background1" w:themeFillShade="F2"/>
          </w:tcPr>
          <w:p w14:paraId="08B257A5" w14:textId="77777777"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p>
          <w:p w14:paraId="3B1DF720" w14:textId="77777777" w:rsidR="00A01BFC"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-0.17</w:t>
            </w:r>
          </w:p>
          <w:p w14:paraId="633B7E42" w14:textId="77777777" w:rsidR="00A01BFC"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34DD6074" w14:textId="10CC4D79" w:rsidR="00A01BFC"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-0.25</w:t>
            </w:r>
          </w:p>
        </w:tc>
      </w:tr>
      <w:tr w:rsidR="005C5EB6" w:rsidRPr="00C051DC" w14:paraId="32A3FDA2" w14:textId="77777777" w:rsidTr="0015465D">
        <w:trPr>
          <w:trHeight w:val="359"/>
        </w:trPr>
        <w:tc>
          <w:tcPr>
            <w:tcW w:w="3369" w:type="dxa"/>
            <w:shd w:val="clear" w:color="auto" w:fill="F2F2F2" w:themeFill="background1" w:themeFillShade="F2"/>
          </w:tcPr>
          <w:p w14:paraId="013BF968" w14:textId="77777777" w:rsidR="005C5EB6" w:rsidRPr="00C051DC" w:rsidRDefault="005C5EB6" w:rsidP="0015465D">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74DBB93C" w14:textId="0A23BAC4" w:rsidR="005C5EB6"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(0.09</w:t>
            </w:r>
            <w:r w:rsidR="005C5EB6" w:rsidRPr="00C051DC">
              <w:rPr>
                <w:rFonts w:cs="Segoe UI"/>
                <w:sz w:val="20"/>
                <w:szCs w:val="20"/>
                <w:highlight w:val="yellow"/>
                <w:lang w:val="en-US"/>
              </w:rPr>
              <w:t>)</w:t>
            </w:r>
          </w:p>
        </w:tc>
        <w:tc>
          <w:tcPr>
            <w:tcW w:w="2126" w:type="dxa"/>
            <w:shd w:val="clear" w:color="auto" w:fill="F2F2F2" w:themeFill="background1" w:themeFillShade="F2"/>
          </w:tcPr>
          <w:p w14:paraId="2C5E2451" w14:textId="1C9B81A5" w:rsidR="005C5EB6"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r w:rsidR="005C5EB6" w:rsidRPr="00C051DC">
              <w:rPr>
                <w:rFonts w:cs="Segoe UI"/>
                <w:sz w:val="20"/>
                <w:szCs w:val="20"/>
                <w:highlight w:val="yellow"/>
                <w:lang w:val="en-US"/>
              </w:rPr>
              <w:t>)</w:t>
            </w:r>
          </w:p>
        </w:tc>
      </w:tr>
      <w:tr w:rsidR="005C5EB6" w:rsidRPr="00C051DC" w14:paraId="7A3681D8" w14:textId="77777777" w:rsidTr="0015465D">
        <w:trPr>
          <w:trHeight w:val="359"/>
        </w:trPr>
        <w:tc>
          <w:tcPr>
            <w:tcW w:w="3369" w:type="dxa"/>
            <w:shd w:val="clear" w:color="auto" w:fill="F2F2F2" w:themeFill="background1" w:themeFillShade="F2"/>
          </w:tcPr>
          <w:p w14:paraId="7473DE52" w14:textId="28CEF262" w:rsidR="005C5EB6" w:rsidRPr="00C051DC" w:rsidRDefault="005C5EB6" w:rsidP="0015465D">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Press Freedom (0-100)</w:t>
            </w:r>
            <w:r w:rsidR="004949B5" w:rsidRPr="00C051DC">
              <w:rPr>
                <w:rFonts w:cs="Segoe UI"/>
                <w:sz w:val="20"/>
                <w:szCs w:val="20"/>
                <w:highlight w:val="yellow"/>
                <w:lang w:val="en-US"/>
              </w:rPr>
              <w:t xml:space="preserve"> (C9/A9)</w:t>
            </w:r>
          </w:p>
        </w:tc>
        <w:tc>
          <w:tcPr>
            <w:tcW w:w="2126" w:type="dxa"/>
            <w:shd w:val="clear" w:color="auto" w:fill="F2F2F2" w:themeFill="background1" w:themeFillShade="F2"/>
          </w:tcPr>
          <w:p w14:paraId="1C24D41F" w14:textId="662FD63F" w:rsidR="005C5EB6"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shd w:val="clear" w:color="auto" w:fill="F2F2F2" w:themeFill="background1" w:themeFillShade="F2"/>
          </w:tcPr>
          <w:p w14:paraId="4BEA6521" w14:textId="447A27FA" w:rsidR="005C5EB6"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tc>
      </w:tr>
      <w:tr w:rsidR="005C5EB6" w:rsidRPr="00C051DC" w14:paraId="61E84B63" w14:textId="77777777" w:rsidTr="0015465D">
        <w:trPr>
          <w:trHeight w:val="359"/>
        </w:trPr>
        <w:tc>
          <w:tcPr>
            <w:tcW w:w="3369" w:type="dxa"/>
            <w:shd w:val="clear" w:color="auto" w:fill="F2F2F2" w:themeFill="background1" w:themeFillShade="F2"/>
          </w:tcPr>
          <w:p w14:paraId="18203A07" w14:textId="77777777" w:rsidR="005C5EB6" w:rsidRPr="00C051DC" w:rsidRDefault="005C5EB6" w:rsidP="0015465D">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275ECA14" w14:textId="6E40E97A" w:rsidR="005C5EB6"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r w:rsidR="005C5EB6" w:rsidRPr="00C051DC">
              <w:rPr>
                <w:rFonts w:cs="Segoe UI"/>
                <w:sz w:val="20"/>
                <w:szCs w:val="20"/>
                <w:highlight w:val="yellow"/>
                <w:lang w:val="en-US"/>
              </w:rPr>
              <w:t>)</w:t>
            </w:r>
          </w:p>
        </w:tc>
        <w:tc>
          <w:tcPr>
            <w:tcW w:w="2126" w:type="dxa"/>
            <w:shd w:val="clear" w:color="auto" w:fill="F2F2F2" w:themeFill="background1" w:themeFillShade="F2"/>
          </w:tcPr>
          <w:p w14:paraId="7A7B2932" w14:textId="0679C5DC" w:rsidR="005C5EB6" w:rsidRPr="00C051DC" w:rsidRDefault="00A01BFC"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r w:rsidR="005C5EB6" w:rsidRPr="00C051DC">
              <w:rPr>
                <w:rFonts w:cs="Segoe UI"/>
                <w:sz w:val="20"/>
                <w:szCs w:val="20"/>
                <w:highlight w:val="yellow"/>
                <w:lang w:val="en-US"/>
              </w:rPr>
              <w:t>)</w:t>
            </w:r>
          </w:p>
        </w:tc>
      </w:tr>
      <w:tr w:rsidR="00A01BFC" w:rsidRPr="00C051DC" w14:paraId="34075A91" w14:textId="77777777" w:rsidTr="00A362FC">
        <w:trPr>
          <w:trHeight w:val="359"/>
        </w:trPr>
        <w:tc>
          <w:tcPr>
            <w:tcW w:w="7621" w:type="dxa"/>
            <w:gridSpan w:val="3"/>
            <w:tcBorders>
              <w:top w:val="single" w:sz="4" w:space="0" w:color="auto"/>
              <w:bottom w:val="single" w:sz="4" w:space="0" w:color="auto"/>
            </w:tcBorders>
            <w:shd w:val="clear" w:color="auto" w:fill="F2F2F2" w:themeFill="background1" w:themeFillShade="F2"/>
          </w:tcPr>
          <w:p w14:paraId="6AB4C570" w14:textId="789B9766" w:rsidR="00A01BFC" w:rsidRPr="00C051DC" w:rsidRDefault="00A01BFC" w:rsidP="00A01BFC">
            <w:pPr>
              <w:widowControl w:val="0"/>
              <w:autoSpaceDE w:val="0"/>
              <w:autoSpaceDN w:val="0"/>
              <w:adjustRightInd w:val="0"/>
              <w:spacing w:before="0" w:line="240" w:lineRule="auto"/>
              <w:rPr>
                <w:rFonts w:cs="Segoe UI"/>
                <w:b/>
                <w:sz w:val="20"/>
                <w:szCs w:val="20"/>
                <w:highlight w:val="yellow"/>
                <w:lang w:val="en-US"/>
              </w:rPr>
            </w:pPr>
            <w:r w:rsidRPr="00C051DC">
              <w:rPr>
                <w:rFonts w:cs="Segoe UI"/>
                <w:b/>
                <w:i/>
                <w:sz w:val="20"/>
                <w:szCs w:val="20"/>
                <w:highlight w:val="yellow"/>
                <w:lang w:val="en-US"/>
              </w:rPr>
              <w:t>Interaction Model: Press Freedom* Media</w:t>
            </w:r>
          </w:p>
        </w:tc>
      </w:tr>
      <w:tr w:rsidR="00A01BFC" w:rsidRPr="00C051DC" w14:paraId="59A70029" w14:textId="77777777" w:rsidTr="0015465D">
        <w:trPr>
          <w:trHeight w:val="359"/>
        </w:trPr>
        <w:tc>
          <w:tcPr>
            <w:tcW w:w="3369" w:type="dxa"/>
            <w:tcBorders>
              <w:top w:val="single" w:sz="4" w:space="0" w:color="auto"/>
            </w:tcBorders>
            <w:shd w:val="clear" w:color="auto" w:fill="F2F2F2" w:themeFill="background1" w:themeFillShade="F2"/>
          </w:tcPr>
          <w:p w14:paraId="02423FB6" w14:textId="79F7031C" w:rsidR="00A01BFC" w:rsidRPr="00C051DC" w:rsidRDefault="00A01BFC" w:rsidP="00A01BFC">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Media</w:t>
            </w:r>
          </w:p>
          <w:p w14:paraId="4292EA9B" w14:textId="77777777" w:rsidR="00A01BFC" w:rsidRPr="00C051DC" w:rsidRDefault="00A01BFC" w:rsidP="00A01BFC">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1-4 sources</w:t>
            </w:r>
          </w:p>
          <w:p w14:paraId="193F0CB6" w14:textId="77777777" w:rsidR="00A01BFC" w:rsidRPr="00C051DC" w:rsidRDefault="00A01BFC" w:rsidP="00A01BFC">
            <w:pPr>
              <w:widowControl w:val="0"/>
              <w:autoSpaceDE w:val="0"/>
              <w:autoSpaceDN w:val="0"/>
              <w:adjustRightInd w:val="0"/>
              <w:spacing w:before="0" w:line="240" w:lineRule="auto"/>
              <w:rPr>
                <w:rFonts w:cs="Segoe UI"/>
                <w:i/>
                <w:sz w:val="20"/>
                <w:szCs w:val="20"/>
                <w:highlight w:val="yellow"/>
                <w:lang w:val="en-US"/>
              </w:rPr>
            </w:pPr>
          </w:p>
          <w:p w14:paraId="192A3057" w14:textId="22D768C7" w:rsidR="00A01BFC" w:rsidRPr="00C051DC" w:rsidRDefault="00A01BFC" w:rsidP="00A01BFC">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5+ sources</w:t>
            </w:r>
          </w:p>
        </w:tc>
        <w:tc>
          <w:tcPr>
            <w:tcW w:w="2126" w:type="dxa"/>
            <w:tcBorders>
              <w:top w:val="single" w:sz="4" w:space="0" w:color="auto"/>
            </w:tcBorders>
            <w:shd w:val="clear" w:color="auto" w:fill="F2F2F2" w:themeFill="background1" w:themeFillShade="F2"/>
          </w:tcPr>
          <w:p w14:paraId="45E9DD3A" w14:textId="77777777"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p>
          <w:p w14:paraId="37D8DB7A" w14:textId="20834DB9"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0.19</w:t>
            </w:r>
          </w:p>
          <w:p w14:paraId="1568B642" w14:textId="297AC929"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(0.13)</w:t>
            </w:r>
          </w:p>
          <w:p w14:paraId="028D2DE9" w14:textId="745EE519"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0.13</w:t>
            </w:r>
          </w:p>
        </w:tc>
        <w:tc>
          <w:tcPr>
            <w:tcW w:w="2126" w:type="dxa"/>
            <w:tcBorders>
              <w:top w:val="single" w:sz="4" w:space="0" w:color="auto"/>
            </w:tcBorders>
            <w:shd w:val="clear" w:color="auto" w:fill="F2F2F2" w:themeFill="background1" w:themeFillShade="F2"/>
          </w:tcPr>
          <w:p w14:paraId="5CB10743" w14:textId="77777777"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p>
          <w:p w14:paraId="0E708523" w14:textId="32EBA3D5"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w:t>
            </w:r>
            <w:r w:rsidR="006C3907" w:rsidRPr="00C051DC">
              <w:rPr>
                <w:rFonts w:cs="Segoe UI"/>
                <w:sz w:val="20"/>
                <w:szCs w:val="20"/>
                <w:highlight w:val="yellow"/>
                <w:lang w:val="en-US"/>
              </w:rPr>
              <w:t>38*</w:t>
            </w:r>
          </w:p>
          <w:p w14:paraId="0DB0437E" w14:textId="27F03509"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w:t>
            </w:r>
            <w:r w:rsidR="006C3907" w:rsidRPr="00C051DC">
              <w:rPr>
                <w:rFonts w:cs="Segoe UI"/>
                <w:sz w:val="20"/>
                <w:szCs w:val="20"/>
                <w:highlight w:val="yellow"/>
                <w:lang w:val="en-US"/>
              </w:rPr>
              <w:t>6</w:t>
            </w:r>
            <w:r w:rsidRPr="00C051DC">
              <w:rPr>
                <w:rFonts w:cs="Segoe UI"/>
                <w:sz w:val="20"/>
                <w:szCs w:val="20"/>
                <w:highlight w:val="yellow"/>
                <w:lang w:val="en-US"/>
              </w:rPr>
              <w:t>)</w:t>
            </w:r>
          </w:p>
          <w:p w14:paraId="7D26EEE0" w14:textId="0482F676"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w:t>
            </w:r>
            <w:r w:rsidR="006C3907" w:rsidRPr="00C051DC">
              <w:rPr>
                <w:rFonts w:cs="Segoe UI"/>
                <w:sz w:val="20"/>
                <w:szCs w:val="20"/>
                <w:highlight w:val="yellow"/>
                <w:lang w:val="en-US"/>
              </w:rPr>
              <w:t>48***</w:t>
            </w:r>
          </w:p>
        </w:tc>
      </w:tr>
      <w:tr w:rsidR="00A01BFC" w:rsidRPr="00C051DC" w14:paraId="09E0FF44" w14:textId="77777777" w:rsidTr="006C3907">
        <w:trPr>
          <w:trHeight w:val="359"/>
        </w:trPr>
        <w:tc>
          <w:tcPr>
            <w:tcW w:w="3369" w:type="dxa"/>
            <w:shd w:val="clear" w:color="auto" w:fill="F2F2F2" w:themeFill="background1" w:themeFillShade="F2"/>
          </w:tcPr>
          <w:p w14:paraId="76BE0E51" w14:textId="77777777" w:rsidR="00A01BFC" w:rsidRPr="00C051DC" w:rsidRDefault="00A01BFC" w:rsidP="00A01BFC">
            <w:pPr>
              <w:widowControl w:val="0"/>
              <w:autoSpaceDE w:val="0"/>
              <w:autoSpaceDN w:val="0"/>
              <w:adjustRightInd w:val="0"/>
              <w:spacing w:before="0" w:line="240" w:lineRule="auto"/>
              <w:rPr>
                <w:rFonts w:cs="Segoe UI"/>
                <w:sz w:val="20"/>
                <w:szCs w:val="20"/>
                <w:highlight w:val="yellow"/>
                <w:lang w:val="en-US"/>
              </w:rPr>
            </w:pPr>
          </w:p>
        </w:tc>
        <w:tc>
          <w:tcPr>
            <w:tcW w:w="2126" w:type="dxa"/>
            <w:shd w:val="clear" w:color="auto" w:fill="F2F2F2" w:themeFill="background1" w:themeFillShade="F2"/>
          </w:tcPr>
          <w:p w14:paraId="74382911" w14:textId="6B71415D"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(0.14)</w:t>
            </w:r>
          </w:p>
        </w:tc>
        <w:tc>
          <w:tcPr>
            <w:tcW w:w="2126" w:type="dxa"/>
            <w:shd w:val="clear" w:color="auto" w:fill="F2F2F2" w:themeFill="background1" w:themeFillShade="F2"/>
          </w:tcPr>
          <w:p w14:paraId="298C63E5" w14:textId="26050A9A" w:rsidR="00A01BFC" w:rsidRPr="00C051DC" w:rsidRDefault="00A01BFC" w:rsidP="00A01BFC">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w:t>
            </w:r>
            <w:r w:rsidR="006C3907" w:rsidRPr="00C051DC">
              <w:rPr>
                <w:rFonts w:cs="Segoe UI"/>
                <w:sz w:val="20"/>
                <w:szCs w:val="20"/>
                <w:highlight w:val="yellow"/>
                <w:lang w:val="en-US"/>
              </w:rPr>
              <w:t>6</w:t>
            </w:r>
            <w:r w:rsidRPr="00C051DC">
              <w:rPr>
                <w:rFonts w:cs="Segoe UI"/>
                <w:sz w:val="20"/>
                <w:szCs w:val="20"/>
                <w:highlight w:val="yellow"/>
                <w:lang w:val="en-US"/>
              </w:rPr>
              <w:t>)</w:t>
            </w:r>
          </w:p>
        </w:tc>
      </w:tr>
      <w:tr w:rsidR="006C3907" w:rsidRPr="00C051DC" w14:paraId="417F14C6" w14:textId="77777777" w:rsidTr="006C3907">
        <w:trPr>
          <w:trHeight w:val="359"/>
        </w:trPr>
        <w:tc>
          <w:tcPr>
            <w:tcW w:w="3369" w:type="dxa"/>
            <w:tcBorders>
              <w:bottom w:val="single" w:sz="4" w:space="0" w:color="auto"/>
            </w:tcBorders>
            <w:shd w:val="clear" w:color="auto" w:fill="F2F2F2" w:themeFill="background1" w:themeFillShade="F2"/>
          </w:tcPr>
          <w:p w14:paraId="6C26B077" w14:textId="7CF065BB" w:rsidR="006C3907" w:rsidRPr="00C051DC" w:rsidRDefault="006C3907" w:rsidP="0015465D">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Press Freedom (0-100)</w:t>
            </w:r>
          </w:p>
        </w:tc>
        <w:tc>
          <w:tcPr>
            <w:tcW w:w="2126" w:type="dxa"/>
            <w:tcBorders>
              <w:bottom w:val="single" w:sz="4" w:space="0" w:color="auto"/>
            </w:tcBorders>
            <w:shd w:val="clear" w:color="auto" w:fill="F2F2F2" w:themeFill="background1" w:themeFillShade="F2"/>
          </w:tcPr>
          <w:p w14:paraId="7C296827" w14:textId="77777777"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234CC4D6" w14:textId="26CA25B2"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tcBorders>
              <w:bottom w:val="single" w:sz="4" w:space="0" w:color="auto"/>
            </w:tcBorders>
            <w:shd w:val="clear" w:color="auto" w:fill="F2F2F2" w:themeFill="background1" w:themeFillShade="F2"/>
          </w:tcPr>
          <w:p w14:paraId="49AE31CD" w14:textId="77777777"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-0.03***</w:t>
            </w:r>
          </w:p>
          <w:p w14:paraId="5328061B" w14:textId="152D144D"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5C5EB6" w:rsidRPr="00C051DC" w14:paraId="474BF404" w14:textId="77777777" w:rsidTr="006C3907">
        <w:trPr>
          <w:trHeight w:val="359"/>
        </w:trPr>
        <w:tc>
          <w:tcPr>
            <w:tcW w:w="3369" w:type="dxa"/>
            <w:tcBorders>
              <w:top w:val="single" w:sz="4" w:space="0" w:color="auto"/>
            </w:tcBorders>
            <w:shd w:val="clear" w:color="auto" w:fill="F2F2F2" w:themeFill="background1" w:themeFillShade="F2"/>
          </w:tcPr>
          <w:p w14:paraId="364D96E1" w14:textId="77777777" w:rsidR="005C5EB6" w:rsidRPr="00C051DC" w:rsidRDefault="006C3907" w:rsidP="0015465D">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Press Freedom* Media</w:t>
            </w:r>
          </w:p>
          <w:p w14:paraId="431D6969" w14:textId="77777777" w:rsidR="006C3907" w:rsidRPr="00C051DC" w:rsidRDefault="006C3907" w:rsidP="0015465D">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1-4 sources</w:t>
            </w:r>
          </w:p>
          <w:p w14:paraId="011ECD0D" w14:textId="77777777" w:rsidR="006C3907" w:rsidRPr="00C051DC" w:rsidRDefault="006C3907" w:rsidP="0015465D">
            <w:pPr>
              <w:widowControl w:val="0"/>
              <w:autoSpaceDE w:val="0"/>
              <w:autoSpaceDN w:val="0"/>
              <w:adjustRightInd w:val="0"/>
              <w:spacing w:before="0" w:line="240" w:lineRule="auto"/>
              <w:rPr>
                <w:rFonts w:cs="Segoe UI"/>
                <w:i/>
                <w:sz w:val="20"/>
                <w:szCs w:val="20"/>
                <w:highlight w:val="yellow"/>
                <w:lang w:val="en-US"/>
              </w:rPr>
            </w:pPr>
          </w:p>
          <w:p w14:paraId="17AD9A97" w14:textId="46885DCB" w:rsidR="006C3907" w:rsidRPr="00C051DC" w:rsidRDefault="006C3907" w:rsidP="0015465D">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5+ sources</w:t>
            </w:r>
          </w:p>
        </w:tc>
        <w:tc>
          <w:tcPr>
            <w:tcW w:w="2126" w:type="dxa"/>
            <w:tcBorders>
              <w:top w:val="single" w:sz="4" w:space="0" w:color="auto"/>
            </w:tcBorders>
            <w:shd w:val="clear" w:color="auto" w:fill="F2F2F2" w:themeFill="background1" w:themeFillShade="F2"/>
          </w:tcPr>
          <w:p w14:paraId="772B62D8" w14:textId="77777777"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p>
          <w:p w14:paraId="330E2B34" w14:textId="77777777"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34DFFEB6" w14:textId="77777777"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5DBDBB28" w14:textId="77777777"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7A103FE2" w14:textId="4454745E"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tcBorders>
              <w:top w:val="single" w:sz="4" w:space="0" w:color="auto"/>
            </w:tcBorders>
            <w:shd w:val="clear" w:color="auto" w:fill="F2F2F2" w:themeFill="background1" w:themeFillShade="F2"/>
          </w:tcPr>
          <w:p w14:paraId="4F4E0151" w14:textId="77777777"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p>
          <w:p w14:paraId="5E464DE2" w14:textId="09FEE03E"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064A758B" w14:textId="77777777"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p w14:paraId="3D246A67" w14:textId="77777777"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5C6FC7AC" w14:textId="5C6A8DAA" w:rsidR="006C3907" w:rsidRPr="00C051DC" w:rsidRDefault="006C3907" w:rsidP="0015465D">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r>
      <w:tr w:rsidR="005C5EB6" w:rsidRPr="00C051DC" w14:paraId="3DBF6943" w14:textId="77777777" w:rsidTr="0015465D">
        <w:trPr>
          <w:trHeight w:val="359"/>
        </w:trPr>
        <w:tc>
          <w:tcPr>
            <w:tcW w:w="3369" w:type="dxa"/>
            <w:shd w:val="clear" w:color="auto" w:fill="F2F2F2" w:themeFill="background1" w:themeFillShade="F2"/>
          </w:tcPr>
          <w:p w14:paraId="47DD11D2" w14:textId="77777777" w:rsidR="005C5EB6" w:rsidRPr="00C051DC" w:rsidRDefault="005C5EB6" w:rsidP="0015465D">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0701935D" w14:textId="49711DA2"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p>
        </w:tc>
        <w:tc>
          <w:tcPr>
            <w:tcW w:w="2126" w:type="dxa"/>
            <w:shd w:val="clear" w:color="auto" w:fill="F2F2F2" w:themeFill="background1" w:themeFillShade="F2"/>
          </w:tcPr>
          <w:p w14:paraId="627F03BE" w14:textId="7DB2A501" w:rsidR="005C5EB6" w:rsidRPr="00C051DC" w:rsidRDefault="005C5EB6" w:rsidP="0015465D">
            <w:pPr>
              <w:widowControl w:val="0"/>
              <w:autoSpaceDE w:val="0"/>
              <w:autoSpaceDN w:val="0"/>
              <w:adjustRightInd w:val="0"/>
              <w:spacing w:before="0" w:line="240" w:lineRule="auto"/>
              <w:jc w:val="center"/>
              <w:rPr>
                <w:rFonts w:cs="Segoe UI"/>
                <w:sz w:val="20"/>
                <w:szCs w:val="20"/>
                <w:highlight w:val="yellow"/>
                <w:lang w:val="en-US"/>
              </w:rPr>
            </w:pPr>
          </w:p>
        </w:tc>
      </w:tr>
    </w:tbl>
    <w:p w14:paraId="58DD2C18" w14:textId="650D767F" w:rsidR="005C5EB6" w:rsidRDefault="005C5EB6" w:rsidP="005C5EB6">
      <w:pPr>
        <w:widowControl w:val="0"/>
        <w:autoSpaceDE w:val="0"/>
        <w:autoSpaceDN w:val="0"/>
        <w:adjustRightInd w:val="0"/>
        <w:spacing w:line="240" w:lineRule="auto"/>
        <w:rPr>
          <w:rFonts w:cs="Segoe UI"/>
          <w:i/>
          <w:sz w:val="16"/>
          <w:szCs w:val="16"/>
          <w:highlight w:val="yellow"/>
          <w:lang w:val="en-US"/>
        </w:rPr>
      </w:pPr>
      <w:r w:rsidRPr="00C051DC">
        <w:rPr>
          <w:rFonts w:cs="Segoe UI"/>
          <w:i/>
          <w:sz w:val="16"/>
          <w:szCs w:val="16"/>
          <w:highlight w:val="yellow"/>
          <w:lang w:val="en-US"/>
        </w:rPr>
        <w:t xml:space="preserve">Standard errors in brackets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0.05,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0.01,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0.001</w:t>
      </w:r>
    </w:p>
    <w:p w14:paraId="5087E092" w14:textId="77777777" w:rsidR="008D05CD" w:rsidRPr="00C051DC" w:rsidRDefault="008D05CD" w:rsidP="005C5EB6">
      <w:pPr>
        <w:widowControl w:val="0"/>
        <w:autoSpaceDE w:val="0"/>
        <w:autoSpaceDN w:val="0"/>
        <w:adjustRightInd w:val="0"/>
        <w:spacing w:line="240" w:lineRule="auto"/>
        <w:rPr>
          <w:rFonts w:cs="Segoe UI"/>
          <w:i/>
          <w:sz w:val="16"/>
          <w:szCs w:val="16"/>
          <w:highlight w:val="yellow"/>
          <w:lang w:val="en-US"/>
        </w:rPr>
      </w:pPr>
    </w:p>
    <w:p w14:paraId="78930A08" w14:textId="77777777" w:rsidR="008D05CD" w:rsidRPr="00C051DC" w:rsidRDefault="008D05CD" w:rsidP="008D05CD">
      <w:pPr>
        <w:rPr>
          <w:highlight w:val="yellow"/>
        </w:rPr>
      </w:pPr>
      <w:r w:rsidRPr="00C051DC">
        <w:rPr>
          <w:highlight w:val="yellow"/>
        </w:rPr>
        <w:t xml:space="preserve">Therefore we do find some evidence of an information environment effect </w:t>
      </w:r>
      <w:r w:rsidRPr="00C051DC">
        <w:rPr>
          <w:highlight w:val="yellow"/>
        </w:rPr>
        <w:fldChar w:fldCharType="begin" w:fldLock="1"/>
      </w:r>
      <w:r w:rsidRPr="00C051DC">
        <w:rPr>
          <w:highlight w:val="yellow"/>
        </w:rPr>
        <w:instrText>ADDIN CSL_CITATION { "citationItems" : [ { "id" : "ITEM-1", "itemData" : { "author" : [ { "dropping-particle" : "", "family" : "Jerit", "given" : "Jennifer", "non-dropping-particle" : "", "parse-names" : false, "suffix" : "" }, { "dropping-particle" : "", "family" : "Barabas", "given" : "Jason", "non-dropping-particle" : "", "parse-names" : false, "suffix" : "" }, { "dropping-particle" : "", "family" : "Bolsen", "given" : "Toby", "non-dropping-particle" : "", "parse-names" : false, "suffix" : "" } ], "container-title" : "American Journal of Political Science", "id" : "ITEM-1", "issue" : "2", "issued" : { "date-parts" : [ [ "2006" ] ] }, "page" : "266-282", "title" : "Citizens, Knowledge, and the Information Environment", "type" : "article-journal", "volume" : "50" }, "uris" : [ "http://www.mendeley.com/documents/?uuid=e7ae7df9-86d1-4370-8568-003e0505aa9e" ] } ], "mendeley" : { "formattedCitation" : "(Jerit, Barabas and Bolsen, 2006)", "plainTextFormattedCitation" : "(Jerit, Barabas and Bolsen, 2006)", "previouslyFormattedCitation" : "(Jerit, Barabas and Bolsen, 2006)" }, "properties" : { "noteIndex" : 0 }, "schema" : "https://github.com/citation-style-language/schema/raw/master/csl-citation.json" }</w:instrText>
      </w:r>
      <w:r w:rsidRPr="00C051DC">
        <w:rPr>
          <w:highlight w:val="yellow"/>
        </w:rPr>
        <w:fldChar w:fldCharType="separate"/>
      </w:r>
      <w:r w:rsidRPr="00C051DC">
        <w:rPr>
          <w:noProof/>
          <w:highlight w:val="yellow"/>
        </w:rPr>
        <w:t>(Jerit, Barabas and Bolsen, 2006)</w:t>
      </w:r>
      <w:r w:rsidRPr="00C051DC">
        <w:rPr>
          <w:highlight w:val="yellow"/>
        </w:rPr>
        <w:fldChar w:fldCharType="end"/>
      </w:r>
      <w:r w:rsidRPr="00C051DC">
        <w:rPr>
          <w:highlight w:val="yellow"/>
        </w:rPr>
        <w:t>. Whilst reading lots of media, in any context, seems to inform respondents about the compound (liberal-centred) notions of democracy, reading lots of media in a country where the media is under heavy influence of the state might lead individuals towards an authoritarian understanding of democracy.</w:t>
      </w:r>
    </w:p>
    <w:p w14:paraId="1652A00A" w14:textId="77777777" w:rsidR="008D05CD" w:rsidRPr="00C051DC" w:rsidRDefault="008D05CD" w:rsidP="008D05CD">
      <w:pPr>
        <w:rPr>
          <w:szCs w:val="24"/>
          <w:highlight w:val="yellow"/>
        </w:rPr>
      </w:pPr>
      <w:r w:rsidRPr="00C051DC">
        <w:rPr>
          <w:szCs w:val="24"/>
          <w:highlight w:val="yellow"/>
        </w:rPr>
        <w:t>Taken together it would suggest that media use and interest in politics are important factors in accounting for a compound understanding of democracy. This is in line with the expectations from cognitive engagement theory that those who are actively seeking out news about the world, and who claim to be more interested in politics, are more likely to have an understanding of democracy that contains the defining liberal elements, as this compound understanding does.</w:t>
      </w:r>
    </w:p>
    <w:p w14:paraId="5C794C0A" w14:textId="77777777" w:rsidR="008D05CD" w:rsidRDefault="008D05CD" w:rsidP="00127E4B">
      <w:pPr>
        <w:rPr>
          <w:b/>
          <w:i/>
          <w:highlight w:val="yellow"/>
        </w:rPr>
      </w:pPr>
    </w:p>
    <w:p w14:paraId="3FF7084F" w14:textId="0AD47B31" w:rsidR="008D05CD" w:rsidRPr="00717D00" w:rsidRDefault="00975CA1" w:rsidP="00127E4B">
      <w:pPr>
        <w:rPr>
          <w:b/>
          <w:highlight w:val="yellow"/>
        </w:rPr>
      </w:pPr>
      <w:bookmarkStart w:id="336" w:name="_Toc494687183"/>
      <w:r w:rsidRPr="00717D00">
        <w:rPr>
          <w:b/>
          <w:highlight w:val="yellow"/>
        </w:rPr>
        <w:t xml:space="preserve">Figure </w:t>
      </w:r>
      <w:r w:rsidRPr="00717D00">
        <w:rPr>
          <w:b/>
          <w:highlight w:val="yellow"/>
        </w:rPr>
        <w:fldChar w:fldCharType="begin"/>
      </w:r>
      <w:r w:rsidRPr="00717D00">
        <w:rPr>
          <w:b/>
          <w:highlight w:val="yellow"/>
        </w:rPr>
        <w:instrText xml:space="preserve"> STYLEREF 1 \s </w:instrText>
      </w:r>
      <w:r w:rsidRPr="00717D00">
        <w:rPr>
          <w:b/>
          <w:highlight w:val="yellow"/>
        </w:rPr>
        <w:fldChar w:fldCharType="separate"/>
      </w:r>
      <w:r w:rsidRPr="00717D00">
        <w:rPr>
          <w:b/>
          <w:noProof/>
          <w:highlight w:val="yellow"/>
        </w:rPr>
        <w:t>5</w:t>
      </w:r>
      <w:r w:rsidRPr="00717D00">
        <w:rPr>
          <w:b/>
          <w:noProof/>
          <w:highlight w:val="yellow"/>
        </w:rPr>
        <w:fldChar w:fldCharType="end"/>
      </w:r>
      <w:r w:rsidRPr="00717D00">
        <w:rPr>
          <w:b/>
          <w:highlight w:val="yellow"/>
        </w:rPr>
        <w:t>:</w:t>
      </w:r>
      <w:r w:rsidRPr="00717D00">
        <w:rPr>
          <w:b/>
          <w:highlight w:val="yellow"/>
        </w:rPr>
        <w:fldChar w:fldCharType="begin"/>
      </w:r>
      <w:r w:rsidRPr="00717D00">
        <w:rPr>
          <w:b/>
          <w:highlight w:val="yellow"/>
        </w:rPr>
        <w:instrText xml:space="preserve"> SEQ Figure \* ARABIC \s 1 </w:instrText>
      </w:r>
      <w:r w:rsidRPr="00717D00">
        <w:rPr>
          <w:b/>
          <w:highlight w:val="yellow"/>
        </w:rPr>
        <w:fldChar w:fldCharType="separate"/>
      </w:r>
      <w:r w:rsidR="007B459E">
        <w:rPr>
          <w:b/>
          <w:noProof/>
          <w:highlight w:val="yellow"/>
        </w:rPr>
        <w:t>19</w:t>
      </w:r>
      <w:r w:rsidRPr="00717D00">
        <w:rPr>
          <w:b/>
          <w:noProof/>
          <w:highlight w:val="yellow"/>
        </w:rPr>
        <w:fldChar w:fldCharType="end"/>
      </w:r>
      <w:r w:rsidR="008D05CD" w:rsidRPr="00717D00">
        <w:rPr>
          <w:b/>
          <w:highlight w:val="yellow"/>
        </w:rPr>
        <w:t xml:space="preserve"> Predictive Margins for Compound understanding of democracy and Media use*Press Freedom Interaction</w:t>
      </w:r>
      <w:bookmarkEnd w:id="336"/>
      <w:r w:rsidR="008D05CD" w:rsidRPr="00717D00">
        <w:rPr>
          <w:b/>
          <w:highlight w:val="yellow"/>
        </w:rPr>
        <w:t xml:space="preserve">  </w:t>
      </w:r>
    </w:p>
    <w:p w14:paraId="11EE2616" w14:textId="18CF9765" w:rsidR="00653066" w:rsidRPr="00C051DC" w:rsidRDefault="00B23D63" w:rsidP="00127E4B">
      <w:pPr>
        <w:rPr>
          <w:szCs w:val="24"/>
          <w:highlight w:val="yellow"/>
        </w:rPr>
      </w:pPr>
      <w:r w:rsidRPr="00B23D63">
        <w:rPr>
          <w:b/>
          <w:i/>
          <w:noProof/>
          <w:highlight w:val="yellow"/>
          <w:lang w:eastAsia="zh-CN"/>
        </w:rPr>
        <mc:AlternateContent>
          <mc:Choice Requires="wps">
            <w:drawing>
              <wp:anchor distT="45720" distB="45720" distL="114300" distR="114300" simplePos="0" relativeHeight="251661824" behindDoc="0" locked="0" layoutInCell="1" allowOverlap="1" wp14:anchorId="0B64D078" wp14:editId="0BD6545A">
                <wp:simplePos x="0" y="0"/>
                <wp:positionH relativeFrom="column">
                  <wp:posOffset>2897505</wp:posOffset>
                </wp:positionH>
                <wp:positionV relativeFrom="paragraph">
                  <wp:posOffset>2871470</wp:posOffset>
                </wp:positionV>
                <wp:extent cx="11144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1BE8A25E" w14:textId="3526BE9C" w:rsidR="00C65616" w:rsidRPr="00B23D63" w:rsidRDefault="00C65616">
                            <w:pPr>
                              <w:rPr>
                                <w:sz w:val="20"/>
                              </w:rPr>
                            </w:pPr>
                            <w:r w:rsidRPr="00B23D63">
                              <w:rPr>
                                <w:sz w:val="20"/>
                              </w:rPr>
                              <w:t xml:space="preserve">Media Sources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64D078" id="_x0000_s1063" type="#_x0000_t202" style="position:absolute;margin-left:228.15pt;margin-top:226.1pt;width:87.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" filled="f" stroked="f">
                <v:textbox style="mso-fit-shape-to-text:t">
                  <w:txbxContent>
                    <w:p w14:paraId="1BE8A25E" w14:textId="3526BE9C" w:rsidR="00C65616" w:rsidRPr="00B23D63" w:rsidRDefault="00C65616">
                      <w:pPr>
                        <w:rPr>
                          <w:sz w:val="20"/>
                        </w:rPr>
                      </w:pPr>
                      <w:r w:rsidRPr="00B23D63">
                        <w:rPr>
                          <w:sz w:val="20"/>
                        </w:rPr>
                        <w:t xml:space="preserve">Media Sources </w:t>
                      </w:r>
                    </w:p>
                  </w:txbxContent>
                </v:textbox>
              </v:shape>
            </w:pict>
          </mc:Fallback>
        </mc:AlternateContent>
      </w:r>
      <w:r w:rsidR="008D05CD" w:rsidRPr="008D05CD">
        <w:rPr>
          <w:b/>
          <w:i/>
          <w:highlight w:val="yellow"/>
        </w:rPr>
        <w:t>Freedom</w:t>
      </w:r>
      <w:r w:rsidR="00653066" w:rsidRPr="00C051DC">
        <w:rPr>
          <w:noProof/>
          <w:szCs w:val="24"/>
          <w:highlight w:val="yellow"/>
          <w:lang w:eastAsia="zh-CN"/>
        </w:rPr>
        <w:drawing>
          <wp:inline distT="0" distB="0" distL="0" distR="0" wp14:anchorId="1273CB42" wp14:editId="7001224C">
            <wp:extent cx="4533900" cy="33176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0325" cy="3322354"/>
                    </a:xfrm>
                    <a:prstGeom prst="rect">
                      <a:avLst/>
                    </a:prstGeom>
                    <a:noFill/>
                    <a:ln>
                      <a:noFill/>
                    </a:ln>
                  </pic:spPr>
                </pic:pic>
              </a:graphicData>
            </a:graphic>
          </wp:inline>
        </w:drawing>
      </w:r>
    </w:p>
    <w:p w14:paraId="1065935A" w14:textId="34EF1C55" w:rsidR="008D05CD" w:rsidRPr="00717D00" w:rsidRDefault="008D05CD" w:rsidP="008D05CD">
      <w:pPr>
        <w:rPr>
          <w:b/>
          <w:highlight w:val="yellow"/>
        </w:rPr>
      </w:pPr>
      <w:bookmarkStart w:id="337" w:name="_Toc494687184"/>
      <w:r w:rsidRPr="00717D00">
        <w:rPr>
          <w:b/>
          <w:highlight w:val="yellow"/>
        </w:rPr>
        <w:t xml:space="preserve">Figure </w:t>
      </w:r>
      <w:r w:rsidRPr="00717D00">
        <w:rPr>
          <w:b/>
          <w:highlight w:val="yellow"/>
        </w:rPr>
        <w:fldChar w:fldCharType="begin"/>
      </w:r>
      <w:r w:rsidRPr="00717D00">
        <w:rPr>
          <w:b/>
          <w:highlight w:val="yellow"/>
        </w:rPr>
        <w:instrText xml:space="preserve"> STYLEREF 1 \s </w:instrText>
      </w:r>
      <w:r w:rsidRPr="00717D00">
        <w:rPr>
          <w:b/>
          <w:highlight w:val="yellow"/>
        </w:rPr>
        <w:fldChar w:fldCharType="separate"/>
      </w:r>
      <w:r w:rsidRPr="00717D00">
        <w:rPr>
          <w:b/>
          <w:noProof/>
          <w:highlight w:val="yellow"/>
        </w:rPr>
        <w:t>5</w:t>
      </w:r>
      <w:r w:rsidRPr="00717D00">
        <w:rPr>
          <w:b/>
          <w:noProof/>
          <w:highlight w:val="yellow"/>
        </w:rPr>
        <w:fldChar w:fldCharType="end"/>
      </w:r>
      <w:r w:rsidRPr="00717D00">
        <w:rPr>
          <w:b/>
          <w:highlight w:val="yellow"/>
        </w:rPr>
        <w:t>:</w:t>
      </w:r>
      <w:r w:rsidRPr="00717D00">
        <w:rPr>
          <w:b/>
          <w:highlight w:val="yellow"/>
        </w:rPr>
        <w:fldChar w:fldCharType="begin"/>
      </w:r>
      <w:r w:rsidRPr="00717D00">
        <w:rPr>
          <w:b/>
          <w:highlight w:val="yellow"/>
        </w:rPr>
        <w:instrText xml:space="preserve"> SEQ Figure \* ARABIC \s 1 </w:instrText>
      </w:r>
      <w:r w:rsidRPr="00717D00">
        <w:rPr>
          <w:b/>
          <w:highlight w:val="yellow"/>
        </w:rPr>
        <w:fldChar w:fldCharType="separate"/>
      </w:r>
      <w:r w:rsidR="007B459E">
        <w:rPr>
          <w:b/>
          <w:noProof/>
          <w:highlight w:val="yellow"/>
        </w:rPr>
        <w:t>20</w:t>
      </w:r>
      <w:r w:rsidRPr="00717D00">
        <w:rPr>
          <w:b/>
          <w:noProof/>
          <w:highlight w:val="yellow"/>
        </w:rPr>
        <w:fldChar w:fldCharType="end"/>
      </w:r>
      <w:r w:rsidRPr="00717D00">
        <w:rPr>
          <w:b/>
          <w:highlight w:val="yellow"/>
        </w:rPr>
        <w:t xml:space="preserve"> Predictive Margins for Authoritarian understanding of democracy and Media use*Press Freedom Interaction</w:t>
      </w:r>
      <w:bookmarkEnd w:id="337"/>
      <w:r w:rsidRPr="00717D00">
        <w:rPr>
          <w:b/>
          <w:highlight w:val="yellow"/>
        </w:rPr>
        <w:t xml:space="preserve"> </w:t>
      </w:r>
    </w:p>
    <w:p w14:paraId="5EFD6F3A" w14:textId="6EEFB1FD" w:rsidR="00C52825" w:rsidRPr="00C051DC" w:rsidRDefault="00B23D63" w:rsidP="00686220">
      <w:pPr>
        <w:rPr>
          <w:highlight w:val="yellow"/>
        </w:rPr>
      </w:pPr>
      <w:r w:rsidRPr="00B23D63">
        <w:rPr>
          <w:b/>
          <w:i/>
          <w:noProof/>
          <w:highlight w:val="yellow"/>
          <w:lang w:eastAsia="zh-CN"/>
        </w:rPr>
        <mc:AlternateContent>
          <mc:Choice Requires="wps">
            <w:drawing>
              <wp:anchor distT="45720" distB="45720" distL="114300" distR="114300" simplePos="0" relativeHeight="251663872" behindDoc="0" locked="0" layoutInCell="1" allowOverlap="1" wp14:anchorId="7A2D9885" wp14:editId="72F8BE29">
                <wp:simplePos x="0" y="0"/>
                <wp:positionH relativeFrom="column">
                  <wp:posOffset>2611755</wp:posOffset>
                </wp:positionH>
                <wp:positionV relativeFrom="paragraph">
                  <wp:posOffset>3138805</wp:posOffset>
                </wp:positionV>
                <wp:extent cx="1114425" cy="140462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0C1046B9" w14:textId="77777777" w:rsidR="00C65616" w:rsidRPr="00B23D63" w:rsidRDefault="00C65616" w:rsidP="00B23D63">
                            <w:pPr>
                              <w:rPr>
                                <w:sz w:val="20"/>
                              </w:rPr>
                            </w:pPr>
                            <w:r w:rsidRPr="00B23D63">
                              <w:rPr>
                                <w:sz w:val="20"/>
                              </w:rPr>
                              <w:t xml:space="preserve">Media Sources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2D9885" id="_x0000_s1064" type="#_x0000_t202" style="position:absolute;margin-left:205.65pt;margin-top:247.15pt;width:87.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" filled="f" stroked="f">
                <v:textbox style="mso-fit-shape-to-text:t">
                  <w:txbxContent>
                    <w:p w14:paraId="0C1046B9" w14:textId="77777777" w:rsidR="00C65616" w:rsidRPr="00B23D63" w:rsidRDefault="00C65616" w:rsidP="00B23D63">
                      <w:pPr>
                        <w:rPr>
                          <w:sz w:val="20"/>
                        </w:rPr>
                      </w:pPr>
                      <w:r w:rsidRPr="00B23D63">
                        <w:rPr>
                          <w:sz w:val="20"/>
                        </w:rPr>
                        <w:t xml:space="preserve">Media Sources </w:t>
                      </w:r>
                    </w:p>
                  </w:txbxContent>
                </v:textbox>
              </v:shape>
            </w:pict>
          </mc:Fallback>
        </mc:AlternateContent>
      </w:r>
      <w:r w:rsidR="00653066" w:rsidRPr="00C051DC">
        <w:rPr>
          <w:noProof/>
          <w:highlight w:val="yellow"/>
          <w:lang w:eastAsia="zh-CN"/>
        </w:rPr>
        <w:drawing>
          <wp:inline distT="0" distB="0" distL="0" distR="0" wp14:anchorId="3B8DE15C" wp14:editId="5DD128A7">
            <wp:extent cx="4972050" cy="363826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88736" cy="3650476"/>
                    </a:xfrm>
                    <a:prstGeom prst="rect">
                      <a:avLst/>
                    </a:prstGeom>
                    <a:noFill/>
                    <a:ln>
                      <a:noFill/>
                    </a:ln>
                  </pic:spPr>
                </pic:pic>
              </a:graphicData>
            </a:graphic>
          </wp:inline>
        </w:drawing>
      </w:r>
    </w:p>
    <w:p w14:paraId="77EC83EE" w14:textId="77777777" w:rsidR="003600BE" w:rsidRPr="00C051DC" w:rsidRDefault="003600BE" w:rsidP="008C5573">
      <w:pPr>
        <w:pStyle w:val="Heading3"/>
        <w:rPr>
          <w:highlight w:val="yellow"/>
        </w:rPr>
      </w:pPr>
      <w:bookmarkStart w:id="338" w:name="_Toc441069253"/>
      <w:bookmarkStart w:id="339" w:name="_Hlk492307711"/>
      <w:r w:rsidRPr="00C051DC">
        <w:rPr>
          <w:highlight w:val="yellow"/>
        </w:rPr>
        <w:t>Social Capital</w:t>
      </w:r>
      <w:bookmarkEnd w:id="338"/>
      <w:r w:rsidRPr="00C051DC">
        <w:rPr>
          <w:highlight w:val="yellow"/>
        </w:rPr>
        <w:t xml:space="preserve"> </w:t>
      </w:r>
    </w:p>
    <w:p w14:paraId="4151A08B" w14:textId="5196855E" w:rsidR="0039473C" w:rsidRPr="00C051DC" w:rsidRDefault="00AA5FA0" w:rsidP="003600BE">
      <w:pPr>
        <w:rPr>
          <w:szCs w:val="24"/>
          <w:highlight w:val="yellow"/>
        </w:rPr>
      </w:pPr>
      <w:r w:rsidRPr="00C051DC">
        <w:rPr>
          <w:szCs w:val="24"/>
          <w:highlight w:val="yellow"/>
        </w:rPr>
        <w:t xml:space="preserve">For the compound understanding of democracy the </w:t>
      </w:r>
      <w:r w:rsidR="0039473C" w:rsidRPr="00C051DC">
        <w:rPr>
          <w:szCs w:val="24"/>
          <w:highlight w:val="yellow"/>
        </w:rPr>
        <w:t>dummy variable questioning</w:t>
      </w:r>
      <w:r w:rsidR="003600BE" w:rsidRPr="00C051DC">
        <w:rPr>
          <w:szCs w:val="24"/>
          <w:highlight w:val="yellow"/>
        </w:rPr>
        <w:t xml:space="preserve"> whether people in general can be trusted</w:t>
      </w:r>
      <w:r w:rsidR="0039473C" w:rsidRPr="00C051DC">
        <w:rPr>
          <w:szCs w:val="24"/>
          <w:highlight w:val="yellow"/>
        </w:rPr>
        <w:t xml:space="preserve"> or not is significant</w:t>
      </w:r>
      <w:r w:rsidRPr="00C051DC">
        <w:rPr>
          <w:szCs w:val="24"/>
          <w:highlight w:val="yellow"/>
        </w:rPr>
        <w:t xml:space="preserve"> and positive</w:t>
      </w:r>
      <w:r w:rsidR="0039473C" w:rsidRPr="00C051DC">
        <w:rPr>
          <w:szCs w:val="24"/>
          <w:highlight w:val="yellow"/>
        </w:rPr>
        <w:t xml:space="preserve"> for the OLS models but falls from significance in the MLM.</w:t>
      </w:r>
      <w:r w:rsidR="003600BE" w:rsidRPr="00C051DC">
        <w:rPr>
          <w:szCs w:val="24"/>
          <w:highlight w:val="yellow"/>
        </w:rPr>
        <w:t xml:space="preserve"> </w:t>
      </w:r>
      <w:r w:rsidR="0039473C" w:rsidRPr="00C051DC">
        <w:rPr>
          <w:szCs w:val="24"/>
          <w:highlight w:val="yellow"/>
        </w:rPr>
        <w:t>Therefore, in the global dataset whilst individuals with trust in those around them score higher on the compound understanding compared to those who do not, when country-level effects are controlled for, this relationship no longer holds.</w:t>
      </w:r>
      <w:r w:rsidR="00A85D74" w:rsidRPr="00C051DC">
        <w:rPr>
          <w:szCs w:val="24"/>
          <w:highlight w:val="yellow"/>
        </w:rPr>
        <w:t xml:space="preserve"> When it comes to institutional trust however, this relationship is positive across all the models. This is not what was predicted and it might suggest that institutions can play a trusted role in building up this compound understanding of democracy. </w:t>
      </w:r>
      <w:r w:rsidR="00837991" w:rsidRPr="00C051DC">
        <w:rPr>
          <w:szCs w:val="24"/>
          <w:highlight w:val="yellow"/>
        </w:rPr>
        <w:t>For the authoritarian the result is expected – those who are not trusting in society see authoritarian institutions as being part of democracy, and those who trust institutions more widely also see a place for these authorities. Interestingly then, institutional trust has a positive relationship with both understandings of democracy.</w:t>
      </w:r>
    </w:p>
    <w:p w14:paraId="2C25696A" w14:textId="7F346379" w:rsidR="0039473C" w:rsidRPr="00C051DC" w:rsidRDefault="00C17C4A" w:rsidP="003600BE">
      <w:pPr>
        <w:rPr>
          <w:szCs w:val="24"/>
          <w:highlight w:val="yellow"/>
        </w:rPr>
      </w:pPr>
      <w:r w:rsidRPr="00C051DC">
        <w:rPr>
          <w:szCs w:val="24"/>
          <w:highlight w:val="yellow"/>
        </w:rPr>
        <w:t xml:space="preserve">For both understandings of </w:t>
      </w:r>
      <w:r w:rsidR="004C1EB0" w:rsidRPr="00C051DC">
        <w:rPr>
          <w:szCs w:val="24"/>
          <w:highlight w:val="yellow"/>
        </w:rPr>
        <w:t>democracy and group membership</w:t>
      </w:r>
      <w:r w:rsidRPr="00C051DC">
        <w:rPr>
          <w:szCs w:val="24"/>
          <w:highlight w:val="yellow"/>
        </w:rPr>
        <w:t xml:space="preserve"> the single level results are relatively strong at high levels of significance: those with increased levels of group membership score </w:t>
      </w:r>
      <w:r w:rsidRPr="00C051DC">
        <w:rPr>
          <w:i/>
          <w:szCs w:val="24"/>
          <w:highlight w:val="yellow"/>
        </w:rPr>
        <w:t>lower</w:t>
      </w:r>
      <w:r w:rsidRPr="00C051DC">
        <w:rPr>
          <w:szCs w:val="24"/>
          <w:highlight w:val="yellow"/>
        </w:rPr>
        <w:t xml:space="preserve"> on the compound understanding and </w:t>
      </w:r>
      <w:r w:rsidRPr="00C051DC">
        <w:rPr>
          <w:i/>
          <w:szCs w:val="24"/>
          <w:highlight w:val="yellow"/>
        </w:rPr>
        <w:t>lower</w:t>
      </w:r>
      <w:r w:rsidRPr="00C051DC">
        <w:rPr>
          <w:szCs w:val="24"/>
          <w:highlight w:val="yellow"/>
        </w:rPr>
        <w:t xml:space="preserve"> on the authoritarian understanding. This is an unexpected result for the compound understanding, as it was expected that increased social interaction in such organisations would boost such an understanding. However, both results are no longer significant when the country-level effects are controlled for. </w:t>
      </w:r>
      <w:r w:rsidR="00A362FC" w:rsidRPr="00C051DC">
        <w:rPr>
          <w:szCs w:val="24"/>
          <w:highlight w:val="yellow"/>
        </w:rPr>
        <w:t>It seems then that there are global-level relationships here that are disrupted when the context is taken into account. An issue raised durin</w:t>
      </w:r>
      <w:r w:rsidR="002E18ED" w:rsidRPr="00C051DC">
        <w:rPr>
          <w:szCs w:val="24"/>
          <w:highlight w:val="yellow"/>
        </w:rPr>
        <w:t>g Section 5.1 was whether the relationship between civil society organisation membership and democracy is mediated by the openness of the regime, and I examine this issue through an interaction model</w:t>
      </w:r>
      <w:r w:rsidR="00163FC2">
        <w:rPr>
          <w:szCs w:val="24"/>
          <w:highlight w:val="yellow"/>
        </w:rPr>
        <w:t xml:space="preserve"> (Figure 5.21</w:t>
      </w:r>
      <w:r w:rsidR="00705D3A">
        <w:rPr>
          <w:szCs w:val="24"/>
          <w:highlight w:val="yellow"/>
        </w:rPr>
        <w:t>, full model details in Appendix, Figure C4).</w:t>
      </w:r>
    </w:p>
    <w:p w14:paraId="79037E31" w14:textId="4FF709C4" w:rsidR="002E18ED" w:rsidRPr="00C051DC" w:rsidRDefault="002E18ED" w:rsidP="003600BE">
      <w:pPr>
        <w:rPr>
          <w:szCs w:val="24"/>
          <w:highlight w:val="yellow"/>
        </w:rPr>
      </w:pPr>
      <w:r w:rsidRPr="00C051DC">
        <w:rPr>
          <w:szCs w:val="24"/>
          <w:highlight w:val="yellow"/>
        </w:rPr>
        <w:t xml:space="preserve">One aspect of this idea is that rather than bridging people and bringing people together at a societal level, being a member of a group or groups might be an insular, bonding process that ‘others’ people outside the group </w:t>
      </w:r>
      <w:r w:rsidRPr="00C051DC">
        <w:rPr>
          <w:szCs w:val="24"/>
          <w:highlight w:val="yellow"/>
        </w:rPr>
        <w:fldChar w:fldCharType="begin" w:fldLock="1"/>
      </w:r>
      <w:r w:rsidRPr="00C051DC">
        <w:rPr>
          <w:szCs w:val="24"/>
          <w:highlight w:val="yellow"/>
        </w:rPr>
        <w:instrText>ADDIN CSL_CITATION { "citationItems" : [ { "id" : "ITEM-1", "itemData" : { "DOI" : "10.1177/0002764209350827", "ISBN" : "0002-7642", "ISSN" : "0002-7642", "abstract" : "Debates about social capital usually focus on its presumed positive consequences. Although this expectation has been corroborated empirically, in many instances some less benign consequences of social capital have also been uncovered. Several explanations for the emergence and consequences of these dark sides of social capital are briefly presented here and, subsequently, put to empirical testing. The contributors to this issue of American Behavioral Scientist have a common understanding of these dark sides of social capital. Conceptualizing them as negative consequences or outcomes, the authors use various research strategies to scrutinize the nature of the effects of social capital in various situations. In each analysis, however, particular focus is placed on the importance of the contextual setting. Special attention is paid to the degree of democratization, the postcommunist legacy, different welfare state regimes, the saliency of political cleavages, and types and interconnectedness of voluntary associations. The findings suggest that the specific consequences of social capital largely depend on political and social conditions.", "author" : [ { "dropping-particle" : "", "family" : "Deth", "given" : "J. W.", "non-dropping-particle" : "van", "parse-names" : false, "suffix" : "" }, { "dropping-particle" : "", "family" : "Zmerli", "given" : "S.", "non-dropping-particle" : "", "parse-names" : false, "suffix" : "" } ], "container-title" : "American Behavioral Scientist", "id" : "ITEM-1", "issue" : "5", "issued" : { "date-parts" : [ [ "2010" ] ] }, "page" : "631-639", "title" : "Introduction: Civicness, Equality, and Democracy--A \"Dark Side\" of Social Capital?", "type" : "article-journal", "volume" : "53" }, "uris" : [ "http://www.mendeley.com/documents/?uuid=01a0529a-d6f7-4ac5-af7c-c13986d572de" ] }, { "id" : "ITEM-2", "itemData" : { "DOI" : "10.1177/0002764209350829", "ISBN" : "0002-7642", "ISSN" : "0002-7642", "abstract" : "From a theoretical viewpoint, the consequences of social capital for norms of citizenship are usually perceived as benign. However, empirical evidence indicates that its impact may be detrimental. To investigate this phenomenon further, this article examines the specific nature of the relationships among social involvement, social trust, and four different types of norms of citizenship. Social capital acts on these norms in two different ways. First, it varies with the specific norms of citizenship. Second, the different components of social capital do not necessarily exert similar effects. In this article, the negative and significant relationships between social trust and norms of social order are revealed, indicating the \"dark sides\" of social capital. This finding challenges the common wisdom about the positive interrelationship between social capital and a citizenry's public spiritedness in a democratic state.", "author" : [ { "dropping-particle" : "", "family" : "Zmerli", "given" : "S.", "non-dropping-particle" : "", "parse-names" : false, "suffix" : "" } ], "container-title" : "American Behavioral Scientist", "id" : "ITEM-2", "issue" : "5", "issued" : { "date-parts" : [ [ "2010" ] ] }, "page" : "657-676", "title" : "Social Capital and Norms of Citizenship: An Ambiguous Relationship?", "type" : "article-journal", "volume" : "53" }, "uris" : [ "http://www.mendeley.com/documents/?uuid=e657340a-ec49-4608-bc76-3d82bb275c4b" ] }, { "id" : "ITEM-3", "itemData" : { "DOI" : "10.1017/S1537592705050310", "ISSN" : "1537-5927", "abstract" : "I offer a critical view of the social capital thesis, which frequently argues that more is better (and less is worse), by examining the ethics of social capital, using Pierre Bourdieu\u2019s understanding of networks as defined by their limits. I argue that social capital only assumes conceptual coherence when distinguished from its complementary opposite. I illustrate these theoretical points with a discussion of political reform in Thailand and the 2001 general election. The election exemplifies the benefits of the circulation of social capital: voter turnout and party membership were up, and civil society was active. Yet democratic achievements in Thailand were intimately tied to political corruption. In Thailand, democracy and vote buying are intimately related as examples of the productive dynamic of social capital and corruption; the civil and the uncivil often produce each other. This essay thus expands social capital theory\u2019s focus on the relations of people by examining the relationality of concepts. One has to examine the quality of social capital and the ethics of each network\u2019s inside/outside distinction.Thus rather than being a political solution, social capital is a theoretical problem, warranting further comparative research that examines how civil social capital interacts with the uncivil social capital of corruption, ethnocentrism, and sectarianism.", "author" : [ { "dropping-particle" : "", "family" : "Callahan", "given" : "William A.", "non-dropping-particle" : "", "parse-names" : false, "suffix" : "" } ], "container-title" : "Perspectives on Politics", "id" : "ITEM-3", "issue" : "03", "issued" : { "date-parts" : [ [ "2005" ] ] }, "page" : "495-508", "title" : "Social Capital and Corruption: Vote Buying and the Politics of Reform in Thailand", "type" : "article-journal", "volume" : "3" }, "uris" : [ "http://www.mendeley.com/documents/?uuid=e9475f22-dd85-434e-b380-58caa674f062" ] } ], "mendeley" : { "formattedCitation" : "(Callahan, 2005; van Deth and Zmerli, 2010; Zmerli, 2010)", "plainTextFormattedCitation" : "(Callahan, 2005; van Deth and Zmerli, 2010; Zmerli, 2010)", "previouslyFormattedCitation" : "(Callahan, 2005; van Deth and Zmerli, 2010; Zmerli, 2010)" }, "properties" : { "noteIndex" : 0 }, "schema" : "https://github.com/citation-style-language/schema/raw/master/csl-citation.json" }</w:instrText>
      </w:r>
      <w:r w:rsidRPr="00C051DC">
        <w:rPr>
          <w:szCs w:val="24"/>
          <w:highlight w:val="yellow"/>
        </w:rPr>
        <w:fldChar w:fldCharType="separate"/>
      </w:r>
      <w:r w:rsidRPr="00C051DC">
        <w:rPr>
          <w:noProof/>
          <w:szCs w:val="24"/>
          <w:highlight w:val="yellow"/>
        </w:rPr>
        <w:t>(Callahan, 2005; van Deth and Zmerli, 2010; Zmerli, 2010)</w:t>
      </w:r>
      <w:r w:rsidRPr="00C051DC">
        <w:rPr>
          <w:szCs w:val="24"/>
          <w:highlight w:val="yellow"/>
        </w:rPr>
        <w:fldChar w:fldCharType="end"/>
      </w:r>
      <w:r w:rsidRPr="00C051DC">
        <w:rPr>
          <w:szCs w:val="24"/>
          <w:highlight w:val="yellow"/>
        </w:rPr>
        <w:t>. Furthermore, in totalitarian regimes where civil society is heavily regulated by the state, being in groups might leave people open to more state-influence and actually stabilize support for the authorities (</w:t>
      </w:r>
      <w:r w:rsidRPr="00C051DC">
        <w:rPr>
          <w:szCs w:val="24"/>
          <w:highlight w:val="yellow"/>
        </w:rPr>
        <w:fldChar w:fldCharType="begin" w:fldLock="1"/>
      </w:r>
      <w:r w:rsidRPr="00C051DC">
        <w:rPr>
          <w:szCs w:val="24"/>
          <w:highlight w:val="yellow"/>
        </w:rPr>
        <w:instrText>ADDIN CSL_CITATION { "citationItems" : [ { "id" : "ITEM-1", "itemData" : { "DOI" : "10.1177/0002764209350835", "ISBN" : "0002-7642", "ISSN" : "0002-7642", "abstract" : "The notion of social capital has gained enthusiastic support from nongovernmental organizations, intergovernmental confederations, and supranational bodies such as the European Union, the World Bank, and the United Nations. They all believe that social capital might be a potent aid for democratization, for repairing defective democracies, and for undermining authoritarian regimes. This article examines whether social capital has such positive effects in countries where democracy is not yet established. Does social capital help in a country's move toward democratization, or is the link between democracy and social capital more dubious? Does social capital even contribute to the stabilization of nondemocratic regimes? This article analyzes 70 countries that participated in the third wave of the World Values Survey. The results are clear: Social capital functions as a stabilizer of authoritarian rule. Its effects are mainly negative. Social trust, in particular, might be a \"key resource for the market economy and democratic politics\" ( Stolle, 2003, p. 19). In nondemocratic contexts, however, it appears to throw a spanner in the works of democratization. Social participation and trust, specifically, increase the stability of nondemocratic leadership by generating popular support, by suppressing regime-threatening forms of protest activity, and by nourishing undemocratic ideals of governance.", "author" : [ { "dropping-particle" : "", "family" : "Rossteutscher", "given" : "S.", "non-dropping-particle" : "", "parse-names" : false, "suffix" : "" } ], "container-title" : "American Behavioral Scientist", "id" : "ITEM-1", "issue" : "5", "issued" : { "date-parts" : [ [ "2010" ] ] }, "page" : "737-757", "title" : "Social Capital Worldwide: Potential for Democratization or Stabilizer of Authoritarian Rule?", "type" : "article-journal", "volume" : "53" }, "uris" : [ "http://www.mendeley.com/documents/?uuid=9caed953-a9c2-4fc5-8e69-7d3e2af124ad" ] } ], "mendeley" : { "formattedCitation" : "(Rossteutscher, 2010)", "manualFormatting" : "Rossteutscher 2010)", "plainTextFormattedCitation" : "(Rossteutscher, 2010)", "previouslyFormattedCitation" : "(Rossteutscher, 2010)" }, "properties" : { "noteIndex" : 0 }, "schema" : "https://github.com/citation-style-language/schema/raw/master/csl-citation.json" }</w:instrText>
      </w:r>
      <w:r w:rsidRPr="00C051DC">
        <w:rPr>
          <w:szCs w:val="24"/>
          <w:highlight w:val="yellow"/>
        </w:rPr>
        <w:fldChar w:fldCharType="separate"/>
      </w:r>
      <w:r w:rsidRPr="00C051DC">
        <w:rPr>
          <w:noProof/>
          <w:szCs w:val="24"/>
          <w:highlight w:val="yellow"/>
        </w:rPr>
        <w:t>Rossteutscher 2010)</w:t>
      </w:r>
      <w:r w:rsidRPr="00C051DC">
        <w:rPr>
          <w:szCs w:val="24"/>
          <w:highlight w:val="yellow"/>
        </w:rPr>
        <w:fldChar w:fldCharType="end"/>
      </w:r>
      <w:r w:rsidRPr="00C051DC">
        <w:rPr>
          <w:szCs w:val="24"/>
          <w:highlight w:val="yellow"/>
        </w:rPr>
        <w:t>.</w:t>
      </w:r>
    </w:p>
    <w:p w14:paraId="5A1C44D1" w14:textId="727BDCBF" w:rsidR="002E18ED" w:rsidRPr="00717D00" w:rsidRDefault="002E18ED" w:rsidP="002E18ED">
      <w:pPr>
        <w:pStyle w:val="Caption"/>
        <w:rPr>
          <w:rFonts w:ascii="Segoe UI" w:hAnsi="Segoe UI" w:cs="Segoe UI"/>
          <w:i w:val="0"/>
          <w:highlight w:val="yellow"/>
        </w:rPr>
      </w:pPr>
      <w:bookmarkStart w:id="340" w:name="_Toc494687185"/>
      <w:r w:rsidRPr="00717D00">
        <w:rPr>
          <w:rFonts w:ascii="Segoe UI" w:hAnsi="Segoe UI" w:cs="Segoe UI"/>
          <w:i w:val="0"/>
          <w:highlight w:val="yellow"/>
        </w:rPr>
        <w:t xml:space="preserve">Figure </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STYLEREF 1 \s </w:instrText>
      </w:r>
      <w:r w:rsidR="002B0B69" w:rsidRPr="00717D00">
        <w:rPr>
          <w:rFonts w:ascii="Segoe UI" w:hAnsi="Segoe UI" w:cs="Segoe UI"/>
          <w:i w:val="0"/>
          <w:highlight w:val="yellow"/>
        </w:rPr>
        <w:fldChar w:fldCharType="separate"/>
      </w:r>
      <w:r w:rsidRPr="00717D00">
        <w:rPr>
          <w:rFonts w:ascii="Segoe UI" w:hAnsi="Segoe UI" w:cs="Segoe UI"/>
          <w:i w:val="0"/>
          <w:noProof/>
          <w:highlight w:val="yellow"/>
        </w:rPr>
        <w:t>5</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w:t>
      </w:r>
      <w:r w:rsidR="002B0B69" w:rsidRPr="00717D00">
        <w:rPr>
          <w:rFonts w:ascii="Segoe UI" w:hAnsi="Segoe UI" w:cs="Segoe UI"/>
          <w:i w:val="0"/>
          <w:highlight w:val="yellow"/>
        </w:rPr>
        <w:fldChar w:fldCharType="begin"/>
      </w:r>
      <w:r w:rsidR="002B0B69" w:rsidRPr="00717D00">
        <w:rPr>
          <w:rFonts w:ascii="Segoe UI" w:hAnsi="Segoe UI" w:cs="Segoe UI"/>
          <w:i w:val="0"/>
          <w:highlight w:val="yellow"/>
        </w:rPr>
        <w:instrText xml:space="preserve"> SEQ Figure \* ARABIC \s 1 </w:instrText>
      </w:r>
      <w:r w:rsidR="002B0B69" w:rsidRPr="00717D00">
        <w:rPr>
          <w:rFonts w:ascii="Segoe UI" w:hAnsi="Segoe UI" w:cs="Segoe UI"/>
          <w:i w:val="0"/>
          <w:highlight w:val="yellow"/>
        </w:rPr>
        <w:fldChar w:fldCharType="separate"/>
      </w:r>
      <w:r w:rsidR="007B459E">
        <w:rPr>
          <w:rFonts w:ascii="Segoe UI" w:hAnsi="Segoe UI" w:cs="Segoe UI"/>
          <w:i w:val="0"/>
          <w:noProof/>
          <w:highlight w:val="yellow"/>
        </w:rPr>
        <w:t>21</w:t>
      </w:r>
      <w:r w:rsidR="002B0B69" w:rsidRPr="00717D00">
        <w:rPr>
          <w:rFonts w:ascii="Segoe UI" w:hAnsi="Segoe UI" w:cs="Segoe UI"/>
          <w:i w:val="0"/>
          <w:noProof/>
          <w:highlight w:val="yellow"/>
        </w:rPr>
        <w:fldChar w:fldCharType="end"/>
      </w:r>
      <w:r w:rsidRPr="00717D00">
        <w:rPr>
          <w:rFonts w:ascii="Segoe UI" w:hAnsi="Segoe UI" w:cs="Segoe UI"/>
          <w:i w:val="0"/>
          <w:highlight w:val="yellow"/>
        </w:rPr>
        <w:t xml:space="preserve"> </w:t>
      </w:r>
      <w:r w:rsidR="00B23D63" w:rsidRPr="00717D00">
        <w:rPr>
          <w:rFonts w:ascii="Segoe UI" w:hAnsi="Segoe UI" w:cs="Segoe UI"/>
          <w:i w:val="0"/>
          <w:highlight w:val="yellow"/>
        </w:rPr>
        <w:t>Membership*Freedom House Interaction results for Compound and Authoritarian</w:t>
      </w:r>
      <w:r w:rsidRPr="00717D00">
        <w:rPr>
          <w:rFonts w:ascii="Segoe UI" w:hAnsi="Segoe UI" w:cs="Segoe UI"/>
          <w:i w:val="0"/>
          <w:highlight w:val="yellow"/>
        </w:rPr>
        <w:t xml:space="preserve"> Understandings of Democracy</w:t>
      </w:r>
      <w:bookmarkEnd w:id="340"/>
    </w:p>
    <w:p w14:paraId="37EF74AB" w14:textId="77777777" w:rsidR="00B23D63" w:rsidRPr="00B23D63" w:rsidRDefault="00B23D63" w:rsidP="00B23D63">
      <w:pPr>
        <w:rPr>
          <w:highlight w:val="yellow"/>
        </w:rPr>
      </w:pPr>
    </w:p>
    <w:tbl>
      <w:tblPr>
        <w:tblW w:w="0" w:type="auto"/>
        <w:tblLayout w:type="fixed"/>
        <w:tblLook w:val="0000" w:firstRow="0" w:lastRow="0" w:firstColumn="0" w:lastColumn="0" w:noHBand="0" w:noVBand="0"/>
      </w:tblPr>
      <w:tblGrid>
        <w:gridCol w:w="3369"/>
        <w:gridCol w:w="2126"/>
        <w:gridCol w:w="2126"/>
      </w:tblGrid>
      <w:tr w:rsidR="002E18ED" w:rsidRPr="00C051DC" w14:paraId="43E3FCE6" w14:textId="77777777" w:rsidTr="00194D13">
        <w:trPr>
          <w:trHeight w:val="359"/>
        </w:trPr>
        <w:tc>
          <w:tcPr>
            <w:tcW w:w="3369" w:type="dxa"/>
            <w:tcBorders>
              <w:bottom w:val="single" w:sz="4" w:space="0" w:color="auto"/>
            </w:tcBorders>
          </w:tcPr>
          <w:p w14:paraId="0988EC82" w14:textId="77777777" w:rsidR="002E18ED" w:rsidRPr="00C051DC" w:rsidRDefault="002E18ED" w:rsidP="00194D13">
            <w:pPr>
              <w:widowControl w:val="0"/>
              <w:autoSpaceDE w:val="0"/>
              <w:autoSpaceDN w:val="0"/>
              <w:adjustRightInd w:val="0"/>
              <w:spacing w:before="0" w:line="240" w:lineRule="auto"/>
              <w:rPr>
                <w:rFonts w:cs="Segoe UI"/>
                <w:sz w:val="20"/>
                <w:szCs w:val="20"/>
                <w:highlight w:val="yellow"/>
                <w:lang w:val="en-US"/>
              </w:rPr>
            </w:pPr>
          </w:p>
        </w:tc>
        <w:tc>
          <w:tcPr>
            <w:tcW w:w="2126" w:type="dxa"/>
            <w:tcBorders>
              <w:bottom w:val="single" w:sz="4" w:space="0" w:color="auto"/>
            </w:tcBorders>
          </w:tcPr>
          <w:p w14:paraId="64E5DDE3" w14:textId="77777777" w:rsidR="002E18ED" w:rsidRPr="00C051DC" w:rsidRDefault="002E18ED" w:rsidP="00194D13">
            <w:pPr>
              <w:widowControl w:val="0"/>
              <w:autoSpaceDE w:val="0"/>
              <w:autoSpaceDN w:val="0"/>
              <w:adjustRightInd w:val="0"/>
              <w:spacing w:before="0" w:line="240" w:lineRule="auto"/>
              <w:jc w:val="center"/>
              <w:rPr>
                <w:rFonts w:cs="Segoe UI"/>
                <w:b/>
                <w:sz w:val="20"/>
                <w:szCs w:val="20"/>
                <w:highlight w:val="yellow"/>
                <w:lang w:val="en-US"/>
              </w:rPr>
            </w:pPr>
            <w:r w:rsidRPr="00C051DC">
              <w:rPr>
                <w:rFonts w:cs="Segoe UI"/>
                <w:b/>
                <w:sz w:val="20"/>
                <w:szCs w:val="20"/>
                <w:highlight w:val="yellow"/>
                <w:lang w:val="en-US"/>
              </w:rPr>
              <w:t>Compound Democracy</w:t>
            </w:r>
          </w:p>
        </w:tc>
        <w:tc>
          <w:tcPr>
            <w:tcW w:w="2126" w:type="dxa"/>
            <w:tcBorders>
              <w:bottom w:val="single" w:sz="4" w:space="0" w:color="auto"/>
            </w:tcBorders>
          </w:tcPr>
          <w:p w14:paraId="617E432D" w14:textId="77777777" w:rsidR="002E18ED" w:rsidRPr="00C051DC" w:rsidRDefault="002E18ED" w:rsidP="00194D13">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b/>
                <w:sz w:val="20"/>
                <w:szCs w:val="20"/>
                <w:highlight w:val="yellow"/>
                <w:lang w:val="en-US"/>
              </w:rPr>
              <w:t>Authoritarian Democracy</w:t>
            </w:r>
          </w:p>
        </w:tc>
      </w:tr>
      <w:tr w:rsidR="002E18ED" w:rsidRPr="00C051DC" w14:paraId="7DA0D968" w14:textId="77777777" w:rsidTr="00194D13">
        <w:trPr>
          <w:trHeight w:val="359"/>
        </w:trPr>
        <w:tc>
          <w:tcPr>
            <w:tcW w:w="3369" w:type="dxa"/>
            <w:tcBorders>
              <w:top w:val="single" w:sz="4" w:space="0" w:color="auto"/>
            </w:tcBorders>
            <w:shd w:val="clear" w:color="auto" w:fill="F2F2F2" w:themeFill="background1" w:themeFillShade="F2"/>
          </w:tcPr>
          <w:p w14:paraId="1C69DE72" w14:textId="77777777" w:rsidR="002E18ED" w:rsidRPr="00C051DC" w:rsidRDefault="002E18ED" w:rsidP="00194D13">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Original Results</w:t>
            </w:r>
          </w:p>
        </w:tc>
        <w:tc>
          <w:tcPr>
            <w:tcW w:w="2126" w:type="dxa"/>
            <w:tcBorders>
              <w:top w:val="single" w:sz="4" w:space="0" w:color="auto"/>
            </w:tcBorders>
            <w:shd w:val="clear" w:color="auto" w:fill="F2F2F2" w:themeFill="background1" w:themeFillShade="F2"/>
          </w:tcPr>
          <w:p w14:paraId="24877B8E" w14:textId="77777777" w:rsidR="002E18ED" w:rsidRPr="00C051DC" w:rsidRDefault="002E18ED" w:rsidP="00194D13">
            <w:pPr>
              <w:widowControl w:val="0"/>
              <w:autoSpaceDE w:val="0"/>
              <w:autoSpaceDN w:val="0"/>
              <w:adjustRightInd w:val="0"/>
              <w:spacing w:before="0" w:line="240" w:lineRule="auto"/>
              <w:jc w:val="center"/>
              <w:rPr>
                <w:rFonts w:cs="Segoe UI"/>
                <w:sz w:val="20"/>
                <w:szCs w:val="20"/>
                <w:highlight w:val="yellow"/>
                <w:lang w:val="en-US"/>
              </w:rPr>
            </w:pPr>
          </w:p>
        </w:tc>
        <w:tc>
          <w:tcPr>
            <w:tcW w:w="2126" w:type="dxa"/>
            <w:tcBorders>
              <w:top w:val="single" w:sz="4" w:space="0" w:color="auto"/>
            </w:tcBorders>
            <w:shd w:val="clear" w:color="auto" w:fill="F2F2F2" w:themeFill="background1" w:themeFillShade="F2"/>
          </w:tcPr>
          <w:p w14:paraId="7C9BBCA4" w14:textId="77777777" w:rsidR="002E18ED" w:rsidRPr="00C051DC" w:rsidRDefault="002E18ED" w:rsidP="00194D13">
            <w:pPr>
              <w:widowControl w:val="0"/>
              <w:autoSpaceDE w:val="0"/>
              <w:autoSpaceDN w:val="0"/>
              <w:adjustRightInd w:val="0"/>
              <w:spacing w:before="0" w:line="240" w:lineRule="auto"/>
              <w:jc w:val="center"/>
              <w:rPr>
                <w:rFonts w:cs="Segoe UI"/>
                <w:sz w:val="20"/>
                <w:szCs w:val="20"/>
                <w:highlight w:val="yellow"/>
                <w:lang w:val="en-US"/>
              </w:rPr>
            </w:pPr>
          </w:p>
        </w:tc>
      </w:tr>
      <w:tr w:rsidR="001041E9" w:rsidRPr="00C051DC" w14:paraId="18505108" w14:textId="77777777" w:rsidTr="00194D13">
        <w:trPr>
          <w:trHeight w:val="359"/>
        </w:trPr>
        <w:tc>
          <w:tcPr>
            <w:tcW w:w="3369" w:type="dxa"/>
            <w:tcBorders>
              <w:top w:val="single" w:sz="4" w:space="0" w:color="auto"/>
            </w:tcBorders>
            <w:shd w:val="clear" w:color="auto" w:fill="F2F2F2" w:themeFill="background1" w:themeFillShade="F2"/>
          </w:tcPr>
          <w:p w14:paraId="1EC17879" w14:textId="6D6A8DB4" w:rsidR="001041E9" w:rsidRPr="00C051DC" w:rsidRDefault="001041E9" w:rsidP="001041E9">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Membership (ref: None) (C7/A7)</w:t>
            </w:r>
          </w:p>
          <w:p w14:paraId="7F378003" w14:textId="0032BC08"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One</w:t>
            </w:r>
          </w:p>
          <w:p w14:paraId="0F36ECED"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p>
          <w:p w14:paraId="492C010F" w14:textId="42DF6B03" w:rsidR="001041E9" w:rsidRPr="00C051DC" w:rsidRDefault="001041E9" w:rsidP="001041E9">
            <w:pPr>
              <w:widowControl w:val="0"/>
              <w:autoSpaceDE w:val="0"/>
              <w:autoSpaceDN w:val="0"/>
              <w:adjustRightInd w:val="0"/>
              <w:spacing w:before="0" w:line="240" w:lineRule="auto"/>
              <w:rPr>
                <w:rFonts w:cs="Segoe UI"/>
                <w:sz w:val="20"/>
                <w:szCs w:val="20"/>
                <w:highlight w:val="yellow"/>
                <w:lang w:val="en-US"/>
              </w:rPr>
            </w:pPr>
            <w:r w:rsidRPr="00C051DC">
              <w:rPr>
                <w:rFonts w:cs="Segoe UI"/>
                <w:i/>
                <w:sz w:val="20"/>
                <w:szCs w:val="20"/>
                <w:highlight w:val="yellow"/>
                <w:lang w:val="en-US"/>
              </w:rPr>
              <w:t>Two or more</w:t>
            </w:r>
          </w:p>
        </w:tc>
        <w:tc>
          <w:tcPr>
            <w:tcW w:w="2126" w:type="dxa"/>
            <w:tcBorders>
              <w:top w:val="single" w:sz="4" w:space="0" w:color="auto"/>
            </w:tcBorders>
            <w:shd w:val="clear" w:color="auto" w:fill="F2F2F2" w:themeFill="background1" w:themeFillShade="F2"/>
          </w:tcPr>
          <w:p w14:paraId="50012F8D"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588A067E" w14:textId="15CAE22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p w14:paraId="4227FA8C" w14:textId="64F02E4E"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p w14:paraId="392DBD21" w14:textId="2701DA2C"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0.00</w:t>
            </w:r>
          </w:p>
        </w:tc>
        <w:tc>
          <w:tcPr>
            <w:tcW w:w="2126" w:type="dxa"/>
            <w:tcBorders>
              <w:top w:val="single" w:sz="4" w:space="0" w:color="auto"/>
            </w:tcBorders>
            <w:shd w:val="clear" w:color="auto" w:fill="F2F2F2" w:themeFill="background1" w:themeFillShade="F2"/>
          </w:tcPr>
          <w:p w14:paraId="3F30FFFA"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55D8EE7D"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0.05</w:t>
            </w:r>
          </w:p>
          <w:p w14:paraId="7E4214FD"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p w14:paraId="249F8F7C" w14:textId="482C171C"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tc>
      </w:tr>
      <w:tr w:rsidR="001041E9" w:rsidRPr="00C051DC" w14:paraId="73D943FF" w14:textId="77777777" w:rsidTr="00194D13">
        <w:trPr>
          <w:trHeight w:val="359"/>
        </w:trPr>
        <w:tc>
          <w:tcPr>
            <w:tcW w:w="3369" w:type="dxa"/>
            <w:shd w:val="clear" w:color="auto" w:fill="F2F2F2" w:themeFill="background1" w:themeFillShade="F2"/>
          </w:tcPr>
          <w:p w14:paraId="5C41503C"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p>
        </w:tc>
        <w:tc>
          <w:tcPr>
            <w:tcW w:w="2126" w:type="dxa"/>
            <w:shd w:val="clear" w:color="auto" w:fill="F2F2F2" w:themeFill="background1" w:themeFillShade="F2"/>
          </w:tcPr>
          <w:p w14:paraId="50AFEDB4" w14:textId="18135864"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2126" w:type="dxa"/>
            <w:shd w:val="clear" w:color="auto" w:fill="F2F2F2" w:themeFill="background1" w:themeFillShade="F2"/>
          </w:tcPr>
          <w:p w14:paraId="083EFF6A" w14:textId="5E7F67E9"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(0.01)</w:t>
            </w:r>
          </w:p>
        </w:tc>
      </w:tr>
      <w:tr w:rsidR="001041E9" w:rsidRPr="00C051DC" w14:paraId="14BE2D84" w14:textId="77777777" w:rsidTr="00194D13">
        <w:trPr>
          <w:trHeight w:val="359"/>
        </w:trPr>
        <w:tc>
          <w:tcPr>
            <w:tcW w:w="3369" w:type="dxa"/>
            <w:shd w:val="clear" w:color="auto" w:fill="F2F2F2" w:themeFill="background1" w:themeFillShade="F2"/>
          </w:tcPr>
          <w:p w14:paraId="5647BDBC" w14:textId="28F4F590" w:rsidR="001041E9" w:rsidRPr="00C051DC" w:rsidRDefault="001041E9" w:rsidP="001041E9">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Freedom House (ref: Free) (C13/A13)</w:t>
            </w:r>
          </w:p>
          <w:p w14:paraId="521EB5C4"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Partly Free</w:t>
            </w:r>
          </w:p>
          <w:p w14:paraId="48B0108E"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p>
          <w:p w14:paraId="71127A35" w14:textId="431714CF"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Not Free</w:t>
            </w:r>
          </w:p>
        </w:tc>
        <w:tc>
          <w:tcPr>
            <w:tcW w:w="2126" w:type="dxa"/>
            <w:shd w:val="clear" w:color="auto" w:fill="F2F2F2" w:themeFill="background1" w:themeFillShade="F2"/>
          </w:tcPr>
          <w:p w14:paraId="3226F37E"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476D5A48"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74EC5B07"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-0.08</w:t>
            </w:r>
          </w:p>
          <w:p w14:paraId="0E73FC32"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(0.24)</w:t>
            </w:r>
          </w:p>
          <w:p w14:paraId="2CF05703"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0.68**</w:t>
            </w:r>
          </w:p>
          <w:p w14:paraId="6CE724BC" w14:textId="26CE921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(0.17)</w:t>
            </w:r>
          </w:p>
        </w:tc>
        <w:tc>
          <w:tcPr>
            <w:tcW w:w="2126" w:type="dxa"/>
            <w:shd w:val="clear" w:color="auto" w:fill="F2F2F2" w:themeFill="background1" w:themeFillShade="F2"/>
          </w:tcPr>
          <w:p w14:paraId="09A3E488"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666BB034"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3788EF35"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0.96**</w:t>
            </w:r>
          </w:p>
          <w:p w14:paraId="2330421F"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(0.26)</w:t>
            </w:r>
          </w:p>
          <w:p w14:paraId="50F09B6E"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1.88**</w:t>
            </w:r>
          </w:p>
          <w:p w14:paraId="7A792645" w14:textId="3FEB9B13"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(0.65)</w:t>
            </w:r>
          </w:p>
        </w:tc>
      </w:tr>
      <w:tr w:rsidR="001041E9" w:rsidRPr="00C051DC" w14:paraId="34D68FE2" w14:textId="77777777" w:rsidTr="00194D13">
        <w:trPr>
          <w:trHeight w:val="359"/>
        </w:trPr>
        <w:tc>
          <w:tcPr>
            <w:tcW w:w="7621" w:type="dxa"/>
            <w:gridSpan w:val="3"/>
            <w:tcBorders>
              <w:top w:val="single" w:sz="4" w:space="0" w:color="auto"/>
              <w:bottom w:val="single" w:sz="4" w:space="0" w:color="auto"/>
            </w:tcBorders>
            <w:shd w:val="clear" w:color="auto" w:fill="F2F2F2" w:themeFill="background1" w:themeFillShade="F2"/>
          </w:tcPr>
          <w:p w14:paraId="313AB8F6" w14:textId="509AAD2C" w:rsidR="001041E9" w:rsidRPr="00C051DC" w:rsidRDefault="001041E9" w:rsidP="001041E9">
            <w:pPr>
              <w:widowControl w:val="0"/>
              <w:autoSpaceDE w:val="0"/>
              <w:autoSpaceDN w:val="0"/>
              <w:adjustRightInd w:val="0"/>
              <w:spacing w:before="0" w:line="240" w:lineRule="auto"/>
              <w:rPr>
                <w:rFonts w:cs="Segoe UI"/>
                <w:b/>
                <w:sz w:val="20"/>
                <w:szCs w:val="20"/>
                <w:highlight w:val="yellow"/>
                <w:lang w:val="en-US"/>
              </w:rPr>
            </w:pPr>
            <w:r w:rsidRPr="00C051DC">
              <w:rPr>
                <w:rFonts w:cs="Segoe UI"/>
                <w:b/>
                <w:i/>
                <w:sz w:val="20"/>
                <w:szCs w:val="20"/>
                <w:highlight w:val="yellow"/>
                <w:lang w:val="en-US"/>
              </w:rPr>
              <w:t>Interaction Model: Membership*Freedom House</w:t>
            </w:r>
          </w:p>
        </w:tc>
      </w:tr>
      <w:tr w:rsidR="001041E9" w:rsidRPr="00C051DC" w14:paraId="44CDAF35" w14:textId="77777777" w:rsidTr="00194D13">
        <w:trPr>
          <w:trHeight w:val="359"/>
        </w:trPr>
        <w:tc>
          <w:tcPr>
            <w:tcW w:w="3369" w:type="dxa"/>
            <w:tcBorders>
              <w:top w:val="single" w:sz="4" w:space="0" w:color="auto"/>
            </w:tcBorders>
            <w:shd w:val="clear" w:color="auto" w:fill="F2F2F2" w:themeFill="background1" w:themeFillShade="F2"/>
          </w:tcPr>
          <w:p w14:paraId="35E0A787" w14:textId="3611F759" w:rsidR="001041E9" w:rsidRPr="00C051DC" w:rsidRDefault="001041E9" w:rsidP="001041E9">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Membership (ref: None)</w:t>
            </w:r>
          </w:p>
          <w:p w14:paraId="0687BE16"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One</w:t>
            </w:r>
          </w:p>
          <w:p w14:paraId="209415E1"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p>
          <w:p w14:paraId="4BE51E5D" w14:textId="6C1821F1"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Two or more</w:t>
            </w:r>
          </w:p>
        </w:tc>
        <w:tc>
          <w:tcPr>
            <w:tcW w:w="2126" w:type="dxa"/>
            <w:tcBorders>
              <w:top w:val="single" w:sz="4" w:space="0" w:color="auto"/>
            </w:tcBorders>
            <w:shd w:val="clear" w:color="auto" w:fill="F2F2F2" w:themeFill="background1" w:themeFillShade="F2"/>
          </w:tcPr>
          <w:p w14:paraId="74DB0625"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1187B35A" w14:textId="15B6C508"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w:t>
            </w:r>
            <w:r w:rsidR="009719E3" w:rsidRPr="00C051DC">
              <w:rPr>
                <w:rFonts w:cs="Segoe UI"/>
                <w:sz w:val="20"/>
                <w:szCs w:val="20"/>
                <w:highlight w:val="yellow"/>
                <w:lang w:val="en-US"/>
              </w:rPr>
              <w:t>1</w:t>
            </w:r>
          </w:p>
          <w:p w14:paraId="1DF84B8E"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p w14:paraId="4821784E" w14:textId="223BEAE5" w:rsidR="001041E9" w:rsidRPr="00C051DC" w:rsidRDefault="009719E3"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w:t>
            </w:r>
            <w:r w:rsidR="001041E9" w:rsidRPr="00C051DC">
              <w:rPr>
                <w:rFonts w:cs="Segoe UI"/>
                <w:sz w:val="20"/>
                <w:szCs w:val="20"/>
                <w:highlight w:val="yellow"/>
                <w:lang w:val="en-US"/>
              </w:rPr>
              <w:t>0.0</w:t>
            </w:r>
            <w:r w:rsidRPr="00C051DC">
              <w:rPr>
                <w:rFonts w:cs="Segoe UI"/>
                <w:sz w:val="20"/>
                <w:szCs w:val="20"/>
                <w:highlight w:val="yellow"/>
                <w:lang w:val="en-US"/>
              </w:rPr>
              <w:t>1</w:t>
            </w:r>
          </w:p>
        </w:tc>
        <w:tc>
          <w:tcPr>
            <w:tcW w:w="2126" w:type="dxa"/>
            <w:tcBorders>
              <w:top w:val="single" w:sz="4" w:space="0" w:color="auto"/>
            </w:tcBorders>
            <w:shd w:val="clear" w:color="auto" w:fill="F2F2F2" w:themeFill="background1" w:themeFillShade="F2"/>
          </w:tcPr>
          <w:p w14:paraId="4F17DCAE"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6179E69C" w14:textId="2101CD51"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w:t>
            </w:r>
            <w:r w:rsidR="009719E3" w:rsidRPr="00C051DC">
              <w:rPr>
                <w:rFonts w:cs="Segoe UI"/>
                <w:sz w:val="20"/>
                <w:szCs w:val="20"/>
                <w:highlight w:val="yellow"/>
                <w:lang w:val="en-US"/>
              </w:rPr>
              <w:t>8*</w:t>
            </w:r>
          </w:p>
          <w:p w14:paraId="1C90E1FD" w14:textId="7D5F2491"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w:t>
            </w:r>
            <w:r w:rsidR="009719E3" w:rsidRPr="00C051DC">
              <w:rPr>
                <w:rFonts w:cs="Segoe UI"/>
                <w:sz w:val="20"/>
                <w:szCs w:val="20"/>
                <w:highlight w:val="yellow"/>
                <w:lang w:val="en-US"/>
              </w:rPr>
              <w:t>3</w:t>
            </w:r>
            <w:r w:rsidRPr="00C051DC">
              <w:rPr>
                <w:rFonts w:cs="Segoe UI"/>
                <w:sz w:val="20"/>
                <w:szCs w:val="20"/>
                <w:highlight w:val="yellow"/>
                <w:lang w:val="en-US"/>
              </w:rPr>
              <w:t>)</w:t>
            </w:r>
          </w:p>
          <w:p w14:paraId="34553B38" w14:textId="10A3BEA4"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w:t>
            </w:r>
            <w:r w:rsidR="009719E3" w:rsidRPr="00C051DC">
              <w:rPr>
                <w:rFonts w:cs="Segoe UI"/>
                <w:sz w:val="20"/>
                <w:szCs w:val="20"/>
                <w:highlight w:val="yellow"/>
                <w:lang w:val="en-US"/>
              </w:rPr>
              <w:t>0</w:t>
            </w:r>
          </w:p>
        </w:tc>
      </w:tr>
      <w:tr w:rsidR="001041E9" w:rsidRPr="00C051DC" w14:paraId="6543521B" w14:textId="77777777" w:rsidTr="00194D13">
        <w:trPr>
          <w:trHeight w:val="359"/>
        </w:trPr>
        <w:tc>
          <w:tcPr>
            <w:tcW w:w="3369" w:type="dxa"/>
            <w:shd w:val="clear" w:color="auto" w:fill="F2F2F2" w:themeFill="background1" w:themeFillShade="F2"/>
          </w:tcPr>
          <w:p w14:paraId="21C75242" w14:textId="77777777" w:rsidR="001041E9" w:rsidRPr="00C051DC" w:rsidRDefault="001041E9" w:rsidP="001041E9">
            <w:pPr>
              <w:widowControl w:val="0"/>
              <w:autoSpaceDE w:val="0"/>
              <w:autoSpaceDN w:val="0"/>
              <w:adjustRightInd w:val="0"/>
              <w:spacing w:before="0" w:line="240" w:lineRule="auto"/>
              <w:rPr>
                <w:rFonts w:cs="Segoe UI"/>
                <w:sz w:val="20"/>
                <w:szCs w:val="20"/>
                <w:highlight w:val="yellow"/>
                <w:lang w:val="en-US"/>
              </w:rPr>
            </w:pPr>
          </w:p>
        </w:tc>
        <w:tc>
          <w:tcPr>
            <w:tcW w:w="2126" w:type="dxa"/>
            <w:shd w:val="clear" w:color="auto" w:fill="F2F2F2" w:themeFill="background1" w:themeFillShade="F2"/>
          </w:tcPr>
          <w:p w14:paraId="76AB64D2" w14:textId="45CC558E"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(0.02)</w:t>
            </w:r>
          </w:p>
        </w:tc>
        <w:tc>
          <w:tcPr>
            <w:tcW w:w="2126" w:type="dxa"/>
            <w:shd w:val="clear" w:color="auto" w:fill="F2F2F2" w:themeFill="background1" w:themeFillShade="F2"/>
          </w:tcPr>
          <w:p w14:paraId="2847CAFF" w14:textId="52350FC9"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w:t>
            </w:r>
            <w:r w:rsidR="009719E3" w:rsidRPr="00C051DC">
              <w:rPr>
                <w:rFonts w:cs="Segoe UI"/>
                <w:sz w:val="20"/>
                <w:szCs w:val="20"/>
                <w:highlight w:val="yellow"/>
                <w:lang w:val="en-US"/>
              </w:rPr>
              <w:t>3</w:t>
            </w:r>
            <w:r w:rsidRPr="00C051DC">
              <w:rPr>
                <w:rFonts w:cs="Segoe UI"/>
                <w:sz w:val="20"/>
                <w:szCs w:val="20"/>
                <w:highlight w:val="yellow"/>
                <w:lang w:val="en-US"/>
              </w:rPr>
              <w:t>)</w:t>
            </w:r>
          </w:p>
        </w:tc>
      </w:tr>
      <w:tr w:rsidR="001041E9" w:rsidRPr="00C051DC" w14:paraId="5ACA136F" w14:textId="77777777" w:rsidTr="00194D13">
        <w:trPr>
          <w:trHeight w:val="359"/>
        </w:trPr>
        <w:tc>
          <w:tcPr>
            <w:tcW w:w="3369" w:type="dxa"/>
            <w:tcBorders>
              <w:bottom w:val="single" w:sz="4" w:space="0" w:color="auto"/>
            </w:tcBorders>
            <w:shd w:val="clear" w:color="auto" w:fill="F2F2F2" w:themeFill="background1" w:themeFillShade="F2"/>
          </w:tcPr>
          <w:p w14:paraId="1AB59FFB" w14:textId="2CFA9384" w:rsidR="001041E9" w:rsidRPr="00C051DC" w:rsidRDefault="001041E9" w:rsidP="001041E9">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 xml:space="preserve">Freedom House (ref: Free) </w:t>
            </w:r>
          </w:p>
          <w:p w14:paraId="44C7105D"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Partly Free</w:t>
            </w:r>
          </w:p>
          <w:p w14:paraId="23CB91C2" w14:textId="77777777" w:rsidR="001041E9" w:rsidRPr="00C051DC" w:rsidRDefault="001041E9" w:rsidP="001041E9">
            <w:pPr>
              <w:widowControl w:val="0"/>
              <w:autoSpaceDE w:val="0"/>
              <w:autoSpaceDN w:val="0"/>
              <w:adjustRightInd w:val="0"/>
              <w:spacing w:before="0" w:line="240" w:lineRule="auto"/>
              <w:rPr>
                <w:rFonts w:cs="Segoe UI"/>
                <w:i/>
                <w:sz w:val="20"/>
                <w:szCs w:val="20"/>
                <w:highlight w:val="yellow"/>
                <w:lang w:val="en-US"/>
              </w:rPr>
            </w:pPr>
          </w:p>
          <w:p w14:paraId="62B1BBDC" w14:textId="53A38E60" w:rsidR="001041E9" w:rsidRPr="00C051DC" w:rsidRDefault="001041E9" w:rsidP="001041E9">
            <w:pPr>
              <w:widowControl w:val="0"/>
              <w:autoSpaceDE w:val="0"/>
              <w:autoSpaceDN w:val="0"/>
              <w:adjustRightInd w:val="0"/>
              <w:spacing w:before="0" w:line="240" w:lineRule="auto"/>
              <w:rPr>
                <w:rFonts w:cs="Segoe UI"/>
                <w:sz w:val="20"/>
                <w:szCs w:val="20"/>
                <w:highlight w:val="yellow"/>
                <w:lang w:val="en-US"/>
              </w:rPr>
            </w:pPr>
            <w:r w:rsidRPr="00C051DC">
              <w:rPr>
                <w:rFonts w:cs="Segoe UI"/>
                <w:i/>
                <w:sz w:val="20"/>
                <w:szCs w:val="20"/>
                <w:highlight w:val="yellow"/>
                <w:lang w:val="en-US"/>
              </w:rPr>
              <w:t>Not Free</w:t>
            </w:r>
          </w:p>
        </w:tc>
        <w:tc>
          <w:tcPr>
            <w:tcW w:w="2126" w:type="dxa"/>
            <w:tcBorders>
              <w:bottom w:val="single" w:sz="4" w:space="0" w:color="auto"/>
            </w:tcBorders>
            <w:shd w:val="clear" w:color="auto" w:fill="F2F2F2" w:themeFill="background1" w:themeFillShade="F2"/>
          </w:tcPr>
          <w:p w14:paraId="4499DCFB"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1063C495" w14:textId="7BF8296F"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w:t>
            </w:r>
            <w:r w:rsidR="009719E3" w:rsidRPr="00C051DC">
              <w:rPr>
                <w:rFonts w:cs="Segoe UI"/>
                <w:sz w:val="20"/>
                <w:szCs w:val="20"/>
                <w:highlight w:val="yellow"/>
                <w:lang w:val="en-US"/>
              </w:rPr>
              <w:t>16</w:t>
            </w:r>
          </w:p>
          <w:p w14:paraId="5E793CF4" w14:textId="478E2563"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w:t>
            </w:r>
            <w:r w:rsidR="009719E3" w:rsidRPr="00C051DC">
              <w:rPr>
                <w:rFonts w:cs="Segoe UI"/>
                <w:sz w:val="20"/>
                <w:szCs w:val="20"/>
                <w:highlight w:val="yellow"/>
                <w:lang w:val="en-US"/>
              </w:rPr>
              <w:t>6</w:t>
            </w:r>
            <w:r w:rsidRPr="00C051DC">
              <w:rPr>
                <w:rFonts w:cs="Segoe UI"/>
                <w:sz w:val="20"/>
                <w:szCs w:val="20"/>
                <w:highlight w:val="yellow"/>
                <w:lang w:val="en-US"/>
              </w:rPr>
              <w:t>)</w:t>
            </w:r>
          </w:p>
          <w:p w14:paraId="6C2438A6" w14:textId="3BFC3DA3"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w:t>
            </w:r>
            <w:r w:rsidR="009719E3" w:rsidRPr="00C051DC">
              <w:rPr>
                <w:rFonts w:cs="Segoe UI"/>
                <w:sz w:val="20"/>
                <w:szCs w:val="20"/>
                <w:highlight w:val="yellow"/>
                <w:lang w:val="en-US"/>
              </w:rPr>
              <w:t>72</w:t>
            </w:r>
            <w:r w:rsidRPr="00C051DC">
              <w:rPr>
                <w:rFonts w:cs="Segoe UI"/>
                <w:sz w:val="20"/>
                <w:szCs w:val="20"/>
                <w:highlight w:val="yellow"/>
                <w:lang w:val="en-US"/>
              </w:rPr>
              <w:t>**</w:t>
            </w:r>
          </w:p>
          <w:p w14:paraId="03B47064" w14:textId="0158F911"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w:t>
            </w:r>
            <w:r w:rsidR="009719E3" w:rsidRPr="00C051DC">
              <w:rPr>
                <w:rFonts w:cs="Segoe UI"/>
                <w:sz w:val="20"/>
                <w:szCs w:val="20"/>
                <w:highlight w:val="yellow"/>
                <w:lang w:val="en-US"/>
              </w:rPr>
              <w:t>22</w:t>
            </w:r>
            <w:r w:rsidRPr="00C051DC">
              <w:rPr>
                <w:rFonts w:cs="Segoe UI"/>
                <w:sz w:val="20"/>
                <w:szCs w:val="20"/>
                <w:highlight w:val="yellow"/>
                <w:lang w:val="en-US"/>
              </w:rPr>
              <w:t>)</w:t>
            </w:r>
          </w:p>
        </w:tc>
        <w:tc>
          <w:tcPr>
            <w:tcW w:w="2126" w:type="dxa"/>
            <w:tcBorders>
              <w:bottom w:val="single" w:sz="4" w:space="0" w:color="auto"/>
            </w:tcBorders>
            <w:shd w:val="clear" w:color="auto" w:fill="F2F2F2" w:themeFill="background1" w:themeFillShade="F2"/>
          </w:tcPr>
          <w:p w14:paraId="053B215B" w14:textId="77777777"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p>
          <w:p w14:paraId="3F2F15B5" w14:textId="1D26576A" w:rsidR="001041E9" w:rsidRPr="00C051DC" w:rsidRDefault="009719E3"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w:t>
            </w:r>
            <w:r w:rsidR="001041E9" w:rsidRPr="00C051DC">
              <w:rPr>
                <w:rFonts w:cs="Segoe UI"/>
                <w:sz w:val="20"/>
                <w:szCs w:val="20"/>
                <w:highlight w:val="yellow"/>
                <w:lang w:val="en-US"/>
              </w:rPr>
              <w:t>.</w:t>
            </w:r>
            <w:r w:rsidRPr="00C051DC">
              <w:rPr>
                <w:rFonts w:cs="Segoe UI"/>
                <w:sz w:val="20"/>
                <w:szCs w:val="20"/>
                <w:highlight w:val="yellow"/>
                <w:lang w:val="en-US"/>
              </w:rPr>
              <w:t>04</w:t>
            </w:r>
            <w:r w:rsidR="001041E9" w:rsidRPr="00C051DC">
              <w:rPr>
                <w:rFonts w:cs="Segoe UI"/>
                <w:sz w:val="20"/>
                <w:szCs w:val="20"/>
                <w:highlight w:val="yellow"/>
                <w:lang w:val="en-US"/>
              </w:rPr>
              <w:t>**</w:t>
            </w:r>
          </w:p>
          <w:p w14:paraId="0C609D5E" w14:textId="4FA31F43"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w:t>
            </w:r>
            <w:r w:rsidR="009719E3" w:rsidRPr="00C051DC">
              <w:rPr>
                <w:rFonts w:cs="Segoe UI"/>
                <w:sz w:val="20"/>
                <w:szCs w:val="20"/>
                <w:highlight w:val="yellow"/>
                <w:lang w:val="en-US"/>
              </w:rPr>
              <w:t>35</w:t>
            </w:r>
            <w:r w:rsidRPr="00C051DC">
              <w:rPr>
                <w:rFonts w:cs="Segoe UI"/>
                <w:sz w:val="20"/>
                <w:szCs w:val="20"/>
                <w:highlight w:val="yellow"/>
                <w:lang w:val="en-US"/>
              </w:rPr>
              <w:t>)</w:t>
            </w:r>
          </w:p>
          <w:p w14:paraId="7181E61A" w14:textId="1F07A76D"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1.8</w:t>
            </w:r>
            <w:r w:rsidR="009719E3" w:rsidRPr="00C051DC">
              <w:rPr>
                <w:rFonts w:cs="Segoe UI"/>
                <w:sz w:val="20"/>
                <w:szCs w:val="20"/>
                <w:highlight w:val="yellow"/>
                <w:lang w:val="en-US"/>
              </w:rPr>
              <w:t>9</w:t>
            </w:r>
            <w:r w:rsidRPr="00C051DC">
              <w:rPr>
                <w:rFonts w:cs="Segoe UI"/>
                <w:sz w:val="20"/>
                <w:szCs w:val="20"/>
                <w:highlight w:val="yellow"/>
                <w:lang w:val="en-US"/>
              </w:rPr>
              <w:t>**</w:t>
            </w:r>
          </w:p>
          <w:p w14:paraId="4139A05E" w14:textId="306C6FC9" w:rsidR="001041E9" w:rsidRPr="00C051DC" w:rsidRDefault="001041E9" w:rsidP="001041E9">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w:t>
            </w:r>
            <w:r w:rsidR="009719E3" w:rsidRPr="00C051DC">
              <w:rPr>
                <w:rFonts w:cs="Segoe UI"/>
                <w:sz w:val="20"/>
                <w:szCs w:val="20"/>
                <w:highlight w:val="yellow"/>
                <w:lang w:val="en-US"/>
              </w:rPr>
              <w:t>44</w:t>
            </w:r>
            <w:r w:rsidRPr="00C051DC">
              <w:rPr>
                <w:rFonts w:cs="Segoe UI"/>
                <w:sz w:val="20"/>
                <w:szCs w:val="20"/>
                <w:highlight w:val="yellow"/>
                <w:lang w:val="en-US"/>
              </w:rPr>
              <w:t>)</w:t>
            </w:r>
          </w:p>
        </w:tc>
      </w:tr>
      <w:tr w:rsidR="009719E3" w:rsidRPr="00C051DC" w14:paraId="4FADAB1C" w14:textId="77777777" w:rsidTr="00194D13">
        <w:trPr>
          <w:trHeight w:val="359"/>
        </w:trPr>
        <w:tc>
          <w:tcPr>
            <w:tcW w:w="3369" w:type="dxa"/>
            <w:tcBorders>
              <w:bottom w:val="single" w:sz="4" w:space="0" w:color="auto"/>
            </w:tcBorders>
            <w:shd w:val="clear" w:color="auto" w:fill="F2F2F2" w:themeFill="background1" w:themeFillShade="F2"/>
          </w:tcPr>
          <w:p w14:paraId="3CDE169C" w14:textId="59DD96A7" w:rsidR="009719E3" w:rsidRPr="00C051DC" w:rsidRDefault="009719E3" w:rsidP="001041E9">
            <w:pPr>
              <w:widowControl w:val="0"/>
              <w:autoSpaceDE w:val="0"/>
              <w:autoSpaceDN w:val="0"/>
              <w:adjustRightInd w:val="0"/>
              <w:spacing w:before="0" w:line="240" w:lineRule="auto"/>
              <w:rPr>
                <w:rFonts w:cs="Segoe UI"/>
                <w:sz w:val="20"/>
                <w:szCs w:val="20"/>
                <w:highlight w:val="yellow"/>
                <w:lang w:val="en-US"/>
              </w:rPr>
            </w:pPr>
            <w:r w:rsidRPr="00C051DC">
              <w:rPr>
                <w:rFonts w:cs="Segoe UI"/>
                <w:sz w:val="20"/>
                <w:szCs w:val="20"/>
                <w:highlight w:val="yellow"/>
                <w:lang w:val="en-US"/>
              </w:rPr>
              <w:t>Member*Freedom House</w:t>
            </w:r>
          </w:p>
          <w:p w14:paraId="24E963C1" w14:textId="720FF8F5" w:rsidR="009719E3" w:rsidRPr="00C051DC" w:rsidRDefault="009719E3"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One x Partly Free</w:t>
            </w:r>
          </w:p>
          <w:p w14:paraId="4E40D96B" w14:textId="77777777" w:rsidR="009719E3" w:rsidRPr="00C051DC" w:rsidRDefault="009719E3" w:rsidP="001041E9">
            <w:pPr>
              <w:widowControl w:val="0"/>
              <w:autoSpaceDE w:val="0"/>
              <w:autoSpaceDN w:val="0"/>
              <w:adjustRightInd w:val="0"/>
              <w:spacing w:before="0" w:line="240" w:lineRule="auto"/>
              <w:rPr>
                <w:rFonts w:cs="Segoe UI"/>
                <w:sz w:val="20"/>
                <w:szCs w:val="20"/>
                <w:highlight w:val="yellow"/>
                <w:lang w:val="en-US"/>
              </w:rPr>
            </w:pPr>
          </w:p>
          <w:p w14:paraId="0C9CE581" w14:textId="107D06E3" w:rsidR="009719E3" w:rsidRPr="00C051DC" w:rsidRDefault="009719E3"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One x Not Free</w:t>
            </w:r>
          </w:p>
          <w:p w14:paraId="60EF1F29" w14:textId="77777777" w:rsidR="00962741" w:rsidRPr="00C051DC" w:rsidRDefault="00962741" w:rsidP="001041E9">
            <w:pPr>
              <w:widowControl w:val="0"/>
              <w:autoSpaceDE w:val="0"/>
              <w:autoSpaceDN w:val="0"/>
              <w:adjustRightInd w:val="0"/>
              <w:spacing w:before="0" w:line="240" w:lineRule="auto"/>
              <w:rPr>
                <w:rFonts w:cs="Segoe UI"/>
                <w:i/>
                <w:sz w:val="20"/>
                <w:szCs w:val="20"/>
                <w:highlight w:val="yellow"/>
                <w:lang w:val="en-US"/>
              </w:rPr>
            </w:pPr>
          </w:p>
          <w:p w14:paraId="27DB5C6D" w14:textId="763FC697" w:rsidR="00962741" w:rsidRPr="00C051DC" w:rsidRDefault="00962741"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Two or More * Partly Free</w:t>
            </w:r>
          </w:p>
          <w:p w14:paraId="1E74BDEA" w14:textId="77777777" w:rsidR="00962741" w:rsidRPr="00C051DC" w:rsidRDefault="00962741" w:rsidP="001041E9">
            <w:pPr>
              <w:widowControl w:val="0"/>
              <w:autoSpaceDE w:val="0"/>
              <w:autoSpaceDN w:val="0"/>
              <w:adjustRightInd w:val="0"/>
              <w:spacing w:before="0" w:line="240" w:lineRule="auto"/>
              <w:rPr>
                <w:rFonts w:cs="Segoe UI"/>
                <w:i/>
                <w:sz w:val="20"/>
                <w:szCs w:val="20"/>
                <w:highlight w:val="yellow"/>
                <w:lang w:val="en-US"/>
              </w:rPr>
            </w:pPr>
          </w:p>
          <w:p w14:paraId="53B60506" w14:textId="130863AA" w:rsidR="00962741" w:rsidRPr="00C051DC" w:rsidRDefault="00962741" w:rsidP="001041E9">
            <w:pPr>
              <w:widowControl w:val="0"/>
              <w:autoSpaceDE w:val="0"/>
              <w:autoSpaceDN w:val="0"/>
              <w:adjustRightInd w:val="0"/>
              <w:spacing w:before="0" w:line="240" w:lineRule="auto"/>
              <w:rPr>
                <w:rFonts w:cs="Segoe UI"/>
                <w:i/>
                <w:sz w:val="20"/>
                <w:szCs w:val="20"/>
                <w:highlight w:val="yellow"/>
                <w:lang w:val="en-US"/>
              </w:rPr>
            </w:pPr>
            <w:r w:rsidRPr="00C051DC">
              <w:rPr>
                <w:rFonts w:cs="Segoe UI"/>
                <w:i/>
                <w:sz w:val="20"/>
                <w:szCs w:val="20"/>
                <w:highlight w:val="yellow"/>
                <w:lang w:val="en-US"/>
              </w:rPr>
              <w:t>Two or More * Not Free</w:t>
            </w:r>
          </w:p>
        </w:tc>
        <w:tc>
          <w:tcPr>
            <w:tcW w:w="2126" w:type="dxa"/>
            <w:tcBorders>
              <w:bottom w:val="single" w:sz="4" w:space="0" w:color="auto"/>
            </w:tcBorders>
            <w:shd w:val="clear" w:color="auto" w:fill="F2F2F2" w:themeFill="background1" w:themeFillShade="F2"/>
          </w:tcPr>
          <w:p w14:paraId="2F867C6C" w14:textId="77777777" w:rsidR="009719E3" w:rsidRPr="00C051DC" w:rsidRDefault="009719E3" w:rsidP="00962741">
            <w:pPr>
              <w:widowControl w:val="0"/>
              <w:autoSpaceDE w:val="0"/>
              <w:autoSpaceDN w:val="0"/>
              <w:adjustRightInd w:val="0"/>
              <w:spacing w:before="0" w:line="240" w:lineRule="auto"/>
              <w:rPr>
                <w:rFonts w:cs="Segoe UI"/>
                <w:sz w:val="20"/>
                <w:szCs w:val="20"/>
                <w:highlight w:val="yellow"/>
                <w:lang w:val="en-US"/>
              </w:rPr>
            </w:pPr>
          </w:p>
          <w:p w14:paraId="051E34A9"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0.15***</w:t>
            </w:r>
          </w:p>
          <w:p w14:paraId="4FACA521" w14:textId="1CA08CA6"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37767BC8" w14:textId="7F11245B"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-0.06</w:t>
            </w:r>
          </w:p>
          <w:p w14:paraId="51A72E5D" w14:textId="49F0DCEF"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1F9B6C35" w14:textId="0861850C"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0.28</w:t>
            </w:r>
            <w:r w:rsidR="008D0F16" w:rsidRPr="00C051DC">
              <w:rPr>
                <w:rFonts w:cs="Segoe UI"/>
                <w:sz w:val="20"/>
                <w:szCs w:val="20"/>
                <w:highlight w:val="yellow"/>
                <w:lang w:val="en-US"/>
              </w:rPr>
              <w:t>***</w:t>
            </w:r>
          </w:p>
          <w:p w14:paraId="3A55AC51" w14:textId="7773696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(0.19)</w:t>
            </w:r>
          </w:p>
          <w:p w14:paraId="26CCABB6" w14:textId="5C4BCFFC"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-0.30*</w:t>
            </w:r>
            <w:r w:rsidR="008D0F16" w:rsidRPr="00C051DC">
              <w:rPr>
                <w:rFonts w:cs="Segoe UI"/>
                <w:sz w:val="20"/>
                <w:szCs w:val="20"/>
                <w:highlight w:val="yellow"/>
                <w:lang w:val="en-US"/>
              </w:rPr>
              <w:t>**</w:t>
            </w:r>
          </w:p>
          <w:p w14:paraId="08EB8B54" w14:textId="14E41CA4"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(0.12)</w:t>
            </w:r>
          </w:p>
        </w:tc>
        <w:tc>
          <w:tcPr>
            <w:tcW w:w="2126" w:type="dxa"/>
            <w:tcBorders>
              <w:bottom w:val="single" w:sz="4" w:space="0" w:color="auto"/>
            </w:tcBorders>
            <w:shd w:val="clear" w:color="auto" w:fill="F2F2F2" w:themeFill="background1" w:themeFillShade="F2"/>
          </w:tcPr>
          <w:p w14:paraId="77110AEE"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p>
          <w:p w14:paraId="528F6EA7" w14:textId="74E45801"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-0.18*</w:t>
            </w:r>
          </w:p>
          <w:p w14:paraId="6394EC9C"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(0.06)</w:t>
            </w:r>
          </w:p>
          <w:p w14:paraId="634604BF"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-0.04</w:t>
            </w:r>
          </w:p>
          <w:p w14:paraId="1030F8B1"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(0.07)</w:t>
            </w:r>
          </w:p>
          <w:p w14:paraId="41C167F5"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-0.30***</w:t>
            </w:r>
          </w:p>
          <w:p w14:paraId="33BDEAAF"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(0.07)</w:t>
            </w:r>
          </w:p>
          <w:p w14:paraId="17E11CC2" w14:textId="77777777" w:rsidR="00962741"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0.06</w:t>
            </w:r>
          </w:p>
          <w:p w14:paraId="4F4CC851" w14:textId="32190882" w:rsidR="009719E3" w:rsidRPr="00C051DC" w:rsidRDefault="00962741" w:rsidP="00962741">
            <w:pPr>
              <w:widowControl w:val="0"/>
              <w:autoSpaceDE w:val="0"/>
              <w:autoSpaceDN w:val="0"/>
              <w:adjustRightInd w:val="0"/>
              <w:spacing w:before="0" w:line="240" w:lineRule="auto"/>
              <w:jc w:val="center"/>
              <w:rPr>
                <w:rFonts w:cs="Segoe UI"/>
                <w:sz w:val="20"/>
                <w:szCs w:val="20"/>
                <w:highlight w:val="yellow"/>
                <w:lang w:val="en-US"/>
              </w:rPr>
            </w:pPr>
            <w:r w:rsidRPr="00C051DC">
              <w:rPr>
                <w:rFonts w:cs="Segoe UI"/>
                <w:sz w:val="20"/>
                <w:szCs w:val="20"/>
                <w:highlight w:val="yellow"/>
                <w:lang w:val="en-US"/>
              </w:rPr>
              <w:t>(0.08)</w:t>
            </w:r>
          </w:p>
        </w:tc>
      </w:tr>
      <w:tr w:rsidR="00B23D63" w:rsidRPr="00C051DC" w14:paraId="34F3F341" w14:textId="77777777" w:rsidTr="00C96822">
        <w:trPr>
          <w:trHeight w:val="359"/>
        </w:trPr>
        <w:tc>
          <w:tcPr>
            <w:tcW w:w="3369" w:type="dxa"/>
            <w:tcBorders>
              <w:top w:val="single" w:sz="4" w:space="0" w:color="auto"/>
            </w:tcBorders>
            <w:shd w:val="clear" w:color="auto" w:fill="F2F2F2" w:themeFill="background1" w:themeFillShade="F2"/>
          </w:tcPr>
          <w:p w14:paraId="72C0DA5F" w14:textId="2DCB3CE5" w:rsidR="00B23D63" w:rsidRPr="00C051DC" w:rsidRDefault="00B23D63" w:rsidP="001041E9">
            <w:pPr>
              <w:widowControl w:val="0"/>
              <w:autoSpaceDE w:val="0"/>
              <w:autoSpaceDN w:val="0"/>
              <w:adjustRightInd w:val="0"/>
              <w:spacing w:before="0" w:line="240" w:lineRule="auto"/>
              <w:rPr>
                <w:rFonts w:cs="Segoe UI"/>
                <w:i/>
                <w:sz w:val="20"/>
                <w:szCs w:val="20"/>
                <w:highlight w:val="yellow"/>
                <w:lang w:val="en-US"/>
              </w:rPr>
            </w:pPr>
          </w:p>
        </w:tc>
        <w:tc>
          <w:tcPr>
            <w:tcW w:w="4252" w:type="dxa"/>
            <w:gridSpan w:val="2"/>
            <w:tcBorders>
              <w:top w:val="single" w:sz="4" w:space="0" w:color="auto"/>
            </w:tcBorders>
            <w:shd w:val="clear" w:color="auto" w:fill="F2F2F2" w:themeFill="background1" w:themeFillShade="F2"/>
          </w:tcPr>
          <w:p w14:paraId="715A6C26" w14:textId="3C6B050A" w:rsidR="00B23D63" w:rsidRPr="00266448" w:rsidRDefault="00B23D63" w:rsidP="00266448">
            <w:pPr>
              <w:widowControl w:val="0"/>
              <w:autoSpaceDE w:val="0"/>
              <w:autoSpaceDN w:val="0"/>
              <w:adjustRightInd w:val="0"/>
              <w:spacing w:line="240" w:lineRule="auto"/>
              <w:rPr>
                <w:rFonts w:cs="Segoe UI"/>
                <w:i/>
                <w:sz w:val="16"/>
                <w:szCs w:val="16"/>
                <w:highlight w:val="yellow"/>
                <w:lang w:val="en-US"/>
              </w:rPr>
            </w:pPr>
            <w:r w:rsidRPr="00C051DC">
              <w:rPr>
                <w:rFonts w:cs="Segoe UI"/>
                <w:i/>
                <w:sz w:val="16"/>
                <w:szCs w:val="16"/>
                <w:highlight w:val="yellow"/>
                <w:lang w:val="en-US"/>
              </w:rPr>
              <w:t xml:space="preserve">Standard errors in brackets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0.05,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Pr="00C051DC">
              <w:rPr>
                <w:rFonts w:cs="Segoe UI"/>
                <w:i/>
                <w:sz w:val="16"/>
                <w:szCs w:val="16"/>
                <w:highlight w:val="yellow"/>
                <w:lang w:val="en-US"/>
              </w:rPr>
              <w:t xml:space="preserve"> &lt; 0.01, </w:t>
            </w:r>
            <w:r w:rsidRPr="00C051DC">
              <w:rPr>
                <w:rFonts w:cs="Segoe UI"/>
                <w:i/>
                <w:sz w:val="16"/>
                <w:szCs w:val="16"/>
                <w:highlight w:val="yellow"/>
                <w:vertAlign w:val="superscript"/>
                <w:lang w:val="en-US"/>
              </w:rPr>
              <w:t>***</w:t>
            </w:r>
            <w:r w:rsidRPr="00C051DC">
              <w:rPr>
                <w:rFonts w:cs="Segoe UI"/>
                <w:i/>
                <w:sz w:val="16"/>
                <w:szCs w:val="16"/>
                <w:highlight w:val="yellow"/>
                <w:lang w:val="en-US"/>
              </w:rPr>
              <w:t xml:space="preserve"> </w:t>
            </w:r>
            <w:r w:rsidRPr="00C051DC">
              <w:rPr>
                <w:rFonts w:cs="Segoe UI"/>
                <w:i/>
                <w:iCs/>
                <w:sz w:val="16"/>
                <w:szCs w:val="16"/>
                <w:highlight w:val="yellow"/>
                <w:lang w:val="en-US"/>
              </w:rPr>
              <w:t>p</w:t>
            </w:r>
            <w:r w:rsidR="00266448">
              <w:rPr>
                <w:rFonts w:cs="Segoe UI"/>
                <w:i/>
                <w:sz w:val="16"/>
                <w:szCs w:val="16"/>
                <w:highlight w:val="yellow"/>
                <w:lang w:val="en-US"/>
              </w:rPr>
              <w:t xml:space="preserve"> &lt; 0.001</w:t>
            </w:r>
          </w:p>
        </w:tc>
      </w:tr>
    </w:tbl>
    <w:p w14:paraId="51DA1CFC" w14:textId="77777777" w:rsidR="00B23D63" w:rsidRDefault="00B23D63" w:rsidP="003600BE">
      <w:pPr>
        <w:rPr>
          <w:highlight w:val="yellow"/>
        </w:rPr>
      </w:pPr>
    </w:p>
    <w:p w14:paraId="554CD35B" w14:textId="1B404A2C" w:rsidR="00B23D63" w:rsidRDefault="00B23D63" w:rsidP="003600BE">
      <w:pPr>
        <w:rPr>
          <w:highlight w:val="yellow"/>
        </w:rPr>
      </w:pPr>
    </w:p>
    <w:p w14:paraId="0C6A321C" w14:textId="24AA7F46" w:rsidR="00B23D63" w:rsidRDefault="00B23D63" w:rsidP="003600BE">
      <w:pPr>
        <w:rPr>
          <w:highlight w:val="yellow"/>
        </w:rPr>
      </w:pPr>
    </w:p>
    <w:p w14:paraId="3BE1715A" w14:textId="77777777" w:rsidR="00266448" w:rsidRDefault="00266448" w:rsidP="003600BE">
      <w:pPr>
        <w:rPr>
          <w:highlight w:val="yellow"/>
        </w:rPr>
      </w:pPr>
    </w:p>
    <w:p w14:paraId="13801461" w14:textId="77777777" w:rsidR="00B23D63" w:rsidRDefault="00B23D63" w:rsidP="003600BE">
      <w:pPr>
        <w:rPr>
          <w:highlight w:val="yellow"/>
        </w:rPr>
      </w:pPr>
    </w:p>
    <w:p w14:paraId="6DEA9BF3" w14:textId="5540263F" w:rsidR="002E18ED" w:rsidRPr="00717D00" w:rsidRDefault="00975CA1" w:rsidP="003600BE">
      <w:pPr>
        <w:rPr>
          <w:b/>
          <w:szCs w:val="24"/>
          <w:highlight w:val="yellow"/>
        </w:rPr>
      </w:pPr>
      <w:bookmarkStart w:id="341" w:name="_Toc494687186"/>
      <w:r w:rsidRPr="00717D00">
        <w:rPr>
          <w:b/>
          <w:highlight w:val="yellow"/>
        </w:rPr>
        <w:t xml:space="preserve">Figure </w:t>
      </w:r>
      <w:r w:rsidRPr="00717D00">
        <w:rPr>
          <w:b/>
          <w:highlight w:val="yellow"/>
        </w:rPr>
        <w:fldChar w:fldCharType="begin"/>
      </w:r>
      <w:r w:rsidRPr="00717D00">
        <w:rPr>
          <w:b/>
          <w:highlight w:val="yellow"/>
        </w:rPr>
        <w:instrText xml:space="preserve"> STYLEREF 1 \s </w:instrText>
      </w:r>
      <w:r w:rsidRPr="00717D00">
        <w:rPr>
          <w:b/>
          <w:highlight w:val="yellow"/>
        </w:rPr>
        <w:fldChar w:fldCharType="separate"/>
      </w:r>
      <w:r w:rsidRPr="00717D00">
        <w:rPr>
          <w:b/>
          <w:noProof/>
          <w:highlight w:val="yellow"/>
        </w:rPr>
        <w:t>5</w:t>
      </w:r>
      <w:r w:rsidRPr="00717D00">
        <w:rPr>
          <w:b/>
          <w:noProof/>
          <w:highlight w:val="yellow"/>
        </w:rPr>
        <w:fldChar w:fldCharType="end"/>
      </w:r>
      <w:r w:rsidRPr="00717D00">
        <w:rPr>
          <w:b/>
          <w:highlight w:val="yellow"/>
        </w:rPr>
        <w:t>:</w:t>
      </w:r>
      <w:r w:rsidRPr="00717D00">
        <w:rPr>
          <w:b/>
          <w:highlight w:val="yellow"/>
        </w:rPr>
        <w:fldChar w:fldCharType="begin"/>
      </w:r>
      <w:r w:rsidRPr="00717D00">
        <w:rPr>
          <w:b/>
          <w:highlight w:val="yellow"/>
        </w:rPr>
        <w:instrText xml:space="preserve"> SEQ Figure \* ARABIC \s 1 </w:instrText>
      </w:r>
      <w:r w:rsidRPr="00717D00">
        <w:rPr>
          <w:b/>
          <w:highlight w:val="yellow"/>
        </w:rPr>
        <w:fldChar w:fldCharType="separate"/>
      </w:r>
      <w:r w:rsidR="007B459E">
        <w:rPr>
          <w:b/>
          <w:noProof/>
          <w:highlight w:val="yellow"/>
        </w:rPr>
        <w:t>22</w:t>
      </w:r>
      <w:r w:rsidRPr="00717D00">
        <w:rPr>
          <w:b/>
          <w:noProof/>
          <w:highlight w:val="yellow"/>
        </w:rPr>
        <w:fldChar w:fldCharType="end"/>
      </w:r>
      <w:r w:rsidR="00266448" w:rsidRPr="00717D00">
        <w:rPr>
          <w:b/>
          <w:highlight w:val="yellow"/>
        </w:rPr>
        <w:t xml:space="preserve"> Predictive Margins for Compound understanding of democracy and Group Membership* Freedom House</w:t>
      </w:r>
      <w:bookmarkEnd w:id="341"/>
      <w:r w:rsidR="00266448" w:rsidRPr="00717D00">
        <w:rPr>
          <w:b/>
          <w:highlight w:val="yellow"/>
        </w:rPr>
        <w:t xml:space="preserve">  </w:t>
      </w:r>
    </w:p>
    <w:p w14:paraId="045723D6" w14:textId="3B2519BE" w:rsidR="002E18ED" w:rsidRPr="00C051DC" w:rsidRDefault="002E18ED" w:rsidP="003600BE">
      <w:pPr>
        <w:rPr>
          <w:szCs w:val="24"/>
          <w:highlight w:val="yellow"/>
        </w:rPr>
      </w:pPr>
      <w:r w:rsidRPr="00C051DC">
        <w:rPr>
          <w:noProof/>
          <w:szCs w:val="24"/>
          <w:highlight w:val="yellow"/>
          <w:lang w:eastAsia="zh-CN"/>
        </w:rPr>
        <w:drawing>
          <wp:inline distT="0" distB="0" distL="0" distR="0" wp14:anchorId="2F467C38" wp14:editId="3E183222">
            <wp:extent cx="5113020" cy="3741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3020" cy="3741420"/>
                    </a:xfrm>
                    <a:prstGeom prst="rect">
                      <a:avLst/>
                    </a:prstGeom>
                    <a:noFill/>
                    <a:ln>
                      <a:noFill/>
                    </a:ln>
                  </pic:spPr>
                </pic:pic>
              </a:graphicData>
            </a:graphic>
          </wp:inline>
        </w:drawing>
      </w:r>
    </w:p>
    <w:p w14:paraId="43AC95E7" w14:textId="0BA3FBD3" w:rsidR="00EE0CD5" w:rsidRPr="00C051DC" w:rsidRDefault="008D0F16" w:rsidP="008D0F16">
      <w:pPr>
        <w:rPr>
          <w:highlight w:val="yellow"/>
        </w:rPr>
      </w:pPr>
      <w:r w:rsidRPr="00C051DC">
        <w:rPr>
          <w:highlight w:val="yellow"/>
        </w:rPr>
        <w:t xml:space="preserve">For the compound understanding we can see there is no group membership effects in </w:t>
      </w:r>
      <w:r w:rsidR="00B825D8" w:rsidRPr="00C051DC">
        <w:rPr>
          <w:highlight w:val="yellow"/>
        </w:rPr>
        <w:t>a</w:t>
      </w:r>
      <w:r w:rsidRPr="00C051DC">
        <w:rPr>
          <w:highlight w:val="yellow"/>
        </w:rPr>
        <w:t xml:space="preserve"> Free context</w:t>
      </w:r>
      <w:r w:rsidR="00266448">
        <w:rPr>
          <w:highlight w:val="yellow"/>
        </w:rPr>
        <w:t xml:space="preserve"> (Figure 5.2</w:t>
      </w:r>
      <w:r w:rsidR="00163FC2">
        <w:rPr>
          <w:highlight w:val="yellow"/>
        </w:rPr>
        <w:t>2</w:t>
      </w:r>
      <w:r w:rsidR="00266448">
        <w:rPr>
          <w:highlight w:val="yellow"/>
        </w:rPr>
        <w:t>)</w:t>
      </w:r>
      <w:r w:rsidRPr="00C051DC">
        <w:rPr>
          <w:highlight w:val="yellow"/>
        </w:rPr>
        <w:t xml:space="preserve">. However, when it comes to a Partly Free context, being an active member in one or more groups does lead to a higher score on this understanding. </w:t>
      </w:r>
      <w:r w:rsidR="00266448">
        <w:rPr>
          <w:highlight w:val="yellow"/>
        </w:rPr>
        <w:t>In a Not Free context</w:t>
      </w:r>
      <w:r w:rsidRPr="00C051DC">
        <w:rPr>
          <w:highlight w:val="yellow"/>
        </w:rPr>
        <w:t xml:space="preserve"> being in two or more groups leads to a relatively lower score. There is some evidence then to suggest that more civil group membership is related to a lower compound understanding, but this is within a higher scoring setting overall.</w:t>
      </w:r>
    </w:p>
    <w:p w14:paraId="21612302" w14:textId="64479617" w:rsidR="00EE0CD5" w:rsidRDefault="00266448" w:rsidP="009719E3">
      <w:pPr>
        <w:rPr>
          <w:szCs w:val="24"/>
          <w:highlight w:val="yellow"/>
        </w:rPr>
      </w:pPr>
      <w:r w:rsidRPr="00C051DC">
        <w:rPr>
          <w:szCs w:val="24"/>
          <w:highlight w:val="yellow"/>
        </w:rPr>
        <w:t>For the authoritarian understanding</w:t>
      </w:r>
      <w:r w:rsidR="00163FC2">
        <w:rPr>
          <w:szCs w:val="24"/>
          <w:highlight w:val="yellow"/>
        </w:rPr>
        <w:t xml:space="preserve"> (Figure 5.23</w:t>
      </w:r>
      <w:r>
        <w:rPr>
          <w:szCs w:val="24"/>
          <w:highlight w:val="yellow"/>
        </w:rPr>
        <w:t>)</w:t>
      </w:r>
      <w:r w:rsidRPr="00C051DC">
        <w:rPr>
          <w:szCs w:val="24"/>
          <w:highlight w:val="yellow"/>
        </w:rPr>
        <w:t xml:space="preserve">, the interaction suggests that in a Partly Free setting being a member of two of more groups is related with a lower score. Therefore it appears that if there is </w:t>
      </w:r>
      <w:r w:rsidRPr="00C051DC">
        <w:rPr>
          <w:i/>
          <w:szCs w:val="24"/>
          <w:highlight w:val="yellow"/>
        </w:rPr>
        <w:t>some</w:t>
      </w:r>
      <w:r w:rsidRPr="00C051DC">
        <w:rPr>
          <w:szCs w:val="24"/>
          <w:highlight w:val="yellow"/>
        </w:rPr>
        <w:t xml:space="preserve"> degree of civil society operation (i.e. in a Partly Free setting) then respondents are more likely to be aligned with the compound understanding however in a closed setting there is evidence to </w:t>
      </w:r>
      <w:r>
        <w:rPr>
          <w:szCs w:val="24"/>
          <w:highlight w:val="yellow"/>
        </w:rPr>
        <w:t>suggest</w:t>
      </w:r>
      <w:r w:rsidRPr="00C051DC">
        <w:rPr>
          <w:szCs w:val="24"/>
          <w:highlight w:val="yellow"/>
        </w:rPr>
        <w:t xml:space="preserve"> that active membership may led citizen’s to a slightly lower score relative to those who are not as active.</w:t>
      </w:r>
    </w:p>
    <w:p w14:paraId="26DD6459" w14:textId="77777777" w:rsidR="00266448" w:rsidRPr="00266448" w:rsidRDefault="00266448" w:rsidP="009719E3">
      <w:pPr>
        <w:rPr>
          <w:szCs w:val="24"/>
          <w:highlight w:val="yellow"/>
        </w:rPr>
      </w:pPr>
    </w:p>
    <w:p w14:paraId="19596C83" w14:textId="304429AD" w:rsidR="000E288C" w:rsidRPr="00717D00" w:rsidRDefault="00975CA1" w:rsidP="003600BE">
      <w:pPr>
        <w:rPr>
          <w:b/>
          <w:szCs w:val="24"/>
          <w:highlight w:val="yellow"/>
        </w:rPr>
      </w:pPr>
      <w:bookmarkStart w:id="342" w:name="_Toc494687187"/>
      <w:r w:rsidRPr="00717D00">
        <w:rPr>
          <w:b/>
          <w:highlight w:val="yellow"/>
        </w:rPr>
        <w:t xml:space="preserve">Figure </w:t>
      </w:r>
      <w:r w:rsidRPr="00717D00">
        <w:rPr>
          <w:b/>
          <w:highlight w:val="yellow"/>
        </w:rPr>
        <w:fldChar w:fldCharType="begin"/>
      </w:r>
      <w:r w:rsidRPr="00717D00">
        <w:rPr>
          <w:b/>
          <w:highlight w:val="yellow"/>
        </w:rPr>
        <w:instrText xml:space="preserve"> STYLEREF 1 \s </w:instrText>
      </w:r>
      <w:r w:rsidRPr="00717D00">
        <w:rPr>
          <w:b/>
          <w:highlight w:val="yellow"/>
        </w:rPr>
        <w:fldChar w:fldCharType="separate"/>
      </w:r>
      <w:r w:rsidRPr="00717D00">
        <w:rPr>
          <w:b/>
          <w:noProof/>
          <w:highlight w:val="yellow"/>
        </w:rPr>
        <w:t>5</w:t>
      </w:r>
      <w:r w:rsidRPr="00717D00">
        <w:rPr>
          <w:b/>
          <w:noProof/>
          <w:highlight w:val="yellow"/>
        </w:rPr>
        <w:fldChar w:fldCharType="end"/>
      </w:r>
      <w:r w:rsidRPr="00717D00">
        <w:rPr>
          <w:b/>
          <w:highlight w:val="yellow"/>
        </w:rPr>
        <w:t>:</w:t>
      </w:r>
      <w:r w:rsidRPr="00717D00">
        <w:rPr>
          <w:b/>
          <w:highlight w:val="yellow"/>
        </w:rPr>
        <w:fldChar w:fldCharType="begin"/>
      </w:r>
      <w:r w:rsidRPr="00717D00">
        <w:rPr>
          <w:b/>
          <w:highlight w:val="yellow"/>
        </w:rPr>
        <w:instrText xml:space="preserve"> SEQ Figure \* ARABIC \s 1 </w:instrText>
      </w:r>
      <w:r w:rsidRPr="00717D00">
        <w:rPr>
          <w:b/>
          <w:highlight w:val="yellow"/>
        </w:rPr>
        <w:fldChar w:fldCharType="separate"/>
      </w:r>
      <w:r w:rsidR="007B459E">
        <w:rPr>
          <w:b/>
          <w:noProof/>
          <w:highlight w:val="yellow"/>
        </w:rPr>
        <w:t>23</w:t>
      </w:r>
      <w:r w:rsidRPr="00717D00">
        <w:rPr>
          <w:b/>
          <w:noProof/>
          <w:highlight w:val="yellow"/>
        </w:rPr>
        <w:fldChar w:fldCharType="end"/>
      </w:r>
      <w:r w:rsidR="00266448" w:rsidRPr="00717D00">
        <w:rPr>
          <w:b/>
          <w:highlight w:val="yellow"/>
        </w:rPr>
        <w:t xml:space="preserve"> Predictive Margins for Authoritarian understanding of democracy and Group Membership* Freedom House</w:t>
      </w:r>
      <w:bookmarkEnd w:id="342"/>
      <w:r w:rsidR="00266448" w:rsidRPr="00717D00">
        <w:rPr>
          <w:b/>
          <w:highlight w:val="yellow"/>
        </w:rPr>
        <w:t xml:space="preserve">  </w:t>
      </w:r>
    </w:p>
    <w:p w14:paraId="253EC4A2" w14:textId="1EA4780A" w:rsidR="002E18ED" w:rsidRPr="00C051DC" w:rsidRDefault="009719E3" w:rsidP="003600BE">
      <w:pPr>
        <w:rPr>
          <w:szCs w:val="24"/>
          <w:highlight w:val="yellow"/>
        </w:rPr>
      </w:pPr>
      <w:r w:rsidRPr="00C051DC">
        <w:rPr>
          <w:noProof/>
          <w:szCs w:val="24"/>
          <w:highlight w:val="yellow"/>
          <w:lang w:eastAsia="zh-CN"/>
        </w:rPr>
        <w:drawing>
          <wp:inline distT="0" distB="0" distL="0" distR="0" wp14:anchorId="4D2DA077" wp14:editId="7E30511B">
            <wp:extent cx="5135880" cy="37414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35880" cy="3741420"/>
                    </a:xfrm>
                    <a:prstGeom prst="rect">
                      <a:avLst/>
                    </a:prstGeom>
                    <a:noFill/>
                    <a:ln>
                      <a:noFill/>
                    </a:ln>
                  </pic:spPr>
                </pic:pic>
              </a:graphicData>
            </a:graphic>
          </wp:inline>
        </w:drawing>
      </w:r>
    </w:p>
    <w:p w14:paraId="782D4308" w14:textId="7B0815E2" w:rsidR="00712C75" w:rsidRPr="00C051DC" w:rsidRDefault="00194D13" w:rsidP="003600BE">
      <w:pPr>
        <w:rPr>
          <w:szCs w:val="24"/>
          <w:highlight w:val="yellow"/>
        </w:rPr>
      </w:pPr>
      <w:r w:rsidRPr="00C051DC">
        <w:rPr>
          <w:szCs w:val="24"/>
          <w:highlight w:val="yellow"/>
        </w:rPr>
        <w:t xml:space="preserve">Overall then the social capital theory has mixed results. Institutional trust has a consistent </w:t>
      </w:r>
      <w:r w:rsidR="00534517" w:rsidRPr="00C051DC">
        <w:rPr>
          <w:szCs w:val="24"/>
          <w:highlight w:val="yellow"/>
        </w:rPr>
        <w:t>and positive relationship with both</w:t>
      </w:r>
      <w:r w:rsidRPr="00C051DC">
        <w:rPr>
          <w:szCs w:val="24"/>
          <w:highlight w:val="yellow"/>
        </w:rPr>
        <w:t xml:space="preserve"> understanding</w:t>
      </w:r>
      <w:r w:rsidR="00534517" w:rsidRPr="00C051DC">
        <w:rPr>
          <w:szCs w:val="24"/>
          <w:highlight w:val="yellow"/>
        </w:rPr>
        <w:t xml:space="preserve">s, whereas trust in society has a negative relationship with the authoritarian understanding but no significant relationship </w:t>
      </w:r>
      <w:r w:rsidRPr="00C051DC">
        <w:rPr>
          <w:szCs w:val="24"/>
          <w:highlight w:val="yellow"/>
        </w:rPr>
        <w:t xml:space="preserve"> </w:t>
      </w:r>
      <w:r w:rsidR="00534517" w:rsidRPr="00C051DC">
        <w:rPr>
          <w:szCs w:val="24"/>
          <w:highlight w:val="yellow"/>
        </w:rPr>
        <w:t>with the compound understanding. Group membership effects are mediated by certain degrees of regime openness, suggesting that civil society engagement and institutional trust is important, particularly in Partly Free settings.</w:t>
      </w:r>
      <w:bookmarkEnd w:id="339"/>
    </w:p>
    <w:p w14:paraId="5A1C2A93" w14:textId="77777777" w:rsidR="003600BE" w:rsidRPr="00C051DC" w:rsidRDefault="003600BE" w:rsidP="008C5573">
      <w:pPr>
        <w:pStyle w:val="Heading3"/>
        <w:rPr>
          <w:highlight w:val="yellow"/>
        </w:rPr>
      </w:pPr>
      <w:bookmarkStart w:id="343" w:name="_Toc441069254"/>
      <w:r w:rsidRPr="00C051DC">
        <w:rPr>
          <w:highlight w:val="yellow"/>
        </w:rPr>
        <w:t>Religiosity</w:t>
      </w:r>
      <w:bookmarkEnd w:id="343"/>
      <w:r w:rsidRPr="00C051DC">
        <w:rPr>
          <w:highlight w:val="yellow"/>
        </w:rPr>
        <w:t xml:space="preserve"> </w:t>
      </w:r>
    </w:p>
    <w:p w14:paraId="45A89366" w14:textId="28AC8545" w:rsidR="003600BE" w:rsidRPr="00C051DC" w:rsidRDefault="00E304BB" w:rsidP="00B93785">
      <w:pPr>
        <w:rPr>
          <w:rFonts w:cstheme="majorBidi"/>
          <w:szCs w:val="24"/>
          <w:highlight w:val="yellow"/>
        </w:rPr>
      </w:pPr>
      <w:r w:rsidRPr="00C051DC">
        <w:rPr>
          <w:szCs w:val="24"/>
          <w:highlight w:val="yellow"/>
        </w:rPr>
        <w:t xml:space="preserve">It was noted in the discussion in Section 5.1 that </w:t>
      </w:r>
      <w:r w:rsidR="000218DA" w:rsidRPr="00C051DC">
        <w:rPr>
          <w:szCs w:val="24"/>
          <w:highlight w:val="yellow"/>
        </w:rPr>
        <w:t>there is no consensus in the literature on the expected relationship between understandings of democracy and denomination and degrees of religiosity. For both the compound and the authoritarian understanding we can see a consistent relationship with religiosity; across all mode</w:t>
      </w:r>
      <w:r w:rsidR="00776A74" w:rsidRPr="00C051DC">
        <w:rPr>
          <w:szCs w:val="24"/>
          <w:highlight w:val="yellow"/>
        </w:rPr>
        <w:t>ls the relationship is positive</w:t>
      </w:r>
      <w:r w:rsidR="000218DA" w:rsidRPr="00C051DC">
        <w:rPr>
          <w:szCs w:val="24"/>
          <w:highlight w:val="yellow"/>
        </w:rPr>
        <w:t xml:space="preserve"> however it is stronger and at a higher level of statistical significance for the authoritarian understanding. As with institutional trust then, the relationship is in the same direction for </w:t>
      </w:r>
      <w:r w:rsidR="005A4A71" w:rsidRPr="00C051DC">
        <w:rPr>
          <w:szCs w:val="24"/>
          <w:highlight w:val="yellow"/>
        </w:rPr>
        <w:t xml:space="preserve">both </w:t>
      </w:r>
      <w:r w:rsidR="000218DA" w:rsidRPr="00C051DC">
        <w:rPr>
          <w:szCs w:val="24"/>
          <w:highlight w:val="yellow"/>
        </w:rPr>
        <w:t>conceptualisations of democracy</w:t>
      </w:r>
      <w:r w:rsidR="00776A74" w:rsidRPr="00C051DC">
        <w:rPr>
          <w:szCs w:val="24"/>
          <w:highlight w:val="yellow"/>
        </w:rPr>
        <w:t xml:space="preserve">. This relationship therefore suggests that those with stronger beliefs in religious structures, and more attendance to places of worship </w:t>
      </w:r>
      <w:r w:rsidR="005A4A71" w:rsidRPr="00C051DC">
        <w:rPr>
          <w:szCs w:val="24"/>
          <w:highlight w:val="yellow"/>
        </w:rPr>
        <w:t>simultaneously score higher on</w:t>
      </w:r>
      <w:r w:rsidR="00776A74" w:rsidRPr="00C051DC">
        <w:rPr>
          <w:szCs w:val="24"/>
          <w:highlight w:val="yellow"/>
        </w:rPr>
        <w:t xml:space="preserve"> both liberal/mixed and theocratic conceptualisations of democracy. </w:t>
      </w:r>
      <w:r w:rsidR="003C2C74">
        <w:rPr>
          <w:szCs w:val="24"/>
          <w:highlight w:val="yellow"/>
        </w:rPr>
        <w:t>This follows Ben-Nun Bloom and colleagues</w:t>
      </w:r>
      <w:r w:rsidR="00AC49B3" w:rsidRPr="00C051DC">
        <w:rPr>
          <w:szCs w:val="24"/>
          <w:highlight w:val="yellow"/>
        </w:rPr>
        <w:t xml:space="preserve"> </w:t>
      </w:r>
      <w:r w:rsidR="00AC49B3" w:rsidRPr="00C051DC">
        <w:rPr>
          <w:rFonts w:cstheme="majorBidi"/>
          <w:szCs w:val="24"/>
          <w:highlight w:val="yellow"/>
        </w:rPr>
        <w:fldChar w:fldCharType="begin" w:fldLock="1"/>
      </w:r>
      <w:r w:rsidR="00AC49B3" w:rsidRPr="00C051DC">
        <w:rPr>
          <w:rFonts w:cstheme="majorBidi"/>
          <w:szCs w:val="24"/>
          <w:highlight w:val="yellow"/>
        </w:rPr>
        <w:instrText>ADDIN CSL_CITATION { "citationItems" : [ { "id" : "ITEM-1", "itemData" : { "DOI" : "10.1007/s11109-011-9157-x", "author" : [ { "dropping-particle" : "", "family" : "Ben-Num Bloom", "given" : "P", "non-dropping-particle" : "", "parse-names" : false, "suffix" : "" }, { "dropping-particle" : "", "family" : "Arikan", "given" : "G", "non-dropping-particle" : "", "parse-names" : false, "suffix" : "" } ], "id" : "ITEM-1", "issued" : { "date-parts" : [ [ "2012" ] ] }, "page" : "249-276", "title" : "A Two-edged Sword : The Differential Effect of Religious Belief and Religious Social Context on Attitudes towards Democracy", "type" : "article-journal" }, "uris" : [ "http://www.mendeley.com/documents/?uuid=6de0abf1-8099-4116-8c16-405a023e34d5" ] }, { "id" : "ITEM-2", "itemData" : { "author" : [ { "dropping-particle" : "", "family" : "Ben-Nun Bloom", "given" : "P", "non-dropping-particle" : "", "parse-names" : false, "suffix" : "" }, { "dropping-particle" : "", "family" : "Zemach", "given" : "M", "non-dropping-particle" : "", "parse-names" : false, "suffix" : "" }, { "dropping-particle" : "", "family" : "Arian", "given" : "A", "non-dropping-particle" : "", "parse-names" : false, "suffix" : "" } ], "container-title" : "Democratization", "id" : "ITEM-2", "issue" : "1", "issued" : { "date-parts" : [ [ "2011" ] ] }, "page" : "25-51", "title" : "The religious experience as affecting ambivalence : the case of democratic performance evaluation in Israel", "type" : "article-journal", "volume" : "18" }, "uris" : [ "http://www.mendeley.com/documents/?uuid=6427dde8-220f-4ab2-8e98-3a2ab176197c" ] }, { "id" : "ITEM-3", "itemData" : { "DOI" : "10.1017/S0007123412000427", "ISBN" : "0007123412000", "ISSN" : "0007-1234", "author" : [ { "dropping-particle" : "", "family" : "Ben-Nun Bloom", "given" : "Pazit", "non-dropping-particle" : "", "parse-names" : false, "suffix" : "" }, { "dropping-particle" : "", "family" : "Arikan", "given" : "Gizem", "non-dropping-particle" : "", "parse-names" : false, "suffix" : "" } ], "container-title" : "British Journal of Political Science", "id" : "ITEM-3", "issue" : "2", "issued" : { "date-parts" : [ [ "2013", "9", "24" ] ] }, "page" : "375-397", "title" : "Religion and Support for Democracy: A Cross-National Test of the Mediating Mechanisms", "type" : "article-journal", "volume" : "43" }, "uris" : [ "http://www.mendeley.com/documents/?uuid=1297f16e-e0d8-46b1-acee-b12b6d3018af" ] } ], "mendeley" : { "formattedCitation" : "(Ben-Nun Bloom, Zemach and Arian, 2011; Ben-Num Bloom and Arikan, 2012; Ben-Nun Bloom and Arikan, 2013)", "manualFormatting" : "(Ben-Nun Bloom &amp; Arikan 2013; Ben-Num Bloom &amp; Arikan 2012; Ben-Nun Bloom et al. 2011)", "plainTextFormattedCitation" : "(Ben-Nun Bloom, Zemach and Arian, 2011; Ben-Num Bloom and Arikan, 2012; Ben-Nun Bloom and Arikan, 2013)", "previouslyFormattedCitation" : "(Ben-Nun Bloom, Zemach and Arian, 2011; Ben-Num Bloom and Arikan, 2012; Ben-Nun Bloom and Arikan, 2013)" }, "properties" : { "noteIndex" : 0 }, "schema" : "https://github.com/citation-style-language/schema/raw/master/csl-citation.json" }</w:instrText>
      </w:r>
      <w:r w:rsidR="00AC49B3" w:rsidRPr="00C051DC">
        <w:rPr>
          <w:rFonts w:cstheme="majorBidi"/>
          <w:szCs w:val="24"/>
          <w:highlight w:val="yellow"/>
        </w:rPr>
        <w:fldChar w:fldCharType="separate"/>
      </w:r>
      <w:r w:rsidR="00AC49B3" w:rsidRPr="00C051DC">
        <w:rPr>
          <w:rFonts w:cstheme="majorBidi"/>
          <w:noProof/>
          <w:szCs w:val="24"/>
          <w:highlight w:val="yellow"/>
        </w:rPr>
        <w:t>(Ben-Nun Bloom &amp; Arikan 2013; Ben-Num Bloom &amp; Arikan 2012; Ben-Nun Bloom et al. 2011)</w:t>
      </w:r>
      <w:r w:rsidR="00AC49B3" w:rsidRPr="00C051DC">
        <w:rPr>
          <w:rFonts w:cstheme="majorBidi"/>
          <w:szCs w:val="24"/>
          <w:highlight w:val="yellow"/>
        </w:rPr>
        <w:fldChar w:fldCharType="end"/>
      </w:r>
      <w:r w:rsidR="00AC49B3" w:rsidRPr="00C051DC">
        <w:rPr>
          <w:rFonts w:cstheme="majorBidi"/>
          <w:szCs w:val="24"/>
          <w:highlight w:val="yellow"/>
        </w:rPr>
        <w:t xml:space="preserve"> </w:t>
      </w:r>
      <w:r w:rsidR="003C2C74">
        <w:rPr>
          <w:rFonts w:cstheme="majorBidi"/>
          <w:szCs w:val="24"/>
          <w:highlight w:val="yellow"/>
        </w:rPr>
        <w:t xml:space="preserve">that </w:t>
      </w:r>
      <w:r w:rsidR="00AC49B3" w:rsidRPr="00C051DC">
        <w:rPr>
          <w:rFonts w:cstheme="majorBidi"/>
          <w:szCs w:val="24"/>
          <w:highlight w:val="yellow"/>
        </w:rPr>
        <w:t xml:space="preserve">religious values can in fact support democracy, </w:t>
      </w:r>
      <w:r w:rsidR="00C90068">
        <w:rPr>
          <w:rFonts w:cstheme="majorBidi"/>
          <w:szCs w:val="24"/>
          <w:highlight w:val="yellow"/>
        </w:rPr>
        <w:t>but</w:t>
      </w:r>
      <w:r w:rsidR="00AC49B3" w:rsidRPr="00C051DC">
        <w:rPr>
          <w:rFonts w:cstheme="majorBidi"/>
          <w:szCs w:val="24"/>
          <w:highlight w:val="yellow"/>
        </w:rPr>
        <w:t xml:space="preserve"> also that there may be authoritarian elements to high levels of religiosity that mediate understandings of democracy </w:t>
      </w:r>
      <w:r w:rsidR="00AC49B3" w:rsidRPr="00C051DC">
        <w:rPr>
          <w:rFonts w:cstheme="majorBidi"/>
          <w:szCs w:val="24"/>
          <w:highlight w:val="yellow"/>
        </w:rPr>
        <w:fldChar w:fldCharType="begin" w:fldLock="1"/>
      </w:r>
      <w:r w:rsidR="00AC49B3" w:rsidRPr="00C051DC">
        <w:rPr>
          <w:rFonts w:cstheme="majorBidi"/>
          <w:szCs w:val="24"/>
          <w:highlight w:val="yellow"/>
        </w:rPr>
        <w:instrText>ADDIN CSL_CITATION { "citationItems" : [ { "id" : "ITEM-1", "itemData" : { "DOI" : "10.1007/s11109-004-0901-3", "ISSN" : "0190-9320", "author" : [ { "dropping-particle" : "", "family" : "Canetti-Nisim", "given" : "Daphna", "non-dropping-particle" : "", "parse-names" : false, "suffix" : "" } ], "container-title" : "Political Behavior", "id" : "ITEM-1", "issue" : "4", "issued" : { "date-parts" : [ [ "2004", "12" ] ] }, "page" : "377-398", "title" : "The Effect of Religiosity on Endorsement of Democratic Values: The Mediating Influence of Authoritarianism", "type" : "article-journal", "volume" : "26" }, "uris" : [ "http://www.mendeley.com/documents/?uuid=7ffa439d-4ed3-43f8-a764-539dbe9e4f7f" ] } ], "mendeley" : { "formattedCitation" : "(Canetti-Nisim, 2004)", "plainTextFormattedCitation" : "(Canetti-Nisim, 2004)", "previouslyFormattedCitation" : "(Canetti-Nisim, 2004)" }, "properties" : { "noteIndex" : 0 }, "schema" : "https://github.com/citation-style-language/schema/raw/master/csl-citation.json" }</w:instrText>
      </w:r>
      <w:r w:rsidR="00AC49B3" w:rsidRPr="00C051DC">
        <w:rPr>
          <w:rFonts w:cstheme="majorBidi"/>
          <w:szCs w:val="24"/>
          <w:highlight w:val="yellow"/>
        </w:rPr>
        <w:fldChar w:fldCharType="separate"/>
      </w:r>
      <w:r w:rsidR="00AC49B3" w:rsidRPr="00C051DC">
        <w:rPr>
          <w:rFonts w:cstheme="majorBidi"/>
          <w:noProof/>
          <w:szCs w:val="24"/>
          <w:highlight w:val="yellow"/>
        </w:rPr>
        <w:t>(Canetti-Nisim, 2004)</w:t>
      </w:r>
      <w:r w:rsidR="00AC49B3" w:rsidRPr="00C051DC">
        <w:rPr>
          <w:rFonts w:cstheme="majorBidi"/>
          <w:szCs w:val="24"/>
          <w:highlight w:val="yellow"/>
        </w:rPr>
        <w:fldChar w:fldCharType="end"/>
      </w:r>
      <w:r w:rsidR="00AC49B3" w:rsidRPr="00C051DC">
        <w:rPr>
          <w:rFonts w:cstheme="majorBidi"/>
          <w:szCs w:val="24"/>
          <w:highlight w:val="yellow"/>
        </w:rPr>
        <w:t xml:space="preserve">. Future research then needs to continue to tease apart the complex causality between religious values and authority.  </w:t>
      </w:r>
      <w:r w:rsidR="00776A74" w:rsidRPr="00C051DC">
        <w:rPr>
          <w:szCs w:val="24"/>
          <w:highlight w:val="yellow"/>
        </w:rPr>
        <w:t xml:space="preserve">The model however </w:t>
      </w:r>
      <w:r w:rsidR="005A4A71" w:rsidRPr="00C051DC">
        <w:rPr>
          <w:szCs w:val="24"/>
          <w:highlight w:val="yellow"/>
        </w:rPr>
        <w:t xml:space="preserve">does not </w:t>
      </w:r>
      <w:r w:rsidR="00776A74" w:rsidRPr="00C051DC">
        <w:rPr>
          <w:szCs w:val="24"/>
          <w:highlight w:val="yellow"/>
        </w:rPr>
        <w:t xml:space="preserve">demonstrate a difference by faith: once the MLM country errors are taken into account, the different types of religious faith fail to reach significance for the compound understanding and the authoritarian understanding. The only exception to this is that the </w:t>
      </w:r>
      <w:r w:rsidR="009517B8" w:rsidRPr="00C051DC">
        <w:rPr>
          <w:szCs w:val="24"/>
          <w:highlight w:val="yellow"/>
        </w:rPr>
        <w:t>Other category for the compound understanding: those classed as other score lower on the compound understanding in comparison to those classed as secular. Although the result is at a low level of significance, it could suggest that alternative religious practices are less compatible with the compound understanding, however the category contains a large mix of different religions, and so it is difficult to speculate further on what might be driving this result.</w:t>
      </w:r>
      <w:r w:rsidR="005A4A71" w:rsidRPr="00C051DC">
        <w:rPr>
          <w:szCs w:val="24"/>
          <w:highlight w:val="yellow"/>
        </w:rPr>
        <w:t xml:space="preserve"> Overall, whilst religiosity has an effect, denomination does not, and this theoretical approach influenced in particular by </w:t>
      </w:r>
      <w:r w:rsidR="005A4A71" w:rsidRPr="00C051DC">
        <w:rPr>
          <w:rFonts w:cstheme="majorBidi"/>
          <w:szCs w:val="24"/>
          <w:highlight w:val="yellow"/>
        </w:rPr>
        <w:t>Huntington’s arguments (1993, 1996), does not show that different types of religious believes influence these two conceptualisations of democracy.</w:t>
      </w:r>
    </w:p>
    <w:p w14:paraId="1C5FE5C1" w14:textId="42E95273" w:rsidR="003600BE" w:rsidRPr="00C051DC" w:rsidRDefault="001B6FEE" w:rsidP="00627026">
      <w:pPr>
        <w:pStyle w:val="Heading2"/>
        <w:rPr>
          <w:highlight w:val="yellow"/>
        </w:rPr>
      </w:pPr>
      <w:bookmarkStart w:id="344" w:name="_Toc494034230"/>
      <w:r w:rsidRPr="00C051DC">
        <w:rPr>
          <w:highlight w:val="yellow"/>
        </w:rPr>
        <w:t>5.</w:t>
      </w:r>
      <w:r w:rsidR="00B67477">
        <w:rPr>
          <w:highlight w:val="yellow"/>
        </w:rPr>
        <w:t>4</w:t>
      </w:r>
      <w:r w:rsidR="00627026" w:rsidRPr="00C051DC">
        <w:rPr>
          <w:highlight w:val="yellow"/>
        </w:rPr>
        <w:t>: Discussion</w:t>
      </w:r>
      <w:bookmarkEnd w:id="344"/>
    </w:p>
    <w:p w14:paraId="25FDE280" w14:textId="52AF0F61" w:rsidR="003600BE" w:rsidRPr="00C051DC" w:rsidRDefault="003600BE" w:rsidP="003600BE">
      <w:pPr>
        <w:rPr>
          <w:highlight w:val="yellow"/>
        </w:rPr>
      </w:pPr>
      <w:r w:rsidRPr="00C051DC">
        <w:rPr>
          <w:highlight w:val="yellow"/>
        </w:rPr>
        <w:t xml:space="preserve">Overall, it is clear from these results that all four theories have a part to play in explaining the two </w:t>
      </w:r>
      <w:r w:rsidR="001E3FD2" w:rsidRPr="00C051DC">
        <w:rPr>
          <w:highlight w:val="yellow"/>
        </w:rPr>
        <w:t>conceptualis</w:t>
      </w:r>
      <w:r w:rsidRPr="00C051DC">
        <w:rPr>
          <w:highlight w:val="yellow"/>
        </w:rPr>
        <w:t xml:space="preserve">ations of democracy. Many results match the theoretical expectations, and </w:t>
      </w:r>
      <w:r w:rsidR="00077FDA" w:rsidRPr="00C051DC">
        <w:rPr>
          <w:highlight w:val="yellow"/>
        </w:rPr>
        <w:t xml:space="preserve">further </w:t>
      </w:r>
      <w:r w:rsidRPr="00C051DC">
        <w:rPr>
          <w:highlight w:val="yellow"/>
        </w:rPr>
        <w:t>in-depth analysis</w:t>
      </w:r>
      <w:r w:rsidR="00077FDA" w:rsidRPr="00C051DC">
        <w:rPr>
          <w:highlight w:val="yellow"/>
        </w:rPr>
        <w:t xml:space="preserve"> studying interaction effects help</w:t>
      </w:r>
      <w:r w:rsidR="0095549F" w:rsidRPr="00C051DC">
        <w:rPr>
          <w:highlight w:val="yellow"/>
        </w:rPr>
        <w:t>s</w:t>
      </w:r>
      <w:r w:rsidRPr="00C051DC">
        <w:rPr>
          <w:highlight w:val="yellow"/>
        </w:rPr>
        <w:t xml:space="preserve"> draw out </w:t>
      </w:r>
      <w:r w:rsidR="00077FDA" w:rsidRPr="00C051DC">
        <w:rPr>
          <w:highlight w:val="yellow"/>
        </w:rPr>
        <w:t>some of the more nuanced processes that might be occurring</w:t>
      </w:r>
      <w:r w:rsidRPr="00C051DC">
        <w:rPr>
          <w:highlight w:val="yellow"/>
        </w:rPr>
        <w:t xml:space="preserve">. </w:t>
      </w:r>
    </w:p>
    <w:p w14:paraId="17E7039F" w14:textId="5D780B2E" w:rsidR="003600BE" w:rsidRPr="00C051DC" w:rsidRDefault="003600BE" w:rsidP="003600BE">
      <w:pPr>
        <w:rPr>
          <w:highlight w:val="yellow"/>
        </w:rPr>
      </w:pPr>
      <w:r w:rsidRPr="00C051DC">
        <w:rPr>
          <w:highlight w:val="yellow"/>
        </w:rPr>
        <w:t>When it comes to look at the socio-economic elements of modernization, education plays an expected role</w:t>
      </w:r>
      <w:r w:rsidR="00077FDA" w:rsidRPr="00C051DC">
        <w:rPr>
          <w:highlight w:val="yellow"/>
        </w:rPr>
        <w:t xml:space="preserve"> </w:t>
      </w:r>
      <w:r w:rsidR="00077FDA" w:rsidRPr="00C051DC">
        <w:rPr>
          <w:szCs w:val="24"/>
          <w:highlight w:val="yellow"/>
        </w:rPr>
        <w:fldChar w:fldCharType="begin" w:fldLock="1"/>
      </w:r>
      <w:r w:rsidR="00E63CC6" w:rsidRPr="00C051DC">
        <w:rPr>
          <w:szCs w:val="24"/>
          <w:highlight w:val="yellow"/>
        </w:rPr>
        <w:instrText>ADDIN CSL_CITATION { "citationItems" : [ { "id" : "ITEM-1", "itemData" : { "author" : [ { "dropping-particle" : "", "family" : "Bell", "given" : "D", "non-dropping-particle" : "", "parse-names" : false, "suffix" : "" } ], "id" : "ITEM-1", "issued" : { "date-parts" : [ [ "1973" ] ] }, "publisher" : "Basic Books", "publisher-place" : "New York", "title" : "The Coming of Post-Industrial Society", "type" : "book" }, "uris" : [ "http://www.mendeley.com/documents/?uuid=3aeac658-6cb8-406e-93c4-d46749c7c0f0" ] } ], "mendeley" : { "formattedCitation" : "(Bell, 1973)", "manualFormatting" : "(Bell 1973)", "plainTextFormattedCitation" : "(Bell, 1973)", "previouslyFormattedCitation" : "(Bell, 1973)" }, "properties" : { "noteIndex" : 0 }, "schema" : "https://github.com/citation-style-language/schema/raw/master/csl-citation.json" }</w:instrText>
      </w:r>
      <w:r w:rsidR="00077FDA" w:rsidRPr="00C051DC">
        <w:rPr>
          <w:szCs w:val="24"/>
          <w:highlight w:val="yellow"/>
        </w:rPr>
        <w:fldChar w:fldCharType="separate"/>
      </w:r>
      <w:r w:rsidR="00077FDA" w:rsidRPr="00C051DC">
        <w:rPr>
          <w:noProof/>
          <w:szCs w:val="24"/>
          <w:highlight w:val="yellow"/>
        </w:rPr>
        <w:t>(Bell 1973)</w:t>
      </w:r>
      <w:r w:rsidR="00077FDA" w:rsidRPr="00C051DC">
        <w:rPr>
          <w:szCs w:val="24"/>
          <w:highlight w:val="yellow"/>
        </w:rPr>
        <w:fldChar w:fldCharType="end"/>
      </w:r>
      <w:r w:rsidRPr="00C051DC">
        <w:rPr>
          <w:highlight w:val="yellow"/>
        </w:rPr>
        <w:t xml:space="preserve">. Those with </w:t>
      </w:r>
      <w:r w:rsidR="00B93785" w:rsidRPr="00C051DC">
        <w:rPr>
          <w:highlight w:val="yellow"/>
        </w:rPr>
        <w:t>hi</w:t>
      </w:r>
      <w:r w:rsidR="00AA1E4F" w:rsidRPr="00C051DC">
        <w:rPr>
          <w:highlight w:val="yellow"/>
        </w:rPr>
        <w:t>gher</w:t>
      </w:r>
      <w:r w:rsidR="00604292" w:rsidRPr="00C051DC">
        <w:rPr>
          <w:highlight w:val="yellow"/>
        </w:rPr>
        <w:t xml:space="preserve"> e</w:t>
      </w:r>
      <w:r w:rsidRPr="00C051DC">
        <w:rPr>
          <w:highlight w:val="yellow"/>
        </w:rPr>
        <w:t xml:space="preserve">ducation score higher on the compound understanding, and lower on the authoritarian one, </w:t>
      </w:r>
      <w:r w:rsidR="00077FDA" w:rsidRPr="00C051DC">
        <w:rPr>
          <w:highlight w:val="yellow"/>
        </w:rPr>
        <w:t>pointing</w:t>
      </w:r>
      <w:r w:rsidRPr="00C051DC">
        <w:rPr>
          <w:highlight w:val="yellow"/>
        </w:rPr>
        <w:t xml:space="preserve"> towards the idea that more education leads people towards a more liberal interpretation of democracy, but also more strongly away from one that invests power in non-accountable authorities. The robust and consistent effect of education across the models suggests this plays an important role in our understanding of these conceptualisations of democracy.</w:t>
      </w:r>
    </w:p>
    <w:p w14:paraId="1482AA4E" w14:textId="0D31193C" w:rsidR="003600BE" w:rsidRPr="00C051DC" w:rsidRDefault="003600BE" w:rsidP="003600BE">
      <w:pPr>
        <w:rPr>
          <w:highlight w:val="yellow"/>
        </w:rPr>
      </w:pPr>
      <w:r w:rsidRPr="00C051DC">
        <w:rPr>
          <w:highlight w:val="yellow"/>
        </w:rPr>
        <w:t>The notion that modernization brings with it increased income</w:t>
      </w:r>
      <w:r w:rsidR="00AA1E4F" w:rsidRPr="00C051DC">
        <w:rPr>
          <w:highlight w:val="yellow"/>
        </w:rPr>
        <w:t>,</w:t>
      </w:r>
      <w:r w:rsidRPr="00C051DC">
        <w:rPr>
          <w:highlight w:val="yellow"/>
        </w:rPr>
        <w:t xml:space="preserve"> and </w:t>
      </w:r>
      <w:r w:rsidR="00672BC7" w:rsidRPr="00C051DC">
        <w:rPr>
          <w:highlight w:val="yellow"/>
        </w:rPr>
        <w:t>therefore</w:t>
      </w:r>
      <w:r w:rsidRPr="00C051DC">
        <w:rPr>
          <w:highlight w:val="yellow"/>
        </w:rPr>
        <w:t xml:space="preserve"> there should be a link here with increasing individuals’ scores on the compound understanding of democracy</w:t>
      </w:r>
      <w:r w:rsidR="00AA1E4F" w:rsidRPr="00C051DC">
        <w:rPr>
          <w:highlight w:val="yellow"/>
        </w:rPr>
        <w:t>,</w:t>
      </w:r>
      <w:r w:rsidRPr="00C051DC">
        <w:rPr>
          <w:highlight w:val="yellow"/>
        </w:rPr>
        <w:t xml:space="preserve"> is tempered by context; in a developing country, those who see themselves as better-off score lower on the compound understanding and higher on the authoritarian one, possibly due to the threat that democracy may have on their status. In contrast, in developed countries, income has limited effect on the compound understanding, and a negative relationship with the authoritarian one.</w:t>
      </w:r>
    </w:p>
    <w:p w14:paraId="73CC2702" w14:textId="4F51BFF3" w:rsidR="003600BE" w:rsidRPr="00C051DC" w:rsidRDefault="003600BE" w:rsidP="003600BE">
      <w:pPr>
        <w:rPr>
          <w:highlight w:val="yellow"/>
        </w:rPr>
      </w:pPr>
      <w:r w:rsidRPr="00C051DC">
        <w:rPr>
          <w:highlight w:val="yellow"/>
        </w:rPr>
        <w:t xml:space="preserve">Therefore it can be argued that increased education universally undermines authoritarian understandings of democracy, but the acquisition of wealth – or the social perception of one’s economic status – has a context-specific effect. In places with less wealth it can lead better-off individuals to cling to understandings of democracy that empower non-accountable structures of authority; this could lead to support for a non-democratic status-quo, and </w:t>
      </w:r>
      <w:r w:rsidR="00C90068">
        <w:rPr>
          <w:highlight w:val="yellow"/>
        </w:rPr>
        <w:t xml:space="preserve">potentially </w:t>
      </w:r>
      <w:r w:rsidRPr="00C051DC">
        <w:rPr>
          <w:highlight w:val="yellow"/>
        </w:rPr>
        <w:t>impede democratization.</w:t>
      </w:r>
    </w:p>
    <w:p w14:paraId="7A016C29" w14:textId="783231D2" w:rsidR="003600BE" w:rsidRPr="00C051DC" w:rsidRDefault="003600BE" w:rsidP="003600BE">
      <w:pPr>
        <w:rPr>
          <w:highlight w:val="yellow"/>
        </w:rPr>
      </w:pPr>
      <w:r w:rsidRPr="00C051DC">
        <w:rPr>
          <w:highlight w:val="yellow"/>
        </w:rPr>
        <w:t xml:space="preserve">Increased political interest and the consumptions of news from a wide variety of media has, in general, a positive relationship with the compound understanding of democracy </w:t>
      </w:r>
      <w:r w:rsidR="00077FDA" w:rsidRPr="00C051DC">
        <w:rPr>
          <w:highlight w:val="yellow"/>
        </w:rPr>
        <w:t>but</w:t>
      </w:r>
      <w:r w:rsidRPr="00C051DC">
        <w:rPr>
          <w:highlight w:val="yellow"/>
        </w:rPr>
        <w:t xml:space="preserve"> a</w:t>
      </w:r>
      <w:r w:rsidR="00077FDA" w:rsidRPr="00C051DC">
        <w:rPr>
          <w:highlight w:val="yellow"/>
        </w:rPr>
        <w:t xml:space="preserve">n insignificant </w:t>
      </w:r>
      <w:r w:rsidR="000E16D9" w:rsidRPr="00C051DC">
        <w:rPr>
          <w:highlight w:val="yellow"/>
        </w:rPr>
        <w:t>r</w:t>
      </w:r>
      <w:r w:rsidRPr="00C051DC">
        <w:rPr>
          <w:highlight w:val="yellow"/>
        </w:rPr>
        <w:t xml:space="preserve">elationship with the authoritarian one. </w:t>
      </w:r>
      <w:r w:rsidR="000E16D9" w:rsidRPr="00C051DC">
        <w:rPr>
          <w:highlight w:val="yellow"/>
        </w:rPr>
        <w:t>However, for the authoritarian understanding, when an interaction is added with press freedom, we can see that actually those who read more media sources in a regime with a</w:t>
      </w:r>
      <w:r w:rsidR="00DA66F7" w:rsidRPr="00C051DC">
        <w:rPr>
          <w:highlight w:val="yellow"/>
        </w:rPr>
        <w:t>n</w:t>
      </w:r>
      <w:r w:rsidR="000E16D9" w:rsidRPr="00C051DC">
        <w:rPr>
          <w:highlight w:val="yellow"/>
        </w:rPr>
        <w:t xml:space="preserve"> unfree press score higher on this understanding of democracy. This suggests that </w:t>
      </w:r>
      <w:r w:rsidR="00472FE4" w:rsidRPr="00C051DC">
        <w:rPr>
          <w:highlight w:val="yellow"/>
        </w:rPr>
        <w:t>consuming</w:t>
      </w:r>
      <w:r w:rsidR="000E16D9" w:rsidRPr="00C051DC">
        <w:rPr>
          <w:highlight w:val="yellow"/>
        </w:rPr>
        <w:t xml:space="preserve"> lots of media </w:t>
      </w:r>
      <w:r w:rsidR="00366001" w:rsidRPr="00C051DC">
        <w:rPr>
          <w:highlight w:val="yellow"/>
        </w:rPr>
        <w:t>where the information environment</w:t>
      </w:r>
      <w:r w:rsidR="00DA66F7" w:rsidRPr="00C051DC">
        <w:rPr>
          <w:highlight w:val="yellow"/>
        </w:rPr>
        <w:t xml:space="preserve"> </w:t>
      </w:r>
      <w:r w:rsidR="00DA66F7" w:rsidRPr="00C051DC">
        <w:rPr>
          <w:highlight w:val="yellow"/>
        </w:rPr>
        <w:fldChar w:fldCharType="begin" w:fldLock="1"/>
      </w:r>
      <w:r w:rsidR="00E63CC6" w:rsidRPr="00C051DC">
        <w:rPr>
          <w:highlight w:val="yellow"/>
        </w:rPr>
        <w:instrText>ADDIN CSL_CITATION { "citationItems" : [ { "id" : "ITEM-1", "itemData" : { "author" : [ { "dropping-particle" : "", "family" : "Jerit", "given" : "Jennifer", "non-dropping-particle" : "", "parse-names" : false, "suffix" : "" }, { "dropping-particle" : "", "family" : "Barabas", "given" : "Jason", "non-dropping-particle" : "", "parse-names" : false, "suffix" : "" }, { "dropping-particle" : "", "family" : "Bolsen", "given" : "Toby", "non-dropping-particle" : "", "parse-names" : false, "suffix" : "" } ], "container-title" : "American Journal of Political Science", "id" : "ITEM-1", "issue" : "2", "issued" : { "date-parts" : [ [ "2006" ] ] }, "page" : "266-282", "title" : "Citizens, Knowledge, and the Information Environment", "type" : "article-journal", "volume" : "50" }, "uris" : [ "http://www.mendeley.com/documents/?uuid=e7ae7df9-86d1-4370-8568-003e0505aa9e" ] } ], "mendeley" : { "formattedCitation" : "(Jerit, Barabas and Bolsen, 2006)", "plainTextFormattedCitation" : "(Jerit, Barabas and Bolsen, 2006)", "previouslyFormattedCitation" : "(Jerit, Barabas and Bolsen, 2006)" }, "properties" : { "noteIndex" : 0 }, "schema" : "https://github.com/citation-style-language/schema/raw/master/csl-citation.json" }</w:instrText>
      </w:r>
      <w:r w:rsidR="00DA66F7" w:rsidRPr="00C051DC">
        <w:rPr>
          <w:highlight w:val="yellow"/>
        </w:rPr>
        <w:fldChar w:fldCharType="separate"/>
      </w:r>
      <w:r w:rsidR="00E63CC6" w:rsidRPr="00C051DC">
        <w:rPr>
          <w:noProof/>
          <w:highlight w:val="yellow"/>
        </w:rPr>
        <w:t>(Jerit, Barabas and Bolsen, 2006)</w:t>
      </w:r>
      <w:r w:rsidR="00DA66F7" w:rsidRPr="00C051DC">
        <w:rPr>
          <w:highlight w:val="yellow"/>
        </w:rPr>
        <w:fldChar w:fldCharType="end"/>
      </w:r>
      <w:r w:rsidR="00366001" w:rsidRPr="00C051DC">
        <w:rPr>
          <w:highlight w:val="yellow"/>
        </w:rPr>
        <w:t xml:space="preserve"> </w:t>
      </w:r>
      <w:r w:rsidR="00DA66F7" w:rsidRPr="00C051DC">
        <w:rPr>
          <w:highlight w:val="yellow"/>
        </w:rPr>
        <w:t>contains</w:t>
      </w:r>
      <w:r w:rsidR="000E16D9" w:rsidRPr="00C051DC">
        <w:rPr>
          <w:highlight w:val="yellow"/>
        </w:rPr>
        <w:t xml:space="preserve"> a high risk of propaganda and state-controlled output might boost your authoritarian understanding; however, it does not necessarily have a negative effect on the compound understanding. </w:t>
      </w:r>
      <w:r w:rsidR="00C3775A" w:rsidRPr="00C051DC">
        <w:rPr>
          <w:highlight w:val="yellow"/>
        </w:rPr>
        <w:t>I</w:t>
      </w:r>
      <w:r w:rsidR="00AA1E4F" w:rsidRPr="00C051DC">
        <w:rPr>
          <w:highlight w:val="yellow"/>
        </w:rPr>
        <w:t>t is</w:t>
      </w:r>
      <w:r w:rsidRPr="00C051DC">
        <w:rPr>
          <w:highlight w:val="yellow"/>
        </w:rPr>
        <w:t xml:space="preserve"> not just education, but also access to news and an engaged citizenry </w:t>
      </w:r>
      <w:r w:rsidR="00AA1E4F" w:rsidRPr="00C051DC">
        <w:rPr>
          <w:highlight w:val="yellow"/>
        </w:rPr>
        <w:t xml:space="preserve">which </w:t>
      </w:r>
      <w:r w:rsidRPr="00C051DC">
        <w:rPr>
          <w:highlight w:val="yellow"/>
        </w:rPr>
        <w:t>are helpful to boost a compound understanding of democracy, and, possibly more importantly, steer respondents away from an authoritarian vision</w:t>
      </w:r>
      <w:r w:rsidR="000E16D9" w:rsidRPr="00C051DC">
        <w:rPr>
          <w:highlight w:val="yellow"/>
        </w:rPr>
        <w:t xml:space="preserve"> – in the right context.</w:t>
      </w:r>
    </w:p>
    <w:p w14:paraId="7AF5FAED" w14:textId="3943A1DA" w:rsidR="00B825D8" w:rsidRPr="00C051DC" w:rsidRDefault="000E16D9" w:rsidP="003600BE">
      <w:pPr>
        <w:rPr>
          <w:highlight w:val="yellow"/>
        </w:rPr>
      </w:pPr>
      <w:r w:rsidRPr="00C051DC">
        <w:rPr>
          <w:highlight w:val="yellow"/>
        </w:rPr>
        <w:t xml:space="preserve">When it comes to </w:t>
      </w:r>
      <w:r w:rsidR="00B825D8" w:rsidRPr="00C051DC">
        <w:rPr>
          <w:highlight w:val="yellow"/>
        </w:rPr>
        <w:t>social capital theory, the group membership variable struggles. It fails to gain significance in the MLM for either type of conceptualisation.</w:t>
      </w:r>
      <w:r w:rsidRPr="00C051DC">
        <w:rPr>
          <w:highlight w:val="yellow"/>
        </w:rPr>
        <w:t xml:space="preserve"> </w:t>
      </w:r>
      <w:r w:rsidR="00B825D8" w:rsidRPr="00C051DC">
        <w:rPr>
          <w:highlight w:val="yellow"/>
        </w:rPr>
        <w:t xml:space="preserve">There is some evidence that membership varies by context, however it is relatively weak: the interaction analysis for the compound understanding suggests that those in two or more groups score lower than other respondents in a Not Free context, however those in this context overall score higher than counterparts in the Partly Free and Free countries. The </w:t>
      </w:r>
      <w:r w:rsidRPr="00C051DC">
        <w:rPr>
          <w:highlight w:val="yellow"/>
        </w:rPr>
        <w:t>results</w:t>
      </w:r>
      <w:r w:rsidR="00B825D8" w:rsidRPr="00C051DC">
        <w:rPr>
          <w:highlight w:val="yellow"/>
        </w:rPr>
        <w:t xml:space="preserve"> for the authoritarian understanding suggest that in a Partly Free context, those in 2 or more groups score lower. This is an interesting finding, and alongside the information environment finding suggests that more research is needed on countries in semi-democratic contexts, especially when it comes to political understanding and its relationship with media and civil society (see Rossteutscher 2010). </w:t>
      </w:r>
    </w:p>
    <w:p w14:paraId="59463349" w14:textId="0F996E7E" w:rsidR="003600BE" w:rsidRPr="00C051DC" w:rsidRDefault="003600BE" w:rsidP="00B825D8">
      <w:pPr>
        <w:rPr>
          <w:highlight w:val="yellow"/>
        </w:rPr>
      </w:pPr>
      <w:r w:rsidRPr="00C051DC">
        <w:rPr>
          <w:highlight w:val="yellow"/>
        </w:rPr>
        <w:t xml:space="preserve">Trust, in its social and institutional </w:t>
      </w:r>
      <w:r w:rsidR="001E3FD2" w:rsidRPr="00C051DC">
        <w:rPr>
          <w:highlight w:val="yellow"/>
        </w:rPr>
        <w:t>conceptualis</w:t>
      </w:r>
      <w:r w:rsidRPr="00C051DC">
        <w:rPr>
          <w:highlight w:val="yellow"/>
        </w:rPr>
        <w:t>ations</w:t>
      </w:r>
      <w:r w:rsidR="00D9478A" w:rsidRPr="00C051DC">
        <w:rPr>
          <w:highlight w:val="yellow"/>
        </w:rPr>
        <w:t>,</w:t>
      </w:r>
      <w:r w:rsidRPr="00C051DC">
        <w:rPr>
          <w:highlight w:val="yellow"/>
        </w:rPr>
        <w:t xml:space="preserve"> plays a part</w:t>
      </w:r>
      <w:r w:rsidR="00B825D8" w:rsidRPr="00C051DC">
        <w:rPr>
          <w:highlight w:val="yellow"/>
        </w:rPr>
        <w:t xml:space="preserve">, although not </w:t>
      </w:r>
      <w:r w:rsidR="00C90068" w:rsidRPr="00C051DC">
        <w:rPr>
          <w:highlight w:val="yellow"/>
        </w:rPr>
        <w:t>necessarily</w:t>
      </w:r>
      <w:r w:rsidR="00B825D8" w:rsidRPr="00C051DC">
        <w:rPr>
          <w:highlight w:val="yellow"/>
        </w:rPr>
        <w:t xml:space="preserve"> as expected. Institutional trust is positively related to both understandings of democracy. This may suggest that people who trust their institutions receive cues from them on how to understand democracy</w:t>
      </w:r>
      <w:r w:rsidRPr="00C051DC">
        <w:rPr>
          <w:highlight w:val="yellow"/>
        </w:rPr>
        <w:t xml:space="preserve">. </w:t>
      </w:r>
      <w:r w:rsidR="00B825D8" w:rsidRPr="00C051DC">
        <w:rPr>
          <w:highlight w:val="yellow"/>
        </w:rPr>
        <w:t xml:space="preserve">However, the authorities in question are quite different – the institutional variable looks at the state apparatus of the justice system, government, parties, parliament and civil service, whereas the authoritarian understanding of democracy focuses on the army and religious leaders. Institutional trust appears then to have a broad, overlapping effect across institutions. </w:t>
      </w:r>
      <w:r w:rsidRPr="00C051DC">
        <w:rPr>
          <w:highlight w:val="yellow"/>
        </w:rPr>
        <w:t xml:space="preserve">Social trust </w:t>
      </w:r>
      <w:r w:rsidR="00B825D8" w:rsidRPr="00C051DC">
        <w:rPr>
          <w:highlight w:val="yellow"/>
        </w:rPr>
        <w:t>has no significant relationship with the compound understanding of democracy in the MLM, however it has a consistently negative relationship with the authoritarian</w:t>
      </w:r>
      <w:r w:rsidRPr="00C051DC">
        <w:rPr>
          <w:highlight w:val="yellow"/>
        </w:rPr>
        <w:t xml:space="preserve"> understanding of democracy</w:t>
      </w:r>
      <w:r w:rsidR="00B825D8" w:rsidRPr="00C051DC">
        <w:rPr>
          <w:highlight w:val="yellow"/>
        </w:rPr>
        <w:t>. It could be that the</w:t>
      </w:r>
      <w:r w:rsidR="00AD00C9" w:rsidRPr="00C051DC">
        <w:rPr>
          <w:highlight w:val="yellow"/>
        </w:rPr>
        <w:t xml:space="preserve"> positive effect</w:t>
      </w:r>
      <w:r w:rsidR="00B825D8" w:rsidRPr="00C051DC">
        <w:rPr>
          <w:highlight w:val="yellow"/>
        </w:rPr>
        <w:t xml:space="preserve"> of social trust</w:t>
      </w:r>
      <w:r w:rsidR="00AD00C9" w:rsidRPr="00C051DC">
        <w:rPr>
          <w:highlight w:val="yellow"/>
        </w:rPr>
        <w:t xml:space="preserve"> as espoused by the likes of Putnam (1995), </w:t>
      </w:r>
      <w:r w:rsidR="00AD00C9" w:rsidRPr="00C051DC">
        <w:rPr>
          <w:szCs w:val="24"/>
          <w:highlight w:val="yellow"/>
        </w:rPr>
        <w:fldChar w:fldCharType="begin" w:fldLock="1"/>
      </w:r>
      <w:r w:rsidR="00E63CC6" w:rsidRPr="00C051DC">
        <w:rPr>
          <w:szCs w:val="24"/>
          <w:highlight w:val="yellow"/>
        </w:rPr>
        <w:instrText>ADDIN CSL_CITATION { "citationItems" : [ { "id" : "ITEM-1", "itemData" : { "author" : [ { "dropping-particle" : "", "family" : "Stolle", "given" : "D", "non-dropping-particle" : "", "parse-names" : false, "suffix" : "" } ], "container-title" : "Generating Social Capital - Civil society and institutions in comparative perspective", "editor" : [ { "dropping-particle" : "", "family" : "Hooghe", "given" : "M.", "non-dropping-particle" : "", "parse-names" : false, "suffix" : "" }, { "dropping-particle" : "", "family" : "Stolle", "given" : "D", "non-dropping-particle" : "", "parse-names" : false, "suffix" : "" } ], "id" : "ITEM-1", "issued" : { "date-parts" : [ [ "2003" ] ] }, "page" : "19-42", "publisher" : "Palgrave Macmillan", "publisher-place" : "New York", "title" : "The sources of social capital", "type" : "chapter" }, "uris" : [ "http://www.mendeley.com/documents/?uuid=3ef94de2-ce24-4066-9bb2-b0249fa9f69c" ] } ], "mendeley" : { "formattedCitation" : "(Stolle, 2003)", "manualFormatting" : "Stolle (2003, p.19)", "plainTextFormattedCitation" : "(Stolle, 2003)", "previouslyFormattedCitation" : "(Stolle, 2003)" }, "properties" : { "noteIndex" : 0 }, "schema" : "https://github.com/citation-style-language/schema/raw/master/csl-citation.json" }</w:instrText>
      </w:r>
      <w:r w:rsidR="00AD00C9" w:rsidRPr="00C051DC">
        <w:rPr>
          <w:szCs w:val="24"/>
          <w:highlight w:val="yellow"/>
        </w:rPr>
        <w:fldChar w:fldCharType="separate"/>
      </w:r>
      <w:r w:rsidR="00AD00C9" w:rsidRPr="00C051DC">
        <w:rPr>
          <w:noProof/>
          <w:szCs w:val="24"/>
          <w:highlight w:val="yellow"/>
        </w:rPr>
        <w:t>Stolle (2003, p.19)</w:t>
      </w:r>
      <w:r w:rsidR="00AD00C9" w:rsidRPr="00C051DC">
        <w:rPr>
          <w:szCs w:val="24"/>
          <w:highlight w:val="yellow"/>
        </w:rPr>
        <w:fldChar w:fldCharType="end"/>
      </w:r>
      <w:r w:rsidR="00AD00C9" w:rsidRPr="00C051DC">
        <w:rPr>
          <w:szCs w:val="24"/>
          <w:highlight w:val="yellow"/>
        </w:rPr>
        <w:t xml:space="preserve"> and </w:t>
      </w:r>
      <w:r w:rsidR="00AD00C9" w:rsidRPr="00C051DC">
        <w:rPr>
          <w:szCs w:val="24"/>
          <w:highlight w:val="yellow"/>
        </w:rPr>
        <w:fldChar w:fldCharType="begin" w:fldLock="1"/>
      </w:r>
      <w:r w:rsidR="00E63CC6" w:rsidRPr="00C051DC">
        <w:rPr>
          <w:szCs w:val="24"/>
          <w:highlight w:val="yellow"/>
        </w:rPr>
        <w:instrText>ADDIN CSL_CITATION { "citationItems" : [ { "id" : "ITEM-1", "itemData" : { "DOI" : "10.1017/S1468109905001842", "ISSN" : "1468-1099", "author" : [ { "dropping-particle" : "", "family" : "Dalton", "given" : "R.", "non-dropping-particle" : "", "parse-names" : false, "suffix" : "" }, { "dropping-particle" : "", "family" : "Ong", "given" : "Nhu-Ngoc T.", "non-dropping-particle" : "", "parse-names" : false, "suffix" : "" } ], "container-title" : "Japanese Journal of Political Science", "id" : "ITEM-1", "issue" : "2", "issued" : { "date-parts" : [ [ "2005", "8", "2" ] ] }, "page" : "211-231", "title" : "Authority Orientations and Democratic Attitudes: A Test of the \u2018Asian Values\u2019 Hypothesis", "type" : "article-journal", "volume" : "6" }, "uris" : [ "http://www.mendeley.com/documents/?uuid=3e65a42f-af4a-4bb7-9592-e90b528ec12d" ] } ], "mendeley" : { "formattedCitation" : "(Dalton and Ong, 2005)", "manualFormatting" : "Dalton &amp; Ong (2005: 13)", "plainTextFormattedCitation" : "(Dalton and Ong, 2005)", "previouslyFormattedCitation" : "(Dalton and Ong, 2005)" }, "properties" : { "noteIndex" : 0 }, "schema" : "https://github.com/citation-style-language/schema/raw/master/csl-citation.json" }</w:instrText>
      </w:r>
      <w:r w:rsidR="00AD00C9" w:rsidRPr="00C051DC">
        <w:rPr>
          <w:szCs w:val="24"/>
          <w:highlight w:val="yellow"/>
        </w:rPr>
        <w:fldChar w:fldCharType="separate"/>
      </w:r>
      <w:r w:rsidR="00AD00C9" w:rsidRPr="00C051DC">
        <w:rPr>
          <w:noProof/>
          <w:szCs w:val="24"/>
          <w:highlight w:val="yellow"/>
        </w:rPr>
        <w:t>Dalton &amp; Ong (2005: 13)</w:t>
      </w:r>
      <w:r w:rsidR="00AD00C9" w:rsidRPr="00C051DC">
        <w:rPr>
          <w:szCs w:val="24"/>
          <w:highlight w:val="yellow"/>
        </w:rPr>
        <w:fldChar w:fldCharType="end"/>
      </w:r>
      <w:r w:rsidR="00B825D8" w:rsidRPr="00C051DC">
        <w:rPr>
          <w:highlight w:val="yellow"/>
        </w:rPr>
        <w:t xml:space="preserve"> move people away from authoritarian understandings that place </w:t>
      </w:r>
      <w:r w:rsidR="00C90068">
        <w:rPr>
          <w:highlight w:val="yellow"/>
        </w:rPr>
        <w:t>limited</w:t>
      </w:r>
      <w:r w:rsidR="00B825D8" w:rsidRPr="00C051DC">
        <w:rPr>
          <w:highlight w:val="yellow"/>
        </w:rPr>
        <w:t xml:space="preserve"> emphasis on ‘people’ more broadly and rather focus on theocratic or military elites.</w:t>
      </w:r>
    </w:p>
    <w:p w14:paraId="76AC22A6" w14:textId="7785919B" w:rsidR="00472FE4" w:rsidRDefault="003600BE" w:rsidP="00472FE4">
      <w:r w:rsidRPr="00C051DC">
        <w:rPr>
          <w:highlight w:val="yellow"/>
        </w:rPr>
        <w:t>Finally, the effects of religiosity and religion appear quite limited. At the individual level, increased religiosity has a positive relationship with the authoritarian understanding of democracy. This is likely driven by the religious c</w:t>
      </w:r>
      <w:r w:rsidR="00AD00C9" w:rsidRPr="00C051DC">
        <w:rPr>
          <w:highlight w:val="yellow"/>
        </w:rPr>
        <w:t>haracteristic of this component</w:t>
      </w:r>
      <w:r w:rsidRPr="00C051DC">
        <w:rPr>
          <w:highlight w:val="yellow"/>
        </w:rPr>
        <w:t>. There does appear then, to be a link between re</w:t>
      </w:r>
      <w:r w:rsidR="00AD00C9" w:rsidRPr="00C051DC">
        <w:rPr>
          <w:highlight w:val="yellow"/>
        </w:rPr>
        <w:t>ligiosity and faith in authorities</w:t>
      </w:r>
      <w:r w:rsidR="00AA1E4F" w:rsidRPr="00C051DC">
        <w:rPr>
          <w:highlight w:val="yellow"/>
        </w:rPr>
        <w:t xml:space="preserve"> </w:t>
      </w:r>
      <w:r w:rsidR="00AA1E4F" w:rsidRPr="00C051DC">
        <w:rPr>
          <w:highlight w:val="yellow"/>
        </w:rPr>
        <w:fldChar w:fldCharType="begin" w:fldLock="1"/>
      </w:r>
      <w:r w:rsidR="00E63CC6" w:rsidRPr="00C051DC">
        <w:rPr>
          <w:highlight w:val="yellow"/>
        </w:rPr>
        <w:instrText>ADDIN CSL_CITATION { "citationItems" : [ { "id" : "ITEM-1", "itemData" : { "DOI" : "10.1007/s11109-004-0901-3", "ISSN" : "0190-9320", "author" : [ { "dropping-particle" : "", "family" : "Canetti-Nisim", "given" : "Daphna", "non-dropping-particle" : "", "parse-names" : false, "suffix" : "" } ], "container-title" : "Political Behavior", "id" : "ITEM-1", "issue" : "4", "issued" : { "date-parts" : [ [ "2004", "12" ] ] }, "page" : "377-398", "title" : "The Effect of Religiosity on Endorsement of Democratic Values: The Mediating Influence of Authoritarianism", "type" : "article-journal", "volume" : "26" }, "uris" : [ "http://www.mendeley.com/documents/?uuid=7ffa439d-4ed3-43f8-a764-539dbe9e4f7f" ] } ], "mendeley" : { "formattedCitation" : "(Canetti-Nisim, 2004)", "plainTextFormattedCitation" : "(Canetti-Nisim, 2004)", "previouslyFormattedCitation" : "(Canetti-Nisim, 2004)" }, "properties" : { "noteIndex" : 0 }, "schema" : "https://github.com/citation-style-language/schema/raw/master/csl-citation.json" }</w:instrText>
      </w:r>
      <w:r w:rsidR="00AA1E4F" w:rsidRPr="00C051DC">
        <w:rPr>
          <w:highlight w:val="yellow"/>
        </w:rPr>
        <w:fldChar w:fldCharType="separate"/>
      </w:r>
      <w:r w:rsidR="00E63CC6" w:rsidRPr="00C051DC">
        <w:rPr>
          <w:noProof/>
          <w:highlight w:val="yellow"/>
        </w:rPr>
        <w:t>(Canetti-Nisim, 2004)</w:t>
      </w:r>
      <w:r w:rsidR="00AA1E4F" w:rsidRPr="00C051DC">
        <w:rPr>
          <w:highlight w:val="yellow"/>
        </w:rPr>
        <w:fldChar w:fldCharType="end"/>
      </w:r>
      <w:r w:rsidRPr="00C051DC">
        <w:rPr>
          <w:highlight w:val="yellow"/>
        </w:rPr>
        <w:t>. However, there are no strong links to particular religions in these results</w:t>
      </w:r>
      <w:r w:rsidR="00B825D8" w:rsidRPr="00C051DC">
        <w:rPr>
          <w:highlight w:val="yellow"/>
        </w:rPr>
        <w:t>. I</w:t>
      </w:r>
      <w:r w:rsidRPr="00C051DC">
        <w:rPr>
          <w:highlight w:val="yellow"/>
        </w:rPr>
        <w:t>t is clear that for those promoting democracy, focus should be not necessarily on any faith in particular, but on how religious groups in general are acting in civil society and what effects they have on those who are members.</w:t>
      </w:r>
      <w:r w:rsidR="00C3775A" w:rsidRPr="00C051DC">
        <w:rPr>
          <w:highlight w:val="yellow"/>
        </w:rPr>
        <w:t xml:space="preserve"> W</w:t>
      </w:r>
      <w:r w:rsidR="00C11E7D" w:rsidRPr="00C051DC">
        <w:rPr>
          <w:highlight w:val="yellow"/>
        </w:rPr>
        <w:t xml:space="preserve">hen Huntington (1996) argues that certain civilizations are obstacles to democracy, I find no strong evidence to suggest that they are obstacles to ways of </w:t>
      </w:r>
      <w:r w:rsidR="00C11E7D" w:rsidRPr="00C051DC">
        <w:rPr>
          <w:i/>
          <w:highlight w:val="yellow"/>
        </w:rPr>
        <w:t>thinking</w:t>
      </w:r>
      <w:r w:rsidR="00C11E7D" w:rsidRPr="00C051DC">
        <w:rPr>
          <w:highlight w:val="yellow"/>
        </w:rPr>
        <w:t xml:space="preserve"> </w:t>
      </w:r>
      <w:r w:rsidR="00C11E7D" w:rsidRPr="00C051DC">
        <w:rPr>
          <w:i/>
          <w:highlight w:val="yellow"/>
        </w:rPr>
        <w:t>about</w:t>
      </w:r>
      <w:r w:rsidR="00C11E7D" w:rsidRPr="00C051DC">
        <w:rPr>
          <w:highlight w:val="yellow"/>
        </w:rPr>
        <w:t xml:space="preserve"> democracy.</w:t>
      </w:r>
      <w:r w:rsidR="00C11E7D">
        <w:t xml:space="preserve">  </w:t>
      </w:r>
      <w:bookmarkStart w:id="345" w:name="_Toc441069273"/>
      <w:bookmarkStart w:id="346" w:name="_Toc441069039"/>
      <w:bookmarkStart w:id="347" w:name="_Toc393447178"/>
      <w:bookmarkStart w:id="348" w:name="_Toc439171191"/>
    </w:p>
    <w:p w14:paraId="6C374D74" w14:textId="79DEF818" w:rsidR="001D5A39" w:rsidRPr="00C051DC" w:rsidRDefault="0093121A" w:rsidP="00B825D8">
      <w:pPr>
        <w:pStyle w:val="Heading3"/>
        <w:numPr>
          <w:ilvl w:val="0"/>
          <w:numId w:val="0"/>
        </w:numPr>
        <w:rPr>
          <w:highlight w:val="yellow"/>
        </w:rPr>
      </w:pPr>
      <w:r w:rsidRPr="00C051DC">
        <w:rPr>
          <w:highlight w:val="yellow"/>
        </w:rPr>
        <w:t>Model Fit</w:t>
      </w:r>
    </w:p>
    <w:p w14:paraId="69AE7D92" w14:textId="77777777" w:rsidR="006F61A8" w:rsidRPr="00C051DC" w:rsidRDefault="0093121A" w:rsidP="0093121A">
      <w:pPr>
        <w:rPr>
          <w:szCs w:val="24"/>
          <w:highlight w:val="yellow"/>
        </w:rPr>
      </w:pPr>
      <w:r w:rsidRPr="00C051DC">
        <w:rPr>
          <w:szCs w:val="24"/>
          <w:highlight w:val="yellow"/>
        </w:rPr>
        <w:t>Worth noting here is that the model</w:t>
      </w:r>
      <w:r w:rsidR="00B825D8" w:rsidRPr="00C051DC">
        <w:rPr>
          <w:szCs w:val="24"/>
          <w:highlight w:val="yellow"/>
        </w:rPr>
        <w:t xml:space="preserve"> fit statistics are relatively low in certain models, especially for the compound understanding where the r-squared only reaches 0.05 </w:t>
      </w:r>
      <w:r w:rsidR="006F61A8" w:rsidRPr="00C051DC">
        <w:rPr>
          <w:szCs w:val="24"/>
          <w:highlight w:val="yellow"/>
        </w:rPr>
        <w:t>at the individual level and 0.32</w:t>
      </w:r>
      <w:r w:rsidR="00B825D8" w:rsidRPr="00C051DC">
        <w:rPr>
          <w:szCs w:val="24"/>
          <w:highlight w:val="yellow"/>
        </w:rPr>
        <w:t xml:space="preserve"> for the national level. The largest increase in model fit then comes from the</w:t>
      </w:r>
      <w:r w:rsidR="006F61A8" w:rsidRPr="00C051DC">
        <w:rPr>
          <w:szCs w:val="24"/>
          <w:highlight w:val="yellow"/>
        </w:rPr>
        <w:t xml:space="preserve"> communist variables and</w:t>
      </w:r>
      <w:r w:rsidR="00B825D8" w:rsidRPr="00C051DC">
        <w:rPr>
          <w:szCs w:val="24"/>
          <w:highlight w:val="yellow"/>
        </w:rPr>
        <w:t xml:space="preserve"> Freedom House variables, which</w:t>
      </w:r>
      <w:r w:rsidR="006F61A8" w:rsidRPr="00C051DC">
        <w:rPr>
          <w:szCs w:val="24"/>
          <w:highlight w:val="yellow"/>
        </w:rPr>
        <w:t xml:space="preserve"> are blunt attempts </w:t>
      </w:r>
      <w:r w:rsidR="00B825D8" w:rsidRPr="00C051DC">
        <w:rPr>
          <w:szCs w:val="24"/>
          <w:highlight w:val="yellow"/>
        </w:rPr>
        <w:t xml:space="preserve">to pick up </w:t>
      </w:r>
      <w:r w:rsidR="006F61A8" w:rsidRPr="00C051DC">
        <w:rPr>
          <w:szCs w:val="24"/>
          <w:highlight w:val="yellow"/>
        </w:rPr>
        <w:t xml:space="preserve">large </w:t>
      </w:r>
      <w:r w:rsidR="00B825D8" w:rsidRPr="00C051DC">
        <w:rPr>
          <w:szCs w:val="24"/>
          <w:highlight w:val="yellow"/>
        </w:rPr>
        <w:t>differences in regime freedom across the world. One possible reason for this low explanatory power is the lower level of variance in this variable, and the consequent issue that this understanding of democracy has permeated across much of the world, regardless of demographic characteristics or societal context. It takes considerable contextual categorisation (</w:t>
      </w:r>
      <w:r w:rsidR="006F61A8" w:rsidRPr="00C051DC">
        <w:rPr>
          <w:szCs w:val="24"/>
          <w:highlight w:val="yellow"/>
        </w:rPr>
        <w:t xml:space="preserve">for instance </w:t>
      </w:r>
      <w:r w:rsidR="00B825D8" w:rsidRPr="00C051DC">
        <w:rPr>
          <w:szCs w:val="24"/>
          <w:highlight w:val="yellow"/>
        </w:rPr>
        <w:t>between Free and Not Free countries</w:t>
      </w:r>
      <w:r w:rsidR="006F61A8" w:rsidRPr="00C051DC">
        <w:rPr>
          <w:szCs w:val="24"/>
          <w:highlight w:val="yellow"/>
        </w:rPr>
        <w:t>, non-communist and communist</w:t>
      </w:r>
      <w:r w:rsidR="00B825D8" w:rsidRPr="00C051DC">
        <w:rPr>
          <w:szCs w:val="24"/>
          <w:highlight w:val="yellow"/>
        </w:rPr>
        <w:t xml:space="preserve">) to account for </w:t>
      </w:r>
      <w:r w:rsidR="006F61A8" w:rsidRPr="00C051DC">
        <w:rPr>
          <w:szCs w:val="24"/>
          <w:highlight w:val="yellow"/>
        </w:rPr>
        <w:t xml:space="preserve">any </w:t>
      </w:r>
      <w:r w:rsidR="00B825D8" w:rsidRPr="00C051DC">
        <w:rPr>
          <w:szCs w:val="24"/>
          <w:highlight w:val="yellow"/>
        </w:rPr>
        <w:t>difference, and even then it is the Not Free countries that in fact score higher on this understanding</w:t>
      </w:r>
      <w:r w:rsidR="006F61A8" w:rsidRPr="00C051DC">
        <w:rPr>
          <w:szCs w:val="24"/>
          <w:highlight w:val="yellow"/>
        </w:rPr>
        <w:t>, and those who have a recent communist history</w:t>
      </w:r>
      <w:r w:rsidR="00B825D8" w:rsidRPr="00C051DC">
        <w:rPr>
          <w:szCs w:val="24"/>
          <w:highlight w:val="yellow"/>
        </w:rPr>
        <w:t xml:space="preserve">. </w:t>
      </w:r>
    </w:p>
    <w:p w14:paraId="73862A83" w14:textId="26C88EEE" w:rsidR="006F61A8" w:rsidRPr="00C051DC" w:rsidRDefault="006F61A8" w:rsidP="006F61A8">
      <w:pPr>
        <w:rPr>
          <w:rFonts w:cstheme="majorBidi"/>
          <w:szCs w:val="24"/>
          <w:highlight w:val="yellow"/>
        </w:rPr>
      </w:pPr>
      <w:r w:rsidRPr="00C051DC">
        <w:rPr>
          <w:rFonts w:cstheme="majorBidi"/>
          <w:szCs w:val="24"/>
          <w:highlight w:val="yellow"/>
        </w:rPr>
        <w:t>Overall, this lack of explanatory power is perhaps not that surprising. We know from Chapter 3 that in general most individuals score highly on all the characteristics associated with this component, with low standard deviations. In other words, this understanding is relatively widespread, w</w:t>
      </w:r>
      <w:r w:rsidR="00012452" w:rsidRPr="00C051DC">
        <w:rPr>
          <w:rFonts w:cstheme="majorBidi"/>
          <w:szCs w:val="24"/>
          <w:highlight w:val="yellow"/>
        </w:rPr>
        <w:t xml:space="preserve">ith less explainable variation. </w:t>
      </w:r>
      <w:r w:rsidRPr="00C051DC">
        <w:rPr>
          <w:rFonts w:cstheme="majorBidi"/>
          <w:szCs w:val="24"/>
          <w:highlight w:val="yellow"/>
        </w:rPr>
        <w:t>This means that this understanding of democracy has permeated across much of the world and there is relatively little difference to be accounted for at the individual or national level. What does help explain higher scores on this understanding, however, are theories concerning cognitive engagement</w:t>
      </w:r>
      <w:r w:rsidR="005A4A71" w:rsidRPr="00C051DC">
        <w:rPr>
          <w:rFonts w:cstheme="majorBidi"/>
          <w:szCs w:val="24"/>
          <w:highlight w:val="yellow"/>
        </w:rPr>
        <w:t xml:space="preserve"> and modernization</w:t>
      </w:r>
      <w:r w:rsidRPr="00C051DC">
        <w:rPr>
          <w:rFonts w:cstheme="majorBidi"/>
          <w:szCs w:val="24"/>
          <w:highlight w:val="yellow"/>
        </w:rPr>
        <w:t>. Those with high educational attainment and who seek out news and political knowledge are more likely to have this understanding. This is improved by living in a free country with a free press. Further, citizens in the least democratic regimes adhere to this understanding the strongest.</w:t>
      </w:r>
    </w:p>
    <w:p w14:paraId="6DC8C9E2" w14:textId="54CBDE8E" w:rsidR="006F61A8" w:rsidRPr="00C051DC" w:rsidRDefault="005A4A71" w:rsidP="0093121A">
      <w:pPr>
        <w:rPr>
          <w:szCs w:val="24"/>
          <w:highlight w:val="yellow"/>
        </w:rPr>
      </w:pPr>
      <w:r w:rsidRPr="00C051DC">
        <w:rPr>
          <w:szCs w:val="24"/>
          <w:highlight w:val="yellow"/>
        </w:rPr>
        <w:t xml:space="preserve">Therefore we might speculate that this mish-mash approach to democracy across the liberal, social and populist characteristics is one generally ascribed to around the world. </w:t>
      </w:r>
      <w:r w:rsidR="006F61A8" w:rsidRPr="00C051DC">
        <w:rPr>
          <w:szCs w:val="24"/>
          <w:highlight w:val="yellow"/>
        </w:rPr>
        <w:t>However, it is also not a stream-lined and cle</w:t>
      </w:r>
      <w:r w:rsidRPr="00C051DC">
        <w:rPr>
          <w:szCs w:val="24"/>
          <w:highlight w:val="yellow"/>
        </w:rPr>
        <w:t xml:space="preserve">ar-cut liberal interpretation. </w:t>
      </w:r>
      <w:r w:rsidR="006F61A8" w:rsidRPr="00C051DC">
        <w:rPr>
          <w:szCs w:val="24"/>
          <w:highlight w:val="yellow"/>
        </w:rPr>
        <w:t xml:space="preserve">It </w:t>
      </w:r>
      <w:r w:rsidRPr="00C051DC">
        <w:rPr>
          <w:szCs w:val="24"/>
          <w:highlight w:val="yellow"/>
        </w:rPr>
        <w:t>should be reiterated that it is</w:t>
      </w:r>
      <w:r w:rsidR="006F61A8" w:rsidRPr="00C051DC">
        <w:rPr>
          <w:szCs w:val="24"/>
          <w:highlight w:val="yellow"/>
        </w:rPr>
        <w:t xml:space="preserve"> something of a Frankenstein’s monster of liberal, social and populist elements of democratic theory, and, so democracy has the potential to mean </w:t>
      </w:r>
      <w:r w:rsidRPr="00C051DC">
        <w:rPr>
          <w:szCs w:val="24"/>
          <w:highlight w:val="yellow"/>
        </w:rPr>
        <w:t>multiple</w:t>
      </w:r>
      <w:r w:rsidR="006F61A8" w:rsidRPr="00C051DC">
        <w:rPr>
          <w:szCs w:val="24"/>
          <w:highlight w:val="yellow"/>
        </w:rPr>
        <w:t xml:space="preserve"> things to many people. </w:t>
      </w:r>
      <w:r w:rsidRPr="00C051DC">
        <w:rPr>
          <w:szCs w:val="24"/>
          <w:highlight w:val="yellow"/>
        </w:rPr>
        <w:t>There is always the alternative that important theoretical approaches concerning what might drive democratic understanding have not been tested</w:t>
      </w:r>
      <w:r w:rsidR="00FF2E9E" w:rsidRPr="00C051DC">
        <w:rPr>
          <w:szCs w:val="24"/>
          <w:highlight w:val="yellow"/>
        </w:rPr>
        <w:t xml:space="preserve"> (omitted variables basis)</w:t>
      </w:r>
      <w:r w:rsidRPr="00C051DC">
        <w:rPr>
          <w:szCs w:val="24"/>
          <w:highlight w:val="yellow"/>
        </w:rPr>
        <w:t>.</w:t>
      </w:r>
      <w:r w:rsidR="00FF2E9E" w:rsidRPr="00C051DC">
        <w:rPr>
          <w:szCs w:val="24"/>
          <w:highlight w:val="yellow"/>
        </w:rPr>
        <w:t xml:space="preserve"> A wide range of key theories was purposely examined to try and look broadly at explanatory factors, however there is always the potential for an important angle to be missed. </w:t>
      </w:r>
      <w:r w:rsidRPr="00C051DC">
        <w:rPr>
          <w:szCs w:val="24"/>
          <w:highlight w:val="yellow"/>
        </w:rPr>
        <w:t>Further research is called for to examine this.</w:t>
      </w:r>
    </w:p>
    <w:p w14:paraId="7D3EE168" w14:textId="600171FB" w:rsidR="0093121A" w:rsidRPr="005A4A71" w:rsidRDefault="006F61A8" w:rsidP="0093121A">
      <w:pPr>
        <w:rPr>
          <w:szCs w:val="24"/>
        </w:rPr>
      </w:pPr>
      <w:r w:rsidRPr="00C051DC">
        <w:rPr>
          <w:szCs w:val="24"/>
          <w:highlight w:val="yellow"/>
        </w:rPr>
        <w:t xml:space="preserve">The models explain much better the authoritarian understanding, and it is this understanding that perhaps is most important here: not necessarily where people argue over the liberal design and policy outputs of a regime, but where citizens understanding characteristics to be democratic that for all intents and purposes are in fact anti-democratic in nature. The full individual model (A6) has an r-squared of 0.16, and this higher individual explanation holds for the models examining HDI, Press Freedom, democratic history and Freedom House scores. These models at the national level reach r-squares of around 0.4-0.5. </w:t>
      </w:r>
      <w:r w:rsidR="005A4A71" w:rsidRPr="00C051DC">
        <w:rPr>
          <w:szCs w:val="24"/>
          <w:highlight w:val="yellow"/>
        </w:rPr>
        <w:t>Therefore we can see that context matters when it comes to this understanding – the geographical spatial containers that are countries can shape authoritarian conceptualisations of democracy, especially in terms of regime openness and development. What needs to be understand further is how this important conceptualisation of democracy influences political participation, and that is the theme of the following chapter.</w:t>
      </w:r>
    </w:p>
    <w:p w14:paraId="73240C3B" w14:textId="0A4AD02B" w:rsidR="003600BE" w:rsidRDefault="001B6FEE" w:rsidP="002032DF">
      <w:pPr>
        <w:pStyle w:val="Heading2"/>
        <w:numPr>
          <w:ilvl w:val="1"/>
          <w:numId w:val="16"/>
        </w:numPr>
      </w:pPr>
      <w:bookmarkStart w:id="349" w:name="_Toc494034231"/>
      <w:r>
        <w:t>5.</w:t>
      </w:r>
      <w:r w:rsidR="00B67477">
        <w:t>5</w:t>
      </w:r>
      <w:r w:rsidR="003600BE">
        <w:t>: Conclusion</w:t>
      </w:r>
      <w:bookmarkEnd w:id="345"/>
      <w:bookmarkEnd w:id="346"/>
      <w:bookmarkEnd w:id="347"/>
      <w:bookmarkEnd w:id="348"/>
      <w:bookmarkEnd w:id="349"/>
    </w:p>
    <w:p w14:paraId="48F61D9B" w14:textId="77777777" w:rsidR="003600BE" w:rsidRDefault="003600BE" w:rsidP="003600BE">
      <w:pPr>
        <w:jc w:val="both"/>
      </w:pPr>
      <w:r>
        <w:t>In conclusion, this chapter has completed Objectives 2.1 and 2.2, as set out in the Introduction:</w:t>
      </w:r>
    </w:p>
    <w:p w14:paraId="24DAABFC" w14:textId="77777777" w:rsidR="003600BE" w:rsidRDefault="003600BE" w:rsidP="003600BE">
      <w:pPr>
        <w:ind w:left="720"/>
        <w:jc w:val="both"/>
        <w:rPr>
          <w:bCs/>
        </w:rPr>
      </w:pPr>
      <w:r>
        <w:rPr>
          <w:bCs/>
        </w:rPr>
        <w:t>2.1 With reference to theoretical expectations, analyse the individual variables that explain different understanding of democracy</w:t>
      </w:r>
    </w:p>
    <w:p w14:paraId="7404B2DE" w14:textId="77777777" w:rsidR="003600BE" w:rsidRDefault="003600BE" w:rsidP="003600BE">
      <w:pPr>
        <w:ind w:left="720"/>
        <w:jc w:val="both"/>
        <w:rPr>
          <w:bCs/>
        </w:rPr>
      </w:pPr>
      <w:r>
        <w:rPr>
          <w:bCs/>
        </w:rPr>
        <w:t xml:space="preserve">2.2 With references to theoretical expectations, analyse the contextual variables that explain different understandings of democracy </w:t>
      </w:r>
    </w:p>
    <w:p w14:paraId="734EE40F" w14:textId="77777777" w:rsidR="003600BE" w:rsidRDefault="003600BE" w:rsidP="003600BE">
      <w:pPr>
        <w:rPr>
          <w:bCs/>
        </w:rPr>
      </w:pPr>
      <w:r>
        <w:rPr>
          <w:bCs/>
        </w:rPr>
        <w:t xml:space="preserve">It has further demonstrated the importance of examining these individual and contextual issues together, in order to better understand what individual and contextual traits help explain the compound and authoritarian understanding of democracy. </w:t>
      </w:r>
    </w:p>
    <w:p w14:paraId="319A584D" w14:textId="23670A3B" w:rsidR="00407C56" w:rsidRDefault="003600BE" w:rsidP="003600BE">
      <w:pPr>
        <w:rPr>
          <w:bCs/>
        </w:rPr>
      </w:pPr>
      <w:r>
        <w:rPr>
          <w:bCs/>
        </w:rPr>
        <w:t xml:space="preserve">Now that parts 1 and 2 of thesis are complete, I have outlined in detail the theories pertaining to democracy, and how they might affect understandings of the term. </w:t>
      </w:r>
      <w:r w:rsidRPr="00F167FC">
        <w:rPr>
          <w:bCs/>
          <w:highlight w:val="yellow"/>
        </w:rPr>
        <w:t xml:space="preserve">I have then produced two </w:t>
      </w:r>
      <w:r w:rsidR="001E3FD2" w:rsidRPr="00F167FC">
        <w:rPr>
          <w:bCs/>
          <w:highlight w:val="yellow"/>
        </w:rPr>
        <w:t>conceptualis</w:t>
      </w:r>
      <w:r w:rsidRPr="00F167FC">
        <w:rPr>
          <w:bCs/>
          <w:highlight w:val="yellow"/>
        </w:rPr>
        <w:t xml:space="preserve">ations of democracy though </w:t>
      </w:r>
      <w:r w:rsidR="00472FE4" w:rsidRPr="00F167FC">
        <w:rPr>
          <w:bCs/>
          <w:highlight w:val="yellow"/>
        </w:rPr>
        <w:t xml:space="preserve">my approach to </w:t>
      </w:r>
      <w:r w:rsidRPr="00F167FC">
        <w:rPr>
          <w:bCs/>
          <w:highlight w:val="yellow"/>
        </w:rPr>
        <w:t xml:space="preserve">data analysis which emphasized the importance of allowing </w:t>
      </w:r>
      <w:r w:rsidR="00F167FC" w:rsidRPr="00F167FC">
        <w:rPr>
          <w:bCs/>
          <w:highlight w:val="yellow"/>
        </w:rPr>
        <w:t>exploration of citizen configurations of these listed characteristics</w:t>
      </w:r>
      <w:r w:rsidRPr="00F167FC">
        <w:rPr>
          <w:bCs/>
          <w:highlight w:val="yellow"/>
        </w:rPr>
        <w:t>, as opposed to dictating</w:t>
      </w:r>
      <w:r w:rsidR="00F167FC" w:rsidRPr="00F167FC">
        <w:rPr>
          <w:bCs/>
          <w:highlight w:val="yellow"/>
        </w:rPr>
        <w:t xml:space="preserve"> the structure through</w:t>
      </w:r>
      <w:r w:rsidRPr="00F167FC">
        <w:rPr>
          <w:bCs/>
          <w:highlight w:val="yellow"/>
        </w:rPr>
        <w:t xml:space="preserve"> our theoretical expectations.</w:t>
      </w:r>
      <w:r>
        <w:rPr>
          <w:bCs/>
        </w:rPr>
        <w:t xml:space="preserve"> Once these two </w:t>
      </w:r>
      <w:r w:rsidR="001E3FD2">
        <w:rPr>
          <w:bCs/>
        </w:rPr>
        <w:t>conceptualis</w:t>
      </w:r>
      <w:r>
        <w:rPr>
          <w:bCs/>
        </w:rPr>
        <w:t xml:space="preserve">ations of democracy were identified, </w:t>
      </w:r>
      <w:r>
        <w:rPr>
          <w:bCs/>
          <w:i/>
        </w:rPr>
        <w:t>then</w:t>
      </w:r>
      <w:r>
        <w:rPr>
          <w:bCs/>
        </w:rPr>
        <w:t xml:space="preserve"> the theory was utilised to make sense of them. Finally, this chapter has analysed where individuals are likely to score on these </w:t>
      </w:r>
      <w:r w:rsidR="001E3FD2">
        <w:rPr>
          <w:bCs/>
        </w:rPr>
        <w:t>conceptualis</w:t>
      </w:r>
      <w:r>
        <w:rPr>
          <w:bCs/>
        </w:rPr>
        <w:t>ations, and how who they are and where they live affects this.</w:t>
      </w:r>
    </w:p>
    <w:p w14:paraId="43EE092C" w14:textId="693F45A0" w:rsidR="00C37C1E" w:rsidRDefault="007F6F2B" w:rsidP="00C37C1E">
      <w:pPr>
        <w:rPr>
          <w:bCs/>
        </w:rPr>
      </w:pPr>
      <w:r>
        <w:rPr>
          <w:bCs/>
        </w:rPr>
        <w:t>The</w:t>
      </w:r>
      <w:r w:rsidR="003600BE">
        <w:rPr>
          <w:bCs/>
        </w:rPr>
        <w:t xml:space="preserve"> next analytical step is to test these </w:t>
      </w:r>
      <w:r w:rsidR="001E3FD2">
        <w:rPr>
          <w:bCs/>
        </w:rPr>
        <w:t>conceptualis</w:t>
      </w:r>
      <w:r w:rsidR="003600BE">
        <w:rPr>
          <w:bCs/>
        </w:rPr>
        <w:t xml:space="preserve">ations in terms of whether they </w:t>
      </w:r>
      <w:r>
        <w:rPr>
          <w:bCs/>
        </w:rPr>
        <w:t xml:space="preserve">themselves </w:t>
      </w:r>
      <w:r w:rsidR="003600BE">
        <w:rPr>
          <w:bCs/>
        </w:rPr>
        <w:t xml:space="preserve">can </w:t>
      </w:r>
      <w:r>
        <w:rPr>
          <w:bCs/>
        </w:rPr>
        <w:t>help explain</w:t>
      </w:r>
      <w:r w:rsidR="003600BE">
        <w:rPr>
          <w:bCs/>
        </w:rPr>
        <w:t xml:space="preserve"> political participation. Th</w:t>
      </w:r>
      <w:r w:rsidR="00472FE4">
        <w:rPr>
          <w:bCs/>
        </w:rPr>
        <w:t>is is the third and final phase</w:t>
      </w:r>
      <w:r w:rsidR="003600BE">
        <w:rPr>
          <w:bCs/>
        </w:rPr>
        <w:t xml:space="preserve"> of the analysis, and relates to aims 3.1 and 3.2. If the terms have no impact upon people’s political participation, they we can argue that </w:t>
      </w:r>
      <w:r w:rsidR="00472FE4">
        <w:rPr>
          <w:bCs/>
        </w:rPr>
        <w:t>other theoretical and political issues (such as resources, grievances,</w:t>
      </w:r>
      <w:r w:rsidR="003600BE">
        <w:rPr>
          <w:bCs/>
        </w:rPr>
        <w:t xml:space="preserve"> education and </w:t>
      </w:r>
      <w:r w:rsidR="00472FE4">
        <w:rPr>
          <w:bCs/>
        </w:rPr>
        <w:t>cognitive engagement)</w:t>
      </w:r>
      <w:r w:rsidR="003600BE">
        <w:rPr>
          <w:bCs/>
        </w:rPr>
        <w:t xml:space="preserve"> are what counts when it comes to engaging with the political system. However, if the </w:t>
      </w:r>
      <w:r w:rsidR="001E3FD2">
        <w:rPr>
          <w:bCs/>
        </w:rPr>
        <w:t>conceptualis</w:t>
      </w:r>
      <w:r w:rsidR="003600BE">
        <w:rPr>
          <w:bCs/>
        </w:rPr>
        <w:t>ations do have an effect, we can make the argument that the mental mapping that a citizen has of democracy has an effect on their involvement in political action and therefore, this should become an important focus for studies of political participation. The next chapter looks at this issue.</w:t>
      </w:r>
      <w:bookmarkStart w:id="350" w:name="_Toc441069040"/>
      <w:bookmarkStart w:id="351" w:name="_Toc441069274"/>
    </w:p>
    <w:p w14:paraId="4828DA2A" w14:textId="77777777" w:rsidR="005521B3" w:rsidRDefault="005521B3" w:rsidP="00C37C1E">
      <w:pPr>
        <w:rPr>
          <w:bCs/>
        </w:rPr>
      </w:pPr>
    </w:p>
    <w:p w14:paraId="4DE60CA3" w14:textId="77777777" w:rsidR="00AD00C9" w:rsidRDefault="00AD00C9" w:rsidP="00C37C1E">
      <w:pPr>
        <w:rPr>
          <w:bCs/>
        </w:rPr>
      </w:pPr>
    </w:p>
    <w:p w14:paraId="255FF6C8" w14:textId="77777777" w:rsidR="00981CBC" w:rsidRDefault="00981CBC" w:rsidP="00C37C1E">
      <w:pPr>
        <w:rPr>
          <w:bCs/>
        </w:rPr>
      </w:pPr>
    </w:p>
    <w:p w14:paraId="6D8B1EA9" w14:textId="77777777" w:rsidR="00981CBC" w:rsidRDefault="00981CBC" w:rsidP="00C37C1E">
      <w:pPr>
        <w:rPr>
          <w:bCs/>
        </w:rPr>
      </w:pPr>
    </w:p>
    <w:p w14:paraId="0D242897" w14:textId="77777777" w:rsidR="00981CBC" w:rsidRDefault="00981CBC" w:rsidP="00C37C1E">
      <w:pPr>
        <w:rPr>
          <w:bCs/>
        </w:rPr>
      </w:pPr>
    </w:p>
    <w:p w14:paraId="3F35F19C" w14:textId="77777777" w:rsidR="00981CBC" w:rsidRDefault="00981CBC" w:rsidP="00C37C1E">
      <w:pPr>
        <w:rPr>
          <w:bCs/>
        </w:rPr>
      </w:pPr>
    </w:p>
    <w:p w14:paraId="5A48C869" w14:textId="77777777" w:rsidR="00981CBC" w:rsidRDefault="00981CBC" w:rsidP="00C37C1E">
      <w:pPr>
        <w:rPr>
          <w:bCs/>
        </w:rPr>
      </w:pPr>
    </w:p>
    <w:p w14:paraId="353D518A" w14:textId="77777777" w:rsidR="00981CBC" w:rsidRDefault="00981CBC" w:rsidP="00C37C1E">
      <w:pPr>
        <w:rPr>
          <w:bCs/>
        </w:rPr>
      </w:pPr>
    </w:p>
    <w:p w14:paraId="0C6DFC78" w14:textId="77777777" w:rsidR="00981CBC" w:rsidRDefault="00981CBC" w:rsidP="00C37C1E">
      <w:pPr>
        <w:rPr>
          <w:bCs/>
        </w:rPr>
      </w:pPr>
    </w:p>
    <w:p w14:paraId="756C3853" w14:textId="7A74096A" w:rsidR="00AD00C9" w:rsidRPr="00136627" w:rsidRDefault="00AD00C9" w:rsidP="00C37C1E">
      <w:pPr>
        <w:rPr>
          <w:bCs/>
        </w:rPr>
      </w:pPr>
    </w:p>
    <w:p w14:paraId="7B0EB8CA" w14:textId="09056B81" w:rsidR="0021364D" w:rsidRPr="0021364D" w:rsidRDefault="00C37C1E" w:rsidP="00D66210">
      <w:pPr>
        <w:pStyle w:val="Heading1"/>
        <w:spacing w:before="0" w:after="120"/>
      </w:pPr>
      <w:r>
        <w:t xml:space="preserve"> </w:t>
      </w:r>
      <w:bookmarkStart w:id="352" w:name="_Toc494034232"/>
      <w:r w:rsidR="00D66210" w:rsidRPr="00452B4A">
        <w:t>Understandings of Democracy and Informal Political Participation</w:t>
      </w:r>
      <w:bookmarkEnd w:id="350"/>
      <w:bookmarkEnd w:id="351"/>
      <w:bookmarkEnd w:id="352"/>
    </w:p>
    <w:p w14:paraId="61E40841" w14:textId="77777777" w:rsidR="00D1659F" w:rsidRDefault="00D1659F" w:rsidP="0021364D">
      <w:pPr>
        <w:pStyle w:val="Quote"/>
        <w:rPr>
          <w:b/>
          <w:sz w:val="20"/>
          <w:szCs w:val="20"/>
        </w:rPr>
      </w:pPr>
    </w:p>
    <w:p w14:paraId="0F9A490C" w14:textId="4FA6E47E" w:rsidR="00852388" w:rsidRPr="0021364D" w:rsidRDefault="00DB5B45" w:rsidP="0021364D">
      <w:pPr>
        <w:pStyle w:val="Quote"/>
        <w:rPr>
          <w:b/>
          <w:sz w:val="20"/>
          <w:szCs w:val="20"/>
        </w:rPr>
      </w:pPr>
      <w:r>
        <w:rPr>
          <w:b/>
          <w:sz w:val="20"/>
          <w:szCs w:val="20"/>
        </w:rPr>
        <w:t>“</w:t>
      </w:r>
      <w:r w:rsidR="00852388" w:rsidRPr="0021364D">
        <w:rPr>
          <w:b/>
          <w:sz w:val="20"/>
          <w:szCs w:val="20"/>
        </w:rPr>
        <w:t>What is not clear</w:t>
      </w:r>
      <w:r w:rsidR="0021364D" w:rsidRPr="0021364D">
        <w:rPr>
          <w:b/>
          <w:sz w:val="20"/>
          <w:szCs w:val="20"/>
        </w:rPr>
        <w:t>…</w:t>
      </w:r>
      <w:r w:rsidR="00852388" w:rsidRPr="0021364D">
        <w:rPr>
          <w:b/>
          <w:sz w:val="20"/>
          <w:szCs w:val="20"/>
        </w:rPr>
        <w:t xml:space="preserve"> is whether citizens’ different conceptions of democracy have repercussions for how they engage in politics</w:t>
      </w:r>
      <w:r>
        <w:rPr>
          <w:b/>
          <w:sz w:val="20"/>
          <w:szCs w:val="20"/>
        </w:rPr>
        <w:t>.”</w:t>
      </w:r>
      <w:r w:rsidR="00852388" w:rsidRPr="0021364D">
        <w:rPr>
          <w:b/>
          <w:sz w:val="20"/>
          <w:szCs w:val="20"/>
        </w:rPr>
        <w:t xml:space="preserve"> </w:t>
      </w:r>
      <w:r w:rsidR="00852388" w:rsidRPr="0021364D">
        <w:rPr>
          <w:b/>
          <w:sz w:val="20"/>
          <w:szCs w:val="20"/>
        </w:rPr>
        <w:fldChar w:fldCharType="begin" w:fldLock="1"/>
      </w:r>
      <w:r w:rsidR="00E63CC6">
        <w:rPr>
          <w:b/>
          <w:sz w:val="20"/>
          <w:szCs w:val="20"/>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&amp; Christensen 2014, p.234)", "plainTextFormattedCitation" : "(Bengtsson and Christensen, 2014)", "previouslyFormattedCitation" : "(Bengtsson and Christensen, 2014)" }, "properties" : { "noteIndex" : 0 }, "schema" : "https://github.com/citation-style-language/schema/raw/master/csl-citation.json" }</w:instrText>
      </w:r>
      <w:r w:rsidR="00852388" w:rsidRPr="0021364D">
        <w:rPr>
          <w:b/>
          <w:sz w:val="20"/>
          <w:szCs w:val="20"/>
        </w:rPr>
        <w:fldChar w:fldCharType="separate"/>
      </w:r>
      <w:r w:rsidR="00852388" w:rsidRPr="0021364D">
        <w:rPr>
          <w:b/>
          <w:noProof/>
          <w:sz w:val="20"/>
          <w:szCs w:val="20"/>
        </w:rPr>
        <w:t>(Bengtsson &amp; Christensen 2014, p.234)</w:t>
      </w:r>
      <w:r w:rsidR="00852388" w:rsidRPr="0021364D">
        <w:rPr>
          <w:b/>
          <w:sz w:val="20"/>
          <w:szCs w:val="20"/>
        </w:rPr>
        <w:fldChar w:fldCharType="end"/>
      </w:r>
    </w:p>
    <w:p w14:paraId="041D891F" w14:textId="77777777" w:rsidR="00D1659F" w:rsidRDefault="00D1659F" w:rsidP="00D66210">
      <w:pPr>
        <w:spacing w:after="120"/>
      </w:pPr>
    </w:p>
    <w:p w14:paraId="4BD2E006" w14:textId="7D1CE739" w:rsidR="00B54619" w:rsidRDefault="00D66210" w:rsidP="00D66210">
      <w:pPr>
        <w:spacing w:after="120"/>
      </w:pPr>
      <w:r w:rsidRPr="00D852C0">
        <w:t>The final substantive chapter in this thesis deals with the ‘so what?’ element</w:t>
      </w:r>
      <w:r w:rsidR="008A57EB">
        <w:t xml:space="preserve"> of the analysis</w:t>
      </w:r>
      <w:r w:rsidRPr="00D852C0">
        <w:t xml:space="preserve"> by asking what impact do these unders</w:t>
      </w:r>
      <w:r w:rsidR="008A57EB">
        <w:t xml:space="preserve">tandings of democracy have upon </w:t>
      </w:r>
      <w:r w:rsidRPr="00D852C0">
        <w:t>political participation?</w:t>
      </w:r>
      <w:r w:rsidR="008A57EB">
        <w:t xml:space="preserve"> At this stage i</w:t>
      </w:r>
      <w:r w:rsidR="00AD1B56">
        <w:t>t is not clear whether citizens’ beliefs about what democracy is have any kind of r</w:t>
      </w:r>
      <w:r w:rsidR="008A57EB">
        <w:t>epercussion on their behaviour.</w:t>
      </w:r>
    </w:p>
    <w:p w14:paraId="4DEA7C97" w14:textId="1BBCEC81" w:rsidR="008A57EB" w:rsidRDefault="008A57EB" w:rsidP="00D66210">
      <w:pPr>
        <w:spacing w:after="120"/>
      </w:pPr>
      <w:r>
        <w:t>We might expect that if someone was a strong believe</w:t>
      </w:r>
      <w:r w:rsidR="008F4B84">
        <w:t>r</w:t>
      </w:r>
      <w:r>
        <w:t xml:space="preserve"> in elements of democracy</w:t>
      </w:r>
      <w:r w:rsidR="008F4B84">
        <w:t xml:space="preserve"> </w:t>
      </w:r>
      <w:r>
        <w:t xml:space="preserve">such as the importance of civil rights and liberties, that </w:t>
      </w:r>
      <w:r w:rsidR="008F4B84">
        <w:t xml:space="preserve">they </w:t>
      </w:r>
      <w:r>
        <w:t>might be inclined to act politically if they feel these liberties aren’t being met, or if they feel there is a strong case to improve the lot of the people. In comparison, if someone had a much more authoritarian notion of democracy, these individuals might be much less inclined to be involved, believing that the authorities knew best, and should not be challenged outside of elections – i.e. taking a</w:t>
      </w:r>
      <w:r w:rsidR="00C634E7">
        <w:t xml:space="preserve"> much more Schumpeterian view of</w:t>
      </w:r>
      <w:r>
        <w:t xml:space="preserve"> the system</w:t>
      </w:r>
      <w:r w:rsidR="00D535E1">
        <w:t>.</w:t>
      </w:r>
    </w:p>
    <w:p w14:paraId="6BCE8D10" w14:textId="338D9D6D" w:rsidR="00D66210" w:rsidRPr="00D852C0" w:rsidRDefault="00B54619" w:rsidP="00D66210">
      <w:pPr>
        <w:spacing w:after="120"/>
      </w:pPr>
      <w:r>
        <w:t>R</w:t>
      </w:r>
      <w:r w:rsidR="00AD1B56">
        <w:t>ecent examina</w:t>
      </w:r>
      <w:r w:rsidR="008A57EB">
        <w:t>tions have started to tackle this</w:t>
      </w:r>
      <w:r w:rsidR="00AD1B56">
        <w:t xml:space="preserve"> issue </w:t>
      </w:r>
      <w:r w:rsidR="00AD1B56">
        <w:fldChar w:fldCharType="begin" w:fldLock="1"/>
      </w:r>
      <w:r w:rsidR="00E63CC6">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"id" : "ITEM-2", "itemData" : { "DOI" : "10.1111/1475-6765.12021", "ISSN" : "03044130", "author" : [ { "dropping-particle" : "", "family" : "Webb", "given" : "Paul", "non-dropping-particle" : "", "parse-names" : false, "suffix" : "" } ], "container-title" : "European Journal of Political Research", "id" : "ITEM-2", "issue" : "6", "issued" : { "date-parts" : [ [ "2013", "10", "27" ] ] }, "page" : "747-772", "title" : "Who is willing to participate? Dissatisfied democrats, stealth democrats and populists in the United Kingdom", "type" : "article-journal", "volume" : "52" }, "uris" : [ "http://www.mendeley.com/documents/?uuid=8478c72b-7808-4aa1-9047-5c06317958e1" ] }, { "id" : "ITEM-3", "itemData" : { "DOI" : "10.1017/S0003055410000298", "ISSN" : "0003-0554", "author" : [ { "dropping-particle" : "", "family" : "Neblo", "given" : "M.A", "non-dropping-particle" : "", "parse-names" : false, "suffix" : "" }, { "dropping-particle" : "", "family" : "Esterling", "given" : "K.M", "non-dropping-particle" : "", "parse-names" : false, "suffix" : "" }, { "dropping-particle" : "", "family" : "Kennedy", "given" : "R.P", "non-dropping-particle" : "", "parse-names" : false, "suffix" : "" }, { "dropping-particle" : "", "family" : "Lazer", "given" : "D.M.J.", "non-dropping-particle" : "", "parse-names" : false, "suffix" : "" }, { "dropping-particle" : "", "family" : "Sokhey", "given" : "A.E.", "non-dropping-particle" : "", "parse-names" : false, "suffix" : "" } ], "container-title" : "American Political Science Review", "id" : "ITEM-3", "issue" : "3", "issued" : { "date-parts" : [ [ "2010" ] ] }, "page" : "566-583", "title" : "Who Wants To Deliberate\u2014And Why?", "type" : "article-journal", "volume" : "104" }, "uris" : [ "http://www.mendeley.com/documents/?uuid=0a6e7887-9d94-4087-a4ec-00c0f5b44905" ] } ], "mendeley" : { "formattedCitation" : "(Neblo &lt;i&gt;et al.&lt;/i&gt;, 2010; Webb, 2013; Bengtsson and Christensen, 2014)", "plainTextFormattedCitation" : "(Neblo et al., 2010; Webb, 2013; Bengtsson and Christensen, 2014)", "previouslyFormattedCitation" : "(Neblo &lt;i&gt;et al.&lt;/i&gt;, 2010; Webb, 2013; Bengtsson and Christensen, 2014)" }, "properties" : { "noteIndex" : 0 }, "schema" : "https://github.com/citation-style-language/schema/raw/master/csl-citation.json" }</w:instrText>
      </w:r>
      <w:r w:rsidR="00AD1B56">
        <w:fldChar w:fldCharType="separate"/>
      </w:r>
      <w:r w:rsidR="00E63CC6" w:rsidRPr="00E63CC6">
        <w:rPr>
          <w:noProof/>
        </w:rPr>
        <w:t xml:space="preserve">(Neblo </w:t>
      </w:r>
      <w:r w:rsidR="00E63CC6" w:rsidRPr="00E63CC6">
        <w:rPr>
          <w:i/>
          <w:noProof/>
        </w:rPr>
        <w:t>et al.</w:t>
      </w:r>
      <w:r w:rsidR="00E63CC6" w:rsidRPr="00E63CC6">
        <w:rPr>
          <w:noProof/>
        </w:rPr>
        <w:t>, 2010; Webb, 2013; Bengtsson and Christensen, 2014)</w:t>
      </w:r>
      <w:r w:rsidR="00AD1B56">
        <w:fldChar w:fldCharType="end"/>
      </w:r>
      <w:r>
        <w:t xml:space="preserve">, although these have tended to focus on deliberative understandings of democracy </w:t>
      </w:r>
      <w:r w:rsidR="008A57EB">
        <w:t xml:space="preserve">only </w:t>
      </w:r>
      <w:r>
        <w:t xml:space="preserve">in specific country settings. </w:t>
      </w:r>
    </w:p>
    <w:p w14:paraId="2AF18B65" w14:textId="0BCA0385" w:rsidR="00D535E1" w:rsidRDefault="00D66210" w:rsidP="00D66210">
      <w:pPr>
        <w:spacing w:after="120"/>
      </w:pPr>
      <w:r w:rsidRPr="00D852C0">
        <w:t>I</w:t>
      </w:r>
      <w:r w:rsidR="00D535E1">
        <w:t>f the conceptualisations</w:t>
      </w:r>
      <w:r w:rsidRPr="00D852C0">
        <w:t xml:space="preserve"> </w:t>
      </w:r>
      <w:r w:rsidR="00D535E1">
        <w:t>are shown</w:t>
      </w:r>
      <w:r w:rsidRPr="00D852C0">
        <w:t xml:space="preserve"> not to have</w:t>
      </w:r>
      <w:r>
        <w:t xml:space="preserve"> any</w:t>
      </w:r>
      <w:r w:rsidRPr="00D852C0">
        <w:t xml:space="preserve"> effect on participation above and beyond a citizen’s support for democracy,</w:t>
      </w:r>
      <w:r w:rsidR="00D535E1">
        <w:t xml:space="preserve"> then we might be inclined to accept that the current focus within the literature, on support for democracy as an abstract term, is all that is needed as an explanatory motive for people’s political actions. We could conclude that the ‘lip-service’ (</w:t>
      </w:r>
      <w:r w:rsidR="00D535E1">
        <w:fldChar w:fldCharType="begin" w:fldLock="1"/>
      </w:r>
      <w:r w:rsidR="00E63CC6">
        <w:instrText>ADDIN CSL_CITATION { "citationItems" : [ { "id" : "ITEM-1", "itemData" : { "DOI" : "10.1017/S1049096503001689", "ISBN" : "10490965", "ISSN" : "1049-0965", "author" : [ { "dropping-particle" : "", "family" : "Inglehart", "given" : "Ronald", "non-dropping-particle" : "", "parse-names" : false, "suffix" : "" } ], "container-title" : "PS: Political Science &amp; Politics", "id" : "ITEM-1", "issue" : "01", "issued" : { "date-parts" : [ [ "2003" ] ] }, "page" : "51-58", "title" : "How Solid is Mass Support for Democracy\u2014And How Can We Measure It?", "type" : "article-journal", "volume" : "36" }, "locator" : "51", "uris" : [ "http://www.mendeley.com/documents/?uuid=a32483b3-698d-4edf-b60f-97dd0e9b8bbb" ] } ], "mendeley" : { "formattedCitation" : "(Inglehart, 2003, p. 51)", "manualFormatting" : "Inglehart 2003, p.51)", "plainTextFormattedCitation" : "(Inglehart, 2003, p. 51)", "previouslyFormattedCitation" : "(Inglehart, 2003, p. 51)" }, "properties" : { "noteIndex" : 0 }, "schema" : "https://github.com/citation-style-language/schema/raw/master/csl-citation.json" }</w:instrText>
      </w:r>
      <w:r w:rsidR="00D535E1">
        <w:fldChar w:fldCharType="separate"/>
      </w:r>
      <w:r w:rsidR="00D535E1" w:rsidRPr="007C4098">
        <w:rPr>
          <w:noProof/>
        </w:rPr>
        <w:t>Inglehart 2003, p.51)</w:t>
      </w:r>
      <w:r w:rsidR="00D535E1">
        <w:fldChar w:fldCharType="end"/>
      </w:r>
      <w:r w:rsidR="00D535E1">
        <w:t xml:space="preserve"> being played to democracy is sufficient – it could well be that regardless of what they think it is actually is, as long as people support democracy, they will be willing participate in politics.   </w:t>
      </w:r>
    </w:p>
    <w:p w14:paraId="6E06969F" w14:textId="4F60AB34" w:rsidR="00D66210" w:rsidRPr="00D852C0" w:rsidRDefault="00D66210" w:rsidP="00D66210">
      <w:pPr>
        <w:spacing w:after="120"/>
      </w:pPr>
      <w:r w:rsidRPr="00D852C0">
        <w:t xml:space="preserve">However, if </w:t>
      </w:r>
      <w:r w:rsidR="00D535E1">
        <w:t>we test the conceptualisations and</w:t>
      </w:r>
      <w:r w:rsidR="00916279">
        <w:t xml:space="preserve"> find out that they do have an effect</w:t>
      </w:r>
      <w:r w:rsidR="00D535E1">
        <w:t xml:space="preserve">, and they have </w:t>
      </w:r>
      <w:r w:rsidR="00D535E1">
        <w:rPr>
          <w:i/>
        </w:rPr>
        <w:t xml:space="preserve">different </w:t>
      </w:r>
      <w:r w:rsidR="00916279">
        <w:t>a</w:t>
      </w:r>
      <w:r w:rsidR="00D535E1">
        <w:t>ffects, then</w:t>
      </w:r>
      <w:r w:rsidRPr="00D852C0">
        <w:t xml:space="preserve"> it will be clear that understandings of democracy might be working differently ‘behind the scenes’, even between two people who both say that democracy is a good thing.   </w:t>
      </w:r>
    </w:p>
    <w:p w14:paraId="0DCD3CB0" w14:textId="5E1C66DB" w:rsidR="00D66210" w:rsidRPr="00D852C0" w:rsidRDefault="00D66210" w:rsidP="00D66210">
      <w:pPr>
        <w:spacing w:after="120"/>
      </w:pPr>
      <w:r w:rsidRPr="00D852C0">
        <w:t>The chapte</w:t>
      </w:r>
      <w:r w:rsidR="00EB649D">
        <w:t>r is structured as follows. In S</w:t>
      </w:r>
      <w:r w:rsidRPr="00D852C0">
        <w:t xml:space="preserve">ection 6.1, </w:t>
      </w:r>
      <w:r w:rsidR="00D535E1">
        <w:t xml:space="preserve">I outline why I test the conceptualisations of democracy on </w:t>
      </w:r>
      <w:r w:rsidRPr="00D852C0">
        <w:t>informal</w:t>
      </w:r>
      <w:r w:rsidR="00D535E1">
        <w:t>, as opposed to formal, political participation</w:t>
      </w:r>
      <w:r w:rsidRPr="00D852C0">
        <w:t>. Following this, the model variables are outlined in detail, examining the theoretical reasons why they are expected to have an effect, alongside other existing and popular theories of political participati</w:t>
      </w:r>
      <w:r w:rsidR="00EB649D">
        <w:t>on. For this discussion, S</w:t>
      </w:r>
      <w:r w:rsidRPr="00D852C0">
        <w:t xml:space="preserve">ection 6.2 focuses on </w:t>
      </w:r>
      <w:r w:rsidR="00EB649D">
        <w:t>individual-level theories, and S</w:t>
      </w:r>
      <w:r w:rsidRPr="00D852C0">
        <w:t>ection 6.3 looks at contextual theories.</w:t>
      </w:r>
    </w:p>
    <w:p w14:paraId="5566531D" w14:textId="5EDE839D" w:rsidR="008F4B84" w:rsidRPr="00D852C0" w:rsidRDefault="00F96F1A" w:rsidP="00C96822">
      <w:pPr>
        <w:spacing w:after="120"/>
      </w:pPr>
      <w:r>
        <w:t>S</w:t>
      </w:r>
      <w:r w:rsidR="00D66210" w:rsidRPr="00D852C0">
        <w:t xml:space="preserve">ection 6.4 </w:t>
      </w:r>
      <w:r w:rsidR="00D66210">
        <w:t>provides</w:t>
      </w:r>
      <w:r w:rsidR="00D66210" w:rsidRPr="00D852C0">
        <w:t xml:space="preserve"> a brief discussion of logistical multilevel regression modelling before moving on</w:t>
      </w:r>
      <w:r w:rsidR="00D66210">
        <w:t xml:space="preserve"> </w:t>
      </w:r>
      <w:r w:rsidR="00D66210" w:rsidRPr="00D852C0">
        <w:t>to</w:t>
      </w:r>
      <w:r w:rsidR="00D66210">
        <w:t xml:space="preserve"> present</w:t>
      </w:r>
      <w:r w:rsidR="00D66210" w:rsidRPr="00D852C0">
        <w:t xml:space="preserve"> the model re</w:t>
      </w:r>
      <w:r w:rsidR="008F4B84">
        <w:t>sults in 6.5. Firstly, all the World Values S</w:t>
      </w:r>
      <w:r w:rsidR="00D66210" w:rsidRPr="00D852C0">
        <w:t xml:space="preserve">urveys are used to </w:t>
      </w:r>
      <w:r w:rsidR="008F4B84">
        <w:t>discuss</w:t>
      </w:r>
      <w:r w:rsidR="00D66210" w:rsidRPr="00D852C0">
        <w:t xml:space="preserve"> trends of informal political participation over </w:t>
      </w:r>
      <w:r w:rsidR="008F4B84">
        <w:t>time. Then</w:t>
      </w:r>
      <w:r w:rsidR="00D66210" w:rsidRPr="00D852C0">
        <w:t xml:space="preserve"> regression models are used to examine the effect of democratic understandings on this </w:t>
      </w:r>
      <w:r w:rsidR="00C96822">
        <w:t>particular political behaviour. A</w:t>
      </w:r>
      <w:r w:rsidR="00EB649D">
        <w:t xml:space="preserve"> conclusion is presented in S</w:t>
      </w:r>
      <w:r w:rsidR="00D66210" w:rsidRPr="00D852C0">
        <w:t>ection 6.7.</w:t>
      </w:r>
    </w:p>
    <w:p w14:paraId="6B6B3DBA" w14:textId="77777777" w:rsidR="00D66210" w:rsidRPr="00577217" w:rsidRDefault="00D66210" w:rsidP="00D66210">
      <w:pPr>
        <w:pStyle w:val="Heading2"/>
      </w:pPr>
      <w:bookmarkStart w:id="353" w:name="_Toc441069041"/>
      <w:bookmarkStart w:id="354" w:name="_Toc441069275"/>
      <w:bookmarkStart w:id="355" w:name="_Toc494034233"/>
      <w:r w:rsidRPr="00577217">
        <w:t>6.1 Informal Political Participation</w:t>
      </w:r>
      <w:bookmarkEnd w:id="353"/>
      <w:bookmarkEnd w:id="354"/>
      <w:bookmarkEnd w:id="355"/>
    </w:p>
    <w:p w14:paraId="1683B4BC" w14:textId="2189F8FB" w:rsidR="00563014" w:rsidRDefault="00D66210" w:rsidP="00D66210">
      <w:r w:rsidRPr="00D852C0">
        <w:t>The focus of this chapter is on non-institutionalised political behaviour, that is, informal types of participation not linked to official mechanisms of representation (such as voting)</w:t>
      </w:r>
      <w:r w:rsidR="008F4B84">
        <w:t>,</w:t>
      </w:r>
      <w:r w:rsidR="00563014">
        <w:t xml:space="preserve"> and whether the two conceptualisations of democracy that have been outlined in this thesi</w:t>
      </w:r>
      <w:r w:rsidR="00C96822">
        <w:t>s so far – compound and authoritaria</w:t>
      </w:r>
      <w:r w:rsidR="00563014">
        <w:t xml:space="preserve">n – can help explain such </w:t>
      </w:r>
      <w:r w:rsidR="008F4B84">
        <w:t>activity</w:t>
      </w:r>
      <w:r w:rsidR="00563014">
        <w:t xml:space="preserve">. </w:t>
      </w:r>
      <w:r w:rsidR="00A720F0" w:rsidRPr="00A720F0">
        <w:rPr>
          <w:highlight w:val="yellow"/>
        </w:rPr>
        <w:t xml:space="preserve">Therefore the principal </w:t>
      </w:r>
      <w:r w:rsidR="005203F2" w:rsidRPr="00A720F0">
        <w:rPr>
          <w:highlight w:val="yellow"/>
        </w:rPr>
        <w:t xml:space="preserve">components </w:t>
      </w:r>
      <w:r w:rsidR="00A720F0" w:rsidRPr="00A720F0">
        <w:rPr>
          <w:highlight w:val="yellow"/>
        </w:rPr>
        <w:t>are utilised as</w:t>
      </w:r>
      <w:r w:rsidR="005203F2" w:rsidRPr="00A720F0">
        <w:rPr>
          <w:highlight w:val="yellow"/>
        </w:rPr>
        <w:t xml:space="preserve"> </w:t>
      </w:r>
      <w:r w:rsidR="00A720F0" w:rsidRPr="00A720F0">
        <w:rPr>
          <w:highlight w:val="yellow"/>
        </w:rPr>
        <w:t>key</w:t>
      </w:r>
      <w:r w:rsidR="005203F2" w:rsidRPr="00A720F0">
        <w:rPr>
          <w:highlight w:val="yellow"/>
        </w:rPr>
        <w:t xml:space="preserve"> explanatory</w:t>
      </w:r>
      <w:r w:rsidR="00A720F0" w:rsidRPr="00A720F0">
        <w:rPr>
          <w:highlight w:val="yellow"/>
        </w:rPr>
        <w:t xml:space="preserve"> variable</w:t>
      </w:r>
      <w:r w:rsidR="005203F2" w:rsidRPr="00A720F0">
        <w:rPr>
          <w:highlight w:val="yellow"/>
        </w:rPr>
        <w:t xml:space="preserve"> </w:t>
      </w:r>
      <w:bookmarkStart w:id="356" w:name="_Hlk494826965"/>
      <w:r w:rsidR="00A720F0" w:rsidRPr="00A720F0">
        <w:rPr>
          <w:highlight w:val="yellow"/>
        </w:rPr>
        <w:fldChar w:fldCharType="begin" w:fldLock="1"/>
      </w:r>
      <w:r w:rsidR="00A720F0" w:rsidRPr="00A720F0">
        <w:rPr>
          <w:highlight w:val="yellow"/>
        </w:rPr>
        <w:instrText>ADDIN CSL_CITATION { "citationItems" : [ { "id" : "ITEM-1", "itemData" : { "DOI" : "10.1016/j.ejpoleco.2005.05.006", "ISSN" : "01762680", "author" : [ { "dropping-particle" : "", "family" : "Bj\u00f8rnskov", "given" : "Christian", "non-dropping-particle" : "", "parse-names" : false, "suffix" : "" } ], "container-title" : "European Journal of Political Economy", "id" : "ITEM-1", "issue" : "1", "issued" : { "date-parts" : [ [ "2006", "3" ] ] }, "page" : "22-40", "title" : "The multiple facets of social capital", "type" : "article-journal", "volume" : "22" }, "uris" : [ "http://www.mendeley.com/documents/?uuid=99365f32-8b2c-4b9a-8d07-e7e7400b8c1a" ] }, { "id" : "ITEM-2", "itemData" : { "DOI" : "10.1111/j.1467-9248.2007.00718.x", "ISSN" : "0032-3217", "author" : [ { "dropping-particle" : "", "family" : "Dalton", "given" : "R", "non-dropping-particle" : "", "parse-names" : false, "suffix" : "" } ], "container-title" : "Political Studies", "id" : "ITEM-2", "issue" : "1", "issued" : { "date-parts" : [ [ "2008", "3" ] ] }, "page" : "76-98", "title" : "Citizenship Norms and the Expansion of Political Participation", "type" : "article-journal", "volume" : "56" }, "uris" : [ "http://www.mendeley.com/documents/?uuid=932aecb4-ab7e-49d2-8dea-2155b8a63787" ] }, { "id" : "ITEM-3", "itemData" : { "DOI" : "10.1017/S0022381610000137", "ISSN" : "0022-3816", "author" : [ { "dropping-particle" : "", "family" : "Whiteley", "given" : "Paul", "non-dropping-particle" : "", "parse-names" : false, "suffix" : "" }, { "dropping-particle" : "", "family" : "Clarke", "given" : "Harold D.", "non-dropping-particle" : "", "parse-names" : false, "suffix" : "" }, { "dropping-particle" : "", "family" : "Sanders", "given" : "David", "non-dropping-particle" : "", "parse-names" : false, "suffix" : "" }, { "dropping-particle" : "", "family" : "Stewart", "given" : "Marianne C.", "non-dropping-particle" : "", "parse-names" : false, "suffix" : "" } ], "container-title" : "The Journal of Politics", "id" : "ITEM-3", "issue" : "03", "issued" : { "date-parts" : [ [ "2010", "7", "12" ] ] }, "page" : "733-746", "title" : "Government Performance and Life Satisfaction in Contemporary Britain", "type" : "article-journal", "volume" : "72" }, "uris" : [ "http://www.mendeley.com/documents/?uuid=1451fd16-697b-4e92-bc70-ffb4ccf1b194" ] }, { "id" : "ITEM-4", "itemData" : { "ISSN" : "15297470", "abstract" : "The main contribution of this paper with respect to previous work is the use of data on subjective perceptions to identify the Latin American middle classes. This paper provides a set of comparisons between objective and subjective definitions of middle-class using data from the 2007 W orld Gallup Poll. Seven objective income-based definitions of social class are contrasted with a self-perceived social status measure. Mismatches between the objective and the subjective classification of social class are the largest when the objective definition is based on median incomes. Mismatches result from the fact that self-perceived social status is associated not just with income, but also with personal capabilities, interpersonal relations, financial and material assets, and perceptions of economic insecurity. Objective definitions of the middle class based on absolute incomes provide the lowest mismatches and the most accurate differentiation of the middle class from other classes.", "author" : [ { "dropping-particle" : "", "family" : "Lora", "given" : "Eduardo", "non-dropping-particle" : "", "parse-names" : false, "suffix" : "" }, { "dropping-particle" : "", "family" : "Fajardo", "given" : "Johanna", "non-dropping-particle" : "", "parse-names" : false, "suffix" : "" } ], "container-title" : "Economia", "id" : "ITEM-4", "issue" : "1", "issued" : { "date-parts" : [ [ "2013" ] ] }, "page" : "33-54", "title" : "Latin American Middle Classes : The Distance between Perception and Reality", "type" : "article-journal", "volume" : "14" }, "uris" : [ "http://www.mendeley.com/documents/?uuid=646da42c-5e97-4818-90fa-2ae61041dce8" ] }, { "id" : "ITEM-5", "itemData" : { "DOI" : "10.1111/1467-9248.12076", "ISSN" : "14679248", "abstract" : "Can governments that introduce extreme austerity measures survive elections? Contrary to economic voting expectations, the PASOK government in Greece initially appeared to cope quite well, claiming victory in regional elections in 2010 despite widespread anti-austerity protests. In this article, we interpret this result with the help of a post-election survey, which also covered future voting intentions. The explanatory power of models based on theories of economic voting and blame attribution as well as the electoral impact of the government's representation of the crisis as an existential threat are assessed. Our analysis challenges the interpretation of the 2010 election as an indication of support for PASOK's austerity policies and reveals weaknesses in its support base, which help contextualise its downfall in the 2012 parliamentary elections. The article also underlines the importance of studying the impact of crisis discourses on voting choice, particularly since blame attribution receives little support in this case", "author" : [ { "dropping-particle" : "", "family" : "Karyotis", "given" : "Georgios", "non-dropping-particle" : "", "parse-names" : false, "suffix" : "" }, { "dropping-particle" : "", "family" : "Rudig", "given" : "Wolfgang", "non-dropping-particle" : "", "parse-names" : false, "suffix" : "" } ], "container-title" : "Political Studies", "id" : "ITEM-5", "issue" : "1", "issued" : { "date-parts" : [ [ "2015" ] ] }, "page" : "2-24", "title" : "Blame and Punishment? The Electoral Politics of Extreme Austerity in Greece", "type" : "article-journal", "volume" : "63" }, "uris" : [ "http://www.mendeley.com/documents/?uuid=58ccf809-3e0d-4426-add4-4ed998ce1305" ] } ], "mendeley" : { "formattedCitation" : "(Bj\u00f8rnskov, 2006; R Dalton, 2008; Whiteley &lt;i&gt;et al.&lt;/i&gt;, 2010; Lora and Fajardo, 2013; Karyotis and Rudig, 2015)", "manualFormatting" : "(Bj\u00f8rnskov, 2006; Dalton, 2008; Whiteley et al., 2010; Lora and Fajardo, 2013; Karyotis and Rudig, 2015)", "plainTextFormattedCitation" : "(Bj\u00f8rnskov, 2006; R Dalton, 2008; Whiteley et al., 2010; Lora and Fajardo, 2013; Karyotis and Rudig, 2015)", "previouslyFormattedCitation" : "(Bj\u00f8rnskov, 2006; R Dalton, 2008; Whiteley &lt;i&gt;et al.&lt;/i&gt;, 2010; Lora and Fajardo, 2013; Karyotis and Rudig, 2015)" }, "properties" : { "noteIndex" : 0 }, "schema" : "https://github.com/citation-style-language/schema/raw/master/csl-citation.json" }</w:instrText>
      </w:r>
      <w:r w:rsidR="00A720F0" w:rsidRPr="00A720F0">
        <w:rPr>
          <w:highlight w:val="yellow"/>
        </w:rPr>
        <w:fldChar w:fldCharType="separate"/>
      </w:r>
      <w:r w:rsidR="00A720F0" w:rsidRPr="00A720F0">
        <w:rPr>
          <w:noProof/>
          <w:highlight w:val="yellow"/>
        </w:rPr>
        <w:t xml:space="preserve">(Bjørnskov, 2006; Dalton, 2008; Whiteley </w:t>
      </w:r>
      <w:r w:rsidR="00A720F0" w:rsidRPr="00A720F0">
        <w:rPr>
          <w:i/>
          <w:noProof/>
          <w:highlight w:val="yellow"/>
        </w:rPr>
        <w:t>et al.</w:t>
      </w:r>
      <w:r w:rsidR="00A720F0" w:rsidRPr="00A720F0">
        <w:rPr>
          <w:noProof/>
          <w:highlight w:val="yellow"/>
        </w:rPr>
        <w:t>, 2010; Lora and Fajardo, 2013; Karyotis and Rudig, 2015)</w:t>
      </w:r>
      <w:r w:rsidR="00A720F0" w:rsidRPr="00A720F0">
        <w:rPr>
          <w:highlight w:val="yellow"/>
        </w:rPr>
        <w:fldChar w:fldCharType="end"/>
      </w:r>
      <w:r w:rsidR="00A720F0" w:rsidRPr="00A720F0">
        <w:rPr>
          <w:highlight w:val="yellow"/>
        </w:rPr>
        <w:t>.</w:t>
      </w:r>
    </w:p>
    <w:bookmarkEnd w:id="356"/>
    <w:p w14:paraId="0C2BFDC3" w14:textId="6CAE7CCD" w:rsidR="00D66210" w:rsidRPr="00D852C0" w:rsidRDefault="00D66210" w:rsidP="00D66210">
      <w:r w:rsidRPr="00D852C0">
        <w:t>In contrast to institutional participation, these informal methods include signing a petition, boycotting a product</w:t>
      </w:r>
      <w:r w:rsidR="00C96822">
        <w:t>,</w:t>
      </w:r>
      <w:r w:rsidRPr="00D852C0">
        <w:t xml:space="preserve"> and joining demonstrations. My substantive interest is whether an individual’s mental mapping of what democracy means has an impact upon their likelihood of carrying out these politicized acts. I am also interested in whether a person’s understanding of democracy </w:t>
      </w:r>
      <w:r w:rsidR="00EB649D">
        <w:t>affects</w:t>
      </w:r>
      <w:r w:rsidR="009A5E40">
        <w:t xml:space="preserve"> their political behaviour </w:t>
      </w:r>
      <w:r w:rsidRPr="00D852C0">
        <w:t xml:space="preserve">above and beyond </w:t>
      </w:r>
      <w:r w:rsidR="009A5E40">
        <w:t xml:space="preserve">the </w:t>
      </w:r>
      <w:r w:rsidR="00EB649D">
        <w:t>influence</w:t>
      </w:r>
      <w:r w:rsidR="009A5E40">
        <w:t xml:space="preserve"> that </w:t>
      </w:r>
      <w:r w:rsidR="008F4B84">
        <w:t>their</w:t>
      </w:r>
      <w:r w:rsidRPr="00D852C0">
        <w:t xml:space="preserve"> general support for democracy</w:t>
      </w:r>
      <w:r w:rsidR="00563014">
        <w:t xml:space="preserve"> </w:t>
      </w:r>
      <w:r w:rsidR="009A5E40">
        <w:t xml:space="preserve">has </w:t>
      </w:r>
      <w:r w:rsidR="00563014">
        <w:t>in an abstract sense (</w:t>
      </w:r>
      <w:r w:rsidR="009A5E40">
        <w:t xml:space="preserve">i.e. whether they think democracy is a ‘good’ or ‘bad’ thing; </w:t>
      </w:r>
      <w:r w:rsidR="00563014">
        <w:t>see Chapter 1)</w:t>
      </w:r>
      <w:r w:rsidRPr="00D852C0">
        <w:t>.</w:t>
      </w:r>
    </w:p>
    <w:p w14:paraId="49B39550" w14:textId="105BAF7D" w:rsidR="00082234" w:rsidRDefault="00082234" w:rsidP="00D66210">
      <w:r>
        <w:t xml:space="preserve">So why focus on informal and non-institutionalised political participation? The reason is that </w:t>
      </w:r>
      <w:r w:rsidR="00D66210" w:rsidRPr="00D852C0">
        <w:t xml:space="preserve">most common </w:t>
      </w:r>
      <w:r w:rsidR="00D66210" w:rsidRPr="005B4B27">
        <w:rPr>
          <w:i/>
        </w:rPr>
        <w:t>formal</w:t>
      </w:r>
      <w:r w:rsidR="00D66210" w:rsidRPr="00D852C0">
        <w:t xml:space="preserve"> and institutionalised act of participation is voting, and an extensive literature examines voting behaviour. </w:t>
      </w:r>
      <w:r w:rsidR="005B4B27">
        <w:t xml:space="preserve">Generally, voting in elections is only a right in democratic regimes. It is true that </w:t>
      </w:r>
      <w:r>
        <w:t xml:space="preserve">people are able to vote in many countries </w:t>
      </w:r>
      <w:r w:rsidR="005B4B27">
        <w:t>which are not democratic; however,</w:t>
      </w:r>
      <w:r>
        <w:t xml:space="preserve"> </w:t>
      </w:r>
      <w:r w:rsidR="005B4B27">
        <w:t>such</w:t>
      </w:r>
      <w:r>
        <w:t xml:space="preserve"> repressive regime </w:t>
      </w:r>
      <w:r w:rsidR="005B4B27">
        <w:t>are frequently accused of coercing people into voting in a certain way, or potentially preventing people from voting at all.</w:t>
      </w:r>
      <w:r>
        <w:t xml:space="preserve"> Such charges </w:t>
      </w:r>
      <w:r w:rsidR="005B4B27">
        <w:t>are</w:t>
      </w:r>
      <w:r>
        <w:t xml:space="preserve"> levelled at countries </w:t>
      </w:r>
      <w:r w:rsidR="005B4B27">
        <w:t>such as</w:t>
      </w:r>
      <w:r>
        <w:t xml:space="preserve"> Russia </w:t>
      </w:r>
      <w:r>
        <w:fldChar w:fldCharType="begin" w:fldLock="1"/>
      </w:r>
      <w:r w:rsidR="00E63CC6">
        <w:instrText>ADDIN CSL_CITATION { "citationItems" : [ { "id" : "ITEM-1", "itemData" : { "URL" : "https://www.ndi.org/golos-russia-elections", "accessed" : { "date-parts" : [ [ "2016", "5", "14" ] ] }, "author" : [ { "dropping-particle" : "", "family" : "NDI", "given" : "", "non-dropping-particle" : "", "parse-names" : false, "suffix" : "" } ], "container-title" : "National Democratic Institute", "id" : "ITEM-1", "issued" : { "date-parts" : [ [ "2012" ] ] }, "title" : "Citizen Monitors: Russian election 'was not free and fair'", "type" : "webpage" }, "uris" : [ "http://www.mendeley.com/documents/?uuid=cff75603-b656-483d-9aaf-624ae3ed128f" ] } ], "mendeley" : { "formattedCitation" : "(NDI, 2012)", "plainTextFormattedCitation" : "(NDI, 2012)", "previouslyFormattedCitation" : "(NDI, 2012)" }, "properties" : { "noteIndex" : 0 }, "schema" : "https://github.com/citation-style-language/schema/raw/master/csl-citation.json" }</w:instrText>
      </w:r>
      <w:r>
        <w:fldChar w:fldCharType="separate"/>
      </w:r>
      <w:r w:rsidR="00E63CC6" w:rsidRPr="00E63CC6">
        <w:rPr>
          <w:noProof/>
        </w:rPr>
        <w:t>(NDI, 2012)</w:t>
      </w:r>
      <w:r>
        <w:fldChar w:fldCharType="end"/>
      </w:r>
      <w:r w:rsidR="005B4B27">
        <w:t xml:space="preserve">. Or, it might be that people can vote, however the choices on offer are only for one party (or allowed allies), such as in </w:t>
      </w:r>
      <w:r>
        <w:t>China</w:t>
      </w:r>
      <w:r w:rsidR="005B4B27">
        <w:t>.</w:t>
      </w:r>
      <w:r w:rsidR="00C96822">
        <w:t xml:space="preserve"> </w:t>
      </w:r>
      <w:r w:rsidR="00C3775A">
        <w:t>T</w:t>
      </w:r>
      <w:r w:rsidR="005B4B27">
        <w:t>he voting here is neither free nor fair.</w:t>
      </w:r>
      <w:r w:rsidR="00C718FA">
        <w:t xml:space="preserve"> And in some authoritarian countries, elections are simply not held at all.</w:t>
      </w:r>
    </w:p>
    <w:p w14:paraId="0EB2D89E" w14:textId="4D690DF3" w:rsidR="00D66210" w:rsidRPr="00D852C0" w:rsidRDefault="00C718FA" w:rsidP="00D66210">
      <w:r>
        <w:t xml:space="preserve">However, since my conceptualisations of democracy are drawn from a sample covering a large array of regimes, I want to test their effect on a type of political behaviour that might be more readily available across the countries. </w:t>
      </w:r>
      <w:r w:rsidR="00D66210" w:rsidRPr="00D852C0">
        <w:t xml:space="preserve">The strength of the WVS dataset is that it contains citizens who live in democratic </w:t>
      </w:r>
      <w:r w:rsidR="00D66210" w:rsidRPr="00D852C0">
        <w:rPr>
          <w:i/>
        </w:rPr>
        <w:t>and</w:t>
      </w:r>
      <w:r w:rsidR="00D66210" w:rsidRPr="00D852C0">
        <w:t xml:space="preserve"> non-democratic regimes. </w:t>
      </w:r>
      <w:r w:rsidR="00D66210" w:rsidRPr="00C718FA">
        <w:rPr>
          <w:i/>
        </w:rPr>
        <w:t>In principle</w:t>
      </w:r>
      <w:r w:rsidR="00D66210" w:rsidRPr="00D852C0">
        <w:t xml:space="preserve">, informal political participation </w:t>
      </w:r>
      <w:r>
        <w:t>should be more</w:t>
      </w:r>
      <w:r w:rsidR="00D66210" w:rsidRPr="00D852C0">
        <w:t xml:space="preserve"> available in these non-democracies, whereas institutionalised participation</w:t>
      </w:r>
      <w:r>
        <w:t xml:space="preserve"> will be less </w:t>
      </w:r>
      <w:r w:rsidR="002605D1">
        <w:t>available</w:t>
      </w:r>
      <w:r w:rsidR="00D66210" w:rsidRPr="00D852C0">
        <w:t xml:space="preserve"> such as voting is not. Of course some non-democratic regimes are highly repressive of </w:t>
      </w:r>
      <w:r w:rsidR="00D66210" w:rsidRPr="00D852C0">
        <w:rPr>
          <w:i/>
        </w:rPr>
        <w:t>any</w:t>
      </w:r>
      <w:r w:rsidR="00D66210" w:rsidRPr="00D852C0">
        <w:t xml:space="preserve"> political participation, and heavily regulate civil society. However, by </w:t>
      </w:r>
      <w:r>
        <w:t xml:space="preserve">adding in country-level contextual variables, I can attempt to control for this using </w:t>
      </w:r>
      <w:r w:rsidR="00D66210" w:rsidRPr="00D852C0">
        <w:t xml:space="preserve">MLM. </w:t>
      </w:r>
    </w:p>
    <w:p w14:paraId="7E2CD067" w14:textId="2C823AD1" w:rsidR="00D66210" w:rsidRPr="00D852C0" w:rsidRDefault="00D66210" w:rsidP="00D66210">
      <w:r w:rsidRPr="00D852C0">
        <w:t xml:space="preserve">As </w:t>
      </w:r>
      <w:r w:rsidR="004B1F7F">
        <w:fldChar w:fldCharType="begin" w:fldLock="1"/>
      </w:r>
      <w:r w:rsidR="00E63CC6">
        <w:instrText>ADDIN CSL_CITATION { "citationItems" : [ { "id" : "ITEM-1", "itemData" : { "DOI" : "10.1111/1467-9248.00435", "ISSN" : "0032-3217", "author" : [ { "dropping-particle" : "", "family" : "Pattie", "given" : "Charles", "non-dropping-particle" : "", "parse-names" : false, "suffix" : "" }, { "dropping-particle" : "", "family" : "Seyd", "given" : "Patrick", "non-dropping-particle" : "", "parse-names" : false, "suffix" : "" }, { "dropping-particle" : "", "family" : "Whiteley", "given" : "Paul", "non-dropping-particle" : "", "parse-names" : false, "suffix" : "" } ], "container-title" : "Political Studies", "id" : "ITEM-1", "issue" : "3", "issued" : { "date-parts" : [ [ "2003", "10" ] ] }, "page" : "443-468", "title" : "Citizenship and Civic Engagement: Attitudes and Behaviour in Britain", "type" : "article-journal", "volume" : "51" }, "uris" : [ "http://www.mendeley.com/documents/?uuid=4f34aa01-365b-47a5-aefc-7e1228ae4449" ] } ], "mendeley" : { "formattedCitation" : "(Pattie, Seyd and Whiteley, 2003)", "manualFormatting" : "Pattie et al. (2003, p.620)", "plainTextFormattedCitation" : "(Pattie, Seyd and Whiteley, 2003)", "previouslyFormattedCitation" : "(Pattie, Seyd and Whiteley, 2003)" }, "properties" : { "noteIndex" : 0 }, "schema" : "https://github.com/citation-style-language/schema/raw/master/csl-citation.json" }</w:instrText>
      </w:r>
      <w:r w:rsidR="004B1F7F">
        <w:fldChar w:fldCharType="separate"/>
      </w:r>
      <w:r w:rsidR="004B1F7F" w:rsidRPr="004B1F7F">
        <w:rPr>
          <w:noProof/>
        </w:rPr>
        <w:t xml:space="preserve">Pattie </w:t>
      </w:r>
      <w:r w:rsidR="00803848">
        <w:rPr>
          <w:noProof/>
        </w:rPr>
        <w:t>et al</w:t>
      </w:r>
      <w:r w:rsidR="004B1F7F" w:rsidRPr="004B1F7F">
        <w:rPr>
          <w:noProof/>
        </w:rPr>
        <w:t xml:space="preserve">. </w:t>
      </w:r>
      <w:r w:rsidR="004B1F7F">
        <w:rPr>
          <w:noProof/>
        </w:rPr>
        <w:t>(</w:t>
      </w:r>
      <w:r w:rsidR="004B1F7F" w:rsidRPr="004B1F7F">
        <w:rPr>
          <w:noProof/>
        </w:rPr>
        <w:t>2003</w:t>
      </w:r>
      <w:r w:rsidR="004B1F7F">
        <w:rPr>
          <w:noProof/>
        </w:rPr>
        <w:t>, p.620</w:t>
      </w:r>
      <w:r w:rsidR="004B1F7F" w:rsidRPr="004B1F7F">
        <w:rPr>
          <w:noProof/>
        </w:rPr>
        <w:t>)</w:t>
      </w:r>
      <w:r w:rsidR="004B1F7F">
        <w:fldChar w:fldCharType="end"/>
      </w:r>
      <w:r w:rsidR="004B1F7F">
        <w:t xml:space="preserve"> have</w:t>
      </w:r>
      <w:r w:rsidRPr="00D852C0">
        <w:t xml:space="preserve"> note</w:t>
      </w:r>
      <w:r w:rsidR="004B1F7F">
        <w:t>d</w:t>
      </w:r>
      <w:r w:rsidRPr="00D852C0">
        <w:t xml:space="preserve">, “By concentrating attention on one political act, voting in elections, there is a tendency for observers to treat political participation as an either/or phenomenon.” This, or course, is not an accurate reflection of most people’s potential political repertoire. </w:t>
      </w:r>
      <w:r w:rsidR="004828DE">
        <w:t>Many citizens undertake both formal and informal participation, however, a</w:t>
      </w:r>
      <w:r w:rsidRPr="00D852C0">
        <w:t xml:space="preserve">n advantage of looking at </w:t>
      </w:r>
      <w:r w:rsidRPr="004828DE">
        <w:t>informal</w:t>
      </w:r>
      <w:r w:rsidRPr="00D852C0">
        <w:t xml:space="preserve"> participation is that “participants in non-institutionalised forms of political participation keep some distance from the political system by trying to have an indirect impact on political decision making, or by boycotting the political system altogether” </w:t>
      </w:r>
      <w:r w:rsidR="004B1F7F">
        <w:fldChar w:fldCharType="begin" w:fldLock="1"/>
      </w:r>
      <w:r w:rsidR="00E63CC6">
        <w:instrText>ADDIN CSL_CITATION { "citationItems" : [ { "id" : "ITEM-1", "itemData" : { "DOI" : "10.1111/j.1467-9248.2009.00801.x", "ISSN" : "00323217", "author" : [ { "dropping-particle" : "", "family" : "Marien", "given" : "Sofie", "non-dropping-particle" : "", "parse-names" : false, "suffix" : "" }, { "dropping-particle" : "", "family" : "Hooghe", "given" : "Marc", "non-dropping-particle" : "", "parse-names" : false, "suffix" : "" }, { "dropping-particle" : "", "family" : "Quintelier", "given" : "Ellen", "non-dropping-particle" : "", "parse-names" : false, "suffix" : "" } ], "container-title" : "Political Studies", "id" : "ITEM-1", "issue" : "1", "issued" : { "date-parts" : [ [ "2010", "2" ] ] }, "page" : "187-213", "title" : "Inequalities in Non-institutionalised Forms of Political Participation: A Multi-level Analysis of 25 countries", "type" : "article-journal", "volume" : "58" }, "uris" : [ "http://www.mendeley.com/documents/?uuid=a7bdbe87-38c2-43f0-aabb-006c84961785" ] } ], "mendeley" : { "formattedCitation" : "(Marien, Hooghe and Quintelier, 2010)", "manualFormatting" : "(Marien et al. 2010, p.188)", "plainTextFormattedCitation" : "(Marien, Hooghe and Quintelier, 2010)", "previouslyFormattedCitation" : "(Marien, Hooghe and Quintelier, 2010)" }, "properties" : { "noteIndex" : 0 }, "schema" : "https://github.com/citation-style-language/schema/raw/master/csl-citation.json" }</w:instrText>
      </w:r>
      <w:r w:rsidR="004B1F7F">
        <w:fldChar w:fldCharType="separate"/>
      </w:r>
      <w:r w:rsidR="004B1F7F" w:rsidRPr="004B1F7F">
        <w:rPr>
          <w:noProof/>
        </w:rPr>
        <w:t xml:space="preserve">(Marien </w:t>
      </w:r>
      <w:r w:rsidR="00803848">
        <w:rPr>
          <w:noProof/>
        </w:rPr>
        <w:t>et al</w:t>
      </w:r>
      <w:r w:rsidR="004B1F7F" w:rsidRPr="004B1F7F">
        <w:rPr>
          <w:noProof/>
        </w:rPr>
        <w:t>. 2010</w:t>
      </w:r>
      <w:r w:rsidR="004B1F7F">
        <w:rPr>
          <w:noProof/>
        </w:rPr>
        <w:t>, p.188</w:t>
      </w:r>
      <w:r w:rsidR="004B1F7F" w:rsidRPr="004B1F7F">
        <w:rPr>
          <w:noProof/>
        </w:rPr>
        <w:t>)</w:t>
      </w:r>
      <w:r w:rsidR="004B1F7F">
        <w:fldChar w:fldCharType="end"/>
      </w:r>
      <w:r w:rsidR="004B1F7F">
        <w:t>.</w:t>
      </w:r>
      <w:r w:rsidRPr="00D852C0">
        <w:t xml:space="preserve"> </w:t>
      </w:r>
      <w:r w:rsidR="005F0EF2">
        <w:t>B</w:t>
      </w:r>
      <w:r>
        <w:t xml:space="preserve">y engaging in informal activity, </w:t>
      </w:r>
      <w:r w:rsidRPr="00D852C0">
        <w:t xml:space="preserve">citizens are undertaking a democratic right to influence policy, but are doing it indirectly, without the need for the democratic apparatus to </w:t>
      </w:r>
      <w:r w:rsidR="005F0EF2">
        <w:t xml:space="preserve">necessarily </w:t>
      </w:r>
      <w:r w:rsidRPr="00D852C0">
        <w:t>be there.</w:t>
      </w:r>
    </w:p>
    <w:p w14:paraId="184409AA" w14:textId="7E617823" w:rsidR="00D66210" w:rsidRPr="00D852C0" w:rsidRDefault="00D66210" w:rsidP="00D66210">
      <w:r w:rsidRPr="00D852C0">
        <w:t xml:space="preserve">Furthermore, this type of political behaviour is argued to be on the increase around the world, and </w:t>
      </w:r>
      <w:r>
        <w:t xml:space="preserve">is </w:t>
      </w:r>
      <w:r w:rsidRPr="00D852C0">
        <w:t xml:space="preserve">not restricted to liberal democracies. As </w:t>
      </w:r>
      <w:r w:rsidR="004828DE">
        <w:fldChar w:fldCharType="begin" w:fldLock="1"/>
      </w:r>
      <w:r w:rsidR="00E63CC6">
        <w:instrText>ADDIN CSL_CITATION { "citationItems" : [ { "id" : "ITEM-1", "itemData" : { "DOI" : "10.1017/S000712340999038X", "ISSN" : "0007-1234", "author" : [ { "dropping-particle" : "", "family" : "Dalton", "given" : "R.", "non-dropping-particle" : "", "parse-names" : false, "suffix" : "" }, { "dropping-particle" : "", "family" : "Sickle", "given" : "Alix", "non-dropping-particle" : "van", "parse-names" : false, "suffix" : "" }, { "dropping-particle" : "", "family" : "Weldon", "given" : "Steven", "non-dropping-particle" : "", "parse-names" : false, "suffix" : "" } ], "container-title" : "British Journal of Political Science", "id" : "ITEM-1", "issue" : "01", "issued" : { "date-parts" : [ [ "2009", "12", "8" ] ] }, "page" : "51-73", "title" : "The Individual\u2013Institutional Nexus of Protest Behaviour", "type" : "article-journal", "volume" : "40" }, "uris" : [ "http://www.mendeley.com/documents/?uuid=8b82cc70-29fc-4963-96dc-277702cfacf9" ] } ], "mendeley" : { "formattedCitation" : "(Dalton, van Sickle and Weldon, 2009)", "manualFormatting" : "Dalton et al. (2009, p.21)", "plainTextFormattedCitation" : "(Dalton, van Sickle and Weldon, 2009)", "previouslyFormattedCitation" : "(Dalton, van Sickle and Weldon, 2009)" }, "properties" : { "noteIndex" : 0 }, "schema" : "https://github.com/citation-style-language/schema/raw/master/csl-citation.json" }</w:instrText>
      </w:r>
      <w:r w:rsidR="004828DE">
        <w:fldChar w:fldCharType="separate"/>
      </w:r>
      <w:r w:rsidR="004828DE" w:rsidRPr="004828DE">
        <w:rPr>
          <w:noProof/>
        </w:rPr>
        <w:t xml:space="preserve">Dalton </w:t>
      </w:r>
      <w:r w:rsidR="00803848">
        <w:rPr>
          <w:noProof/>
        </w:rPr>
        <w:t>et al</w:t>
      </w:r>
      <w:r w:rsidR="004828DE" w:rsidRPr="004828DE">
        <w:rPr>
          <w:noProof/>
        </w:rPr>
        <w:t xml:space="preserve">. </w:t>
      </w:r>
      <w:r w:rsidR="004828DE">
        <w:rPr>
          <w:noProof/>
        </w:rPr>
        <w:t>(</w:t>
      </w:r>
      <w:r w:rsidR="004828DE" w:rsidRPr="004828DE">
        <w:rPr>
          <w:noProof/>
        </w:rPr>
        <w:t>2009</w:t>
      </w:r>
      <w:r w:rsidR="004828DE">
        <w:rPr>
          <w:noProof/>
        </w:rPr>
        <w:t>, p.21</w:t>
      </w:r>
      <w:r w:rsidR="004828DE" w:rsidRPr="004828DE">
        <w:rPr>
          <w:noProof/>
        </w:rPr>
        <w:t>)</w:t>
      </w:r>
      <w:r w:rsidR="004828DE">
        <w:fldChar w:fldCharType="end"/>
      </w:r>
      <w:r w:rsidRPr="00D852C0">
        <w:t xml:space="preserve"> </w:t>
      </w:r>
      <w:r w:rsidR="004828DE">
        <w:t>have described</w:t>
      </w:r>
      <w:r w:rsidRPr="00D852C0">
        <w:t>, this protest political behaviour, whilst once considered unconventional and fringe, is increasing and becoming part of the political repertoire across many nations. In advanced democracies it is even becoming as popular as the established forms of conventional participation, such as contacting MPs.</w:t>
      </w:r>
    </w:p>
    <w:p w14:paraId="226FF0EF" w14:textId="39F1AAF9" w:rsidR="00D66210" w:rsidRPr="00D852C0" w:rsidRDefault="00D66210" w:rsidP="00D66210">
      <w:r w:rsidRPr="00D852C0">
        <w:t xml:space="preserve">To assess how understandings of democracy impact upon informal political participation, I examine existing theories of why citizens engage in these activities, and test these alongside the two dimensions of democratic understanding that have been produced and examined in this thesis. Dalton </w:t>
      </w:r>
      <w:r w:rsidR="00803848">
        <w:t>et al</w:t>
      </w:r>
      <w:r w:rsidR="004828DE">
        <w:t>.</w:t>
      </w:r>
      <w:r w:rsidRPr="00D852C0">
        <w:t xml:space="preserve"> (2009) provide a comprehensive overview of these existing theories, whilst also examining the nexus between theories at the individual level and the institutional level. As this thesis is interested in both these levels of analysis, I adopt and expand Dalton </w:t>
      </w:r>
      <w:r w:rsidR="00803848">
        <w:t>et al</w:t>
      </w:r>
      <w:r w:rsidR="004828DE">
        <w:t>.</w:t>
      </w:r>
      <w:r w:rsidRPr="00D852C0">
        <w:t xml:space="preserve">’s (2009) approach for the following discussion. One primary difference here is that I refer to the two levels as individual and ‘contextual’, as I feel this terminology better captures the range of explanatory factors available at this level of analysis, not all of which are necessarily linked to institutions. </w:t>
      </w:r>
    </w:p>
    <w:p w14:paraId="3B7AD6C4" w14:textId="7834E639" w:rsidR="00D66210" w:rsidRPr="00D852C0" w:rsidRDefault="00D66210" w:rsidP="00D66210">
      <w:r w:rsidRPr="00D852C0">
        <w:t xml:space="preserve">At the individual level the prominent theories that outline potential motivations of informal political participation are grievance theory, resource theory, social capital, </w:t>
      </w:r>
      <w:r w:rsidR="005F0EF2">
        <w:t>cognitive engagement</w:t>
      </w:r>
      <w:r w:rsidRPr="00D852C0">
        <w:t xml:space="preserve"> and religiosity. At the contextual level, importance is placed on the political opportunity structure of a country, and also on its social-economic development.</w:t>
      </w:r>
      <w:r w:rsidR="009A5E40">
        <w:t xml:space="preserve"> These are discussed in the following section.</w:t>
      </w:r>
    </w:p>
    <w:p w14:paraId="728E0427" w14:textId="09AD1939" w:rsidR="00D66210" w:rsidRPr="00D852C0" w:rsidRDefault="00D66210" w:rsidP="00D66210">
      <w:r w:rsidRPr="00D852C0">
        <w:t xml:space="preserve">Although Dalton </w:t>
      </w:r>
      <w:r w:rsidR="00803848">
        <w:t>et al</w:t>
      </w:r>
      <w:r w:rsidR="004828DE">
        <w:t>.</w:t>
      </w:r>
      <w:r w:rsidRPr="004828DE">
        <w:t>’s</w:t>
      </w:r>
      <w:r w:rsidRPr="00D852C0">
        <w:t xml:space="preserve"> (2009) study informs much of the following discussion, it is important to note that this thesis pushes forward the analysis carried out in that research in two important ways. Firstly, I use the 2005-2008 wave of the WVS, compared to the 1999-2004 surveys used in that study. Secondly, and more importantly, this thesis builds on the literature by examining the importance of citizen understandings of democracy. </w:t>
      </w:r>
    </w:p>
    <w:p w14:paraId="4D423C09" w14:textId="4412376D" w:rsidR="00D66210" w:rsidRPr="00D852C0" w:rsidRDefault="00D66210" w:rsidP="00D66210">
      <w:r w:rsidRPr="00D852C0">
        <w:t xml:space="preserve">In the following section, the impact these </w:t>
      </w:r>
      <w:r w:rsidR="001E3FD2">
        <w:t>conceptualis</w:t>
      </w:r>
      <w:r w:rsidRPr="00D852C0">
        <w:t>ations of democracy might have on informal participation is discussed first, followed by the remaining individual level theories, and then the contextual theories. At the end of each section, a table summarizes the expected relationship between the theories and informal participation.</w:t>
      </w:r>
    </w:p>
    <w:p w14:paraId="01060675" w14:textId="77777777" w:rsidR="00D66210" w:rsidRPr="00577217" w:rsidRDefault="00D66210" w:rsidP="00D66210">
      <w:pPr>
        <w:pStyle w:val="Heading2"/>
      </w:pPr>
      <w:bookmarkStart w:id="357" w:name="_Toc441069042"/>
      <w:bookmarkStart w:id="358" w:name="_Toc441069276"/>
      <w:bookmarkStart w:id="359" w:name="_Toc494034234"/>
      <w:r w:rsidRPr="00577217">
        <w:t>6.2 Individual Theories</w:t>
      </w:r>
      <w:bookmarkEnd w:id="357"/>
      <w:bookmarkEnd w:id="358"/>
      <w:bookmarkEnd w:id="359"/>
      <w:r w:rsidRPr="00577217">
        <w:t xml:space="preserve"> </w:t>
      </w:r>
    </w:p>
    <w:p w14:paraId="5F325A2B" w14:textId="69E3776C" w:rsidR="00D66210" w:rsidRDefault="00D66210" w:rsidP="00D66210">
      <w:pPr>
        <w:spacing w:after="120"/>
      </w:pPr>
      <w:r w:rsidRPr="00D852C0">
        <w:t>The most crucial point of this chapter is to take the two variables that are the core of this thesis – the compound understanding of democracy and the authoritarian understanding of democracy – and test their explanatory power. This means they are not used as dependent variables, as in Chapter 5, but instead I utilise</w:t>
      </w:r>
      <w:r w:rsidR="009F6932">
        <w:t xml:space="preserve"> them as independent variables.</w:t>
      </w:r>
      <w:r w:rsidR="008F4B84">
        <w:t xml:space="preserve"> This is inspired by remarks made by </w:t>
      </w:r>
      <w:r w:rsidR="008F4B84">
        <w:rPr>
          <w:szCs w:val="24"/>
        </w:rPr>
        <w:fldChar w:fldCharType="begin" w:fldLock="1"/>
      </w:r>
      <w:r w:rsidR="00E63CC6">
        <w:rPr>
          <w:szCs w:val="24"/>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and Christensen (2014, p.251)", "plainTextFormattedCitation" : "(Bengtsson and Christensen, 2014)", "previouslyFormattedCitation" : "(Bengtsson and Christensen, 2014)" }, "properties" : { "noteIndex" : 0 }, "schema" : "https://github.com/citation-style-language/schema/raw/master/csl-citation.json" }</w:instrText>
      </w:r>
      <w:r w:rsidR="008F4B84">
        <w:rPr>
          <w:szCs w:val="24"/>
        </w:rPr>
        <w:fldChar w:fldCharType="separate"/>
      </w:r>
      <w:r w:rsidR="008F4B84">
        <w:rPr>
          <w:noProof/>
          <w:szCs w:val="24"/>
        </w:rPr>
        <w:t>Bengtsson and</w:t>
      </w:r>
      <w:r w:rsidR="008F4B84" w:rsidRPr="00AD1B56">
        <w:rPr>
          <w:noProof/>
          <w:szCs w:val="24"/>
        </w:rPr>
        <w:t xml:space="preserve"> Christensen </w:t>
      </w:r>
      <w:r w:rsidR="008F4B84">
        <w:rPr>
          <w:noProof/>
          <w:szCs w:val="24"/>
        </w:rPr>
        <w:t>(</w:t>
      </w:r>
      <w:r w:rsidR="008F4B84" w:rsidRPr="00AD1B56">
        <w:rPr>
          <w:noProof/>
          <w:szCs w:val="24"/>
        </w:rPr>
        <w:t>2014</w:t>
      </w:r>
      <w:r w:rsidR="008F4B84">
        <w:rPr>
          <w:noProof/>
          <w:szCs w:val="24"/>
        </w:rPr>
        <w:t>, p.251</w:t>
      </w:r>
      <w:r w:rsidR="008F4B84" w:rsidRPr="00AD1B56">
        <w:rPr>
          <w:noProof/>
          <w:szCs w:val="24"/>
        </w:rPr>
        <w:t>)</w:t>
      </w:r>
      <w:r w:rsidR="008F4B84">
        <w:rPr>
          <w:szCs w:val="24"/>
        </w:rPr>
        <w:fldChar w:fldCharType="end"/>
      </w:r>
      <w:r w:rsidR="008F4B84">
        <w:t xml:space="preserve"> in their own study of democratic conceptualisations in Finland:</w:t>
      </w:r>
    </w:p>
    <w:p w14:paraId="4E489CDA" w14:textId="44DDA37E" w:rsidR="00434FCD" w:rsidRPr="00616B10" w:rsidRDefault="00434FCD" w:rsidP="008F4B84">
      <w:pPr>
        <w:pStyle w:val="Quote"/>
      </w:pPr>
      <w:r>
        <w:t>“</w:t>
      </w:r>
      <w:r w:rsidRPr="00AD1B56">
        <w:t>More importantly, these different conceptions of democracy are not just ideals without substantial consequences. On the contrary, they have systematic effects on the way and extent in which people choose to engage in political activities</w:t>
      </w:r>
      <w:r>
        <w:t xml:space="preserve">” </w:t>
      </w:r>
    </w:p>
    <w:p w14:paraId="5DF104DC" w14:textId="798FA07F" w:rsidR="008F4B84" w:rsidRPr="008F4B84" w:rsidRDefault="008F4B84" w:rsidP="00D66210">
      <w:pPr>
        <w:spacing w:after="120"/>
      </w:pPr>
      <w:r>
        <w:t>Their study makes the clear argument that this finding should be examined at a broader level across more contexts.</w:t>
      </w:r>
    </w:p>
    <w:p w14:paraId="29BA0F25" w14:textId="61EDC983" w:rsidR="00D66210" w:rsidRPr="00D852C0" w:rsidRDefault="00D66210" w:rsidP="00D66210">
      <w:pPr>
        <w:spacing w:after="120"/>
      </w:pPr>
      <w:r w:rsidRPr="00D852C0">
        <w:t xml:space="preserve">It is </w:t>
      </w:r>
      <w:r w:rsidR="004D77A1">
        <w:t>predicted</w:t>
      </w:r>
      <w:r w:rsidRPr="00D852C0">
        <w:t xml:space="preserve"> that the compound understanding of democracy will have a positive relationship with informal participation. As higher scores on the scale comport with belief in the more liberal characteristics of democracy, the prediction is that the higher </w:t>
      </w:r>
      <w:r>
        <w:t xml:space="preserve">individuals </w:t>
      </w:r>
      <w:r w:rsidRPr="00D852C0">
        <w:t xml:space="preserve">score on this scale, the more likely it is that </w:t>
      </w:r>
      <w:r>
        <w:t>they</w:t>
      </w:r>
      <w:r w:rsidRPr="00D852C0">
        <w:t xml:space="preserve"> see their civil rights as central to democracy, and they will then be more likely to stand up for them by taking political action, not just in times of elections.</w:t>
      </w:r>
      <w:r w:rsidR="004D77A1">
        <w:t xml:space="preserve"> Yet this prediction is not clear-cut; the notion of having civil rights does not in itself predict or necessarily demand that citizens get involved in non-institutionalised political participation. </w:t>
      </w:r>
      <w:r>
        <w:t>The corollary is that t</w:t>
      </w:r>
      <w:r w:rsidRPr="00D852C0">
        <w:t xml:space="preserve">hose who score low on this scale are predicted to </w:t>
      </w:r>
      <w:r>
        <w:t>be less likely to participate, other things being equal</w:t>
      </w:r>
      <w:r w:rsidRPr="00D852C0">
        <w:t>.</w:t>
      </w:r>
    </w:p>
    <w:p w14:paraId="61E3D67B" w14:textId="77777777" w:rsidR="00D66210" w:rsidRPr="00D852C0" w:rsidRDefault="00D66210" w:rsidP="00D66210">
      <w:pPr>
        <w:spacing w:after="120"/>
      </w:pPr>
      <w:r w:rsidRPr="00D852C0">
        <w:t>The authoritarian scale is predicted to have a negative relationship with informal participation. The reason for this is that a strong belief in authority figures being the essential characteristic of a democracy diminishes the role of citizens in such a system. In this conceptualisation, support for the authoritarian characteristics, religious and military, are expected to be associated with a system that does not expect informal participation from citizens. Again in contrast, those who score low on this scale are those rejecting the authoritarian characteristics, and they are expected to be much more likely to participate.</w:t>
      </w:r>
    </w:p>
    <w:p w14:paraId="0D3412EC" w14:textId="37ED389C" w:rsidR="004A4A8D" w:rsidRPr="00D852C0" w:rsidRDefault="00D66210" w:rsidP="00D66210">
      <w:pPr>
        <w:spacing w:after="120"/>
      </w:pPr>
      <w:r w:rsidRPr="00D852C0">
        <w:t xml:space="preserve">In order to properly </w:t>
      </w:r>
      <w:r>
        <w:t>t</w:t>
      </w:r>
      <w:r w:rsidRPr="00D852C0">
        <w:t>est the</w:t>
      </w:r>
      <w:r w:rsidR="004828DE">
        <w:t xml:space="preserve"> influence of the </w:t>
      </w:r>
      <w:r w:rsidR="001E3FD2">
        <w:t>conceptualis</w:t>
      </w:r>
      <w:r w:rsidRPr="00D852C0">
        <w:t xml:space="preserve">ations of democracy </w:t>
      </w:r>
      <w:r w:rsidR="004828DE">
        <w:t>on informal political participation</w:t>
      </w:r>
      <w:r w:rsidRPr="00D852C0">
        <w:t xml:space="preserve">, they will be examined alongside two other variables which examine attitudes towards democracy. The first measures support for democracy in the following way: </w:t>
      </w:r>
      <w:r w:rsidRPr="00D852C0">
        <w:rPr>
          <w:i/>
        </w:rPr>
        <w:t xml:space="preserve">How important is it for you to live in a country that is governed democratically?  On this scale where 1 means it is “not at all important” and 10 means “absolutely important” what position would you choose? </w:t>
      </w:r>
      <w:r w:rsidR="005F0EF2" w:rsidRPr="006366EF">
        <w:rPr>
          <w:rStyle w:val="FootnoteReference"/>
        </w:rPr>
        <w:footnoteReference w:id="25"/>
      </w:r>
      <w:r w:rsidRPr="00D852C0">
        <w:t>This question is discussed in further detail in the Introduction. It is expected that those who think it more important to live in a democracy are more likely to participate.</w:t>
      </w:r>
    </w:p>
    <w:p w14:paraId="57849807" w14:textId="7AC10602" w:rsidR="00D66210" w:rsidRPr="00D852C0" w:rsidRDefault="00D66210" w:rsidP="00D66210">
      <w:pPr>
        <w:spacing w:after="120"/>
        <w:rPr>
          <w:i/>
        </w:rPr>
      </w:pPr>
      <w:r w:rsidRPr="00D852C0">
        <w:t xml:space="preserve">The second is a </w:t>
      </w:r>
      <w:r w:rsidR="004A4A8D">
        <w:t xml:space="preserve">binary </w:t>
      </w:r>
      <w:r w:rsidRPr="00D852C0">
        <w:t>measure</w:t>
      </w:r>
      <w:r w:rsidR="006366EF">
        <w:t xml:space="preserve"> also</w:t>
      </w:r>
      <w:r w:rsidR="004A4A8D">
        <w:t xml:space="preserve"> used in </w:t>
      </w:r>
      <w:r w:rsidR="005F0EF2">
        <w:t>Chapter 1</w:t>
      </w:r>
      <w:r w:rsidR="004A4A8D">
        <w:t xml:space="preserve">, of how good individuals think democracy is as a system of government with the </w:t>
      </w:r>
      <w:r w:rsidR="005F0EF2">
        <w:t>responses</w:t>
      </w:r>
      <w:r w:rsidR="004A4A8D">
        <w:t xml:space="preserve"> ‘Very Good’ and ‘Good’ summed together against ‘Bad’ and Very Bad’. Again it is expected that those who think democracy is a good system of government are more likely to endorse the notion of citizen participation and get involved </w:t>
      </w:r>
    </w:p>
    <w:p w14:paraId="054B887F" w14:textId="2AC3A5AB" w:rsidR="00D66210" w:rsidRPr="00D852C0" w:rsidRDefault="00D66210" w:rsidP="00D66210">
      <w:pPr>
        <w:spacing w:after="120"/>
      </w:pPr>
      <w:r w:rsidRPr="00D852C0">
        <w:t xml:space="preserve">The purpose of adding these questions is simple; by controlling for such assessments, we can test whether the varying </w:t>
      </w:r>
      <w:r w:rsidR="001E3FD2">
        <w:t>conceptualis</w:t>
      </w:r>
      <w:r w:rsidRPr="00D852C0">
        <w:t xml:space="preserve">ations of democracy have an effect above and beyond the idea of support and assessment of democracy. There are four broad </w:t>
      </w:r>
      <w:r>
        <w:t xml:space="preserve">possible </w:t>
      </w:r>
      <w:r w:rsidRPr="00D852C0">
        <w:t>outcomes for this test:</w:t>
      </w:r>
    </w:p>
    <w:p w14:paraId="3DC033CC" w14:textId="4D6412FA" w:rsidR="00D66210" w:rsidRPr="00646427" w:rsidRDefault="00D66210" w:rsidP="002032DF">
      <w:pPr>
        <w:pStyle w:val="ListParagraph"/>
        <w:numPr>
          <w:ilvl w:val="0"/>
          <w:numId w:val="7"/>
        </w:numPr>
        <w:spacing w:after="120"/>
      </w:pPr>
      <w:r w:rsidRPr="00646427">
        <w:t>Neither support for</w:t>
      </w:r>
      <w:r w:rsidR="004A4A8D">
        <w:t>,</w:t>
      </w:r>
      <w:r w:rsidRPr="00646427">
        <w:t xml:space="preserve"> nor </w:t>
      </w:r>
      <w:r w:rsidR="001E3FD2">
        <w:t>conceptualis</w:t>
      </w:r>
      <w:r w:rsidRPr="00646427">
        <w:t>ation of</w:t>
      </w:r>
      <w:r w:rsidR="004A4A8D">
        <w:t>,</w:t>
      </w:r>
      <w:r w:rsidRPr="00646427">
        <w:t xml:space="preserve"> democracy has an effect. Therefore, non-institutionalised participation is not driven by the respondents’ views of democracy, and we should look elsewhere for an explanation.</w:t>
      </w:r>
    </w:p>
    <w:p w14:paraId="118FF3C7" w14:textId="5F35CFFD" w:rsidR="00D66210" w:rsidRPr="00520895" w:rsidRDefault="00D66210" w:rsidP="002032DF">
      <w:pPr>
        <w:pStyle w:val="ListParagraph"/>
        <w:numPr>
          <w:ilvl w:val="0"/>
          <w:numId w:val="7"/>
        </w:numPr>
        <w:spacing w:after="120"/>
      </w:pPr>
      <w:r w:rsidRPr="00646427">
        <w:t xml:space="preserve">Support for democracy has an effect but the </w:t>
      </w:r>
      <w:r w:rsidR="001E3FD2">
        <w:t>conceptualis</w:t>
      </w:r>
      <w:r w:rsidRPr="00646427">
        <w:t xml:space="preserve">ations do not. </w:t>
      </w:r>
      <w:r w:rsidR="00C3775A">
        <w:t>And so</w:t>
      </w:r>
      <w:r w:rsidRPr="00646427">
        <w:t xml:space="preserve"> we can argue that it is of lesser importance to examine understandings of democracy when it comes to participation, and support will suffice. </w:t>
      </w:r>
    </w:p>
    <w:p w14:paraId="5A87C486" w14:textId="3AECB727" w:rsidR="00D66210" w:rsidRPr="00520895" w:rsidRDefault="001E3FD2" w:rsidP="002032DF">
      <w:pPr>
        <w:pStyle w:val="ListParagraph"/>
        <w:numPr>
          <w:ilvl w:val="0"/>
          <w:numId w:val="7"/>
        </w:numPr>
        <w:spacing w:after="120"/>
      </w:pPr>
      <w:r>
        <w:t>Conceptualis</w:t>
      </w:r>
      <w:r w:rsidR="00D66210" w:rsidRPr="00520895">
        <w:t>ations of democracy have an effect, but support does not. In this case, we can reject more fully the idea of only measuring support for democracy, as it does not help explain participation; what matters is understandings of democracy.</w:t>
      </w:r>
    </w:p>
    <w:p w14:paraId="258B4177" w14:textId="437578FE" w:rsidR="00D66210" w:rsidRPr="00520895" w:rsidRDefault="00D66210" w:rsidP="002032DF">
      <w:pPr>
        <w:pStyle w:val="ListParagraph"/>
        <w:numPr>
          <w:ilvl w:val="0"/>
          <w:numId w:val="7"/>
        </w:numPr>
        <w:spacing w:after="120"/>
      </w:pPr>
      <w:r w:rsidRPr="00520895">
        <w:t xml:space="preserve">Both support and </w:t>
      </w:r>
      <w:r w:rsidR="001E3FD2">
        <w:t>conceptualis</w:t>
      </w:r>
      <w:r w:rsidRPr="00520895">
        <w:t xml:space="preserve">ation have an effect. Therefore, we can argue that both are important when looking into </w:t>
      </w:r>
      <w:r w:rsidR="00BF014B">
        <w:t xml:space="preserve">non-institutionalised </w:t>
      </w:r>
      <w:r w:rsidRPr="00520895">
        <w:t>political participation.</w:t>
      </w:r>
    </w:p>
    <w:p w14:paraId="6A5B4493" w14:textId="77777777" w:rsidR="00D66210" w:rsidRPr="00D852C0" w:rsidRDefault="00D66210" w:rsidP="00D66210">
      <w:r w:rsidRPr="00D852C0">
        <w:t xml:space="preserve">The following sections examine the other popular theories at the individual levels that have addressed political participation, and which will be tested alongside the democratic measures. </w:t>
      </w:r>
    </w:p>
    <w:p w14:paraId="4A62AD25" w14:textId="77777777" w:rsidR="00D66210" w:rsidRPr="00452B4A" w:rsidRDefault="00D66210" w:rsidP="00D66210">
      <w:pPr>
        <w:pStyle w:val="Heading4"/>
      </w:pPr>
      <w:bookmarkStart w:id="360" w:name="_Toc441069277"/>
      <w:r w:rsidRPr="00452B4A">
        <w:t>Grievance theory</w:t>
      </w:r>
      <w:bookmarkEnd w:id="360"/>
    </w:p>
    <w:p w14:paraId="469933F1" w14:textId="09B621AA" w:rsidR="00D66210" w:rsidRPr="00D852C0" w:rsidRDefault="00D66210" w:rsidP="00D66210">
      <w:r w:rsidRPr="00D852C0">
        <w:t xml:space="preserve">It would perhaps seem a relatively straightforward idea that protest and non-institutionalised participation occurs when people are subject to deprivation and hardship; when these are persistent issues, we might expect an individual to seek out and </w:t>
      </w:r>
      <w:r>
        <w:t xml:space="preserve">try to </w:t>
      </w:r>
      <w:r w:rsidRPr="00D852C0">
        <w:t xml:space="preserve">influence political change, in order to improve their lot in life. More sophisticated is the idea that it is not absolute deprivation necessarily, but </w:t>
      </w:r>
      <w:r w:rsidRPr="00D852C0">
        <w:rPr>
          <w:i/>
        </w:rPr>
        <w:t>relative</w:t>
      </w:r>
      <w:r w:rsidRPr="00D852C0">
        <w:t xml:space="preserve"> deprivation that matters </w:t>
      </w:r>
      <w:r w:rsidR="001D0048">
        <w:fldChar w:fldCharType="begin" w:fldLock="1"/>
      </w:r>
      <w:r w:rsidR="00E63CC6">
        <w:instrText>ADDIN CSL_CITATION { "citationItems" : [ { "id" : "ITEM-1", "itemData" : { "author" : [ { "dropping-particle" : "", "family" : "Runciman", "given" : "WG", "non-dropping-particle" : "", "parse-names" : false, "suffix" : "" } ], "id" : "ITEM-1", "issued" : { "date-parts" : [ [ "1966" ] ] }, "publisher" : "Routledge", "publisher-place" : "London", "title" : "Relative Deprivation and Social Justice", "type" : "book" }, "uris" : [ "http://www.mendeley.com/documents/?uuid=f20f8571-638d-4df4-bd55-18279119fd7c" ] }, { "id" : "ITEM-2", "itemData" : { "author" : [ { "dropping-particle" : "", "family" : "Gurr", "given" : "T E D", "non-dropping-particle" : "", "parse-names" : false, "suffix" : "" } ], "container-title" : "The American Political Science Review", "id" : "ITEM-2", "issue" : "4", "issued" : { "date-parts" : [ [ "1968" ] ] }, "page" : "1104-1124", "title" : "A Causal Model of Civil Strife : A Comparative Analysis Using New Indices", "type" : "article-journal", "volume" : "62" }, "uris" : [ "http://www.mendeley.com/documents/?uuid=ef3623b8-8dbd-4283-99b4-a6afd8313a79" ] } ], "mendeley" : { "formattedCitation" : "(Runciman, 1966; Gurr, 1968)", "plainTextFormattedCitation" : "(Runciman, 1966; Gurr, 1968)", "previouslyFormattedCitation" : "(Runciman, 1966; Gurr, 1968)" }, "properties" : { "noteIndex" : 0 }, "schema" : "https://github.com/citation-style-language/schema/raw/master/csl-citation.json" }</w:instrText>
      </w:r>
      <w:r w:rsidR="001D0048">
        <w:fldChar w:fldCharType="separate"/>
      </w:r>
      <w:r w:rsidR="00E63CC6" w:rsidRPr="00E63CC6">
        <w:rPr>
          <w:noProof/>
        </w:rPr>
        <w:t>(Runciman, 1966; Gurr, 1968)</w:t>
      </w:r>
      <w:r w:rsidR="001D0048">
        <w:fldChar w:fldCharType="end"/>
      </w:r>
      <w:r w:rsidR="001D0048">
        <w:t>.</w:t>
      </w:r>
      <w:r w:rsidRPr="00D852C0">
        <w:t xml:space="preserve"> In particular Gurr </w:t>
      </w:r>
      <w:r w:rsidR="001D0048">
        <w:fldChar w:fldCharType="begin" w:fldLock="1"/>
      </w:r>
      <w:r w:rsidR="00E63CC6">
        <w:instrText>ADDIN CSL_CITATION { "citationItems" : [ { "id" : "ITEM-1", "itemData" : { "author" : [ { "dropping-particle" : "", "family" : "Gurr", "given" : "T E D", "non-dropping-particle" : "", "parse-names" : false, "suffix" : "" } ], "container-title" : "The American Political Science Review", "id" : "ITEM-1", "issue" : "4", "issued" : { "date-parts" : [ [ "1968" ] ] }, "page" : "1104-1124", "title" : "A Causal Model of Civil Strife : A Comparative Analysis Using New Indices", "type" : "article-journal", "volume" : "62" }, "uris" : [ "http://www.mendeley.com/documents/?uuid=ef3623b8-8dbd-4283-99b4-a6afd8313a79" ] } ], "mendeley" : { "formattedCitation" : "(Gurr, 1968)", "manualFormatting" : "(1968, p.1104)", "plainTextFormattedCitation" : "(Gurr, 1968)", "previouslyFormattedCitation" : "(Gurr, 1968)" }, "properties" : { "noteIndex" : 0 }, "schema" : "https://github.com/citation-style-language/schema/raw/master/csl-citation.json" }</w:instrText>
      </w:r>
      <w:r w:rsidR="001D0048">
        <w:fldChar w:fldCharType="separate"/>
      </w:r>
      <w:r w:rsidR="001D0048" w:rsidRPr="001D0048">
        <w:rPr>
          <w:noProof/>
        </w:rPr>
        <w:t>(1968</w:t>
      </w:r>
      <w:r w:rsidR="001D0048">
        <w:rPr>
          <w:noProof/>
        </w:rPr>
        <w:t>, p.1104</w:t>
      </w:r>
      <w:r w:rsidR="001D0048" w:rsidRPr="001D0048">
        <w:rPr>
          <w:noProof/>
        </w:rPr>
        <w:t>)</w:t>
      </w:r>
      <w:r w:rsidR="001D0048">
        <w:fldChar w:fldCharType="end"/>
      </w:r>
      <w:r w:rsidRPr="00D852C0">
        <w:t xml:space="preserve"> popularized this idea,</w:t>
      </w:r>
      <w:r w:rsidRPr="00AD1B56">
        <w:rPr>
          <w:rStyle w:val="FootnoteReference"/>
        </w:rPr>
        <w:footnoteReference w:id="26"/>
      </w:r>
      <w:r w:rsidRPr="00D852C0">
        <w:t xml:space="preserve"> and provided the following outline of its mechanisms:</w:t>
      </w:r>
    </w:p>
    <w:p w14:paraId="7E6A73AC" w14:textId="77777777" w:rsidR="00D66210" w:rsidRPr="00D852C0" w:rsidRDefault="00D66210" w:rsidP="00D66210">
      <w:pPr>
        <w:rPr>
          <w:i/>
        </w:rPr>
      </w:pPr>
      <w:r w:rsidRPr="00D852C0">
        <w:rPr>
          <w:i/>
        </w:rPr>
        <w:t>“The basic theoretical proposition is that a psychological variable, relative deprivation, is the basic precondition for civil strife of any kind, and that the more widespread and intense deprivation is among members of a population, the greater is the magnitude of strife in one or another form….The underlying causal mechanism is derived from psychological theory and evidence to the effect that one innate response to perceived deprivation is discontent or anger, and that anger is a motivating state for which aggression is an inherently satisfying response.”</w:t>
      </w:r>
    </w:p>
    <w:p w14:paraId="54E4867E" w14:textId="692453E0" w:rsidR="00D66210" w:rsidRPr="00D852C0" w:rsidRDefault="00D66210" w:rsidP="00D66210">
      <w:r w:rsidRPr="00D852C0">
        <w:t xml:space="preserve">This framework focuses on tensions between what individuals think they deserve and what they </w:t>
      </w:r>
      <w:r w:rsidR="001D0048">
        <w:t>think they can get, and this led</w:t>
      </w:r>
      <w:r w:rsidRPr="00D852C0">
        <w:t xml:space="preserve"> to Gurr’s </w:t>
      </w:r>
      <w:r w:rsidR="001D0048">
        <w:fldChar w:fldCharType="begin" w:fldLock="1"/>
      </w:r>
      <w:r w:rsidR="00E63CC6">
        <w:instrText>ADDIN CSL_CITATION { "citationItems" : [ { "id" : "ITEM-1", "itemData" : { "author" : [ { "dropping-particle" : "", "family" : "Gurr", "given" : "T", "non-dropping-particle" : "", "parse-names" : false, "suffix" : "" } ], "id" : "ITEM-1", "issued" : { "date-parts" : [ [ "1970" ] ] }, "publisher" : "Princeton University Press", "publisher-place" : "Princeton", "title" : "Why Men Rebel", "type" : "book" }, "uris" : [ "http://www.mendeley.com/documents/?uuid=bb802db0-75b6-4a88-b0b4-e41e45883ce5" ] } ], "mendeley" : { "formattedCitation" : "(Gurr, 1970)", "manualFormatting" : "(1970)", "plainTextFormattedCitation" : "(Gurr, 1970)", "previouslyFormattedCitation" : "(Gurr, 1970)" }, "properties" : { "noteIndex" : 0 }, "schema" : "https://github.com/citation-style-language/schema/raw/master/csl-citation.json" }</w:instrText>
      </w:r>
      <w:r w:rsidR="001D0048">
        <w:fldChar w:fldCharType="separate"/>
      </w:r>
      <w:r w:rsidR="001D0048" w:rsidRPr="001D0048">
        <w:rPr>
          <w:noProof/>
        </w:rPr>
        <w:t>(1970)</w:t>
      </w:r>
      <w:r w:rsidR="001D0048">
        <w:fldChar w:fldCharType="end"/>
      </w:r>
      <w:r w:rsidRPr="00D852C0">
        <w:t xml:space="preserve"> use of the term ‘grievance’.   However, empirical testing of this theory has frequently concluded that grievance </w:t>
      </w:r>
      <w:r w:rsidR="001E3FD2">
        <w:t>conceptualis</w:t>
      </w:r>
      <w:r w:rsidRPr="00D852C0">
        <w:t xml:space="preserve">ed in this way does little to explain why people participate in politics, formal or informal </w:t>
      </w:r>
      <w:r w:rsidR="00FD55DE">
        <w:fldChar w:fldCharType="begin" w:fldLock="1"/>
      </w:r>
      <w:r w:rsidR="00E63CC6">
        <w:instrText>ADDIN CSL_CITATION { "citationItems" : [ { "id" : "ITEM-1", "itemData" : { "ISSN" : "0003-1224", "PMID" : "5156268", "author" : [ { "dropping-particle" : "", "family" : "McPhail", "given" : "C", "non-dropping-particle" : "", "parse-names" : false, "suffix" : "" } ], "container-title" : "American sociological review", "id" : "ITEM-1", "issue" : "6", "issued" : { "date-parts" : [ [ "1971", "12" ] ] }, "page" : "1058-73", "title" : "Civil disorder participation: a critical examination of recent research.", "type" : "article-journal", "volume" : "36" }, "uris" : [ "http://www.mendeley.com/documents/?uuid=2d97e98a-f0b8-4ac9-b443-567e9b4888cb" ] }, { "id" : "ITEM-2", "itemData" : { "author" : [ { "dropping-particle" : "", "family" : "Barnes", "given" : "S H", "non-dropping-particle" : "", "parse-names" : false, "suffix" : "" }, { "dropping-particle" : "", "family" : "Kasse", "given" : "M", "non-dropping-particle" : "", "parse-names" : false, "suffix" : "" }, { "dropping-particle" : "", "family" : "Allerbeck", "given" : "KR", "non-dropping-particle" : "", "parse-names" : false, "suffix" : "" } ], "id" : "ITEM-2", "issued" : { "date-parts" : [ [ "1979" ] ] }, "publisher" : "Sage", "publisher-place" : "Beverly Hills", "title" : "Political Action: Mass Participation in Five Western Democracies", "type" : "book" }, "uris" : [ "http://www.mendeley.com/documents/?uuid=147a84f6-3d15-4c99-85ae-094e25bbaf5e" ] }, { "id" : "ITEM-3", "itemData" : { "author" : [ { "dropping-particle" : "", "family" : "Finkel", "given" : "Steven E", "non-dropping-particle" : "", "parse-names" : false, "suffix" : "" }, { "dropping-particle" : "", "family" : "Muller", "given" : "EN", "non-dropping-particle" : "", "parse-names" : false, "suffix" : "" }, { "dropping-particle" : "", "family" : "Opp", "given" : "K-D", "non-dropping-particle" : "", "parse-names" : false, "suffix" : "" } ], "container-title" : "The American Political Science Review", "id" : "ITEM-3", "issue" : "3", "issued" : { "date-parts" : [ [ "1989" ] ] }, "page" : "885-903", "title" : "Personal Influence , Collective Rationality , and Mass Political Action", "type" : "article-journal", "volume" : "83" }, "uris" : [ "http://www.mendeley.com/documents/?uuid=221452b0-60db-4c69-9cd3-1a5b59ad1488" ] } ], "mendeley" : { "formattedCitation" : "(McPhail, 1971; Barnes, Kasse and Allerbeck, 1979; Finkel, Muller and Opp, 1989)", "plainTextFormattedCitation" : "(McPhail, 1971; Barnes, Kasse and Allerbeck, 1979; Finkel, Muller and Opp, 1989)", "previouslyFormattedCitation" : "(McPhail, 1971; Barnes, Kasse and Allerbeck, 1979; Finkel, Muller and Opp, 1989)" }, "properties" : { "noteIndex" : 0 }, "schema" : "https://github.com/citation-style-language/schema/raw/master/csl-citation.json" }</w:instrText>
      </w:r>
      <w:r w:rsidR="00FD55DE">
        <w:fldChar w:fldCharType="separate"/>
      </w:r>
      <w:r w:rsidR="00E63CC6" w:rsidRPr="00E63CC6">
        <w:rPr>
          <w:noProof/>
        </w:rPr>
        <w:t>(McPhail, 1971; Barnes, Kasse and Allerbeck, 1979; Finkel, Muller and Opp, 1989)</w:t>
      </w:r>
      <w:r w:rsidR="00FD55DE">
        <w:fldChar w:fldCharType="end"/>
      </w:r>
      <w:r w:rsidRPr="00D852C0">
        <w:t xml:space="preserve">. </w:t>
      </w:r>
      <w:r w:rsidR="009F6932">
        <w:t xml:space="preserve"> Others have found the opposite effect; that those who feel relatively deprived are </w:t>
      </w:r>
      <w:r w:rsidR="009F6932" w:rsidRPr="009F6932">
        <w:rPr>
          <w:i/>
        </w:rPr>
        <w:t>less</w:t>
      </w:r>
      <w:r w:rsidR="009F6932">
        <w:t xml:space="preserve"> likely to participate </w:t>
      </w:r>
      <w:r w:rsidR="009F6932">
        <w:fldChar w:fldCharType="begin" w:fldLock="1"/>
      </w:r>
      <w:r w:rsidR="00E63CC6">
        <w:instrText>ADDIN CSL_CITATION { "citationItems" : [ { "id" : "ITEM-1",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"ITEM-1", "issued" : { "date-parts" : [ [ "2004" ] ] }, "publisher" : "Cambridge University Press", "publisher-place" : "Cambridge", "title" : "Citizenship in Britain", "type" : "book" }, "uris" : [ "http://www.mendeley.com/documents/?uuid=7ee55eb4-c098-4a41-8cae-776b65b64c9b" ] } ], "mendeley" : { "formattedCitation" : "(Pattie, Seyd and Whiteley, 2004)", "manualFormatting" : "(Pattie et al. 2004, p.177)", "plainTextFormattedCitation" : "(Pattie, Seyd and Whiteley, 2004)", "previouslyFormattedCitation" : "(Pattie, Seyd and Whiteley, 2004)" }, "properties" : { "noteIndex" : 0 }, "schema" : "https://github.com/citation-style-language/schema/raw/master/csl-citation.json" }</w:instrText>
      </w:r>
      <w:r w:rsidR="009F6932">
        <w:fldChar w:fldCharType="separate"/>
      </w:r>
      <w:r w:rsidR="009F6932" w:rsidRPr="009F6932">
        <w:rPr>
          <w:noProof/>
        </w:rPr>
        <w:t xml:space="preserve">(Pattie </w:t>
      </w:r>
      <w:r w:rsidR="00803848">
        <w:rPr>
          <w:noProof/>
        </w:rPr>
        <w:t>et al</w:t>
      </w:r>
      <w:r w:rsidR="009F6932" w:rsidRPr="009F6932">
        <w:rPr>
          <w:noProof/>
        </w:rPr>
        <w:t>. 2004</w:t>
      </w:r>
      <w:r w:rsidR="009F6932">
        <w:rPr>
          <w:noProof/>
        </w:rPr>
        <w:t>, p.177</w:t>
      </w:r>
      <w:r w:rsidR="009F6932" w:rsidRPr="009F6932">
        <w:rPr>
          <w:noProof/>
        </w:rPr>
        <w:t>)</w:t>
      </w:r>
      <w:r w:rsidR="009F6932">
        <w:fldChar w:fldCharType="end"/>
      </w:r>
      <w:r w:rsidR="00B91307">
        <w:t>.</w:t>
      </w:r>
    </w:p>
    <w:p w14:paraId="5E087719" w14:textId="339D1593" w:rsidR="00D66210" w:rsidRPr="00D852C0" w:rsidRDefault="00D66210" w:rsidP="00D66210">
      <w:r w:rsidRPr="00D852C0">
        <w:t>There are numerous possible reasons for this lack of explanatory power. The first is that the theory might seem plausible because those who do protest often strongly vocalise and advertise their grievances as a motivation for the protest (that, after all, is what a protest demonstration is primarily about), yet the problem with this is protestors are usually a small number of people, and there are likely to be many people who suffer the same grievances but aren’t spurred by them to act. In other words, any grievance effect might not be at all systematic. Related to this is that grievance theorised in this way is an individualised notion, and so it struggles to account for collectivised social movements (Gurney &amp; Tierney 1982, Olzak &amp; Shanahan 1996). There is some evidence to suggest that the effect is stronger in developing countries as opposed to develop</w:t>
      </w:r>
      <w:r w:rsidR="008E72B5">
        <w:t xml:space="preserve">ed countries (Dalton </w:t>
      </w:r>
      <w:r w:rsidR="00803848">
        <w:t>et al</w:t>
      </w:r>
      <w:r w:rsidR="00170FB9">
        <w:t>.</w:t>
      </w:r>
      <w:r w:rsidR="008E72B5">
        <w:t xml:space="preserve"> 2009, p.</w:t>
      </w:r>
      <w:r w:rsidRPr="00D852C0">
        <w:t xml:space="preserve">57), where the majority of empirical studies focus. Finally, it is difficult to operationalise the idea of </w:t>
      </w:r>
      <w:r w:rsidRPr="00D852C0">
        <w:rPr>
          <w:i/>
        </w:rPr>
        <w:t>relative</w:t>
      </w:r>
      <w:r w:rsidRPr="00D852C0">
        <w:t xml:space="preserve"> deprivation as it requires complex analysis of perceived injustice at the individual level, which will interact with perceptions of the contextual situation (see below).</w:t>
      </w:r>
      <w:r w:rsidR="003D261D">
        <w:t xml:space="preserve"> And, it could theoretically be having a reverse effect because it is possible that deprivation does not spur people to act, but promotes a form of apathy or fatalism instead, and people accept their lot as fate, and something that can’t be changed.</w:t>
      </w:r>
    </w:p>
    <w:p w14:paraId="05CDE66F" w14:textId="26960EA8" w:rsidR="00D66210" w:rsidRPr="00D852C0" w:rsidRDefault="00D66210" w:rsidP="00D66210">
      <w:r w:rsidRPr="00D852C0">
        <w:t xml:space="preserve">However, whilst unfashionable for some decades, there has been a resurgence in the idea of relative deprivation and grievance as drivers of protest behaviour in the field of social psychology and identity </w:t>
      </w:r>
      <w:r w:rsidR="008E72B5">
        <w:fldChar w:fldCharType="begin" w:fldLock="1"/>
      </w:r>
      <w:r w:rsidR="00E63CC6">
        <w:instrText>ADDIN CSL_CITATION { "citationItems" : [ { "id" : "ITEM-1", "itemData" : { "author" : [ { "dropping-particle" : "", "family" : "Walker", "given" : "I", "non-dropping-particle" : "", "parse-names" : false, "suffix" : "" }, { "dropping-particle" : "", "family" : "Smith", "given" : "HJ", "non-dropping-particle" : "", "parse-names" : false, "suffix" : "" } ], "id" : "ITEM-1", "issued" : { "date-parts" : [ [ "2002" ] ] }, "publisher" : "Cambridge University Press", "publisher-place" : "Cambridge", "title" : "Relative Deprivation: Specification, Development and Integration", "type" : "book" }, "uris" : [ "http://www.mendeley.com/documents/?uuid=8a7d3800-9125-44bc-9840-d3ad58b17765" ] } ], "mendeley" : { "formattedCitation" : "(Walker and Smith, 2002)", "plainTextFormattedCitation" : "(Walker and Smith, 2002)", "previouslyFormattedCitation" : "(Walker and Smith, 2002)" }, "properties" : { "noteIndex" : 0 }, "schema" : "https://github.com/citation-style-language/schema/raw/master/csl-citation.json" }</w:instrText>
      </w:r>
      <w:r w:rsidR="008E72B5">
        <w:fldChar w:fldCharType="separate"/>
      </w:r>
      <w:r w:rsidR="00E63CC6" w:rsidRPr="00E63CC6">
        <w:rPr>
          <w:noProof/>
        </w:rPr>
        <w:t>(Walker and Smith, 2002)</w:t>
      </w:r>
      <w:r w:rsidR="008E72B5">
        <w:fldChar w:fldCharType="end"/>
      </w:r>
      <w:r w:rsidRPr="00D852C0">
        <w:t xml:space="preserve">. Further, a study of the </w:t>
      </w:r>
      <w:r>
        <w:t xml:space="preserve">post-2008 </w:t>
      </w:r>
      <w:r w:rsidRPr="00D852C0">
        <w:t>economic crisis in Europe suggested that we should examine further the role of ‘suddenly imposed’ grievances, which may shock people into action (</w:t>
      </w:r>
      <w:r w:rsidRPr="00D852C0">
        <w:fldChar w:fldCharType="begin" w:fldLock="1"/>
      </w:r>
      <w:r w:rsidR="00E63CC6">
        <w:instrText>ADDIN CSL_CITATION { "citationItems" : [ { "id" : "ITEM-1", "itemData" : { "DOI" : "10.1080/01402382.2014.993152", "ISBN" : "10.1080/01402382.2014.993152", "ISSN" : "0140-2382", "abstract" : "This article examines the effect of the recent economic crisis on political participation levels in Europe. As the civic voluntarism model and grievances theory predict different effects of economic downturn on political participation, the crisis provides a unique context to evaluate the explanatory power of these two theories. It is found that, when investigating a period of eight years (2002\u20132010), economic growth is positively associated with non-institutionalised political participation, which is in line with the civic voluntarism model. However, when focusing on the changes in political participation that occurred between 2008 and 2010 it is found that rising unemployment is associated with rising levels of non-institutionalised political participation, suggesting that grievance theory is especially useful in exceptionally negative conditions as suddenly imposed grievances can lead to various forms of protest behaviour. The article argues that these shock experiences can lead to momentary peak period...", "author" : [ { "dropping-particle" : "", "family" : "Kern", "given" : "Anna", "non-dropping-particle" : "", "parse-names" : false, "suffix" : "" }, { "dropping-particle" : "", "family" : "Marien", "given" : "Sofie", "non-dropping-particle" : "", "parse-names" : false, "suffix" : "" }, { "dropping-particle" : "", "family" : "Hooghe", "given" : "Marc", "non-dropping-particle" : "", "parse-names" : false, "suffix" : "" } ], "container-title" : "West European Politics", "id" : "ITEM-1", "issue" : "December", "issued" : { "date-parts" : [ [ "2015" ] ] }, "title" : "Economic Crisis and Levels of Political Participation in Europe (2002\u20132010): The Role of Resources and Grievances", "type" : "article-journal", "volume" : "2382" }, "uris" : [ "http://www.mendeley.com/documents/?uuid=d388adbb-8e94-4de5-a9b7-4ba6fb4bc597" ] } ], "mendeley" : { "formattedCitation" : "(Kern, Marien and Hooghe, 2015)", "manualFormatting" : "Kern et al. 2015)", "plainTextFormattedCitation" : "(Kern, Marien and Hooghe, 2015)", "previouslyFormattedCitation" : "(Kern, Marien and Hooghe, 2015)" }, "properties" : { "noteIndex" : 0 }, "schema" : "https://github.com/citation-style-language/schema/raw/master/csl-citation.json" }</w:instrText>
      </w:r>
      <w:r w:rsidRPr="00D852C0">
        <w:fldChar w:fldCharType="separate"/>
      </w:r>
      <w:r w:rsidR="008E72B5">
        <w:rPr>
          <w:noProof/>
        </w:rPr>
        <w:t xml:space="preserve">Kern </w:t>
      </w:r>
      <w:r w:rsidR="00803848">
        <w:rPr>
          <w:noProof/>
        </w:rPr>
        <w:t>et al</w:t>
      </w:r>
      <w:r w:rsidR="008E72B5">
        <w:rPr>
          <w:noProof/>
        </w:rPr>
        <w:t xml:space="preserve">. </w:t>
      </w:r>
      <w:r w:rsidRPr="00D852C0">
        <w:rPr>
          <w:noProof/>
        </w:rPr>
        <w:t>2015)</w:t>
      </w:r>
      <w:r w:rsidRPr="00D852C0">
        <w:fldChar w:fldCharType="end"/>
      </w:r>
      <w:r w:rsidRPr="00D852C0">
        <w:t xml:space="preserve">. </w:t>
      </w:r>
    </w:p>
    <w:p w14:paraId="470DD676" w14:textId="77777777" w:rsidR="00D66210" w:rsidRPr="00D852C0" w:rsidRDefault="00D66210" w:rsidP="00D66210">
      <w:r w:rsidRPr="00D852C0">
        <w:t xml:space="preserve">To operationalise grievance I use two variables, plus an interaction between them. The first variable is the ten-point scale on perceptions of income. As explained in the previous chapter, this variable is interesting in that it concerns people’s </w:t>
      </w:r>
      <w:r w:rsidRPr="00D852C0">
        <w:rPr>
          <w:i/>
        </w:rPr>
        <w:t>perceptions</w:t>
      </w:r>
      <w:r w:rsidRPr="00D852C0">
        <w:t xml:space="preserve"> of their </w:t>
      </w:r>
      <w:r w:rsidRPr="00D852C0">
        <w:rPr>
          <w:i/>
        </w:rPr>
        <w:t>relative</w:t>
      </w:r>
      <w:r w:rsidRPr="00D852C0">
        <w:t xml:space="preserve"> position in society, and is not their material income (which we don’t know). This is now very useful for trying to capture the notion of relative deprivation and is expected to have a negative effect on participation, i.e. the higher up the income scale an individual thinks they are, the less likely they are to engage in non-institutionalised forms of participation.</w:t>
      </w:r>
    </w:p>
    <w:p w14:paraId="78E95829" w14:textId="01E091DC" w:rsidR="00D66210" w:rsidRDefault="00D66210" w:rsidP="00D66210">
      <w:r w:rsidRPr="00D852C0">
        <w:t>The second variable is a ten-point scale concerning the respondent’s</w:t>
      </w:r>
      <w:r w:rsidRPr="00D852C0">
        <w:rPr>
          <w:i/>
        </w:rPr>
        <w:t xml:space="preserve"> satisfaction</w:t>
      </w:r>
      <w:r w:rsidRPr="00D852C0">
        <w:t xml:space="preserve"> about their household financial situation. Again, according to grievance theory, a negative effect is expected. These are then interacted, to see if there is an effect of perceived income in relation to satisfaction with household finances.</w:t>
      </w:r>
    </w:p>
    <w:p w14:paraId="1F486882" w14:textId="77777777" w:rsidR="000B31C3" w:rsidRPr="00D852C0" w:rsidRDefault="000B31C3" w:rsidP="00D66210"/>
    <w:p w14:paraId="2AE8214B" w14:textId="77777777" w:rsidR="00D66210" w:rsidRPr="00452B4A" w:rsidRDefault="00D66210" w:rsidP="00D66210">
      <w:pPr>
        <w:pStyle w:val="Heading4"/>
      </w:pPr>
      <w:bookmarkStart w:id="361" w:name="_Toc441069278"/>
      <w:r w:rsidRPr="00452B4A">
        <w:t>Resource Theory</w:t>
      </w:r>
      <w:bookmarkEnd w:id="361"/>
    </w:p>
    <w:p w14:paraId="26521297" w14:textId="748B2EAE" w:rsidR="00D66210" w:rsidRPr="00D852C0" w:rsidRDefault="00D66210" w:rsidP="00D66210">
      <w:r w:rsidRPr="00D852C0">
        <w:t xml:space="preserve">A different theory at the individual level suggests the motivation to participate is not primarily someone’s grievance but instead the individual resources they have access to. </w:t>
      </w:r>
      <w:r w:rsidR="008E72B5">
        <w:fldChar w:fldCharType="begin" w:fldLock="1"/>
      </w:r>
      <w:r w:rsidR="00E63CC6">
        <w:instrText>ADDIN CSL_CITATION { "citationItems" : [ { "id" : "ITEM-1", "itemData" : { "author" : [ { "dropping-particle" : "", "family" : "Brady", "given" : "H.E", "non-dropping-particle" : "", "parse-names" : false, "suffix" : "" }, { "dropping-particle" : "", "family" : "Verba", "given" : "S", "non-dropping-particle" : "", "parse-names" : false, "suffix" : "" }, { "dropping-particle" : "", "family" : "Schlozman", "given" : "K.L.", "non-dropping-particle" : "", "parse-names" : false, "suffix" : "" } ], "id" : "ITEM-1", "issued" : { "date-parts" : [ [ "1995" ] ] }, "publisher" : "Havard University Press", "publisher-place" : "Cambridge", "title" : "Voice and Equality: Civic Voluntarism in American Politics", "type" : "book" }, "uris" : [ "http://www.mendeley.com/documents/?uuid=cb196963-6b0c-4829-9a88-126d05bab108" ] } ], "mendeley" : { "formattedCitation" : "(Brady, Verba and Schlozman, 1995)", "manualFormatting" : "Brady et al. (1995)", "plainTextFormattedCitation" : "(Brady, Verba and Schlozman, 1995)", "previouslyFormattedCitation" : "(Brady, Verba and Schlozman, 1995)" }, "properties" : { "noteIndex" : 0 }, "schema" : "https://github.com/citation-style-language/schema/raw/master/csl-citation.json" }</w:instrText>
      </w:r>
      <w:r w:rsidR="008E72B5">
        <w:fldChar w:fldCharType="separate"/>
      </w:r>
      <w:r w:rsidR="008E72B5" w:rsidRPr="008E72B5">
        <w:rPr>
          <w:noProof/>
        </w:rPr>
        <w:t xml:space="preserve">Brady </w:t>
      </w:r>
      <w:r w:rsidR="00803848">
        <w:rPr>
          <w:noProof/>
        </w:rPr>
        <w:t>et al</w:t>
      </w:r>
      <w:r w:rsidR="008E72B5" w:rsidRPr="008E72B5">
        <w:rPr>
          <w:noProof/>
        </w:rPr>
        <w:t xml:space="preserve">. </w:t>
      </w:r>
      <w:r w:rsidR="008E72B5">
        <w:rPr>
          <w:noProof/>
        </w:rPr>
        <w:t>(</w:t>
      </w:r>
      <w:r w:rsidR="008E72B5" w:rsidRPr="008E72B5">
        <w:rPr>
          <w:noProof/>
        </w:rPr>
        <w:t>1995)</w:t>
      </w:r>
      <w:r w:rsidR="008E72B5">
        <w:fldChar w:fldCharType="end"/>
      </w:r>
      <w:r w:rsidRPr="00D852C0">
        <w:t xml:space="preserve"> argue that individual resources helped explain protest in the US, with resources split into two types; higher levels of education and income provide the means of engagement, whilst organizational membership and social capital provide networks to encourage and facilitate engagement. Similar arguments have been made for citizens in the UK </w:t>
      </w:r>
      <w:r w:rsidR="008E72B5">
        <w:fldChar w:fldCharType="begin" w:fldLock="1"/>
      </w:r>
      <w:r w:rsidR="00E63CC6">
        <w:instrText>ADDIN CSL_CITATION { "citationItems" : [ { "id" : "ITEM-1",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"ITEM-1", "issued" : { "date-parts" : [ [ "2004" ] ] }, "publisher" : "Cambridge University Press", "publisher-place" : "Cambridge", "title" : "Citizenship in Britain", "type" : "book" }, "uris" : [ "http://www.mendeley.com/documents/?uuid=7ee55eb4-c098-4a41-8cae-776b65b64c9b" ] }, { "id" : "ITEM-2", "itemData" : { "author" : [ { "dropping-particle" : "", "family" : "Parry", "given" : "G", "non-dropping-particle" : "", "parse-names" : false, "suffix" : "" }, { "dropping-particle" : "", "family" : "Moyser", "given" : "G", "non-dropping-particle" : "", "parse-names" : false, "suffix" : "" }, { "dropping-particle" : "", "family" : "Day", "given" : "N", "non-dropping-particle" : "", "parse-names" : false, "suffix" : "" } ], "id" : "ITEM-2", "issued" : { "date-parts" : [ [ "1992" ] ] }, "publisher" : "Cambridge University Press", "publisher-place" : "Cambridge", "title" : "Political Participation and Democracy in Britain", "type" : "book" }, "uris" : [ "http://www.mendeley.com/documents/?uuid=a714d736-87b7-4bf1-9128-b0e19d411180" ] } ], "mendeley" : { "formattedCitation" : "(Parry, Moyser and Day, 1992; Pattie, Seyd and Whiteley, 2004)", "plainTextFormattedCitation" : "(Parry, Moyser and Day, 1992; Pattie, Seyd and Whiteley, 2004)", "previouslyFormattedCitation" : "(Parry, Moyser and Day, 1992; Pattie, Seyd and Whiteley, 2004)" }, "properties" : { "noteIndex" : 0 }, "schema" : "https://github.com/citation-style-language/schema/raw/master/csl-citation.json" }</w:instrText>
      </w:r>
      <w:r w:rsidR="008E72B5">
        <w:fldChar w:fldCharType="separate"/>
      </w:r>
      <w:r w:rsidR="00E63CC6" w:rsidRPr="00E63CC6">
        <w:rPr>
          <w:noProof/>
        </w:rPr>
        <w:t>(Parry, Moyser and Day, 1992; Pattie, Seyd and Whiteley, 2004)</w:t>
      </w:r>
      <w:r w:rsidR="008E72B5">
        <w:fldChar w:fldCharType="end"/>
      </w:r>
      <w:r w:rsidR="008E72B5">
        <w:t>.</w:t>
      </w:r>
    </w:p>
    <w:p w14:paraId="359FE440" w14:textId="715B69F4" w:rsidR="00D66210" w:rsidRPr="00D852C0" w:rsidRDefault="00D66210" w:rsidP="00D66210">
      <w:r w:rsidRPr="00D852C0">
        <w:t xml:space="preserve">This idea is also present in the theory of post-materialism, as outlined particularly by Inglehart </w:t>
      </w:r>
      <w:r w:rsidR="007C52AE">
        <w:fldChar w:fldCharType="begin" w:fldLock="1"/>
      </w:r>
      <w:r w:rsidR="00E63CC6">
        <w:instrText>ADDIN CSL_CITATION { "citationItems" : [ { "id" : "ITEM-1", "itemData" : { "author" : [ { "dropping-particle" : "", "family" : "Inglehart", "given" : "R.", "non-dropping-particle" : "", "parse-names" : false, "suffix" : "" } ], "id" : "ITEM-1", "issued" : { "date-parts" : [ [ "1997" ] ] }, "publisher" : "Princeton University Press", "publisher-place" : "New Jersey", "title" : "Modernization and Post Modernization", "type" : "book" }, "uris" : [ "http://www.mendeley.com/documents/?uuid=0cfd9f52-cee3-4240-b382-4e8a2b6cf7ae" ] }, { "id" : "ITEM-2", "itemData" : { "author" : [ { "dropping-particle" : "", "family" : "Inglehart", "given" : "R.", "non-dropping-particle" : "", "parse-names" : false, "suffix" : "" } ], "id" : "ITEM-2", "issued" : { "date-parts" : [ [ "1977" ] ] }, "publisher" : "Princeton University Press", "publisher-place" : "Princeton", "title" : "The Silent Revolution", "type" : "book" }, "uris" : [ "http://www.mendeley.com/documents/?uuid=435b55bc-e224-49a8-aa6f-3f8ff63f7e5b" ] } ], "mendeley" : { "formattedCitation" : "(Inglehart, 1977, 1997)", "manualFormatting" : "(1997; 1977)", "plainTextFormattedCitation" : "(Inglehart, 1977, 1997)", "previouslyFormattedCitation" : "(Inglehart, 1977, 1997)" }, "properties" : { "noteIndex" : 0 }, "schema" : "https://github.com/citation-style-language/schema/raw/master/csl-citation.json" }</w:instrText>
      </w:r>
      <w:r w:rsidR="007C52AE">
        <w:fldChar w:fldCharType="separate"/>
      </w:r>
      <w:r w:rsidR="007C52AE" w:rsidRPr="007C52AE">
        <w:rPr>
          <w:noProof/>
        </w:rPr>
        <w:t>(1997; 1977)</w:t>
      </w:r>
      <w:r w:rsidR="007C52AE">
        <w:fldChar w:fldCharType="end"/>
      </w:r>
      <w:r w:rsidRPr="00D852C0">
        <w:t xml:space="preserve"> who </w:t>
      </w:r>
      <w:r w:rsidR="000B31C3">
        <w:t>has</w:t>
      </w:r>
      <w:r w:rsidR="006366EF">
        <w:t xml:space="preserve"> </w:t>
      </w:r>
      <w:r w:rsidRPr="00D852C0">
        <w:t>cl</w:t>
      </w:r>
      <w:r w:rsidR="006366EF">
        <w:t>aimed</w:t>
      </w:r>
      <w:r w:rsidRPr="00D852C0">
        <w:t xml:space="preserve"> that post-material values, concerned with self-expression and personal efficac</w:t>
      </w:r>
      <w:r w:rsidR="00755884">
        <w:t>y, develop amongst the resource-</w:t>
      </w:r>
      <w:r w:rsidRPr="00D852C0">
        <w:t>rich. In essence, the resource-wealthy are no longer required to worry about material demands, and instead can articulate wants which are much more autonomous and more concerned with self-</w:t>
      </w:r>
      <w:r w:rsidRPr="00755884">
        <w:rPr>
          <w:i/>
        </w:rPr>
        <w:t>expression</w:t>
      </w:r>
      <w:r w:rsidRPr="00D852C0">
        <w:t xml:space="preserve"> than self-</w:t>
      </w:r>
      <w:r w:rsidRPr="00755884">
        <w:rPr>
          <w:i/>
        </w:rPr>
        <w:t>pre</w:t>
      </w:r>
      <w:r w:rsidR="007C52AE" w:rsidRPr="00755884">
        <w:rPr>
          <w:i/>
        </w:rPr>
        <w:t>servation</w:t>
      </w:r>
      <w:r w:rsidR="007C52AE">
        <w:t>. Norris (2011; 2003;</w:t>
      </w:r>
      <w:r w:rsidR="006366EF">
        <w:t xml:space="preserve"> 1999) applied</w:t>
      </w:r>
      <w:r w:rsidR="00755884">
        <w:t xml:space="preserve"> the gist of this</w:t>
      </w:r>
      <w:r w:rsidRPr="00D852C0">
        <w:t xml:space="preserve"> idea to citizens in democracies who believe in democracy but have limited trust or confidence in politicians and political parties (disaffected democrats, or critical citizens). These individuals use non-conventional methods of political action to try and influence the political agenda.</w:t>
      </w:r>
    </w:p>
    <w:p w14:paraId="52044A55" w14:textId="0BD6E742" w:rsidR="00D66210" w:rsidRPr="00D852C0" w:rsidRDefault="00D66210" w:rsidP="00D66210">
      <w:r w:rsidRPr="00D852C0">
        <w:t xml:space="preserve">Dalton and van Sickle </w:t>
      </w:r>
      <w:r w:rsidR="002605D1">
        <w:fldChar w:fldCharType="begin" w:fldLock="1"/>
      </w:r>
      <w:r w:rsidR="00E63CC6">
        <w:instrText>ADDIN CSL_CITATION { "citationItems" : [ { "id" : "ITEM-1", "itemData" : { "author" : [ { "dropping-particle" : "", "family" : "Dalton", "given" : "R.", "non-dropping-particle" : "", "parse-names" : false, "suffix" : "" }, { "dropping-particle" : "", "family" : "Sickle", "given" : "Alix", "non-dropping-particle" : "van", "parse-names" : false, "suffix" : "" } ], "container-title" : "Centre for Study of Democracy: Working Papers", "id" : "ITEM-1", "issued" : { "date-parts" : [ [ "2005" ] ] }, "title" : "The Resource, Structural, and Cultural Bases of Protest", "type" : "article-journal" }, "uris" : [ "http://www.mendeley.com/documents/?uuid=784dbd7d-e1a5-4bb3-a02d-dbcd3f9973b3" ] } ], "mendeley" : { "formattedCitation" : "(Dalton and van Sickle, 2005)", "manualFormatting" : "(2005, p.7)", "plainTextFormattedCitation" : "(Dalton and van Sickle, 2005)", "previouslyFormattedCitation" : "(Dalton and van Sickle, 2005)" }, "properties" : { "noteIndex" : 0 }, "schema" : "https://github.com/citation-style-language/schema/raw/master/csl-citation.json" }</w:instrText>
      </w:r>
      <w:r w:rsidR="002605D1">
        <w:fldChar w:fldCharType="separate"/>
      </w:r>
      <w:r w:rsidR="002605D1" w:rsidRPr="002605D1">
        <w:rPr>
          <w:noProof/>
        </w:rPr>
        <w:t>(2005</w:t>
      </w:r>
      <w:r w:rsidR="002605D1">
        <w:rPr>
          <w:noProof/>
        </w:rPr>
        <w:t>, p.7</w:t>
      </w:r>
      <w:r w:rsidR="002605D1" w:rsidRPr="002605D1">
        <w:rPr>
          <w:noProof/>
        </w:rPr>
        <w:t>)</w:t>
      </w:r>
      <w:r w:rsidR="002605D1">
        <w:fldChar w:fldCharType="end"/>
      </w:r>
      <w:r w:rsidRPr="00D852C0">
        <w:t xml:space="preserve"> argue</w:t>
      </w:r>
      <w:r w:rsidR="006366EF">
        <w:t>d</w:t>
      </w:r>
      <w:r w:rsidRPr="00D852C0">
        <w:t xml:space="preserve"> that resource mobilization theory and grievance are in a sense “opposite sides of the same coin – one predicting that economic and social needs will stimulate contentious politics, the other predicting that resource rich environments facilitate contentious action”. Yet there </w:t>
      </w:r>
      <w:r>
        <w:t>is</w:t>
      </w:r>
      <w:r w:rsidRPr="00D852C0">
        <w:t xml:space="preserve"> something of a catch-22 here if these theories are linked</w:t>
      </w:r>
      <w:r>
        <w:t>:</w:t>
      </w:r>
      <w:r w:rsidRPr="00D852C0">
        <w:t xml:space="preserve"> how do the aggrieved resource poor gain the resources to then undertake contentious action to make their demands for more resources heard? </w:t>
      </w:r>
    </w:p>
    <w:p w14:paraId="4134CC59" w14:textId="6C682259" w:rsidR="000B7EAE" w:rsidRDefault="00D66210" w:rsidP="000B7EAE">
      <w:r w:rsidRPr="00D852C0">
        <w:t>Without access to panel data, this element of the theory is tricky to test. Here I use the same e</w:t>
      </w:r>
      <w:r w:rsidR="006366EF">
        <w:t>ducational variable as used in C</w:t>
      </w:r>
      <w:r w:rsidRPr="00D852C0">
        <w:t>hapter 5, with the expectation that higher educational attainment increases th</w:t>
      </w:r>
      <w:r w:rsidR="003D261D">
        <w:t xml:space="preserve">e likelihood of participating. </w:t>
      </w:r>
      <w:r w:rsidRPr="00D852C0">
        <w:t>Resources in terms of income are already tested in the model with the perceived income scale.</w:t>
      </w:r>
      <w:r w:rsidR="00672BC7">
        <w:t xml:space="preserve"> I</w:t>
      </w:r>
      <w:r w:rsidR="000B7EAE" w:rsidRPr="00D852C0">
        <w:t>f resource theory has more explanatory power than grievance theory, the relationship between income and participation is expected to be reversed in this test, i.e. to be positive rather than negative.</w:t>
      </w:r>
    </w:p>
    <w:p w14:paraId="22229A9C" w14:textId="2CB2AFF7" w:rsidR="000B7EAE" w:rsidRDefault="00E62303" w:rsidP="00D66210">
      <w:r>
        <w:t xml:space="preserve">Finally, </w:t>
      </w:r>
      <w:r w:rsidR="000B7EAE">
        <w:t xml:space="preserve">I also use a proxy for efficacy, a question which asks how much freedom and control the individual thinks they have in their life (1-10 scale). Whilst this is not a perfect test of resources, it does try to get at the notion that the individual feels they might have the ability to get out and make a difference in their life, as opposed to being powerless or passive. </w:t>
      </w:r>
    </w:p>
    <w:p w14:paraId="089ABB48" w14:textId="77777777" w:rsidR="00D66210" w:rsidRPr="00A27481" w:rsidRDefault="00D66210" w:rsidP="00D66210">
      <w:pPr>
        <w:pStyle w:val="Heading4"/>
      </w:pPr>
      <w:bookmarkStart w:id="362" w:name="_Toc441069279"/>
      <w:r>
        <w:t>Social Capital</w:t>
      </w:r>
      <w:bookmarkEnd w:id="362"/>
    </w:p>
    <w:p w14:paraId="330F7B3E" w14:textId="4F05D5C1" w:rsidR="00D66210" w:rsidRPr="00D852C0" w:rsidRDefault="00D66210" w:rsidP="00D66210">
      <w:r w:rsidRPr="00D852C0">
        <w:t xml:space="preserve">Associational life is argued to help produce and support democracies and a key underlining factor at play here is trust (Paxton, 2002).  As explained in Chapter 5, increased social capital is seen as generating trust and reciprocity which lowers the transaction costs of collective action </w:t>
      </w:r>
      <w:r w:rsidR="00E62303">
        <w:fldChar w:fldCharType="begin" w:fldLock="1"/>
      </w:r>
      <w:r w:rsidR="00E63CC6">
        <w:instrText>ADDIN CSL_CITATION { "citationItems" : [ { "id" : "ITEM-1", "itemData" : { "DOI" : "10.1177/0002764209350827", "ISBN" : "0002-7642", "ISSN" : "0002-7642", "abstract" : "Debates about social capital usually focus on its presumed positive consequences. Although this expectation has been corroborated empirically, in many instances some less benign consequences of social capital have also been uncovered. Several explanations for the emergence and consequences of these dark sides of social capital are briefly presented here and, subsequently, put to empirical testing. The contributors to this issue of American Behavioral Scientist have a common understanding of these dark sides of social capital. Conceptualizing them as negative consequences or outcomes, the authors use various research strategies to scrutinize the nature of the effects of social capital in various situations. In each analysis, however, particular focus is placed on the importance of the contextual setting. Special attention is paid to the degree of democratization, the postcommunist legacy, different welfare state regimes, the saliency of political cleavages, and types and interconnectedness of voluntary associations. The findings suggest that the specific consequences of social capital largely depend on political and social conditions.", "author" : [ { "dropping-particle" : "", "family" : "Deth", "given" : "J. W.", "non-dropping-particle" : "van", "parse-names" : false, "suffix" : "" }, { "dropping-particle" : "", "family" : "Zmerli", "given" : "S.", "non-dropping-particle" : "", "parse-names" : false, "suffix" : "" } ], "container-title" : "American Behavioral Scientist", "id" : "ITEM-1", "issue" : "5", "issued" : { "date-parts" : [ [ "2010" ] ] }, "page" : "631-639", "title" : "Introduction: Civicness, Equality, and Democracy--A \"Dark Side\" of Social Capital?", "type" : "article-journal", "volume" : "53" }, "uris" : [ "http://www.mendeley.com/documents/?uuid=01a0529a-d6f7-4ac5-af7c-c13986d572de" ] }, { "id" : "ITEM-2", "itemData" : { "author" : [ { "dropping-particle" : "", "family" : "Putnam", "given" : "Robert D", "non-dropping-particle" : "", "parse-names" : false, "suffix" : "" } ], "container-title" : "Journal of Democracy", "id" : "ITEM-2", "issue" : "1", "issued" : { "date-parts" : [ [ "1995" ] ] }, "page" : "67-78", "title" : "Bowling Alone: America's Declining Social Capital", "type" : "article-journal", "volume" : "6" }, "uris" : [ "http://www.mendeley.com/documents/?uuid=2ec14bef-d02f-4f64-8180-440f642c3717" ] } ], "mendeley" : { "formattedCitation" : "(Putnam, 1995; van Deth and Zmerli, 2010)", "plainTextFormattedCitation" : "(Putnam, 1995; van Deth and Zmerli, 2010)", "previouslyFormattedCitation" : "(Putnam, 1995; van Deth and Zmerli, 2010)" }, "properties" : { "noteIndex" : 0 }, "schema" : "https://github.com/citation-style-language/schema/raw/master/csl-citation.json" }</w:instrText>
      </w:r>
      <w:r w:rsidR="00E62303">
        <w:fldChar w:fldCharType="separate"/>
      </w:r>
      <w:r w:rsidR="00E63CC6" w:rsidRPr="00E63CC6">
        <w:rPr>
          <w:noProof/>
        </w:rPr>
        <w:t>(Putnam, 1995; van Deth and Zmerli, 2010)</w:t>
      </w:r>
      <w:r w:rsidR="00E62303">
        <w:fldChar w:fldCharType="end"/>
      </w:r>
      <w:r w:rsidRPr="00D852C0">
        <w:t xml:space="preserve">. Social </w:t>
      </w:r>
      <w:r w:rsidR="006366EF">
        <w:t xml:space="preserve">trust </w:t>
      </w:r>
      <w:r w:rsidRPr="00D852C0">
        <w:t>and institutional trust are measured the same way in this chapter</w:t>
      </w:r>
      <w:r w:rsidR="006366EF">
        <w:t xml:space="preserve"> as they are in the previous one</w:t>
      </w:r>
      <w:r w:rsidRPr="00D852C0">
        <w:t>.</w:t>
      </w:r>
    </w:p>
    <w:p w14:paraId="73F7DB4D" w14:textId="32F528B8" w:rsidR="00D66210" w:rsidRPr="00D852C0" w:rsidRDefault="00D66210" w:rsidP="00D66210">
      <w:r w:rsidRPr="00D852C0">
        <w:t>It is expected that higher levels of social trust increase the likelihood of participating, as individuals have a positive approach to people and feel their actions will benefit those around them</w:t>
      </w:r>
      <w:r w:rsidR="003D261D">
        <w:t xml:space="preserve"> and their </w:t>
      </w:r>
      <w:r w:rsidR="006366EF">
        <w:t>actions</w:t>
      </w:r>
      <w:r w:rsidR="003D261D">
        <w:t xml:space="preserve"> won’t be exploited</w:t>
      </w:r>
      <w:r w:rsidRPr="00D852C0">
        <w:t xml:space="preserve">. Institutional trust is expected to operate in the opposite way to social trust: if you have higher degrees of confidence in institutions, you will be less likely to engage in non-institutionalised forms of participation, because you believe the system </w:t>
      </w:r>
      <w:r w:rsidR="006366EF">
        <w:t>will intervene if it needs to</w:t>
      </w:r>
      <w:r w:rsidRPr="00D852C0">
        <w:t>.</w:t>
      </w:r>
    </w:p>
    <w:p w14:paraId="06A51AC1" w14:textId="067320F6" w:rsidR="00D66210" w:rsidRPr="00D852C0" w:rsidRDefault="00D66210" w:rsidP="00D66210">
      <w:r w:rsidRPr="00D852C0">
        <w:t>A variable measuring membership of a civic organization is also used</w:t>
      </w:r>
      <w:r w:rsidR="00E62303">
        <w:t xml:space="preserve"> </w:t>
      </w:r>
      <w:r w:rsidR="00E62303">
        <w:fldChar w:fldCharType="begin" w:fldLock="1"/>
      </w:r>
      <w:r w:rsidR="00E63CC6">
        <w:instrText>ADDIN CSL_CITATION { "citationItems" : [ { "id" : "ITEM-1", "itemData" : { "author" : [ { "dropping-particle" : "", "family" : "Putnam", "given" : "Robert D", "non-dropping-particle" : "", "parse-names" : false, "suffix" : "" } ], "container-title" : "Journal of Democracy", "id" : "ITEM-1", "issue" : "1", "issued" : { "date-parts" : [ [ "1995" ] ] }, "page" : "67-78", "title" : "Bowling Alone: America's Declining Social Capital", "type" : "article-journal", "volume" : "6" }, "uris" : [ "http://www.mendeley.com/documents/?uuid=2ec14bef-d02f-4f64-8180-440f642c3717" ] }, { "id" : "ITEM-2", "itemData" : { "author" : [ { "dropping-particle" : "", "family" : "Pharr", "given" : "SJ", "non-dropping-particle" : "", "parse-names" : false, "suffix" : "" }, { "dropping-particle" : "", "family" : "Putnam", "given" : "RD", "non-dropping-particle" : "", "parse-names" : false, "suffix" : "" }, { "dropping-particle" : "", "family" : "Dalton", "given" : "RJ", "non-dropping-particle" : "", "parse-names" : false, "suffix" : "" } ], "container-title" : "Journal of Democracy", "id" : "ITEM-2", "issue" : "2", "issued" : { "date-parts" : [ [ "2000" ] ] }, "page" : "5-25", "title" : "A Quarter-Century of Declining Confidence", "type" : "article-journal", "volume" : "11" }, "uris" : [ "http://www.mendeley.com/documents/?uuid=487a75e8-ec39-4c60-a51c-7848c2bcd1a8" ] } ], "mendeley" : { "formattedCitation" : "(Putnam, 1995; Pharr, Putnam and Dalton, 2000)", "plainTextFormattedCitation" : "(Putnam, 1995; Pharr, Putnam and Dalton, 2000)", "previouslyFormattedCitation" : "(Putnam, 1995; Pharr, Putnam and Dalton, 2000)" }, "properties" : { "noteIndex" : 0 }, "schema" : "https://github.com/citation-style-language/schema/raw/master/csl-citation.json" }</w:instrText>
      </w:r>
      <w:r w:rsidR="00E62303">
        <w:fldChar w:fldCharType="separate"/>
      </w:r>
      <w:r w:rsidR="00E63CC6" w:rsidRPr="00E63CC6">
        <w:rPr>
          <w:noProof/>
        </w:rPr>
        <w:t>(Putnam, 1995; Pharr, Putnam and Dalton, 2000)</w:t>
      </w:r>
      <w:r w:rsidR="00E62303">
        <w:fldChar w:fldCharType="end"/>
      </w:r>
      <w:r w:rsidR="006366EF">
        <w:t>, as in Chapter 5</w:t>
      </w:r>
      <w:r w:rsidRPr="00D852C0">
        <w:t xml:space="preserve">. The membership variable asks whether respondents </w:t>
      </w:r>
      <w:r w:rsidR="00755884">
        <w:t xml:space="preserve">are </w:t>
      </w:r>
      <w:r>
        <w:t xml:space="preserve">members of </w:t>
      </w:r>
      <w:r w:rsidRPr="00D852C0">
        <w:t xml:space="preserve">eight </w:t>
      </w:r>
      <w:r>
        <w:t xml:space="preserve">different types of </w:t>
      </w:r>
      <w:r w:rsidRPr="00D852C0">
        <w:t>organisations</w:t>
      </w:r>
      <w:r>
        <w:t>,</w:t>
      </w:r>
      <w:r w:rsidRPr="00D852C0">
        <w:t xml:space="preserve"> including sports, religious, arts, unions and environmental groups</w:t>
      </w:r>
      <w:r>
        <w:t xml:space="preserve">. Where they do report membership, they are also asked whether they are an inactive or active member, giving some insight into not only membership but also the intensity of involvement. </w:t>
      </w:r>
      <w:r w:rsidRPr="00D852C0">
        <w:t xml:space="preserve"> I take a strict approach to this </w:t>
      </w:r>
      <w:r>
        <w:t>measure</w:t>
      </w:r>
      <w:r w:rsidRPr="00D852C0">
        <w:t xml:space="preserve"> and only class</w:t>
      </w:r>
      <w:r>
        <w:t xml:space="preserve"> as members</w:t>
      </w:r>
      <w:r w:rsidRPr="00D852C0">
        <w:t xml:space="preserve"> those who consider themselves to be ‘active’ members, with the argument that an inactive membership does very little to increase engagement. The variable is then split into three – those who are not an active member of any groups, those who are active members of one group, and those who are members or two or more. Those who are members of a group are expected to be more likely to undertake non-institutional political activities.</w:t>
      </w:r>
    </w:p>
    <w:p w14:paraId="0700024F" w14:textId="5D569EE9" w:rsidR="00D66210" w:rsidRDefault="006366EF" w:rsidP="00D66210">
      <w:pPr>
        <w:pStyle w:val="Heading4"/>
      </w:pPr>
      <w:bookmarkStart w:id="363" w:name="_Toc441069280"/>
      <w:r>
        <w:t xml:space="preserve">Cognitive </w:t>
      </w:r>
      <w:bookmarkEnd w:id="363"/>
      <w:r>
        <w:t>Engagement</w:t>
      </w:r>
    </w:p>
    <w:p w14:paraId="2F1265C3" w14:textId="07D44966" w:rsidR="00E23C0C" w:rsidRDefault="00D66210" w:rsidP="00D66210">
      <w:r w:rsidRPr="00D852C0">
        <w:t xml:space="preserve">In terms of the impact of </w:t>
      </w:r>
      <w:r w:rsidR="006366EF">
        <w:t>cognitive engagement</w:t>
      </w:r>
      <w:r w:rsidRPr="00D852C0">
        <w:t>, the expectation is that those who are actively interested in politics and who inform themselves about news event through the media are more likely to participate in non-institutionalised forms of political participation than those who are less interested and less informed.</w:t>
      </w:r>
      <w:r w:rsidR="008A0D40">
        <w:t xml:space="preserve"> </w:t>
      </w:r>
      <w:r w:rsidR="00965279">
        <w:t xml:space="preserve">As </w:t>
      </w:r>
      <w:r w:rsidR="00965279">
        <w:fldChar w:fldCharType="begin" w:fldLock="1"/>
      </w:r>
      <w:r w:rsidR="00E63CC6">
        <w:instrText>ADDIN CSL_CITATION { "citationItems" : [ { "id" : "ITEM-1",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"ITEM-1", "issued" : { "date-parts" : [ [ "2004" ] ] }, "publisher" : "Cambridge University Press", "publisher-place" : "Cambridge", "title" : "Citizenship in Britain", "type" : "book" }, "uris" : [ "http://www.mendeley.com/documents/?uuid=7ee55eb4-c098-4a41-8cae-776b65b64c9b" ] } ], "mendeley" : { "formattedCitation" : "(Pattie, Seyd and Whiteley, 2004)", "manualFormatting" : "Pattie et al. (2004, p.138)", "plainTextFormattedCitation" : "(Pattie, Seyd and Whiteley, 2004)", "previouslyFormattedCitation" : "(Pattie, Seyd and Whiteley, 2004)" }, "properties" : { "noteIndex" : 0 }, "schema" : "https://github.com/citation-style-language/schema/raw/master/csl-citation.json" }</w:instrText>
      </w:r>
      <w:r w:rsidR="00965279">
        <w:fldChar w:fldCharType="separate"/>
      </w:r>
      <w:r w:rsidR="00965279" w:rsidRPr="00106596">
        <w:rPr>
          <w:noProof/>
        </w:rPr>
        <w:t xml:space="preserve">Pattie </w:t>
      </w:r>
      <w:r w:rsidR="00965279">
        <w:rPr>
          <w:noProof/>
        </w:rPr>
        <w:t>et al</w:t>
      </w:r>
      <w:r w:rsidR="00965279" w:rsidRPr="00106596">
        <w:rPr>
          <w:noProof/>
        </w:rPr>
        <w:t xml:space="preserve">. </w:t>
      </w:r>
      <w:r w:rsidR="00965279">
        <w:rPr>
          <w:noProof/>
        </w:rPr>
        <w:t>(</w:t>
      </w:r>
      <w:r w:rsidR="00965279" w:rsidRPr="00106596">
        <w:rPr>
          <w:noProof/>
        </w:rPr>
        <w:t>2004</w:t>
      </w:r>
      <w:r w:rsidR="00965279">
        <w:rPr>
          <w:noProof/>
        </w:rPr>
        <w:t>, p.138</w:t>
      </w:r>
      <w:r w:rsidR="00965279" w:rsidRPr="00106596">
        <w:rPr>
          <w:noProof/>
        </w:rPr>
        <w:t>)</w:t>
      </w:r>
      <w:r w:rsidR="00965279">
        <w:fldChar w:fldCharType="end"/>
      </w:r>
      <w:r w:rsidR="00965279">
        <w:t xml:space="preserve"> put it</w:t>
      </w:r>
      <w:r w:rsidR="00106596">
        <w:t xml:space="preserve"> “participation depends on the individual’s access to information and on their ability and willingness to use that information to make informed choices”. The theory has shown itself to be a powerful predictor of whether an individual votes and is a staple in examinations of formal participation in the US, UK and other industrial democracies </w:t>
      </w:r>
      <w:r w:rsidR="00106596">
        <w:fldChar w:fldCharType="begin" w:fldLock="1"/>
      </w:r>
      <w:r w:rsidR="00A720F0">
        <w:instrText>ADDIN CSL_CITATION { "citationItems" : [ { "id" : "ITEM-1", "itemData" : { "author" : [ { "dropping-particle" : "", "family" : "Nie", "given" : "Norman H", "non-dropping-particle" : "", "parse-names" : false, "suffix" : "" }, { "dropping-particle" : "", "family" : "Junn", "given" : "J", "non-dropping-particle" : "", "parse-names" : false, "suffix" : "" }, { "dropping-particle" : "", "family" : "Stehlik-Barry", "given" : "K", "non-dropping-particle" : "", "parse-names" : false, "suffix" : "" } ], "id" : "ITEM-1", "issued" : { "date-parts" : [ [ "1996" ] ] }, "publisher" : "University of Chicago Press", "publisher-place" : "Chicago", "title" : "Education and Democratic Citizenship in America", "type" : "book" }, "uris" : [ "http://www.mendeley.com/documents/?uuid=c444f8a1-4303-42f8-8b01-9f2bc05e7e97" ] }, { "id" : "ITEM-2",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"ITEM-2", "issued" : { "date-parts" : [ [ "2004" ] ] }, "publisher" : "Cambridge University Press", "publisher-place" : "Cambridge", "title" : "Citizenship in Britain", "type" : "book" }, "uris" : [ "http://www.mendeley.com/documents/?uuid=7ee55eb4-c098-4a41-8cae-776b65b64c9b" ] }, { "id" : "ITEM-3", "itemData" : { "author" : [ { "dropping-particle" : "", "family" : "Whiteley", "given" : "Paul", "non-dropping-particle" : "", "parse-names" : false, "suffix" : "" }, { "dropping-particle" : "", "family" : "Clarke", "given" : "Harold D.", "non-dropping-particle" : "", "parse-names" : false, "suffix" : "" }, { "dropping-particle" : "", "family" : "Sanders", "given" : "David", "non-dropping-particle" : "", "parse-names" : false, "suffix" : "" }, { "dropping-particle" : "", "family" : "Stewart", "given" : "Marianne C.", "non-dropping-particle" : "", "parse-names" : false, "suffix" : "" } ], "id" : "ITEM-3", "issued" : { "date-parts" : [ [ "2013" ] ] }, "publisher" : "Cambridge University Press", "publisher-place" : "Cambridge", "title" : "Affluence, Austerty and Electoral Change in Britain", "type" : "book" }, "uris" : [ "http://www.mendeley.com/documents/?uuid=e1bf1552-cf8e-41d2-b9d6-b2d2f8c537fe" ] }, { "id" : "ITEM-4", "itemData" : { "author" : [ { "dropping-particle" : "", "family" : "Dalton", "given" : "R.", "non-dropping-particle" : "", "parse-names" : false, "suffix" : "" } ], "edition" : "5th", "id" : "ITEM-4", "issued" : { "date-parts" : [ [ "2008" ] ] }, "publisher" : "Congressional Quarterly Press", "publisher-place" : "Washington", "title" : "Citizen Politics: Public Opinion and Political Parties in Advanced Industrial Societies", "type" : "book" }, "uris" : [ "http://www.mendeley.com/documents/?uuid=c3178a3d-ddcf-4081-8a14-22371b3baf75" ] } ], "mendeley" : { "formattedCitation" : "(Nie, Junn and Stehlik-Barry, 1996; Pattie, Seyd and Whiteley, 2004; R. Dalton, 2008; Whiteley &lt;i&gt;et al.&lt;/i&gt;, 2013)", "manualFormatting" : "(Whiteley et al. 2013; Dalton 2008; Pattie et al. 2004; Nie et al. 1996)", "plainTextFormattedCitation" : "(Nie, Junn and Stehlik-Barry, 1996; Pattie, Seyd and Whiteley, 2004; R. Dalton, 2008; Whiteley et al., 2013)", "previouslyFormattedCitation" : "(Nie, Junn and Stehlik-Barry, 1996; Pattie, Seyd and Whiteley, 2004; R. Dalton, 2008; Whiteley &lt;i&gt;et al.&lt;/i&gt;, 2013)" }, "properties" : { "noteIndex" : 0 }, "schema" : "https://github.com/citation-style-language/schema/raw/master/csl-citation.json" }</w:instrText>
      </w:r>
      <w:r w:rsidR="00106596">
        <w:fldChar w:fldCharType="separate"/>
      </w:r>
      <w:r w:rsidR="00E23C0C" w:rsidRPr="00E23C0C">
        <w:rPr>
          <w:noProof/>
        </w:rPr>
        <w:t xml:space="preserve">(Whiteley </w:t>
      </w:r>
      <w:r w:rsidR="00803848">
        <w:rPr>
          <w:noProof/>
        </w:rPr>
        <w:t>et al</w:t>
      </w:r>
      <w:r w:rsidR="00E23C0C" w:rsidRPr="00E23C0C">
        <w:rPr>
          <w:noProof/>
        </w:rPr>
        <w:t>. 2013</w:t>
      </w:r>
      <w:r w:rsidR="00E23C0C">
        <w:rPr>
          <w:noProof/>
        </w:rPr>
        <w:t xml:space="preserve">; </w:t>
      </w:r>
      <w:r w:rsidR="00E23C0C" w:rsidRPr="00E23C0C">
        <w:rPr>
          <w:noProof/>
        </w:rPr>
        <w:t>Dalton 2008</w:t>
      </w:r>
      <w:r w:rsidR="00E23C0C">
        <w:rPr>
          <w:noProof/>
        </w:rPr>
        <w:t xml:space="preserve">; </w:t>
      </w:r>
      <w:r w:rsidR="00E23C0C" w:rsidRPr="00E23C0C">
        <w:rPr>
          <w:noProof/>
        </w:rPr>
        <w:t xml:space="preserve">Pattie </w:t>
      </w:r>
      <w:r w:rsidR="00803848">
        <w:rPr>
          <w:noProof/>
        </w:rPr>
        <w:t>et al</w:t>
      </w:r>
      <w:r w:rsidR="00E23C0C" w:rsidRPr="00E23C0C">
        <w:rPr>
          <w:noProof/>
        </w:rPr>
        <w:t>. 2004</w:t>
      </w:r>
      <w:r w:rsidR="00E23C0C">
        <w:rPr>
          <w:noProof/>
        </w:rPr>
        <w:t xml:space="preserve">; Nie </w:t>
      </w:r>
      <w:r w:rsidR="00803848">
        <w:rPr>
          <w:noProof/>
        </w:rPr>
        <w:t>et al</w:t>
      </w:r>
      <w:r w:rsidR="00E23C0C">
        <w:rPr>
          <w:noProof/>
        </w:rPr>
        <w:t>. 1996</w:t>
      </w:r>
      <w:r w:rsidR="00E23C0C" w:rsidRPr="00E23C0C">
        <w:rPr>
          <w:noProof/>
        </w:rPr>
        <w:t>)</w:t>
      </w:r>
      <w:r w:rsidR="00106596">
        <w:fldChar w:fldCharType="end"/>
      </w:r>
      <w:r w:rsidR="00E23C0C">
        <w:t xml:space="preserve">. </w:t>
      </w:r>
    </w:p>
    <w:p w14:paraId="146B75BD" w14:textId="1ABBAB7E" w:rsidR="00D66210" w:rsidRPr="00D852C0" w:rsidRDefault="00E23C0C" w:rsidP="00D66210">
      <w:r>
        <w:t xml:space="preserve">It is expected that more engagement with the world of politics will increase the likelihood of participating. </w:t>
      </w:r>
      <w:r w:rsidR="00D66210" w:rsidRPr="00D852C0">
        <w:t xml:space="preserve">The same two variables </w:t>
      </w:r>
      <w:r w:rsidR="00965279">
        <w:t>are used to examine this as in C</w:t>
      </w:r>
      <w:r w:rsidR="00D66210" w:rsidRPr="00D852C0">
        <w:t>hapter 5.</w:t>
      </w:r>
      <w:r w:rsidR="00965279">
        <w:rPr>
          <w:rFonts w:cstheme="majorBidi"/>
          <w:szCs w:val="24"/>
        </w:rPr>
        <w:t xml:space="preserve"> P</w:t>
      </w:r>
      <w:r w:rsidR="004D4718">
        <w:rPr>
          <w:rFonts w:cstheme="majorBidi"/>
          <w:szCs w:val="24"/>
        </w:rPr>
        <w:t>olitical interest is measured in an index built from two questions. The first asks ‘</w:t>
      </w:r>
      <w:r w:rsidR="004D4718" w:rsidRPr="00D705BB">
        <w:rPr>
          <w:rFonts w:cstheme="majorBidi"/>
          <w:i/>
          <w:szCs w:val="24"/>
        </w:rPr>
        <w:t>How interested would you say you are in politics?</w:t>
      </w:r>
      <w:r w:rsidR="004D4718">
        <w:rPr>
          <w:rFonts w:cstheme="majorBidi"/>
          <w:szCs w:val="24"/>
        </w:rPr>
        <w:t xml:space="preserve">’ and provides the following options: </w:t>
      </w:r>
      <w:r w:rsidR="004D4718">
        <w:rPr>
          <w:szCs w:val="24"/>
        </w:rPr>
        <w:t>Very interested, Somewhat interested, Not very interested and Not at all interested (plus Don’t know). The second question asks ‘</w:t>
      </w:r>
      <w:r w:rsidR="004D4718" w:rsidRPr="00D705BB">
        <w:rPr>
          <w:i/>
          <w:szCs w:val="24"/>
        </w:rPr>
        <w:t>For each of the following aspects, indicate how important it is in your life: Politics’</w:t>
      </w:r>
      <w:r w:rsidR="004D4718">
        <w:rPr>
          <w:szCs w:val="24"/>
        </w:rPr>
        <w:t xml:space="preserve"> with the following options:</w:t>
      </w:r>
      <w:r w:rsidR="004D4718">
        <w:rPr>
          <w:rFonts w:cstheme="majorBidi"/>
          <w:szCs w:val="24"/>
        </w:rPr>
        <w:t xml:space="preserve"> </w:t>
      </w:r>
      <w:r w:rsidR="004D4718">
        <w:rPr>
          <w:szCs w:val="24"/>
        </w:rPr>
        <w:t>Very important, Rather important, Not very important and Not at all important (plus Don’t know). The two variables were combined into an index (using the alpha function in Stata; coefficient 0.74, with the ‘Don’t know’ answers dropped) and converted to a scale from 10 were the respondent thought politics was very important and they were very interested, to 1, where the respondent is somewhat apathetic, thinks politics is not all important and is not at all interested in it</w:t>
      </w:r>
      <w:r w:rsidR="00965279">
        <w:rPr>
          <w:szCs w:val="24"/>
        </w:rPr>
        <w:t xml:space="preserve"> (see </w:t>
      </w:r>
      <w:r w:rsidR="00965279">
        <w:rPr>
          <w:rFonts w:cstheme="majorBidi"/>
          <w:szCs w:val="24"/>
        </w:rPr>
        <w:t>Welzel 2011, p.22)</w:t>
      </w:r>
      <w:r w:rsidR="004D4718">
        <w:rPr>
          <w:szCs w:val="24"/>
        </w:rPr>
        <w:t>.</w:t>
      </w:r>
    </w:p>
    <w:p w14:paraId="7990A22F" w14:textId="2CAEBEBE" w:rsidR="00D66210" w:rsidRPr="00D852C0" w:rsidRDefault="00D66210" w:rsidP="00D66210">
      <w:r w:rsidRPr="00D852C0">
        <w:t xml:space="preserve">Secondly, </w:t>
      </w:r>
      <w:r w:rsidR="00965279">
        <w:t xml:space="preserve">as before, </w:t>
      </w:r>
      <w:r w:rsidRPr="00D852C0">
        <w:t xml:space="preserve">media use is measured by how many items of media the respondent has used in the previous week to get information about what was going on in their country and in the world. The list of sources includes TV broadcasts, newspapers, magazines, reports, books, </w:t>
      </w:r>
      <w:r>
        <w:t xml:space="preserve">the </w:t>
      </w:r>
      <w:r w:rsidRPr="00D852C0">
        <w:t>internet and colleagues. The variable is coded into three categories: those who do not use any media; those who use 1-4 sources; and those who use 5 or more.</w:t>
      </w:r>
    </w:p>
    <w:p w14:paraId="3CAACCB3" w14:textId="77777777" w:rsidR="00D66210" w:rsidRPr="009F0DB9" w:rsidRDefault="00D66210" w:rsidP="00D66210">
      <w:pPr>
        <w:pStyle w:val="Heading4"/>
      </w:pPr>
      <w:bookmarkStart w:id="364" w:name="_Toc441069281"/>
      <w:r w:rsidRPr="009F0DB9">
        <w:t>Religiosity</w:t>
      </w:r>
      <w:bookmarkEnd w:id="364"/>
    </w:p>
    <w:p w14:paraId="7F7BD0F4" w14:textId="5E2EC03D" w:rsidR="00D66210" w:rsidRPr="00D852C0" w:rsidRDefault="00D66210" w:rsidP="00D66210">
      <w:r w:rsidRPr="00D852C0">
        <w:t xml:space="preserve">Churches have been theorised to play a relatively unique role in helping the resource-poor participate in political activities, and are suggested to be an important ‘corrective’ to the bias in political participation towards those with more resources (education and income in particular: see </w:t>
      </w:r>
      <w:r w:rsidR="0086789C">
        <w:fldChar w:fldCharType="begin" w:fldLock="1"/>
      </w:r>
      <w:r w:rsidR="00E63CC6">
        <w:instrText>ADDIN CSL_CITATION { "citationItems" : [ { "id" : "ITEM-1", "itemData" : { "DOI" : "10.1177/106591290105400404", "ISBN" : "1065-9129", "ISSN" : "1065-9129", "abstract" : "Verba, Schlozman, and Brady (1995) posit that variation in ethnic group political participation, while related to socioeconomic differences among them, is derived from the acquisition of civic skills through their associational memberships and, in particular, from their experiences in church. Catholic and Protestant churches were hypothesized to develop different levels of such skills, and Verba et al. suggested that the relatively low level of Latino political participation was explained by their predominantly Catholic affiliation. If Verba et al.'s argument is true, then we should see participatory differences within ethnic groups by denomination. An alternative hypothesis is that churches matter through their role as civic associations. In that case, denominational differences should not matter, but churchgoers should be more active than non-churchgoers. Examining the 1989-90 Latino National Political Survey and the 1990 ANES, we find that while denominational differences have some limited explanatory power for Hispanic political participation, it is in the opposite direction than that hypothesized. By far the more important contribution to an explanation of political participation is made by churches' central civic associational roles.", "author" : [ { "dropping-particle" : "", "family" : "Jones-Correa", "given" : "M. A.", "non-dropping-particle" : "", "parse-names" : false, "suffix" : "" }, { "dropping-particle" : "", "family" : "Leal", "given" : "D. L.", "non-dropping-particle" : "", "parse-names" : false, "suffix" : "" } ], "container-title" : "Political Research Quarterly", "id" : "ITEM-1", "issue" : "4", "issued" : { "date-parts" : [ [ "2001" ] ] }, "page" : "751-770", "title" : "Political Participation: Does Religion Matter?", "type" : "article-journal", "volume" : "54" }, "uris" : [ "http://www.mendeley.com/documents/?uuid=dd0c65c3-eac2-41c3-955f-1c856b4f82a6" ] } ], "mendeley" : { "formattedCitation" : "(Jones-Correa and Leal, 2001)", "manualFormatting" : "Jones-Correa &amp; Leal 2001; Verba et al. 1995)", "plainTextFormattedCitation" : "(Jones-Correa and Leal, 2001)", "previouslyFormattedCitation" : "(Jones-Correa and Leal, 2001)" }, "properties" : { "noteIndex" : 0 }, "schema" : "https://github.com/citation-style-language/schema/raw/master/csl-citation.json" }</w:instrText>
      </w:r>
      <w:r w:rsidR="0086789C">
        <w:fldChar w:fldCharType="separate"/>
      </w:r>
      <w:r w:rsidR="0086789C" w:rsidRPr="0086789C">
        <w:rPr>
          <w:noProof/>
        </w:rPr>
        <w:t>Jones-Correa &amp; Leal 2001</w:t>
      </w:r>
      <w:r w:rsidR="0086789C">
        <w:rPr>
          <w:noProof/>
        </w:rPr>
        <w:t xml:space="preserve">; Verba </w:t>
      </w:r>
      <w:r w:rsidR="00803848">
        <w:rPr>
          <w:noProof/>
        </w:rPr>
        <w:t>et al</w:t>
      </w:r>
      <w:r w:rsidR="0086789C">
        <w:rPr>
          <w:noProof/>
        </w:rPr>
        <w:t>. 1995</w:t>
      </w:r>
      <w:r w:rsidR="0086789C" w:rsidRPr="0086789C">
        <w:rPr>
          <w:noProof/>
        </w:rPr>
        <w:t>)</w:t>
      </w:r>
      <w:r w:rsidR="0086789C">
        <w:fldChar w:fldCharType="end"/>
      </w:r>
      <w:r w:rsidR="0086789C">
        <w:t>.</w:t>
      </w:r>
      <w:r w:rsidRPr="00D852C0">
        <w:t xml:space="preserve"> Findings suggest it is not necessarily the type of religion that matters, but the degree to which the place of worship is civically engaged which encourages participation, whether voting or undertaking some form of political protest </w:t>
      </w:r>
      <w:r w:rsidRPr="00D852C0">
        <w:fldChar w:fldCharType="begin" w:fldLock="1"/>
      </w:r>
      <w:r w:rsidR="00E63CC6">
        <w:instrText>ADDIN CSL_CITATION { "citationItems" : [ { "id" : "ITEM-1", "itemData" : { "DOI" : "10.1017/S0007123414000416", "ISSN" : "14692112", "abstract" : "Regular church attendance is strongly associated with a higher probability of voting. It is an open question as to whether this association, which has been confirmed in numerous surveys, is causal. We use the repeal of the laws restricting Sunday retail activity (\"Blue laws\") to measure the effects of church-going on political participation. The repeal of Blue Laws caused a 5 percent decrease in church attendance. We measure the effect of Blue Laws' repeal on political participation and find that following the repeal turnout falls by approximately 1 percentage point. This turnout decline, which is statistically significant and fairly robust across model specifications, is consistent with the large effect of church attendance on turnout reported in the literature, and suggests that church attendance may have significant causal influence on voter turnout.", "author" : [ { "dropping-particle" : "", "family" : "Gerber", "given" : "Alan", "non-dropping-particle" : "", "parse-names" : false, "suffix" : "" }, { "dropping-particle" : "", "family" : "Gruber", "given" : "Jonathan", "non-dropping-particle" : "", "parse-names" : false, "suffix" : "" }, { "dropping-particle" : "", "family" : "Hungerman", "given" : "Daniel M", "non-dropping-particle" : "", "parse-names" : false, "suffix" : "" } ], "container-title" : "British Journal of Political Science", "id" : "ITEM-1", "issued" : { "date-parts" : [ [ "2015" ] ] }, "title" : "Does Church Attendance Cause People to Vote? Using Blue Laws' Repeal to Estimate the Effect of Religiosity on Voter Turnout", "type" : "article-journal", "volume" : "No. 14303" }, "uris" : [ "http://www.mendeley.com/documents/?uuid=201c8144-459b-4ee7-8092-53aa08ea8c81" ] }, { "id" : "ITEM-2", "itemData" : { "DOI" : "10.3176/tr.2014.4.05", "ISSN" : "1406-0922", "author" : [ { "dropping-particle" : "", "family" : "Shaykhutdinov", "given" : "R", "non-dropping-particle" : "", "parse-names" : false, "suffix" : "" }, { "dropping-particle" : "", "family" : "Achilov", "given" : "D", "non-dropping-particle" : "", "parse-names" : false, "suffix" : "" } ], "container-title" : "Trames. Journal of the Humanities and Social Sciences", "id" : "ITEM-2", "issue" : "4", "issued" : { "date-parts" : [ [ "2014" ] ] }, "page" : "383", "title" : "Islam, Islamism, and Collective Action in Central Asia", "type" : "article-journal", "volume" : "18" }, "uris" : [ "http://www.mendeley.com/documents/?uuid=f26ecedc-d8d5-4289-8580-eddda3c666a5" ] }, { "id" : "ITEM-3", "itemData" : { "author" : [ { "dropping-particle" : "", "family" : "Sarkissian", "given" : "Ani", "non-dropping-particle" : "", "parse-names" : false, "suffix" : "" } ], "container-title" : "Journal for the Scientific Study of Religion", "id" : "ITEM-3", "issue" : "4", "issued" : { "date-parts" : [ [ "2012" ] ] }, "page" : "607-622", "title" : "Religion and Civic Engagement in Muslim Countries", "type" : "article-journal", "volume" : "51" }, "uris" : [ "http://www.mendeley.com/documents/?uuid=5376847f-de73-445b-b8f8-072667703bec" ] }, { "id" : "ITEM-4", "itemData" : { "DOI" : "10.3390/rel2040504", "ISSN" : "2077-1444", "abstract" : "Religious institutions and places of worship have played a pivotal role in American Politics. What about the role of the mosque? Does the mosque, as an institution, in any sense play a different role than that of churches or synagogues in political participation? Some scholars have argued that Islam as a religion and a culture is incompatible with liberal, democratic American values; not only is Islam inconsistent with the West, but it poses a direct conflict. This viewpoint has likewise been popularized in American and European media and by some government officials who have labeled Muslims as enemies of freedom and democracy. Through the examination of the Muslim American Public Opinion Survey (MAPOS), which has a large sample size of American Muslim respondents (N = 1410), we argue that the mosque emerges as an important indicator for Muslim social and political integration into American society. We demonstrate that not only are those Muslims who attend the mosque regularly more likely to identify as American Muslims rather than by national origin, they are also more likely to believe mosques encourage Muslims to integrate into U.S. society. Our analysis further exemplifies that mosque attendance and involvement, beyond creating a common identity among American Muslims, leads to more political participation in the U.S. In contrast to prevailing wisdom, we also find that more religiously devout Muslims are significantly more likely to support political participation. Based on our findings, we conclude that there is nothing inconsistent with the mosque and American democracy, and in fact, religiosity fosters support for American democratic values.", "author" : [ { "dropping-particle" : "", "family" : "Dana", "given" : "K", "non-dropping-particle" : "", "parse-names" : false, "suffix" : "" }, { "dropping-particle" : "", "family" : "Barreto", "given" : "M. A.", "non-dropping-particle" : "", "parse-names" : false, "suffix" : "" }, { "dropping-particle" : "", "family" : "Oskooii", "given" : "K. A. R.", "non-dropping-particle" : "", "parse-names" : false, "suffix" : "" } ], "container-title" : "Religions", "id" : "ITEM-4", "issue" : "4", "issued" : { "date-parts" : [ [ "2011" ] ] }, "page" : "504-524", "title" : "Mosques as American Institutions: Mosque Attendance, Religiosity and Integration into the Political System among American Muslims", "type" : "article-journal", "volume" : "2" }, "uris" : [ "http://www.mendeley.com/documents/?uuid=50b4e719-4eb4-470b-8ed9-8266a1ae6b1a" ] }, { "id" : "ITEM-5", "itemData" : { "DOI" : "10.1177/106591290105400404", "ISBN" : "1065-9129", "ISSN" : "1065-9129", "abstract" : "Verba, Schlozman, and Brady (1995) posit that variation in ethnic group political participation, while related to socioeconomic differences among them, is derived from the acquisition of civic skills through their associational memberships and, in particular, from their experiences in church. Catholic and Protestant churches were hypothesized to develop different levels of such skills, and Verba et al. suggested that the relatively low level of Latino political participation was explained by their predominantly Catholic affiliation. If Verba et al.'s argument is true, then we should see participatory differences within ethnic groups by denomination. An alternative hypothesis is that churches matter through their role as civic associations. In that case, denominational differences should not matter, but churchgoers should be more active than non-churchgoers. Examining the 1989-90 Latino National Political Survey and the 1990 ANES, we find that while denominational differences have some limited explanatory power for Hispanic political participation, it is in the opposite direction than that hypothesized. By far the more important contribution to an explanation of political participation is made by churches' central civic associational roles.", "author" : [ { "dropping-particle" : "", "family" : "Jones-Correa", "given" : "M. A.", "non-dropping-particle" : "", "parse-names" : false, "suffix" : "" }, { "dropping-particle" : "", "family" : "Leal", "given" : "D. L.", "non-dropping-particle" : "", "parse-names" : false, "suffix" : "" } ], "container-title" : "Political Research Quarterly", "id" : "ITEM-5", "issue" : "4", "issued" : { "date-parts" : [ [ "2001" ] ] }, "page" : "751-770", "title" : "Political Participation: Does Religion Matter?", "type" : "article-journal", "volume" : "54" }, "uris" : [ "http://www.mendeley.com/documents/?uuid=dd0c65c3-eac2-41c3-955f-1c856b4f82a6" ] } ], "mendeley" : { "formattedCitation" : "(Jones-Correa and Leal, 2001; Dana, Barreto and Oskooii, 2011; Sarkissian, 2012; Shaykhutdinov and Achilov, 2014; Gerber, Gruber and Hungerman, 2015)", "plainTextFormattedCitation" : "(Jones-Correa and Leal, 2001; Dana, Barreto and Oskooii, 2011; Sarkissian, 2012; Shaykhutdinov and Achilov, 2014; Gerber, Gruber and Hungerman, 2015)", "previouslyFormattedCitation" : "(Jones-Correa and Leal, 2001; Dana, Barreto and Oskooii, 2011; Sarkissian, 2012; Shaykhutdinov and Achilov, 2014; Gerber, Gruber and Hungerman, 2015)" }, "properties" : { "noteIndex" : 0 }, "schema" : "https://github.com/citation-style-language/schema/raw/master/csl-citation.json" }</w:instrText>
      </w:r>
      <w:r w:rsidRPr="00D852C0">
        <w:fldChar w:fldCharType="separate"/>
      </w:r>
      <w:r w:rsidR="00E63CC6" w:rsidRPr="00E63CC6">
        <w:rPr>
          <w:noProof/>
        </w:rPr>
        <w:t>(Jones-Correa and Leal, 2001; Dana, Barreto and Oskooii, 2011; Sarkissian, 2012; Shaykhutdinov and Achilov, 2014; Gerber, Gruber and Hungerman, 2015)</w:t>
      </w:r>
      <w:r w:rsidRPr="00D852C0">
        <w:fldChar w:fldCharType="end"/>
      </w:r>
    </w:p>
    <w:p w14:paraId="4C0C305A" w14:textId="09B0A295" w:rsidR="00D66210" w:rsidRDefault="00D66210" w:rsidP="00D66210">
      <w:r w:rsidRPr="00D852C0">
        <w:t xml:space="preserve">Yet, this is not always the case and contextual </w:t>
      </w:r>
      <w:r>
        <w:t>histories certainly play a part. F</w:t>
      </w:r>
      <w:r w:rsidRPr="00D852C0">
        <w:t xml:space="preserve">or instance </w:t>
      </w:r>
      <w:r w:rsidRPr="00D852C0">
        <w:fldChar w:fldCharType="begin" w:fldLock="1"/>
      </w:r>
      <w:r w:rsidR="00E63CC6">
        <w:instrText>ADDIN CSL_CITATION { "citationItems" : [ { "id" : "ITEM-1", "itemData" : { "DOI" : "10.2307/2647725", "ISBN" : "00223816", "ISSN" : "0022-3816", "abstract" : "This paper tests a model of cross-national variation in participation, using survey data from Spain, Brazil, and Korea. We posit a continuum ranging from neighborhood ties through membership in voluntary associations to political participation. The gap between Spain and peer countries grows as the continuum shifts from prepolitical to political spheres. Our model highlights three factors-labor market participation, gender, and religiosity-as determinants of cross-national differences in civic engagement. The impact of employment and gender is consistent with previous studies of their role in conditioning participation. By contrast, the religious factor contradicts conventional notions regarding its downward effects on participation. The negative effect of religiosity in Spain and its positive effect in Korea and Brazil are a function of distinctive histories of church-state relations and, in particular, of different strategies of church-sponsored mobilization during the course of democratization.", "author" : [ { "dropping-particle" : "", "family" : "McDonough", "given" : "Peter", "non-dropping-particle" : "", "parse-names" : false, "suffix" : "" }, { "dropping-particle" : "", "family" : "Shin", "given" : "Doh C.", "non-dropping-particle" : "", "parse-names" : false, "suffix" : "" }, { "dropping-particle" : "", "family" : "Mois\u00e9s", "given" : "Jos\u00e9 \u00c1lvaro", "non-dropping-particle" : "", "parse-names" : false, "suffix" : "" } ], "container-title" : "The Journal of Politics", "id" : "ITEM-1", "issue" : "04", "issued" : { "date-parts" : [ [ "1998" ] ] }, "page" : "919", "title" : "Democratization and Participation: Comparing Spain, Brazil, and Korea", "type" : "article-journal", "volume" : "60" }, "uris" : [ "http://www.mendeley.com/documents/?uuid=647d6f8c-4127-4948-819e-811ed90395b5" ] } ], "mendeley" : { "formattedCitation" : "(McDonough, Shin and Mois\u00e9s, 1998)", "manualFormatting" : "McDonough et al. (1998)", "plainTextFormattedCitation" : "(McDonough, Shin and Mois\u00e9s, 1998)", "previouslyFormattedCitation" : "(McDonough, Shin and Mois\u00e9s, 1998)" }, "properties" : { "noteIndex" : 0 }, "schema" : "https://github.com/citation-style-language/schema/raw/master/csl-citation.json" }</w:instrText>
      </w:r>
      <w:r w:rsidRPr="00D852C0">
        <w:fldChar w:fldCharType="separate"/>
      </w:r>
      <w:r w:rsidRPr="00D852C0">
        <w:rPr>
          <w:noProof/>
        </w:rPr>
        <w:t xml:space="preserve">McDonough </w:t>
      </w:r>
      <w:r w:rsidR="00803848">
        <w:rPr>
          <w:noProof/>
        </w:rPr>
        <w:t>et al</w:t>
      </w:r>
      <w:r w:rsidR="00170FB9">
        <w:rPr>
          <w:noProof/>
        </w:rPr>
        <w:t>.</w:t>
      </w:r>
      <w:r w:rsidRPr="00D852C0">
        <w:rPr>
          <w:noProof/>
        </w:rPr>
        <w:t xml:space="preserve"> (1998)</w:t>
      </w:r>
      <w:r w:rsidRPr="00D852C0">
        <w:fldChar w:fldCharType="end"/>
      </w:r>
      <w:r w:rsidRPr="00D852C0">
        <w:t xml:space="preserve"> found that in Spain religiosity has a negative effect on civic participation, in contrast to a positive effect in Brazil and South Korea; this most likely stems from Catholicism’s link to Fra</w:t>
      </w:r>
      <w:r w:rsidR="00755884">
        <w:t xml:space="preserve">ncoism in the Spanish context. </w:t>
      </w:r>
      <w:r w:rsidRPr="00D852C0">
        <w:t xml:space="preserve">And when it comes to religiosity, </w:t>
      </w:r>
      <w:r w:rsidRPr="00D852C0">
        <w:fldChar w:fldCharType="begin" w:fldLock="1"/>
      </w:r>
      <w:r w:rsidR="00E63CC6">
        <w:instrText>ADDIN CSL_CITATION { "citationItems" : [ { "id" : "ITEM-1", "itemData" : { "DOI" : "10.1023/B:POBE.0000035961.78836.5f", "ISBN" : "01909320", "ISSN" : "01909320", "abstract" : "Many observers suggest that white evangelical Protestant churches serve to mobilize their members into politics, while others argue that they encourage withdrawal from political life. This paper reconciles these two claims. I hypothesize that the time members of evangelical Protestant denominations spend in service to their church comes at the expense of participation in the wider community, contrary to the way mainline Protestant and Catholic churches foster civic activity among their members. However, I further hypothesize that the tight social networks formed through this intensive church activity can at times facilitate rapid and intense political mobilization. Data from the Citizen Participation Study supports the first hypothesis, while applying King's method of ecological inference to two elections in Alabama supports the second.", "author" : [ { "dropping-particle" : "", "family" : "Campbell", "given" : "David E.", "non-dropping-particle" : "", "parse-names" : false, "suffix" : "" } ], "container-title" : "Political Behavior", "id" : "ITEM-1", "issue" : "2", "issued" : { "date-parts" : [ [ "2004" ] ] }, "page" : "155-180", "title" : "Acts of Faith: Churches and Political Engagement", "type" : "article-journal", "volume" : "26" }, "locator" : "155", "uris" : [ "http://www.mendeley.com/documents/?uuid=75bd3b3a-04c8-4fcf-926b-87057a926d61" ] } ], "mendeley" : { "formattedCitation" : "(Campbell, 2004, p. 155)", "manualFormatting" : "Campbell (2004, p.155)", "plainTextFormattedCitation" : "(Campbell, 2004, p. 155)", "previouslyFormattedCitation" : "(Campbell, 2004, p. 155)" }, "properties" : { "noteIndex" : 0 }, "schema" : "https://github.com/citation-style-language/schema/raw/master/csl-citation.json" }</w:instrText>
      </w:r>
      <w:r w:rsidRPr="00D852C0">
        <w:fldChar w:fldCharType="separate"/>
      </w:r>
      <w:r w:rsidR="0086789C">
        <w:rPr>
          <w:noProof/>
        </w:rPr>
        <w:t>Campbell (2004, p.</w:t>
      </w:r>
      <w:r w:rsidRPr="00D852C0">
        <w:rPr>
          <w:noProof/>
        </w:rPr>
        <w:t>155)</w:t>
      </w:r>
      <w:r w:rsidRPr="00D852C0">
        <w:fldChar w:fldCharType="end"/>
      </w:r>
      <w:r w:rsidRPr="00D852C0">
        <w:t xml:space="preserve"> notes that the time “evangelical Protestant denominations spend in service to their church comes at the expense of participation in the wider community, contrary to the way mainline Protestant and Catholic churches foster civic activity among their members”.</w:t>
      </w:r>
    </w:p>
    <w:p w14:paraId="0AA7D560" w14:textId="622C38DE" w:rsidR="00D66210" w:rsidRDefault="00D66210" w:rsidP="00D66210">
      <w:r>
        <w:t xml:space="preserve">When it comes to Islam, popular scholarship </w:t>
      </w:r>
      <w:r w:rsidR="000B31C3">
        <w:t>examining</w:t>
      </w:r>
      <w:r>
        <w:t xml:space="preserve"> Islam and political participation </w:t>
      </w:r>
      <w:r w:rsidR="00755884">
        <w:t xml:space="preserve">has </w:t>
      </w:r>
      <w:r w:rsidR="000B31C3">
        <w:t>often ta</w:t>
      </w:r>
      <w:r>
        <w:t>k</w:t>
      </w:r>
      <w:r w:rsidR="000B31C3">
        <w:t>en</w:t>
      </w:r>
      <w:r>
        <w:t xml:space="preserve"> a rather monolithic approach, and assumed there would be a negative </w:t>
      </w:r>
      <w:r w:rsidR="00755884">
        <w:t>relationship (see Huntington 199</w:t>
      </w:r>
      <w:r>
        <w:t xml:space="preserve">3). However, more recent studies have presented a more nuanced picture, showing firstly that Muslim support for democracy appears little different to that of anyone else </w:t>
      </w:r>
      <w:r>
        <w:fldChar w:fldCharType="begin" w:fldLock="1"/>
      </w:r>
      <w:r w:rsidR="00E63CC6">
        <w:instrText>ADDIN CSL_CITATION { "citationItems" : [ { "id" : "ITEM-1", "itemData" : { "author" : [ { "dropping-particle" : "", "family" : "Norris", "given" : "Pippa", "non-dropping-particle" : "", "parse-names" : false, "suffix" : "" }, { "dropping-particle" : "", "family" : "Inglehart", "given" : "Ronald F", "non-dropping-particle" : "", "parse-names" : false, "suffix" : "" } ], "container-title" : "Comparative S", "id" : "ITEM-1", "issue" : "3-4", "issued" : { "date-parts" : [ [ "2002" ] ] }, "page" : "235-263", "title" : "Islamic Culture and Democracy : Testing the \u2018 Clash of Civilizations \u2019 Thesis", "type" : "article-journal", "volume" : "1" }, "uris" : [ "http://www.mendeley.com/documents/?uuid=9d566570-5ee8-428a-9ebc-ff72ecb5b0c3" ] } ], "mendeley" : { "formattedCitation" : "(Norris and Inglehart, 2002)", "plainTextFormattedCitation" : "(Norris and Inglehart, 2002)", "previouslyFormattedCitation" : "(Norris and Inglehart, 2002)" }, "properties" : { "noteIndex" : 0 }, "schema" : "https://github.com/citation-style-language/schema/raw/master/csl-citation.json" }</w:instrText>
      </w:r>
      <w:r>
        <w:fldChar w:fldCharType="separate"/>
      </w:r>
      <w:r w:rsidR="00E63CC6" w:rsidRPr="00E63CC6">
        <w:rPr>
          <w:noProof/>
        </w:rPr>
        <w:t>(Norris and Inglehart, 2002)</w:t>
      </w:r>
      <w:r>
        <w:fldChar w:fldCharType="end"/>
      </w:r>
      <w:r>
        <w:t>.</w:t>
      </w:r>
    </w:p>
    <w:p w14:paraId="28CF79CB" w14:textId="440758BF" w:rsidR="00D66210" w:rsidRPr="00D852C0" w:rsidRDefault="00D66210" w:rsidP="00D66210">
      <w:r>
        <w:t xml:space="preserve">Secondly, the picture of political participation is complex. </w:t>
      </w:r>
      <w:r w:rsidR="0086789C">
        <w:fldChar w:fldCharType="begin" w:fldLock="1"/>
      </w:r>
      <w:r w:rsidR="00E63CC6">
        <w:instrText>ADDIN CSL_CITATION { "citationItems" : [ { "id" : "ITEM-1", "itemData" : { "author" : [ { "dropping-particle" : "", "family" : "Sarkissian", "given" : "Ani", "non-dropping-particle" : "", "parse-names" : false, "suffix" : "" } ], "container-title" : "Journal for the Scientific Study of Religion", "id" : "ITEM-1", "issue" : "4", "issued" : { "date-parts" : [ [ "2012" ] ] }, "page" : "607-622", "title" : "Religion and Civic Engagement in Muslim Countries", "type" : "article-journal", "volume" : "51" }, "uris" : [ "http://www.mendeley.com/documents/?uuid=5376847f-de73-445b-b8f8-072667703bec" ] } ], "mendeley" : { "formattedCitation" : "(Sarkissian, 2012)", "manualFormatting" : "Sarkissian (2012)", "plainTextFormattedCitation" : "(Sarkissian, 2012)", "previouslyFormattedCitation" : "(Sarkissian, 2012)" }, "properties" : { "noteIndex" : 0 }, "schema" : "https://github.com/citation-style-language/schema/raw/master/csl-citation.json" }</w:instrText>
      </w:r>
      <w:r w:rsidR="0086789C">
        <w:fldChar w:fldCharType="separate"/>
      </w:r>
      <w:r w:rsidR="0086789C" w:rsidRPr="0086789C">
        <w:rPr>
          <w:noProof/>
        </w:rPr>
        <w:t xml:space="preserve">Sarkissian </w:t>
      </w:r>
      <w:r w:rsidR="0086789C">
        <w:rPr>
          <w:noProof/>
        </w:rPr>
        <w:t>(</w:t>
      </w:r>
      <w:r w:rsidR="0086789C" w:rsidRPr="0086789C">
        <w:rPr>
          <w:noProof/>
        </w:rPr>
        <w:t>2012)</w:t>
      </w:r>
      <w:r w:rsidR="0086789C">
        <w:fldChar w:fldCharType="end"/>
      </w:r>
      <w:r>
        <w:t xml:space="preserve"> </w:t>
      </w:r>
      <w:r w:rsidR="0086789C">
        <w:t>argued</w:t>
      </w:r>
      <w:r>
        <w:t xml:space="preserve"> that whilst in some cases the religious civil society can resist </w:t>
      </w:r>
      <w:r w:rsidR="0086789C">
        <w:t>the power of potentially malign</w:t>
      </w:r>
      <w:r>
        <w:t xml:space="preserve"> </w:t>
      </w:r>
      <w:r w:rsidR="0086789C">
        <w:t>authorities</w:t>
      </w:r>
      <w:r>
        <w:t xml:space="preserve">, if religion is “nationalised” and the government controls the education system and religious organisations, then this lack of autonomy means it does not function as an independent check on government authority (see also </w:t>
      </w:r>
      <w:r>
        <w:fldChar w:fldCharType="begin" w:fldLock="1"/>
      </w:r>
      <w:r w:rsidR="00E63CC6">
        <w:instrText>ADDIN CSL_CITATION { "citationItems" : [ { "id" : "ITEM-1", "itemData" : { "DOI" : "10.1353/jod.2004.0046", "author" : [ { "dropping-particle" : "", "family" : "Chaibong", "given" : "Hahm", "non-dropping-particle" : "", "parse-names" : false, "suffix" : "" } ], "container-title" : "Journal of Democracy", "id" : "ITEM-1", "issue" : "3", "issued" : { "date-parts" : [ [ "2004" ] ] }, "page" : "93-107", "title" : "The Ironies of Confucianism", "type" : "article-journal", "volume" : "15" }, "uris" : [ "http://www.mendeley.com/documents/?uuid=4efcdb5e-fccf-4462-9751-1ddb08fdbe57" ] } ], "mendeley" : { "formattedCitation" : "(Chaibong, 2004)", "manualFormatting" : "Chaibong 2004", "plainTextFormattedCitation" : "(Chaibong, 2004)", "previouslyFormattedCitation" : "(Chaibong, 2004)" }, "properties" : { "noteIndex" : 0 }, "schema" : "https://github.com/citation-style-language/schema/raw/master/csl-citation.json" }</w:instrText>
      </w:r>
      <w:r>
        <w:fldChar w:fldCharType="separate"/>
      </w:r>
      <w:r w:rsidRPr="005B2C4F">
        <w:rPr>
          <w:noProof/>
        </w:rPr>
        <w:t>Chaibong 2004</w:t>
      </w:r>
      <w:r>
        <w:fldChar w:fldCharType="end"/>
      </w:r>
      <w:r>
        <w:t xml:space="preserve"> and </w:t>
      </w:r>
      <w:r>
        <w:fldChar w:fldCharType="begin" w:fldLock="1"/>
      </w:r>
      <w:r w:rsidR="00E63CC6">
        <w:instrText>ADDIN CSL_CITATION { "citationItems" : [ { "id" : "ITEM-1", "itemData" : { "DOI" : "10.1080/1351034042000234576", "ISSN" : "1351-0347", "abstract" : "Buddhism in Thailand has been characterized as a ?revolutionary? force, since rationalist Buddhist teachings offer considerable support for progressive and democratic political ideas. The reality, however, is that Thai Buddhism has been captured by the state, and its latent radicalism neutralized. The symbiotic relationship between the state and sangha has effectively limited Buddhism to the role of legitimating state power, and the universalistic teachings of Buddhism have been subordinated to nationalist ideology. While there is some interest in progressive ideas, overall numbers of monks are falling, and commercialized folk Buddhism has gained the upper hand. Monastic sexual and financial misdeeds are widespread. Thai Buddhism is also highly intolerant of those who deviate from mainstream teachings, making a mockery of ideas of freedom of religion. The Thai state strongly supports a conservative, orthodox and authoritarian mode of Buddhism. Insofar as Thailand has experienced processes of democratic transition and consolidation in recent decades, it has been in spite of the role of Buddhism.\nBuddhism in Thailand has been characterized as a ?revolutionary? force, since rationalist Buddhist teachings offer considerable support for progressive and democratic political ideas. The reality, however, is that Thai Buddhism has been captured by the state, and its latent radicalism neutralized. The symbiotic relationship between the state and sangha has effectively limited Buddhism to the role of legitimating state power, and the universalistic teachings of Buddhism have been subordinated to nationalist ideology. While there is some interest in progressive ideas, overall numbers of monks are falling, and commercialized folk Buddhism has gained the upper hand. Monastic sexual and financial misdeeds are widespread. Thai Buddhism is also highly intolerant of those who deviate from mainstream teachings, making a mockery of ideas of freedom of religion. The Thai state strongly supports a conservative, orthodox and authoritarian mode of Buddhism. Insofar as Thailand has experienced processes of democratic transition and consolidation in recent decades, it has been in spite of the role of Buddhism.", "author" : [ { "dropping-particle" : "", "family" : "McCargo", "given" : "Duncan", "non-dropping-particle" : "", "parse-names" : false, "suffix" : "" } ], "container-title" : "Democratization", "id" : "ITEM-1", "issue" : "4", "issued" : { "date-parts" : [ [ "2004", "8" ] ] }, "page" : "155-170", "publisher" : "Routledge", "title" : "Buddhism, democracy and identity in Thailand", "type" : "article-journal", "volume" : "11" }, "uris" : [ "http://www.mendeley.com/documents/?uuid=6f815802-4827-4bdc-872b-58ebe4542f9f" ] } ], "mendeley" : { "formattedCitation" : "(McCargo, 2004)", "manualFormatting" : "McCargo 2004)", "plainTextFormattedCitation" : "(McCargo, 2004)", "previouslyFormattedCitation" : "(McCargo, 2004)" }, "properties" : { "noteIndex" : 0 }, "schema" : "https://github.com/citation-style-language/schema/raw/master/csl-citation.json" }</w:instrText>
      </w:r>
      <w:r>
        <w:fldChar w:fldCharType="separate"/>
      </w:r>
      <w:r w:rsidRPr="005B2C4F">
        <w:rPr>
          <w:noProof/>
        </w:rPr>
        <w:t>McCargo 2004)</w:t>
      </w:r>
      <w:r>
        <w:fldChar w:fldCharType="end"/>
      </w:r>
      <w:r>
        <w:t xml:space="preserve">. Therefore, non-institutionalised participation in the fashion we are interested in is likely to be curtailed. In certain contexts, Sarkissian </w:t>
      </w:r>
      <w:r>
        <w:fldChar w:fldCharType="begin" w:fldLock="1"/>
      </w:r>
      <w:r w:rsidR="00E63CC6">
        <w:instrText>ADDIN CSL_CITATION { "citationItems" : [ { "id" : "ITEM-1", "itemData" : { "author" : [ { "dropping-particle" : "", "family" : "Sarkissian", "given" : "Ani", "non-dropping-particle" : "", "parse-names" : false, "suffix" : "" } ], "container-title" : "Journal for the Scientific Study of Religion", "id" : "ITEM-1", "issue" : "4", "issued" : { "date-parts" : [ [ "2012" ] ] }, "page" : "607-622", "title" : "Religion and Civic Engagement in Muslim Countries", "type" : "article-journal", "volume" : "51" }, "uris" : [ "http://www.mendeley.com/documents/?uuid=5376847f-de73-445b-b8f8-072667703bec" ] } ], "mendeley" : { "formattedCitation" : "(Sarkissian, 2012)", "manualFormatting" : "(2012)", "plainTextFormattedCitation" : "(Sarkissian, 2012)", "previouslyFormattedCitation" : "(Sarkissian, 2012)" }, "properties" : { "noteIndex" : 0 }, "schema" : "https://github.com/citation-style-language/schema/raw/master/csl-citation.json" }</w:instrText>
      </w:r>
      <w:r>
        <w:fldChar w:fldCharType="separate"/>
      </w:r>
      <w:r w:rsidRPr="00AC3338">
        <w:rPr>
          <w:noProof/>
        </w:rPr>
        <w:t>(2012)</w:t>
      </w:r>
      <w:r>
        <w:fldChar w:fldCharType="end"/>
      </w:r>
      <w:r w:rsidR="00706E8F">
        <w:t xml:space="preserve"> also noted</w:t>
      </w:r>
      <w:r>
        <w:t xml:space="preserve"> that increased prayer can reduce participation. So a lot depends on how outward or inward looking particular religious organisations are in society, and so sweeping generalisat</w:t>
      </w:r>
      <w:r w:rsidR="000B31C3">
        <w:t xml:space="preserve">ions are difficult to predict. </w:t>
      </w:r>
      <w:r w:rsidRPr="00D852C0">
        <w:t>Furthermore, whilst the roles of Catholicism, Protestantism and Islam have been examined in some depth, there is less scholarly work focusing on other religions such as Hinduism or Buddhism.</w:t>
      </w:r>
    </w:p>
    <w:p w14:paraId="3A802C6D" w14:textId="0437910F" w:rsidR="00D66210" w:rsidRPr="00D852C0" w:rsidRDefault="00706E8F" w:rsidP="00D66210">
      <w:r>
        <w:t>As in C</w:t>
      </w:r>
      <w:r w:rsidR="00D66210" w:rsidRPr="00D852C0">
        <w:t>hapter 5, the impact of religion is tested with two variables at the individual level. Religious denomination uses a categorical variable that groups people into those who associate themselves as Protestant, Catholic, Muslim, Hindu, Orthodox, Buddhist and Other, with those who are Non-Affiliated as a reference group. Religiosity is measured in a composite variable that combines whether an individual thinks they are religious and how important an individual thinks religion is in their life, running from 1 (least religious) through to 10 (most religious).</w:t>
      </w:r>
    </w:p>
    <w:p w14:paraId="6235169B" w14:textId="77777777" w:rsidR="00D66210" w:rsidRPr="00D852C0" w:rsidRDefault="00D66210" w:rsidP="00D66210">
      <w:r>
        <w:t>Overall,</w:t>
      </w:r>
      <w:r w:rsidRPr="00D852C0">
        <w:t xml:space="preserve"> it is </w:t>
      </w:r>
      <w:r>
        <w:t>suggested that both the effect of</w:t>
      </w:r>
      <w:r w:rsidRPr="00D852C0">
        <w:t xml:space="preserve"> religiosity </w:t>
      </w:r>
      <w:r>
        <w:t xml:space="preserve">and </w:t>
      </w:r>
      <w:r w:rsidRPr="00D852C0">
        <w:t>denomination</w:t>
      </w:r>
      <w:r>
        <w:t xml:space="preserve"> is unclear in the literature and remains</w:t>
      </w:r>
      <w:r w:rsidRPr="00D852C0">
        <w:t xml:space="preserve"> too contested to predict.</w:t>
      </w:r>
    </w:p>
    <w:p w14:paraId="29B11D50" w14:textId="77777777" w:rsidR="00D66210" w:rsidRPr="00E223A2" w:rsidRDefault="00D66210" w:rsidP="00D66210">
      <w:pPr>
        <w:pStyle w:val="Heading3"/>
      </w:pPr>
      <w:bookmarkStart w:id="365" w:name="_Toc441069282"/>
      <w:r w:rsidRPr="00E223A2">
        <w:t>Summary</w:t>
      </w:r>
      <w:bookmarkEnd w:id="365"/>
    </w:p>
    <w:p w14:paraId="7BD05BD1" w14:textId="548DBF79" w:rsidR="0001414B" w:rsidRDefault="0001414B" w:rsidP="00D66210">
      <w:r w:rsidRPr="00BB7D8F">
        <w:rPr>
          <w:highlight w:val="yellow"/>
        </w:rPr>
        <w:t xml:space="preserve">Overall, numerous studies have examined the impact of different factors on this kind of political activity. </w:t>
      </w:r>
      <w:r w:rsidR="00BB7D8F">
        <w:rPr>
          <w:highlight w:val="yellow"/>
        </w:rPr>
        <w:t>Testing across theories i</w:t>
      </w:r>
      <w:r w:rsidRPr="00BB7D8F">
        <w:rPr>
          <w:highlight w:val="yellow"/>
        </w:rPr>
        <w:t>n the UK context, Pattie at al (2004</w:t>
      </w:r>
      <w:r w:rsidR="00C76DFE" w:rsidRPr="00BB7D8F">
        <w:rPr>
          <w:highlight w:val="yellow"/>
        </w:rPr>
        <w:t>, p.182</w:t>
      </w:r>
      <w:r w:rsidRPr="00BB7D8F">
        <w:rPr>
          <w:highlight w:val="yellow"/>
        </w:rPr>
        <w:t xml:space="preserve">) grouped these activities </w:t>
      </w:r>
      <w:r w:rsidR="00C76DFE" w:rsidRPr="00BB7D8F">
        <w:rPr>
          <w:highlight w:val="yellow"/>
        </w:rPr>
        <w:t>- along with other activities - into individual action (petitions and boycotts) and collective actions (demonstrating). They found that the education, political knowledge, media exposure, interest in politics and group membership all had positive relationships with individual action, and most notably trust failed to have any influence. When it came to collective action, the pattern was the same for political interest and education, but was negative for political knowledge, trust and group membership. The model was also much weaker for collective action. Using the WVS to test a wider context, Norris (2002, p.202) found that education had a positive relationship with what she calls ‘protest politics’ (petitioning, boycotting, demonstrating, unofficial striking and occupying buildings) and the more professional class were also more likely to have engaged in such acts, and men.</w:t>
      </w:r>
      <w:r w:rsidR="00C76DFE">
        <w:t xml:space="preserve"> </w:t>
      </w:r>
      <w:r w:rsidR="00BB7D8F" w:rsidRPr="00D05863">
        <w:rPr>
          <w:highlight w:val="yellow"/>
        </w:rPr>
        <w:t xml:space="preserve">Finally, using the same </w:t>
      </w:r>
      <w:r w:rsidR="00734DCC" w:rsidRPr="00D05863">
        <w:rPr>
          <w:highlight w:val="yellow"/>
        </w:rPr>
        <w:t xml:space="preserve">WVS </w:t>
      </w:r>
      <w:r w:rsidR="00BB7D8F" w:rsidRPr="00D05863">
        <w:rPr>
          <w:highlight w:val="yellow"/>
        </w:rPr>
        <w:t>variables</w:t>
      </w:r>
      <w:r w:rsidR="00734DCC" w:rsidRPr="00D05863">
        <w:rPr>
          <w:highlight w:val="yellow"/>
        </w:rPr>
        <w:t xml:space="preserve"> as Norris</w:t>
      </w:r>
      <w:r w:rsidR="00BB7D8F" w:rsidRPr="00D05863">
        <w:rPr>
          <w:highlight w:val="yellow"/>
        </w:rPr>
        <w:t xml:space="preserve"> but calling them </w:t>
      </w:r>
      <w:r w:rsidR="00734DCC" w:rsidRPr="00D05863">
        <w:rPr>
          <w:highlight w:val="yellow"/>
        </w:rPr>
        <w:t>‘</w:t>
      </w:r>
      <w:r w:rsidR="00BB7D8F" w:rsidRPr="00D05863">
        <w:rPr>
          <w:highlight w:val="yellow"/>
        </w:rPr>
        <w:t>social movement activity</w:t>
      </w:r>
      <w:r w:rsidR="00734DCC" w:rsidRPr="00D05863">
        <w:rPr>
          <w:highlight w:val="yellow"/>
        </w:rPr>
        <w:t>’</w:t>
      </w:r>
      <w:r w:rsidR="00BB7D8F" w:rsidRPr="00D05863">
        <w:rPr>
          <w:highlight w:val="yellow"/>
        </w:rPr>
        <w:t xml:space="preserve">, Welzel (2013, p.229-246) also examines what influences them, utilising </w:t>
      </w:r>
      <w:r w:rsidR="00734DCC" w:rsidRPr="00D05863">
        <w:rPr>
          <w:highlight w:val="yellow"/>
        </w:rPr>
        <w:t xml:space="preserve">all available waves (almost 200,000 respondents across 88 countries) </w:t>
      </w:r>
      <w:r w:rsidR="006D27E2" w:rsidRPr="00D05863">
        <w:rPr>
          <w:highlight w:val="yellow"/>
        </w:rPr>
        <w:t>to</w:t>
      </w:r>
      <w:r w:rsidR="00734DCC" w:rsidRPr="00D05863">
        <w:rPr>
          <w:highlight w:val="yellow"/>
        </w:rPr>
        <w:t xml:space="preserve"> also provide</w:t>
      </w:r>
      <w:r w:rsidR="006D27E2" w:rsidRPr="00D05863">
        <w:rPr>
          <w:highlight w:val="yellow"/>
        </w:rPr>
        <w:t xml:space="preserve"> </w:t>
      </w:r>
      <w:r w:rsidR="00734DCC" w:rsidRPr="00D05863">
        <w:rPr>
          <w:highlight w:val="yellow"/>
        </w:rPr>
        <w:t>evidence that education, political interest and group membership have a positive relationship</w:t>
      </w:r>
      <w:r w:rsidR="006D27E2" w:rsidRPr="00D05863">
        <w:rPr>
          <w:highlight w:val="yellow"/>
        </w:rPr>
        <w:t xml:space="preserve"> with such activity, as does increasing levels of government distrust.</w:t>
      </w:r>
      <w:r w:rsidR="00205379" w:rsidRPr="00D05863">
        <w:rPr>
          <w:highlight w:val="yellow"/>
        </w:rPr>
        <w:t xml:space="preserve"> The substantive focus of this thesis is on understandings of democracy, and so </w:t>
      </w:r>
      <w:r w:rsidR="00D05863">
        <w:rPr>
          <w:highlight w:val="yellow"/>
        </w:rPr>
        <w:t xml:space="preserve">largescale pooled </w:t>
      </w:r>
      <w:r w:rsidR="00205379" w:rsidRPr="00D05863">
        <w:rPr>
          <w:highlight w:val="yellow"/>
        </w:rPr>
        <w:t xml:space="preserve">examinations of </w:t>
      </w:r>
      <w:r w:rsidR="00D05863">
        <w:rPr>
          <w:highlight w:val="yellow"/>
        </w:rPr>
        <w:t>alternative theories of political participation using</w:t>
      </w:r>
      <w:r w:rsidR="00205379" w:rsidRPr="00D05863">
        <w:rPr>
          <w:highlight w:val="yellow"/>
        </w:rPr>
        <w:t xml:space="preserve"> earlier WVS waves </w:t>
      </w:r>
      <w:r w:rsidR="00D05863">
        <w:rPr>
          <w:highlight w:val="yellow"/>
        </w:rPr>
        <w:t xml:space="preserve">is beyond the scope of this thesis. </w:t>
      </w:r>
      <w:r w:rsidR="00205379" w:rsidRPr="00D05863">
        <w:rPr>
          <w:highlight w:val="yellow"/>
        </w:rPr>
        <w:t>However, these waves are used to examine broad trends in informal political activity over time in those countries which are outlined in Section 6.5</w:t>
      </w:r>
      <w:r w:rsidR="00D05863">
        <w:rPr>
          <w:highlight w:val="yellow"/>
        </w:rPr>
        <w:t xml:space="preserve"> and</w:t>
      </w:r>
      <w:r w:rsidR="00205379" w:rsidRPr="00D05863">
        <w:rPr>
          <w:highlight w:val="yellow"/>
        </w:rPr>
        <w:t xml:space="preserve"> </w:t>
      </w:r>
      <w:r w:rsidR="00D05863">
        <w:rPr>
          <w:highlight w:val="yellow"/>
        </w:rPr>
        <w:t>i</w:t>
      </w:r>
      <w:r w:rsidR="00205379" w:rsidRPr="00D05863">
        <w:rPr>
          <w:highlight w:val="yellow"/>
        </w:rPr>
        <w:t>nformed by existing evidence</w:t>
      </w:r>
      <w:r w:rsidR="00D05863">
        <w:rPr>
          <w:highlight w:val="yellow"/>
        </w:rPr>
        <w:t xml:space="preserve"> as discussed above,</w:t>
      </w:r>
      <w:r w:rsidR="000B31C3">
        <w:rPr>
          <w:highlight w:val="yellow"/>
        </w:rPr>
        <w:t xml:space="preserve"> Figure 6.1</w:t>
      </w:r>
      <w:r w:rsidR="00205379" w:rsidRPr="00D05863">
        <w:rPr>
          <w:highlight w:val="yellow"/>
        </w:rPr>
        <w:t xml:space="preserve"> summarises the expected relationships between the alternative theories and informal political participation, as well as the expected influence of democratic understandings.</w:t>
      </w:r>
      <w:r w:rsidR="00205379">
        <w:t xml:space="preserve"> </w:t>
      </w:r>
    </w:p>
    <w:p w14:paraId="43977C6B" w14:textId="22A55FAB" w:rsidR="00D66210" w:rsidRPr="00717D00" w:rsidRDefault="00D66210" w:rsidP="00D66210">
      <w:pPr>
        <w:pStyle w:val="Caption"/>
        <w:rPr>
          <w:rFonts w:ascii="Segoe UI" w:hAnsi="Segoe UI" w:cs="Segoe UI"/>
          <w:i w:val="0"/>
        </w:rPr>
      </w:pPr>
      <w:bookmarkStart w:id="366" w:name="_Toc494687188"/>
      <w:r w:rsidRPr="00717D00">
        <w:rPr>
          <w:rFonts w:ascii="Segoe UI" w:hAnsi="Segoe UI" w:cs="Segoe UI"/>
          <w:i w:val="0"/>
        </w:rPr>
        <w:t xml:space="preserve">Figure </w:t>
      </w:r>
      <w:r w:rsidR="00C96822" w:rsidRPr="00717D00">
        <w:rPr>
          <w:rFonts w:ascii="Segoe UI" w:hAnsi="Segoe UI" w:cs="Segoe UI"/>
          <w:i w:val="0"/>
        </w:rPr>
        <w:fldChar w:fldCharType="begin"/>
      </w:r>
      <w:r w:rsidR="00C96822" w:rsidRPr="00717D00">
        <w:rPr>
          <w:rFonts w:ascii="Segoe UI" w:hAnsi="Segoe UI" w:cs="Segoe UI"/>
          <w:i w:val="0"/>
        </w:rPr>
        <w:instrText xml:space="preserve"> STYLEREF 1 \s </w:instrText>
      </w:r>
      <w:r w:rsidR="00C96822" w:rsidRPr="00717D00">
        <w:rPr>
          <w:rFonts w:ascii="Segoe UI" w:hAnsi="Segoe UI" w:cs="Segoe UI"/>
          <w:i w:val="0"/>
        </w:rPr>
        <w:fldChar w:fldCharType="separate"/>
      </w:r>
      <w:r w:rsidR="00306E67" w:rsidRPr="00717D00">
        <w:rPr>
          <w:rFonts w:ascii="Segoe UI" w:hAnsi="Segoe UI" w:cs="Segoe UI"/>
          <w:i w:val="0"/>
          <w:noProof/>
        </w:rPr>
        <w:t>6</w:t>
      </w:r>
      <w:r w:rsidR="00C96822" w:rsidRPr="00717D00">
        <w:rPr>
          <w:rFonts w:ascii="Segoe UI" w:hAnsi="Segoe UI" w:cs="Segoe UI"/>
          <w:i w:val="0"/>
          <w:noProof/>
        </w:rPr>
        <w:fldChar w:fldCharType="end"/>
      </w:r>
      <w:r w:rsidR="00D9151E" w:rsidRPr="00717D00">
        <w:rPr>
          <w:rFonts w:ascii="Segoe UI" w:hAnsi="Segoe UI" w:cs="Segoe UI"/>
          <w:i w:val="0"/>
        </w:rPr>
        <w:t>:</w:t>
      </w:r>
      <w:r w:rsidR="00C96822" w:rsidRPr="00717D00">
        <w:rPr>
          <w:rFonts w:ascii="Segoe UI" w:hAnsi="Segoe UI" w:cs="Segoe UI"/>
          <w:i w:val="0"/>
        </w:rPr>
        <w:fldChar w:fldCharType="begin"/>
      </w:r>
      <w:r w:rsidR="00C96822" w:rsidRPr="00717D00">
        <w:rPr>
          <w:rFonts w:ascii="Segoe UI" w:hAnsi="Segoe UI" w:cs="Segoe UI"/>
          <w:i w:val="0"/>
        </w:rPr>
        <w:instrText xml:space="preserve"> SEQ Figure \* ARABIC \s 1 </w:instrText>
      </w:r>
      <w:r w:rsidR="00C96822" w:rsidRPr="00717D00">
        <w:rPr>
          <w:rFonts w:ascii="Segoe UI" w:hAnsi="Segoe UI" w:cs="Segoe UI"/>
          <w:i w:val="0"/>
        </w:rPr>
        <w:fldChar w:fldCharType="separate"/>
      </w:r>
      <w:r w:rsidR="000B31C3" w:rsidRPr="00717D00">
        <w:rPr>
          <w:rFonts w:ascii="Segoe UI" w:hAnsi="Segoe UI" w:cs="Segoe UI"/>
          <w:i w:val="0"/>
          <w:noProof/>
        </w:rPr>
        <w:t>1</w:t>
      </w:r>
      <w:r w:rsidR="00C96822" w:rsidRPr="00717D00">
        <w:rPr>
          <w:rFonts w:ascii="Segoe UI" w:hAnsi="Segoe UI" w:cs="Segoe UI"/>
          <w:i w:val="0"/>
          <w:noProof/>
        </w:rPr>
        <w:fldChar w:fldCharType="end"/>
      </w:r>
      <w:r w:rsidRPr="00717D00">
        <w:rPr>
          <w:rFonts w:ascii="Segoe UI" w:hAnsi="Segoe UI" w:cs="Segoe UI"/>
          <w:i w:val="0"/>
        </w:rPr>
        <w:t xml:space="preserve"> Theoretical Predictions and Test Variables</w:t>
      </w:r>
      <w:bookmarkEnd w:id="366"/>
    </w:p>
    <w:p w14:paraId="21D76B09" w14:textId="77777777" w:rsidR="000B31C3" w:rsidRPr="000B31C3" w:rsidRDefault="000B31C3" w:rsidP="000B31C3">
      <w:pPr>
        <w:rPr>
          <w:b/>
        </w:rPr>
      </w:pPr>
    </w:p>
    <w:tbl>
      <w:tblPr>
        <w:tblW w:w="8897" w:type="dxa"/>
        <w:tblLook w:val="04A0" w:firstRow="1" w:lastRow="0" w:firstColumn="1" w:lastColumn="0" w:noHBand="0" w:noVBand="1"/>
      </w:tblPr>
      <w:tblGrid>
        <w:gridCol w:w="2376"/>
        <w:gridCol w:w="4536"/>
        <w:gridCol w:w="1985"/>
      </w:tblGrid>
      <w:tr w:rsidR="00D66210" w:rsidRPr="000B31C3" w14:paraId="75AE84F8" w14:textId="77777777" w:rsidTr="00755884">
        <w:trPr>
          <w:trHeight w:val="404"/>
        </w:trPr>
        <w:tc>
          <w:tcPr>
            <w:tcW w:w="2376" w:type="dxa"/>
            <w:tcBorders>
              <w:bottom w:val="single" w:sz="4" w:space="0" w:color="auto"/>
            </w:tcBorders>
            <w:shd w:val="clear" w:color="auto" w:fill="auto"/>
          </w:tcPr>
          <w:p w14:paraId="258CF48E" w14:textId="77777777" w:rsidR="00D66210" w:rsidRPr="000B31C3" w:rsidRDefault="00D66210" w:rsidP="00017BD2">
            <w:pPr>
              <w:pStyle w:val="NoSpacing"/>
              <w:spacing w:before="0"/>
              <w:rPr>
                <w:rFonts w:cs="Segoe UI"/>
                <w:b/>
                <w:color w:val="000000" w:themeColor="text1"/>
                <w:sz w:val="20"/>
                <w:szCs w:val="20"/>
              </w:rPr>
            </w:pPr>
            <w:r w:rsidRPr="000B31C3">
              <w:rPr>
                <w:rFonts w:cs="Segoe UI"/>
                <w:b/>
                <w:color w:val="000000" w:themeColor="text1"/>
                <w:sz w:val="20"/>
                <w:szCs w:val="20"/>
              </w:rPr>
              <w:t>Theory</w:t>
            </w:r>
          </w:p>
        </w:tc>
        <w:tc>
          <w:tcPr>
            <w:tcW w:w="4536" w:type="dxa"/>
            <w:tcBorders>
              <w:bottom w:val="single" w:sz="4" w:space="0" w:color="auto"/>
            </w:tcBorders>
            <w:shd w:val="clear" w:color="auto" w:fill="auto"/>
          </w:tcPr>
          <w:p w14:paraId="2B8EC3B4" w14:textId="77777777" w:rsidR="00D66210" w:rsidRPr="000B31C3" w:rsidRDefault="00D66210" w:rsidP="00017BD2">
            <w:pPr>
              <w:pStyle w:val="NoSpacing"/>
              <w:spacing w:before="0"/>
              <w:rPr>
                <w:rFonts w:cs="Segoe UI"/>
                <w:b/>
                <w:color w:val="000000" w:themeColor="text1"/>
                <w:sz w:val="20"/>
                <w:szCs w:val="20"/>
              </w:rPr>
            </w:pPr>
            <w:r w:rsidRPr="000B31C3">
              <w:rPr>
                <w:rFonts w:cs="Segoe UI"/>
                <w:b/>
                <w:color w:val="000000" w:themeColor="text1"/>
                <w:sz w:val="20"/>
                <w:szCs w:val="20"/>
              </w:rPr>
              <w:t>Test Variables</w:t>
            </w:r>
          </w:p>
        </w:tc>
        <w:tc>
          <w:tcPr>
            <w:tcW w:w="1985" w:type="dxa"/>
            <w:tcBorders>
              <w:bottom w:val="single" w:sz="4" w:space="0" w:color="auto"/>
            </w:tcBorders>
            <w:shd w:val="clear" w:color="auto" w:fill="auto"/>
          </w:tcPr>
          <w:p w14:paraId="1EF69B3F" w14:textId="77777777" w:rsidR="00D66210" w:rsidRPr="000B31C3" w:rsidRDefault="00D66210" w:rsidP="00017BD2">
            <w:pPr>
              <w:pStyle w:val="NoSpacing"/>
              <w:spacing w:before="0"/>
              <w:rPr>
                <w:rFonts w:cs="Segoe UI"/>
                <w:b/>
                <w:color w:val="000000" w:themeColor="text1"/>
                <w:sz w:val="20"/>
                <w:szCs w:val="20"/>
              </w:rPr>
            </w:pPr>
            <w:r w:rsidRPr="000B31C3">
              <w:rPr>
                <w:rFonts w:cs="Segoe UI"/>
                <w:b/>
                <w:color w:val="000000" w:themeColor="text1"/>
                <w:sz w:val="20"/>
                <w:szCs w:val="20"/>
              </w:rPr>
              <w:t>Predicted Relationship</w:t>
            </w:r>
          </w:p>
        </w:tc>
      </w:tr>
      <w:tr w:rsidR="00D66210" w:rsidRPr="00017BD2" w14:paraId="3A37063B" w14:textId="77777777" w:rsidTr="00755884">
        <w:trPr>
          <w:trHeight w:val="404"/>
        </w:trPr>
        <w:tc>
          <w:tcPr>
            <w:tcW w:w="2376" w:type="dxa"/>
            <w:tcBorders>
              <w:top w:val="single" w:sz="4" w:space="0" w:color="auto"/>
            </w:tcBorders>
          </w:tcPr>
          <w:p w14:paraId="43300A11" w14:textId="77777777" w:rsidR="00D66210" w:rsidRPr="00017BD2" w:rsidRDefault="00D66210" w:rsidP="00017BD2">
            <w:pPr>
              <w:pStyle w:val="NoSpacing"/>
              <w:spacing w:before="0"/>
              <w:rPr>
                <w:rFonts w:cs="Segoe UI"/>
                <w:sz w:val="20"/>
                <w:szCs w:val="20"/>
              </w:rPr>
            </w:pPr>
            <w:r w:rsidRPr="00017BD2">
              <w:rPr>
                <w:rFonts w:cs="Segoe UI"/>
                <w:sz w:val="20"/>
                <w:szCs w:val="20"/>
              </w:rPr>
              <w:t>Democratic Understanding</w:t>
            </w:r>
          </w:p>
        </w:tc>
        <w:tc>
          <w:tcPr>
            <w:tcW w:w="4536" w:type="dxa"/>
            <w:tcBorders>
              <w:top w:val="single" w:sz="4" w:space="0" w:color="auto"/>
            </w:tcBorders>
          </w:tcPr>
          <w:p w14:paraId="24FEFE47" w14:textId="77777777" w:rsidR="00D66210" w:rsidRPr="00017BD2" w:rsidRDefault="00D66210" w:rsidP="00017BD2">
            <w:pPr>
              <w:pStyle w:val="NoSpacing"/>
              <w:spacing w:before="0"/>
              <w:rPr>
                <w:rFonts w:cs="Segoe UI"/>
                <w:sz w:val="20"/>
                <w:szCs w:val="20"/>
              </w:rPr>
            </w:pPr>
            <w:r w:rsidRPr="00017BD2">
              <w:rPr>
                <w:rFonts w:cs="Segoe UI"/>
                <w:sz w:val="20"/>
                <w:szCs w:val="20"/>
              </w:rPr>
              <w:t>Compound Conceptualisation</w:t>
            </w:r>
          </w:p>
        </w:tc>
        <w:tc>
          <w:tcPr>
            <w:tcW w:w="1985" w:type="dxa"/>
            <w:tcBorders>
              <w:top w:val="single" w:sz="4" w:space="0" w:color="auto"/>
            </w:tcBorders>
          </w:tcPr>
          <w:p w14:paraId="656DA3EF" w14:textId="77777777" w:rsidR="00D66210" w:rsidRPr="00017BD2" w:rsidRDefault="00D66210" w:rsidP="00017BD2">
            <w:pPr>
              <w:pStyle w:val="NoSpacing"/>
              <w:spacing w:before="0"/>
              <w:rPr>
                <w:rFonts w:cs="Segoe UI"/>
                <w:sz w:val="20"/>
                <w:szCs w:val="20"/>
              </w:rPr>
            </w:pPr>
            <w:r w:rsidRPr="00017BD2">
              <w:rPr>
                <w:rFonts w:cs="Segoe UI"/>
                <w:sz w:val="20"/>
                <w:szCs w:val="20"/>
              </w:rPr>
              <w:t>Positive</w:t>
            </w:r>
          </w:p>
        </w:tc>
      </w:tr>
      <w:tr w:rsidR="00D66210" w:rsidRPr="00017BD2" w14:paraId="58CB5C80" w14:textId="77777777" w:rsidTr="00292280">
        <w:trPr>
          <w:trHeight w:val="404"/>
        </w:trPr>
        <w:tc>
          <w:tcPr>
            <w:tcW w:w="2376" w:type="dxa"/>
          </w:tcPr>
          <w:p w14:paraId="6BF6C951" w14:textId="77777777" w:rsidR="00D66210" w:rsidRPr="00017BD2" w:rsidRDefault="00D66210" w:rsidP="00017BD2">
            <w:pPr>
              <w:pStyle w:val="NoSpacing"/>
              <w:spacing w:before="0"/>
              <w:rPr>
                <w:rFonts w:cs="Segoe UI"/>
                <w:sz w:val="20"/>
                <w:szCs w:val="20"/>
              </w:rPr>
            </w:pPr>
          </w:p>
        </w:tc>
        <w:tc>
          <w:tcPr>
            <w:tcW w:w="4536" w:type="dxa"/>
          </w:tcPr>
          <w:p w14:paraId="759617FE" w14:textId="77777777" w:rsidR="00D66210" w:rsidRPr="00017BD2" w:rsidRDefault="00D66210" w:rsidP="00017BD2">
            <w:pPr>
              <w:pStyle w:val="NoSpacing"/>
              <w:spacing w:before="0"/>
              <w:rPr>
                <w:rFonts w:cs="Segoe UI"/>
                <w:sz w:val="20"/>
                <w:szCs w:val="20"/>
              </w:rPr>
            </w:pPr>
            <w:r w:rsidRPr="00017BD2">
              <w:rPr>
                <w:rFonts w:cs="Segoe UI"/>
                <w:sz w:val="20"/>
                <w:szCs w:val="20"/>
              </w:rPr>
              <w:t>Authoritarian Conceptualisation</w:t>
            </w:r>
          </w:p>
        </w:tc>
        <w:tc>
          <w:tcPr>
            <w:tcW w:w="1985" w:type="dxa"/>
          </w:tcPr>
          <w:p w14:paraId="1A2356F3" w14:textId="77777777" w:rsidR="00D66210" w:rsidRPr="00017BD2" w:rsidRDefault="00D66210" w:rsidP="00017BD2">
            <w:pPr>
              <w:pStyle w:val="NoSpacing"/>
              <w:spacing w:before="0"/>
              <w:rPr>
                <w:rFonts w:cs="Segoe UI"/>
                <w:sz w:val="20"/>
                <w:szCs w:val="20"/>
              </w:rPr>
            </w:pPr>
            <w:r w:rsidRPr="00017BD2">
              <w:rPr>
                <w:rFonts w:cs="Segoe UI"/>
                <w:sz w:val="20"/>
                <w:szCs w:val="20"/>
              </w:rPr>
              <w:t>Negative</w:t>
            </w:r>
          </w:p>
        </w:tc>
      </w:tr>
      <w:tr w:rsidR="00D66210" w:rsidRPr="00017BD2" w14:paraId="14144AC9" w14:textId="77777777" w:rsidTr="00755884">
        <w:trPr>
          <w:trHeight w:val="404"/>
        </w:trPr>
        <w:tc>
          <w:tcPr>
            <w:tcW w:w="2376" w:type="dxa"/>
            <w:shd w:val="clear" w:color="auto" w:fill="F2F2F2" w:themeFill="background1" w:themeFillShade="F2"/>
          </w:tcPr>
          <w:p w14:paraId="1B2E3FBF" w14:textId="77777777" w:rsidR="00D66210" w:rsidRPr="00017BD2" w:rsidRDefault="00D66210" w:rsidP="00017BD2">
            <w:pPr>
              <w:pStyle w:val="NoSpacing"/>
              <w:spacing w:before="0"/>
              <w:rPr>
                <w:rFonts w:cs="Segoe UI"/>
                <w:sz w:val="20"/>
                <w:szCs w:val="20"/>
              </w:rPr>
            </w:pPr>
            <w:r w:rsidRPr="00017BD2">
              <w:rPr>
                <w:rFonts w:cs="Segoe UI"/>
                <w:sz w:val="20"/>
                <w:szCs w:val="20"/>
              </w:rPr>
              <w:t>Grievance Theory</w:t>
            </w:r>
          </w:p>
        </w:tc>
        <w:tc>
          <w:tcPr>
            <w:tcW w:w="4536" w:type="dxa"/>
            <w:shd w:val="clear" w:color="auto" w:fill="F2F2F2" w:themeFill="background1" w:themeFillShade="F2"/>
          </w:tcPr>
          <w:p w14:paraId="58504FA3" w14:textId="77777777" w:rsidR="00D66210" w:rsidRPr="00017BD2" w:rsidRDefault="00D66210" w:rsidP="00017BD2">
            <w:pPr>
              <w:pStyle w:val="NoSpacing"/>
              <w:spacing w:before="0"/>
              <w:rPr>
                <w:rFonts w:cs="Segoe UI"/>
                <w:sz w:val="20"/>
                <w:szCs w:val="20"/>
              </w:rPr>
            </w:pPr>
            <w:r w:rsidRPr="00017BD2">
              <w:rPr>
                <w:rFonts w:cs="Segoe UI"/>
                <w:sz w:val="20"/>
                <w:szCs w:val="20"/>
              </w:rPr>
              <w:t>Income</w:t>
            </w:r>
          </w:p>
        </w:tc>
        <w:tc>
          <w:tcPr>
            <w:tcW w:w="1985" w:type="dxa"/>
            <w:shd w:val="clear" w:color="auto" w:fill="F2F2F2" w:themeFill="background1" w:themeFillShade="F2"/>
          </w:tcPr>
          <w:p w14:paraId="1C0C0479" w14:textId="77777777" w:rsidR="00D66210" w:rsidRPr="00017BD2" w:rsidRDefault="00D66210" w:rsidP="00017BD2">
            <w:pPr>
              <w:pStyle w:val="NoSpacing"/>
              <w:spacing w:before="0"/>
              <w:rPr>
                <w:rFonts w:cs="Segoe UI"/>
                <w:sz w:val="20"/>
                <w:szCs w:val="20"/>
              </w:rPr>
            </w:pPr>
            <w:r w:rsidRPr="00017BD2">
              <w:rPr>
                <w:rFonts w:cs="Segoe UI"/>
                <w:sz w:val="20"/>
                <w:szCs w:val="20"/>
              </w:rPr>
              <w:t>Negative</w:t>
            </w:r>
          </w:p>
        </w:tc>
      </w:tr>
      <w:tr w:rsidR="00D66210" w:rsidRPr="00017BD2" w14:paraId="731F0FF5" w14:textId="77777777" w:rsidTr="00755884">
        <w:trPr>
          <w:trHeight w:val="404"/>
        </w:trPr>
        <w:tc>
          <w:tcPr>
            <w:tcW w:w="2376" w:type="dxa"/>
            <w:shd w:val="clear" w:color="auto" w:fill="F2F2F2" w:themeFill="background1" w:themeFillShade="F2"/>
          </w:tcPr>
          <w:p w14:paraId="6985B6AA" w14:textId="77777777" w:rsidR="00D66210" w:rsidRPr="00017BD2" w:rsidRDefault="00D66210" w:rsidP="00017BD2">
            <w:pPr>
              <w:pStyle w:val="NoSpacing"/>
              <w:spacing w:before="0"/>
              <w:rPr>
                <w:rFonts w:cs="Segoe UI"/>
                <w:sz w:val="20"/>
                <w:szCs w:val="20"/>
              </w:rPr>
            </w:pPr>
          </w:p>
        </w:tc>
        <w:tc>
          <w:tcPr>
            <w:tcW w:w="4536" w:type="dxa"/>
            <w:shd w:val="clear" w:color="auto" w:fill="F2F2F2" w:themeFill="background1" w:themeFillShade="F2"/>
          </w:tcPr>
          <w:p w14:paraId="49BD9A0F" w14:textId="77777777" w:rsidR="00D66210" w:rsidRPr="00017BD2" w:rsidRDefault="00D66210" w:rsidP="00017BD2">
            <w:pPr>
              <w:pStyle w:val="NoSpacing"/>
              <w:spacing w:before="0"/>
              <w:rPr>
                <w:rFonts w:cs="Segoe UI"/>
                <w:sz w:val="20"/>
                <w:szCs w:val="20"/>
              </w:rPr>
            </w:pPr>
            <w:r w:rsidRPr="00017BD2">
              <w:rPr>
                <w:rFonts w:cs="Segoe UI"/>
                <w:sz w:val="20"/>
                <w:szCs w:val="20"/>
              </w:rPr>
              <w:t>Satisfaction with Household Income</w:t>
            </w:r>
          </w:p>
        </w:tc>
        <w:tc>
          <w:tcPr>
            <w:tcW w:w="1985" w:type="dxa"/>
            <w:shd w:val="clear" w:color="auto" w:fill="F2F2F2" w:themeFill="background1" w:themeFillShade="F2"/>
          </w:tcPr>
          <w:p w14:paraId="09CC066C" w14:textId="77777777" w:rsidR="00D66210" w:rsidRPr="00017BD2" w:rsidRDefault="00D66210" w:rsidP="00017BD2">
            <w:pPr>
              <w:pStyle w:val="NoSpacing"/>
              <w:spacing w:before="0"/>
              <w:rPr>
                <w:rFonts w:cs="Segoe UI"/>
                <w:sz w:val="20"/>
                <w:szCs w:val="20"/>
              </w:rPr>
            </w:pPr>
            <w:r w:rsidRPr="00017BD2">
              <w:rPr>
                <w:rFonts w:cs="Segoe UI"/>
                <w:sz w:val="20"/>
                <w:szCs w:val="20"/>
              </w:rPr>
              <w:t>Negative</w:t>
            </w:r>
          </w:p>
        </w:tc>
      </w:tr>
      <w:tr w:rsidR="00D66210" w:rsidRPr="00017BD2" w14:paraId="5BE1C398" w14:textId="77777777" w:rsidTr="00755884">
        <w:trPr>
          <w:trHeight w:val="404"/>
        </w:trPr>
        <w:tc>
          <w:tcPr>
            <w:tcW w:w="2376" w:type="dxa"/>
            <w:shd w:val="clear" w:color="auto" w:fill="F2F2F2" w:themeFill="background1" w:themeFillShade="F2"/>
          </w:tcPr>
          <w:p w14:paraId="09B42916" w14:textId="77777777" w:rsidR="00D66210" w:rsidRPr="00017BD2" w:rsidRDefault="00D66210" w:rsidP="00017BD2">
            <w:pPr>
              <w:pStyle w:val="NoSpacing"/>
              <w:spacing w:before="0"/>
              <w:rPr>
                <w:rFonts w:cs="Segoe UI"/>
                <w:sz w:val="20"/>
                <w:szCs w:val="20"/>
              </w:rPr>
            </w:pPr>
          </w:p>
        </w:tc>
        <w:tc>
          <w:tcPr>
            <w:tcW w:w="4536" w:type="dxa"/>
            <w:shd w:val="clear" w:color="auto" w:fill="F2F2F2" w:themeFill="background1" w:themeFillShade="F2"/>
          </w:tcPr>
          <w:p w14:paraId="5F98E6DD" w14:textId="77777777" w:rsidR="00D66210" w:rsidRPr="00017BD2" w:rsidRDefault="00D66210" w:rsidP="00017BD2">
            <w:pPr>
              <w:pStyle w:val="NoSpacing"/>
              <w:spacing w:before="0"/>
              <w:rPr>
                <w:rFonts w:cs="Segoe UI"/>
                <w:sz w:val="20"/>
                <w:szCs w:val="20"/>
              </w:rPr>
            </w:pPr>
            <w:r w:rsidRPr="00017BD2">
              <w:rPr>
                <w:rFonts w:cs="Segoe UI"/>
                <w:sz w:val="20"/>
                <w:szCs w:val="20"/>
              </w:rPr>
              <w:t>Interaction [Income x Satis. Household]</w:t>
            </w:r>
          </w:p>
        </w:tc>
        <w:tc>
          <w:tcPr>
            <w:tcW w:w="1985" w:type="dxa"/>
            <w:shd w:val="clear" w:color="auto" w:fill="F2F2F2" w:themeFill="background1" w:themeFillShade="F2"/>
          </w:tcPr>
          <w:p w14:paraId="07DD9D22" w14:textId="77777777" w:rsidR="00D66210" w:rsidRPr="00017BD2" w:rsidRDefault="00D66210" w:rsidP="00017BD2">
            <w:pPr>
              <w:pStyle w:val="NoSpacing"/>
              <w:spacing w:before="0"/>
              <w:rPr>
                <w:rFonts w:cs="Segoe UI"/>
                <w:sz w:val="20"/>
                <w:szCs w:val="20"/>
              </w:rPr>
            </w:pPr>
            <w:r w:rsidRPr="00017BD2">
              <w:rPr>
                <w:rFonts w:cs="Segoe UI"/>
                <w:sz w:val="20"/>
                <w:szCs w:val="20"/>
              </w:rPr>
              <w:t>Negative</w:t>
            </w:r>
          </w:p>
        </w:tc>
      </w:tr>
      <w:tr w:rsidR="00D66210" w:rsidRPr="00017BD2" w14:paraId="3F8EB50D" w14:textId="77777777" w:rsidTr="00017BD2">
        <w:trPr>
          <w:trHeight w:val="404"/>
        </w:trPr>
        <w:tc>
          <w:tcPr>
            <w:tcW w:w="2376" w:type="dxa"/>
          </w:tcPr>
          <w:p w14:paraId="2437FAAE" w14:textId="77777777" w:rsidR="00D66210" w:rsidRPr="00017BD2" w:rsidRDefault="00D66210" w:rsidP="00017BD2">
            <w:pPr>
              <w:pStyle w:val="NoSpacing"/>
              <w:spacing w:before="0"/>
              <w:rPr>
                <w:rFonts w:cs="Segoe UI"/>
                <w:sz w:val="20"/>
                <w:szCs w:val="20"/>
              </w:rPr>
            </w:pPr>
            <w:r w:rsidRPr="00017BD2">
              <w:rPr>
                <w:rFonts w:cs="Segoe UI"/>
                <w:sz w:val="20"/>
                <w:szCs w:val="20"/>
              </w:rPr>
              <w:t>Resource Theory</w:t>
            </w:r>
          </w:p>
        </w:tc>
        <w:tc>
          <w:tcPr>
            <w:tcW w:w="4536" w:type="dxa"/>
          </w:tcPr>
          <w:p w14:paraId="1298BDB4" w14:textId="77777777" w:rsidR="00D66210" w:rsidRPr="00017BD2" w:rsidRDefault="00D66210" w:rsidP="00017BD2">
            <w:pPr>
              <w:pStyle w:val="NoSpacing"/>
              <w:spacing w:before="0"/>
              <w:rPr>
                <w:rFonts w:cs="Segoe UI"/>
                <w:sz w:val="20"/>
                <w:szCs w:val="20"/>
              </w:rPr>
            </w:pPr>
            <w:r w:rsidRPr="00017BD2">
              <w:rPr>
                <w:rFonts w:cs="Segoe UI"/>
                <w:sz w:val="20"/>
                <w:szCs w:val="20"/>
              </w:rPr>
              <w:t>Education</w:t>
            </w:r>
          </w:p>
        </w:tc>
        <w:tc>
          <w:tcPr>
            <w:tcW w:w="1985" w:type="dxa"/>
          </w:tcPr>
          <w:p w14:paraId="08B269BA" w14:textId="77777777" w:rsidR="00D66210" w:rsidRPr="00017BD2" w:rsidRDefault="00D66210" w:rsidP="00017BD2">
            <w:pPr>
              <w:pStyle w:val="NoSpacing"/>
              <w:spacing w:before="0"/>
              <w:rPr>
                <w:rFonts w:cs="Segoe UI"/>
                <w:sz w:val="20"/>
                <w:szCs w:val="20"/>
              </w:rPr>
            </w:pPr>
            <w:r w:rsidRPr="00017BD2">
              <w:rPr>
                <w:rFonts w:cs="Segoe UI"/>
                <w:sz w:val="20"/>
                <w:szCs w:val="20"/>
              </w:rPr>
              <w:t>Positive</w:t>
            </w:r>
          </w:p>
        </w:tc>
      </w:tr>
      <w:tr w:rsidR="00D66210" w:rsidRPr="00017BD2" w14:paraId="57D2B3DB" w14:textId="77777777" w:rsidTr="00755884">
        <w:trPr>
          <w:trHeight w:val="404"/>
        </w:trPr>
        <w:tc>
          <w:tcPr>
            <w:tcW w:w="2376" w:type="dxa"/>
          </w:tcPr>
          <w:p w14:paraId="60C47B34" w14:textId="77777777" w:rsidR="00D66210" w:rsidRPr="00017BD2" w:rsidRDefault="00D66210" w:rsidP="00017BD2">
            <w:pPr>
              <w:pStyle w:val="NoSpacing"/>
              <w:spacing w:before="0"/>
              <w:rPr>
                <w:rFonts w:cs="Segoe UI"/>
                <w:sz w:val="20"/>
                <w:szCs w:val="20"/>
              </w:rPr>
            </w:pPr>
          </w:p>
        </w:tc>
        <w:tc>
          <w:tcPr>
            <w:tcW w:w="4536" w:type="dxa"/>
          </w:tcPr>
          <w:p w14:paraId="51B7ABB9" w14:textId="303C0064" w:rsidR="00D66210" w:rsidRPr="00017BD2" w:rsidRDefault="00D66210" w:rsidP="00017BD2">
            <w:pPr>
              <w:pStyle w:val="NoSpacing"/>
              <w:spacing w:before="0"/>
              <w:rPr>
                <w:rFonts w:cs="Segoe UI"/>
                <w:sz w:val="20"/>
                <w:szCs w:val="20"/>
              </w:rPr>
            </w:pPr>
            <w:r w:rsidRPr="00017BD2">
              <w:rPr>
                <w:rFonts w:cs="Segoe UI"/>
                <w:sz w:val="20"/>
                <w:szCs w:val="20"/>
              </w:rPr>
              <w:t>Income</w:t>
            </w:r>
          </w:p>
        </w:tc>
        <w:tc>
          <w:tcPr>
            <w:tcW w:w="1985" w:type="dxa"/>
          </w:tcPr>
          <w:p w14:paraId="0E43BDBD" w14:textId="77777777" w:rsidR="00D66210" w:rsidRPr="00017BD2" w:rsidRDefault="00D66210" w:rsidP="00017BD2">
            <w:pPr>
              <w:pStyle w:val="NoSpacing"/>
              <w:spacing w:before="0"/>
              <w:rPr>
                <w:rFonts w:cs="Segoe UI"/>
                <w:sz w:val="20"/>
                <w:szCs w:val="20"/>
              </w:rPr>
            </w:pPr>
            <w:r w:rsidRPr="00017BD2">
              <w:rPr>
                <w:rFonts w:cs="Segoe UI"/>
                <w:sz w:val="20"/>
                <w:szCs w:val="20"/>
              </w:rPr>
              <w:t>Positive</w:t>
            </w:r>
          </w:p>
        </w:tc>
      </w:tr>
      <w:tr w:rsidR="00D66210" w:rsidRPr="00017BD2" w14:paraId="77415F84" w14:textId="77777777" w:rsidTr="00755884">
        <w:trPr>
          <w:trHeight w:val="404"/>
        </w:trPr>
        <w:tc>
          <w:tcPr>
            <w:tcW w:w="2376" w:type="dxa"/>
            <w:shd w:val="clear" w:color="auto" w:fill="F2F2F2" w:themeFill="background1" w:themeFillShade="F2"/>
          </w:tcPr>
          <w:p w14:paraId="494ABB3D" w14:textId="77777777" w:rsidR="00D66210" w:rsidRPr="00017BD2" w:rsidRDefault="00D66210" w:rsidP="00017BD2">
            <w:pPr>
              <w:pStyle w:val="NoSpacing"/>
              <w:spacing w:before="0"/>
              <w:rPr>
                <w:rFonts w:cs="Segoe UI"/>
                <w:sz w:val="20"/>
                <w:szCs w:val="20"/>
              </w:rPr>
            </w:pPr>
            <w:r w:rsidRPr="00017BD2">
              <w:rPr>
                <w:rFonts w:cs="Segoe UI"/>
                <w:sz w:val="20"/>
                <w:szCs w:val="20"/>
              </w:rPr>
              <w:t>Social Capital</w:t>
            </w:r>
          </w:p>
        </w:tc>
        <w:tc>
          <w:tcPr>
            <w:tcW w:w="4536" w:type="dxa"/>
            <w:shd w:val="clear" w:color="auto" w:fill="F2F2F2" w:themeFill="background1" w:themeFillShade="F2"/>
          </w:tcPr>
          <w:p w14:paraId="52FDF577" w14:textId="77777777" w:rsidR="00D66210" w:rsidRPr="00017BD2" w:rsidRDefault="00D66210" w:rsidP="00017BD2">
            <w:pPr>
              <w:pStyle w:val="NoSpacing"/>
              <w:spacing w:before="0"/>
              <w:rPr>
                <w:rFonts w:cs="Segoe UI"/>
                <w:sz w:val="20"/>
                <w:szCs w:val="20"/>
              </w:rPr>
            </w:pPr>
            <w:r w:rsidRPr="00017BD2">
              <w:rPr>
                <w:rFonts w:cs="Segoe UI"/>
                <w:sz w:val="20"/>
                <w:szCs w:val="20"/>
              </w:rPr>
              <w:t>Social Trust</w:t>
            </w:r>
          </w:p>
        </w:tc>
        <w:tc>
          <w:tcPr>
            <w:tcW w:w="1985" w:type="dxa"/>
            <w:shd w:val="clear" w:color="auto" w:fill="F2F2F2" w:themeFill="background1" w:themeFillShade="F2"/>
          </w:tcPr>
          <w:p w14:paraId="73BEBC0E" w14:textId="77777777" w:rsidR="00D66210" w:rsidRPr="00017BD2" w:rsidRDefault="00D66210" w:rsidP="00017BD2">
            <w:pPr>
              <w:pStyle w:val="NoSpacing"/>
              <w:spacing w:before="0"/>
              <w:rPr>
                <w:rFonts w:cs="Segoe UI"/>
                <w:sz w:val="20"/>
                <w:szCs w:val="20"/>
              </w:rPr>
            </w:pPr>
            <w:r w:rsidRPr="00017BD2">
              <w:rPr>
                <w:rFonts w:cs="Segoe UI"/>
                <w:sz w:val="20"/>
                <w:szCs w:val="20"/>
              </w:rPr>
              <w:t>Positive</w:t>
            </w:r>
          </w:p>
        </w:tc>
      </w:tr>
      <w:tr w:rsidR="00D66210" w:rsidRPr="00017BD2" w14:paraId="7A9E6896" w14:textId="77777777" w:rsidTr="00755884">
        <w:trPr>
          <w:trHeight w:val="404"/>
        </w:trPr>
        <w:tc>
          <w:tcPr>
            <w:tcW w:w="2376" w:type="dxa"/>
            <w:shd w:val="clear" w:color="auto" w:fill="F2F2F2" w:themeFill="background1" w:themeFillShade="F2"/>
          </w:tcPr>
          <w:p w14:paraId="21FA4384" w14:textId="77777777" w:rsidR="00D66210" w:rsidRPr="00017BD2" w:rsidRDefault="00D66210" w:rsidP="00017BD2">
            <w:pPr>
              <w:pStyle w:val="NoSpacing"/>
              <w:spacing w:before="0"/>
              <w:rPr>
                <w:rFonts w:cs="Segoe UI"/>
                <w:sz w:val="20"/>
                <w:szCs w:val="20"/>
              </w:rPr>
            </w:pPr>
          </w:p>
        </w:tc>
        <w:tc>
          <w:tcPr>
            <w:tcW w:w="4536" w:type="dxa"/>
            <w:shd w:val="clear" w:color="auto" w:fill="F2F2F2" w:themeFill="background1" w:themeFillShade="F2"/>
          </w:tcPr>
          <w:p w14:paraId="18FCDC79" w14:textId="77777777" w:rsidR="00D66210" w:rsidRPr="00017BD2" w:rsidRDefault="00D66210" w:rsidP="00017BD2">
            <w:pPr>
              <w:pStyle w:val="NoSpacing"/>
              <w:spacing w:before="0"/>
              <w:rPr>
                <w:rFonts w:cs="Segoe UI"/>
                <w:sz w:val="20"/>
                <w:szCs w:val="20"/>
              </w:rPr>
            </w:pPr>
            <w:r w:rsidRPr="00017BD2">
              <w:rPr>
                <w:rFonts w:cs="Segoe UI"/>
                <w:sz w:val="20"/>
                <w:szCs w:val="20"/>
              </w:rPr>
              <w:t>Institutional Trust</w:t>
            </w:r>
          </w:p>
        </w:tc>
        <w:tc>
          <w:tcPr>
            <w:tcW w:w="1985" w:type="dxa"/>
            <w:shd w:val="clear" w:color="auto" w:fill="F2F2F2" w:themeFill="background1" w:themeFillShade="F2"/>
          </w:tcPr>
          <w:p w14:paraId="37A2C64E" w14:textId="77777777" w:rsidR="00D66210" w:rsidRPr="00017BD2" w:rsidRDefault="00D66210" w:rsidP="00017BD2">
            <w:pPr>
              <w:pStyle w:val="NoSpacing"/>
              <w:spacing w:before="0"/>
              <w:rPr>
                <w:rFonts w:cs="Segoe UI"/>
                <w:sz w:val="20"/>
                <w:szCs w:val="20"/>
              </w:rPr>
            </w:pPr>
            <w:r w:rsidRPr="00017BD2">
              <w:rPr>
                <w:rFonts w:cs="Segoe UI"/>
                <w:sz w:val="20"/>
                <w:szCs w:val="20"/>
              </w:rPr>
              <w:t>Negative</w:t>
            </w:r>
          </w:p>
        </w:tc>
      </w:tr>
      <w:tr w:rsidR="00D66210" w:rsidRPr="00017BD2" w14:paraId="6F7F89AF" w14:textId="77777777" w:rsidTr="00755884">
        <w:trPr>
          <w:trHeight w:val="404"/>
        </w:trPr>
        <w:tc>
          <w:tcPr>
            <w:tcW w:w="2376" w:type="dxa"/>
            <w:shd w:val="clear" w:color="auto" w:fill="F2F2F2" w:themeFill="background1" w:themeFillShade="F2"/>
          </w:tcPr>
          <w:p w14:paraId="2A1F42EC" w14:textId="77777777" w:rsidR="00D66210" w:rsidRPr="00017BD2" w:rsidRDefault="00D66210" w:rsidP="00017BD2">
            <w:pPr>
              <w:pStyle w:val="NoSpacing"/>
              <w:spacing w:before="0"/>
              <w:rPr>
                <w:rFonts w:cs="Segoe UI"/>
                <w:sz w:val="20"/>
                <w:szCs w:val="20"/>
              </w:rPr>
            </w:pPr>
          </w:p>
        </w:tc>
        <w:tc>
          <w:tcPr>
            <w:tcW w:w="4536" w:type="dxa"/>
            <w:shd w:val="clear" w:color="auto" w:fill="F2F2F2" w:themeFill="background1" w:themeFillShade="F2"/>
          </w:tcPr>
          <w:p w14:paraId="0C5717F4" w14:textId="77777777" w:rsidR="00D66210" w:rsidRPr="00017BD2" w:rsidRDefault="00D66210" w:rsidP="00017BD2">
            <w:pPr>
              <w:pStyle w:val="NoSpacing"/>
              <w:spacing w:before="0"/>
              <w:rPr>
                <w:rFonts w:cs="Segoe UI"/>
                <w:sz w:val="20"/>
                <w:szCs w:val="20"/>
              </w:rPr>
            </w:pPr>
            <w:r w:rsidRPr="00017BD2">
              <w:rPr>
                <w:rFonts w:cs="Segoe UI"/>
                <w:sz w:val="20"/>
                <w:szCs w:val="20"/>
              </w:rPr>
              <w:t>Associational Activities</w:t>
            </w:r>
          </w:p>
        </w:tc>
        <w:tc>
          <w:tcPr>
            <w:tcW w:w="1985" w:type="dxa"/>
            <w:shd w:val="clear" w:color="auto" w:fill="F2F2F2" w:themeFill="background1" w:themeFillShade="F2"/>
          </w:tcPr>
          <w:p w14:paraId="043E924F" w14:textId="77777777" w:rsidR="00D66210" w:rsidRPr="00017BD2" w:rsidRDefault="00D66210" w:rsidP="00017BD2">
            <w:pPr>
              <w:pStyle w:val="NoSpacing"/>
              <w:spacing w:before="0"/>
              <w:rPr>
                <w:rFonts w:cs="Segoe UI"/>
                <w:sz w:val="20"/>
                <w:szCs w:val="20"/>
              </w:rPr>
            </w:pPr>
            <w:r w:rsidRPr="00017BD2">
              <w:rPr>
                <w:rFonts w:cs="Segoe UI"/>
                <w:sz w:val="20"/>
                <w:szCs w:val="20"/>
              </w:rPr>
              <w:t>Positive</w:t>
            </w:r>
          </w:p>
        </w:tc>
      </w:tr>
      <w:tr w:rsidR="00D66210" w:rsidRPr="00017BD2" w14:paraId="56244107" w14:textId="77777777" w:rsidTr="00755884">
        <w:trPr>
          <w:trHeight w:val="404"/>
        </w:trPr>
        <w:tc>
          <w:tcPr>
            <w:tcW w:w="2376" w:type="dxa"/>
          </w:tcPr>
          <w:p w14:paraId="52F297C3" w14:textId="77777777" w:rsidR="00D66210" w:rsidRPr="00017BD2" w:rsidRDefault="00D66210" w:rsidP="00017BD2">
            <w:pPr>
              <w:pStyle w:val="NoSpacing"/>
              <w:spacing w:before="0"/>
              <w:rPr>
                <w:rFonts w:cs="Segoe UI"/>
                <w:sz w:val="20"/>
                <w:szCs w:val="20"/>
              </w:rPr>
            </w:pPr>
            <w:r w:rsidRPr="00017BD2">
              <w:rPr>
                <w:rFonts w:cs="Segoe UI"/>
                <w:sz w:val="20"/>
                <w:szCs w:val="20"/>
              </w:rPr>
              <w:t>Political Knowledge</w:t>
            </w:r>
          </w:p>
        </w:tc>
        <w:tc>
          <w:tcPr>
            <w:tcW w:w="4536" w:type="dxa"/>
          </w:tcPr>
          <w:p w14:paraId="3FB4FB04" w14:textId="77777777" w:rsidR="00D66210" w:rsidRPr="00017BD2" w:rsidRDefault="00D66210" w:rsidP="00017BD2">
            <w:pPr>
              <w:pStyle w:val="NoSpacing"/>
              <w:spacing w:before="0"/>
              <w:rPr>
                <w:rFonts w:cs="Segoe UI"/>
                <w:sz w:val="20"/>
                <w:szCs w:val="20"/>
              </w:rPr>
            </w:pPr>
            <w:r w:rsidRPr="00017BD2">
              <w:rPr>
                <w:rFonts w:cs="Segoe UI"/>
                <w:sz w:val="20"/>
                <w:szCs w:val="20"/>
              </w:rPr>
              <w:t>Political Interest</w:t>
            </w:r>
          </w:p>
        </w:tc>
        <w:tc>
          <w:tcPr>
            <w:tcW w:w="1985" w:type="dxa"/>
          </w:tcPr>
          <w:p w14:paraId="1D0EA6DD" w14:textId="77777777" w:rsidR="00D66210" w:rsidRPr="00017BD2" w:rsidRDefault="00D66210" w:rsidP="00017BD2">
            <w:pPr>
              <w:pStyle w:val="NoSpacing"/>
              <w:spacing w:before="0"/>
              <w:rPr>
                <w:rFonts w:cs="Segoe UI"/>
                <w:sz w:val="20"/>
                <w:szCs w:val="20"/>
              </w:rPr>
            </w:pPr>
            <w:r w:rsidRPr="00017BD2">
              <w:rPr>
                <w:rFonts w:cs="Segoe UI"/>
                <w:sz w:val="20"/>
                <w:szCs w:val="20"/>
              </w:rPr>
              <w:t>Positive</w:t>
            </w:r>
          </w:p>
        </w:tc>
      </w:tr>
      <w:tr w:rsidR="00D66210" w:rsidRPr="00017BD2" w14:paraId="1D6F39BC" w14:textId="77777777" w:rsidTr="00292280">
        <w:trPr>
          <w:trHeight w:val="404"/>
        </w:trPr>
        <w:tc>
          <w:tcPr>
            <w:tcW w:w="2376" w:type="dxa"/>
          </w:tcPr>
          <w:p w14:paraId="47DF9417" w14:textId="77777777" w:rsidR="00D66210" w:rsidRPr="00017BD2" w:rsidRDefault="00D66210" w:rsidP="00017BD2">
            <w:pPr>
              <w:pStyle w:val="NoSpacing"/>
              <w:spacing w:before="0"/>
              <w:rPr>
                <w:rFonts w:cs="Segoe UI"/>
                <w:sz w:val="20"/>
                <w:szCs w:val="20"/>
              </w:rPr>
            </w:pPr>
          </w:p>
        </w:tc>
        <w:tc>
          <w:tcPr>
            <w:tcW w:w="4536" w:type="dxa"/>
          </w:tcPr>
          <w:p w14:paraId="67411B6F" w14:textId="77777777" w:rsidR="00D66210" w:rsidRPr="00017BD2" w:rsidRDefault="00D66210" w:rsidP="00017BD2">
            <w:pPr>
              <w:pStyle w:val="NoSpacing"/>
              <w:spacing w:before="0"/>
              <w:rPr>
                <w:rFonts w:cs="Segoe UI"/>
                <w:sz w:val="20"/>
                <w:szCs w:val="20"/>
              </w:rPr>
            </w:pPr>
            <w:r w:rsidRPr="00017BD2">
              <w:rPr>
                <w:rFonts w:cs="Segoe UI"/>
                <w:sz w:val="20"/>
                <w:szCs w:val="20"/>
              </w:rPr>
              <w:t>Media Use</w:t>
            </w:r>
          </w:p>
        </w:tc>
        <w:tc>
          <w:tcPr>
            <w:tcW w:w="1985" w:type="dxa"/>
          </w:tcPr>
          <w:p w14:paraId="47C64C70" w14:textId="77777777" w:rsidR="00D66210" w:rsidRPr="00017BD2" w:rsidRDefault="00D66210" w:rsidP="00017BD2">
            <w:pPr>
              <w:pStyle w:val="NoSpacing"/>
              <w:spacing w:before="0"/>
              <w:rPr>
                <w:rFonts w:cs="Segoe UI"/>
                <w:sz w:val="20"/>
                <w:szCs w:val="20"/>
              </w:rPr>
            </w:pPr>
            <w:r w:rsidRPr="00017BD2">
              <w:rPr>
                <w:rFonts w:cs="Segoe UI"/>
                <w:sz w:val="20"/>
                <w:szCs w:val="20"/>
              </w:rPr>
              <w:t>Positive</w:t>
            </w:r>
          </w:p>
        </w:tc>
      </w:tr>
      <w:tr w:rsidR="00D66210" w:rsidRPr="00017BD2" w14:paraId="4C7B6C23" w14:textId="77777777" w:rsidTr="00755884">
        <w:trPr>
          <w:trHeight w:val="404"/>
        </w:trPr>
        <w:tc>
          <w:tcPr>
            <w:tcW w:w="2376" w:type="dxa"/>
            <w:shd w:val="clear" w:color="auto" w:fill="F2F2F2" w:themeFill="background1" w:themeFillShade="F2"/>
          </w:tcPr>
          <w:p w14:paraId="7C7541F8" w14:textId="77777777" w:rsidR="00D66210" w:rsidRPr="00017BD2" w:rsidRDefault="00D66210" w:rsidP="00017BD2">
            <w:pPr>
              <w:pStyle w:val="NoSpacing"/>
              <w:spacing w:before="0"/>
              <w:rPr>
                <w:rFonts w:cs="Segoe UI"/>
                <w:sz w:val="20"/>
                <w:szCs w:val="20"/>
              </w:rPr>
            </w:pPr>
            <w:r w:rsidRPr="00017BD2">
              <w:rPr>
                <w:rFonts w:cs="Segoe UI"/>
                <w:sz w:val="20"/>
                <w:szCs w:val="20"/>
              </w:rPr>
              <w:t>Religion</w:t>
            </w:r>
          </w:p>
        </w:tc>
        <w:tc>
          <w:tcPr>
            <w:tcW w:w="4536" w:type="dxa"/>
            <w:shd w:val="clear" w:color="auto" w:fill="F2F2F2" w:themeFill="background1" w:themeFillShade="F2"/>
          </w:tcPr>
          <w:p w14:paraId="3970C98B" w14:textId="77777777" w:rsidR="00D66210" w:rsidRPr="00017BD2" w:rsidRDefault="00D66210" w:rsidP="00017BD2">
            <w:pPr>
              <w:pStyle w:val="NoSpacing"/>
              <w:spacing w:before="0"/>
              <w:rPr>
                <w:rFonts w:cs="Segoe UI"/>
                <w:sz w:val="20"/>
                <w:szCs w:val="20"/>
              </w:rPr>
            </w:pPr>
            <w:r w:rsidRPr="00017BD2">
              <w:rPr>
                <w:rFonts w:cs="Segoe UI"/>
                <w:sz w:val="20"/>
                <w:szCs w:val="20"/>
              </w:rPr>
              <w:t>Religiosity</w:t>
            </w:r>
          </w:p>
        </w:tc>
        <w:tc>
          <w:tcPr>
            <w:tcW w:w="1985" w:type="dxa"/>
            <w:shd w:val="clear" w:color="auto" w:fill="F2F2F2" w:themeFill="background1" w:themeFillShade="F2"/>
          </w:tcPr>
          <w:p w14:paraId="36F0BC7A" w14:textId="77777777" w:rsidR="00D66210" w:rsidRPr="00017BD2" w:rsidRDefault="00D66210" w:rsidP="00017BD2">
            <w:pPr>
              <w:pStyle w:val="NoSpacing"/>
              <w:spacing w:before="0"/>
              <w:rPr>
                <w:rFonts w:cs="Segoe UI"/>
                <w:sz w:val="20"/>
                <w:szCs w:val="20"/>
              </w:rPr>
            </w:pPr>
            <w:r w:rsidRPr="00017BD2">
              <w:rPr>
                <w:rFonts w:cs="Segoe UI"/>
                <w:sz w:val="20"/>
                <w:szCs w:val="20"/>
              </w:rPr>
              <w:t>Unclear</w:t>
            </w:r>
          </w:p>
        </w:tc>
      </w:tr>
      <w:tr w:rsidR="00D66210" w:rsidRPr="00017BD2" w14:paraId="39150635" w14:textId="77777777" w:rsidTr="00755884">
        <w:trPr>
          <w:trHeight w:val="404"/>
        </w:trPr>
        <w:tc>
          <w:tcPr>
            <w:tcW w:w="2376" w:type="dxa"/>
            <w:shd w:val="clear" w:color="auto" w:fill="F2F2F2" w:themeFill="background1" w:themeFillShade="F2"/>
          </w:tcPr>
          <w:p w14:paraId="35F0500F" w14:textId="77777777" w:rsidR="00D66210" w:rsidRPr="00017BD2" w:rsidRDefault="00D66210" w:rsidP="00017BD2">
            <w:pPr>
              <w:pStyle w:val="NoSpacing"/>
              <w:spacing w:before="0"/>
              <w:rPr>
                <w:rFonts w:cs="Segoe UI"/>
                <w:sz w:val="20"/>
                <w:szCs w:val="20"/>
              </w:rPr>
            </w:pPr>
          </w:p>
        </w:tc>
        <w:tc>
          <w:tcPr>
            <w:tcW w:w="4536" w:type="dxa"/>
            <w:shd w:val="clear" w:color="auto" w:fill="F2F2F2" w:themeFill="background1" w:themeFillShade="F2"/>
          </w:tcPr>
          <w:p w14:paraId="5F3C2504" w14:textId="77777777" w:rsidR="00D66210" w:rsidRPr="00017BD2" w:rsidRDefault="00D66210" w:rsidP="00017BD2">
            <w:pPr>
              <w:pStyle w:val="NoSpacing"/>
              <w:spacing w:before="0"/>
              <w:rPr>
                <w:rFonts w:cs="Segoe UI"/>
                <w:sz w:val="20"/>
                <w:szCs w:val="20"/>
              </w:rPr>
            </w:pPr>
            <w:r w:rsidRPr="00017BD2">
              <w:rPr>
                <w:rFonts w:cs="Segoe UI"/>
                <w:sz w:val="20"/>
                <w:szCs w:val="20"/>
              </w:rPr>
              <w:t>Denomination</w:t>
            </w:r>
          </w:p>
        </w:tc>
        <w:tc>
          <w:tcPr>
            <w:tcW w:w="1985" w:type="dxa"/>
            <w:shd w:val="clear" w:color="auto" w:fill="F2F2F2" w:themeFill="background1" w:themeFillShade="F2"/>
          </w:tcPr>
          <w:p w14:paraId="2164F4EE" w14:textId="77777777" w:rsidR="00D66210" w:rsidRPr="00017BD2" w:rsidRDefault="00D66210" w:rsidP="00017BD2">
            <w:pPr>
              <w:pStyle w:val="NoSpacing"/>
              <w:spacing w:before="0"/>
              <w:rPr>
                <w:rFonts w:cs="Segoe UI"/>
                <w:sz w:val="20"/>
                <w:szCs w:val="20"/>
              </w:rPr>
            </w:pPr>
            <w:r w:rsidRPr="00017BD2">
              <w:rPr>
                <w:rFonts w:cs="Segoe UI"/>
                <w:sz w:val="20"/>
                <w:szCs w:val="20"/>
              </w:rPr>
              <w:t>Unclear</w:t>
            </w:r>
          </w:p>
        </w:tc>
      </w:tr>
    </w:tbl>
    <w:p w14:paraId="769BFE7C" w14:textId="77777777" w:rsidR="00D66210" w:rsidRPr="00577217" w:rsidRDefault="00D66210" w:rsidP="00D66210">
      <w:pPr>
        <w:pStyle w:val="Heading2"/>
      </w:pPr>
      <w:bookmarkStart w:id="367" w:name="_Toc441069043"/>
      <w:bookmarkStart w:id="368" w:name="_Toc441069283"/>
      <w:bookmarkStart w:id="369" w:name="_Toc494034235"/>
      <w:r w:rsidRPr="00577217">
        <w:t>6.3 Contextual Theories</w:t>
      </w:r>
      <w:bookmarkEnd w:id="367"/>
      <w:bookmarkEnd w:id="368"/>
      <w:bookmarkEnd w:id="369"/>
    </w:p>
    <w:p w14:paraId="71E7A0D8" w14:textId="0B977720" w:rsidR="00D66210" w:rsidRPr="00D852C0" w:rsidRDefault="00D66210" w:rsidP="00D66210">
      <w:r w:rsidRPr="00D852C0">
        <w:t xml:space="preserve">The impact of context on political participation has </w:t>
      </w:r>
      <w:r w:rsidR="00D4366D">
        <w:t xml:space="preserve">of course </w:t>
      </w:r>
      <w:r w:rsidRPr="00D852C0">
        <w:t>been heavily researched by addressing issues such as political culture, economic development</w:t>
      </w:r>
      <w:r w:rsidR="000B31C3">
        <w:t>,</w:t>
      </w:r>
      <w:r w:rsidRPr="00D852C0">
        <w:t xml:space="preserve"> and type of political system</w:t>
      </w:r>
      <w:r w:rsidR="004F059F">
        <w:t xml:space="preserve"> </w:t>
      </w:r>
      <w:r w:rsidR="004F059F">
        <w:fldChar w:fldCharType="begin" w:fldLock="1"/>
      </w:r>
      <w:r w:rsidR="00E63CC6">
        <w:instrText>ADDIN CSL_CITATION { "citationItems" : [ { "id" : "ITEM-1", "itemData" : { "DOI" : "10.1017/S000712340999038X", "ISSN" : "0007-1234", "author" : [ { "dropping-particle" : "", "family" : "Dalton", "given" : "R.", "non-dropping-particle" : "", "parse-names" : false, "suffix" : "" }, { "dropping-particle" : "", "family" : "Sickle", "given" : "Alix", "non-dropping-particle" : "van", "parse-names" : false, "suffix" : "" }, { "dropping-particle" : "", "family" : "Weldon", "given" : "Steven", "non-dropping-particle" : "", "parse-names" : false, "suffix" : "" } ], "container-title" : "British Journal of Political Science", "id" : "ITEM-1", "issue" : "01", "issued" : { "date-parts" : [ [ "2009", "12", "8" ] ] }, "page" : "51-73", "title" : "The Individual\u2013Institutional Nexus of Protest Behaviour", "type" : "article-journal", "volume" : "40" }, "uris" : [ "http://www.mendeley.com/documents/?uuid=8b82cc70-29fc-4963-96dc-277702cfacf9" ] }, { "id" : "ITEM-2", "itemData" : { "author" : [ { "dropping-particle" : "", "family" : "Klingemann", "given" : "Hans-Dieter", "non-dropping-particle" : "", "parse-names" : false, "suffix" : "" } ], "container-title" : "The Comparative Study of Electoral Systems", "editor" : [ { "dropping-particle" : "", "family" : "Klingemann", "given" : "Hans-Dieter", "non-dropping-particle" : "", "parse-names" : false, "suffix" : "" } ], "id" : "ITEM-2", "issued" : { "date-parts" : [ [ "2009" ] ] }, "publisher" : "Oxford University Press", "publisher-place" : "Oxford", "title" : "The Impact of Political Institutions: A Contribution of the \"Comparative Study of Electoral Systems\" (CSES) to Micro-Macro Theories of Political Attitude Formation and Voting Behaviour", "type" : "chapter" }, "uris" : [ "http://www.mendeley.com/documents/?uuid=40664d49-2b66-458d-844e-90c4d2b643d3" ] }, { "id" : "ITEM-3", "itemData" : { "DOI" : "10.1002/9781444355093.ch35", "ISBN" : "9781444330939", "ISSN" : "0360-0572", "author" : [ { "dropping-particle" : "", "family" : "Meyer", "given" : "David S.", "non-dropping-particle" : "", "parse-names" : false, "suffix" : "" } ], "container-title" : "Annual Review of Sociology", "id" : "ITEM-3", "issued" : { "date-parts" : [ [ "2004" ] ] }, "page" : "125-145", "title" : "Protest and Political Process", "type" : "article-journal", "volume" : "30" }, "uris" : [ "http://www.mendeley.com/documents/?uuid=80671bff-51f7-4281-8a00-23ffb351f1b9" ] }, { "id" : "ITEM-4", "itemData" : { "author" : [ { "dropping-particle" : "", "family" : "Kriesi", "given" : "Hanspeter", "non-dropping-particle" : "", "parse-names" : false, "suffix" : "" }, { "dropping-particle" : "", "family" : "Hoopmans", "given" : "R", "non-dropping-particle" : "", "parse-names" : false, "suffix" : "" }, { "dropping-particle" : "", "family" : "Duyvendak", "given" : "JW", "non-dropping-particle" : "", "parse-names" : false, "suffix" : "" }, { "dropping-particle" : "", "family" : "Giugni", "given" : "M", "non-dropping-particle" : "", "parse-names" : false, "suffix" : "" } ], "id" : "ITEM-4", "issued" : { "date-parts" : [ [ "1995" ] ] }, "publisher" : "University College of London Press", "publisher-place" : "London", "title" : "Th Politics of New Social Movements in Western Europe", "type" : "book" }, "uris" : [ "http://www.mendeley.com/documents/?uuid=e5c36806-9ef2-4b57-b5c5-6d698e771a8d" ] }, { "id" : "ITEM-5", "itemData" : { "DOI" : "10.1017/S000712340000380X", "ISBN" : "0007123400071234", "ISSN" : "0007-1234", "PMID" : "193981", "abstract" : "Argues that mobilisation of the movement is dependent on the POS -\\nmore open one leads to litigation and lobby, while the closed on\\nmeans confortational actions argues also that the impact of the movement\\nis not clearly related to its mobilisation (no of participamants\\nor protests), but more determined by the political strucuture - countries\\nwith strong implementation capacity allow also more movement impact.\\nCapacity is dependent on the degree of control over finance sector,\\npolicy effectiveness (independent judiciary) and centralised system\\n\\nSweden and France have strong political output strucutres - US and\\nGermany weak ones. Closed system and strong capacity gives to elite\\noptions for influence the policy, but not people\\n\\nOpen and strong system (like Sweden) are best for policy change. Weak\\nimplementaion capacity gives opportunity to oppose the policy, but\\ndepending on its closeness or openness, it is possible only, it open.", "author" : [ { "dropping-particle" : "", "family" : "Kitschelt", "given" : "Herbert", "non-dropping-particle" : "", "parse-names" : false, "suffix" : "" } ], "container-title" : "British Journal of Political Science", "id" : "ITEM-5", "issue" : "1", "issued" : { "date-parts" : [ [ "1986" ] ] }, "page" : "57-85", "title" : "Political Opportunity Structures and Political Protest: Anti-Nuclear Movement in Four Democracies", "type" : "article-journal", "volume" : "16" }, "uris" : [ "http://www.mendeley.com/documents/?uuid=3bb29373-65dc-4ed9-b73a-577a5e28c280" ] } ], "mendeley" : { "formattedCitation" : "(Kitschelt, 1986; Kriesi &lt;i&gt;et al.&lt;/i&gt;, 1995; Meyer, 2004; Dalton, van Sickle and Weldon, 2009; Klingemann, 2009)", "plainTextFormattedCitation" : "(Kitschelt, 1986; Kriesi et al., 1995; Meyer, 2004; Dalton, van Sickle and Weldon, 2009; Klingemann, 2009)", "previouslyFormattedCitation" : "(Kitschelt, 1986; Kriesi &lt;i&gt;et al.&lt;/i&gt;, 1995; Meyer, 2004; Dalton, van Sickle and Weldon, 2009; Klingemann, 2009)" }, "properties" : { "noteIndex" : 0 }, "schema" : "https://github.com/citation-style-language/schema/raw/master/csl-citation.json" }</w:instrText>
      </w:r>
      <w:r w:rsidR="004F059F">
        <w:fldChar w:fldCharType="separate"/>
      </w:r>
      <w:r w:rsidR="00E63CC6" w:rsidRPr="00E63CC6">
        <w:rPr>
          <w:noProof/>
        </w:rPr>
        <w:t xml:space="preserve">(Kitschelt, 1986; Kriesi </w:t>
      </w:r>
      <w:r w:rsidR="00E63CC6" w:rsidRPr="00E63CC6">
        <w:rPr>
          <w:i/>
          <w:noProof/>
        </w:rPr>
        <w:t>et al.</w:t>
      </w:r>
      <w:r w:rsidR="00E63CC6" w:rsidRPr="00E63CC6">
        <w:rPr>
          <w:noProof/>
        </w:rPr>
        <w:t>, 1995; Meyer, 2004; Dalton, van Sickle and Weldon, 2009; Klingemann, 2009)</w:t>
      </w:r>
      <w:r w:rsidR="004F059F">
        <w:fldChar w:fldCharType="end"/>
      </w:r>
      <w:r w:rsidR="00611D31">
        <w:t>.</w:t>
      </w:r>
      <w:r w:rsidRPr="00D852C0">
        <w:t xml:space="preserve"> In a number of ways, the expectations at the contextual level are the same as those for the understandings of democracy, and so this sec</w:t>
      </w:r>
      <w:r w:rsidR="000B31C3">
        <w:t xml:space="preserve">tion overview will be brief. </w:t>
      </w:r>
      <w:r w:rsidRPr="00D852C0">
        <w:t xml:space="preserve">The contextual measures tested here </w:t>
      </w:r>
      <w:r w:rsidR="00755884">
        <w:t xml:space="preserve">are </w:t>
      </w:r>
      <w:r w:rsidR="00706E8F">
        <w:t>also the same as in C</w:t>
      </w:r>
      <w:r w:rsidRPr="00D852C0">
        <w:t>hapter 5: development, press freedom, currently or formerly communist regimes, history of democracy, level of freedom and Huntington’s civilizational classifications.</w:t>
      </w:r>
    </w:p>
    <w:p w14:paraId="5E1267AB" w14:textId="28547944" w:rsidR="00D66210" w:rsidRPr="00D852C0" w:rsidRDefault="00D66210" w:rsidP="00D66210">
      <w:r w:rsidRPr="00D852C0">
        <w:t>Higher levels of development are expected to produce higher levels of informal participation, as citizens gain the time and resources to pursue post-material interests. A free press is expected to also increase the likelihood of protest, as a free media allows information to flow to citizens on issues that they might be concerned about. Countries with a longer history of democracy, a current classification as Free, and without a communist legacy are expected to have higher levels of participation than countries with a shorter or patchier history of democracy, weaker freedom scores, or a communist legacy, as the former all have more open political opportunity structures for citizen engagement</w:t>
      </w:r>
      <w:r w:rsidR="00755884">
        <w:t xml:space="preserve"> </w:t>
      </w:r>
      <w:r w:rsidR="00755884">
        <w:fldChar w:fldCharType="begin" w:fldLock="1"/>
      </w:r>
      <w:r w:rsidR="00E63CC6">
        <w:instrText>ADDIN CSL_CITATION { "citationItems" : [ { "id" : "ITEM-1", "itemData" : { "DOI" : "10.1177/0010414013488538", "ISSN" : "0010-4140", "author" : [ { "dropping-particle" : "", "family" : "Vrablikova", "given" : "K.", "non-dropping-particle" : "", "parse-names" : false, "suffix" : "" } ], "container-title" : "Comparative Political Studies", "id" : "ITEM-1", "issue" : "2", "issued" : { "date-parts" : [ [ "2013", "6", "4" ] ] }, "page" : "203-229", "title" : "How Context Matters? Mobilization, Political Opportunity Structures, and Nonelectoral Political Participation in Old and New Democracies", "type" : "article-journal", "volume" : "47" }, "uris" : [ "http://www.mendeley.com/documents/?uuid=3a07a17f-f121-41bf-9563-2a516b9dbdc9" ] } ], "mendeley" : { "formattedCitation" : "(Vrablikova, 2013)", "plainTextFormattedCitation" : "(Vrablikova, 2013)", "previouslyFormattedCitation" : "(Vrablikova, 2013)" }, "properties" : { "noteIndex" : 0 }, "schema" : "https://github.com/citation-style-language/schema/raw/master/csl-citation.json" }</w:instrText>
      </w:r>
      <w:r w:rsidR="00755884">
        <w:fldChar w:fldCharType="separate"/>
      </w:r>
      <w:r w:rsidR="00E63CC6" w:rsidRPr="00E63CC6">
        <w:rPr>
          <w:noProof/>
        </w:rPr>
        <w:t>(Vrablikova, 2013)</w:t>
      </w:r>
      <w:r w:rsidR="00755884">
        <w:fldChar w:fldCharType="end"/>
      </w:r>
      <w:r w:rsidRPr="00D852C0">
        <w:t xml:space="preserve">. </w:t>
      </w:r>
    </w:p>
    <w:p w14:paraId="031FE5DD" w14:textId="4179F5F5" w:rsidR="00D66210" w:rsidRPr="00D852C0" w:rsidRDefault="00D66210" w:rsidP="00D66210">
      <w:r w:rsidRPr="00D852C0">
        <w:t>The possible impacts of the two remaining contextual measures on informal participation are more contested.</w:t>
      </w:r>
      <w:r w:rsidR="00D4366D">
        <w:t xml:space="preserve"> The issues of inequality and democracy were outlined in the previous chapter, Section 5.2 </w:t>
      </w:r>
      <w:r w:rsidR="00755884">
        <w:t>(</w:t>
      </w:r>
      <w:r w:rsidR="00D4366D">
        <w:t xml:space="preserve">see </w:t>
      </w:r>
      <w:r w:rsidR="00D4366D">
        <w:fldChar w:fldCharType="begin" w:fldLock="1"/>
      </w:r>
      <w:r w:rsidR="00E63CC6">
        <w:instrText>ADDIN CSL_CITATION { "citationItems" : [ { "id" : "ITEM-1", "itemData" : { "author" : [ { "dropping-particle" : "", "family" : "Ansell", "given" : "B.W.", "non-dropping-particle" : "", "parse-names" : false, "suffix" : "" }, { "dropping-particle" : "", "family" : "Samuels", "given" : "D.J.", "non-dropping-particle" : "", "parse-names" : false, "suffix" : "" } ], "id" : "ITEM-1", "issued" : { "date-parts" : [ [ "2014" ] ] }, "publisher" : "Cambridge University Press", "publisher-place" : "Cambridge", "title" : "Inequality and Democratization: An Elite-Competition Approach", "type" : "book" }, "uris" : [ "http://www.mendeley.com/documents/?uuid=8d01b968-0b97-40c7-ac03-98aa7b433119" ] }, { "id" : "ITEM-2", "itemData" : { "author" : [ { "dropping-particle" : "", "family" : "Boix", "given" : "C.", "non-dropping-particle" : "", "parse-names" : false, "suffix" : "" } ], "id" : "ITEM-2", "issued" : { "date-parts" : [ [ "2003" ] ] }, "publisher" : "Cambridge University Press", "publisher-place" : "Cambridge", "title" : "Democracy and Redistribution", "type" : "book" }, "uris" : [ "http://www.mendeley.com/documents/?uuid=97ffbb21-ec68-4129-b5a1-bfdc4cb08382" ] }, { "id" : "ITEM-3", "itemData" : { "author" : [ { "dropping-particle" : "", "family" : "Acemoglu", "given" : "D", "non-dropping-particle" : "", "parse-names" : false, "suffix" : "" }, { "dropping-particle" : "", "family" : "Robinson", "given" : "J. A.", "non-dropping-particle" : "", "parse-names" : false, "suffix" : "" } ], "id" : "ITEM-3", "issued" : { "date-parts" : [ [ "2006" ] ] }, "publisher" : "Cambridge University Press", "publisher-place" : "Cambridge", "title" : "Economic Origins of Dictatorship and Democracy", "type" : "book" }, "uris" : [ "http://www.mendeley.com/documents/?uuid=8d7c15a0-43a2-4ab1-83d6-67004f6174ab" ] } ], "mendeley" : { "formattedCitation" : "(Boix, 2003; Acemoglu and Robinson, 2006; Ansell and Samuels, 2014)", "manualFormatting" : "Ansell &amp; Samuels 2014, Boix 2003 and Acemoglu &amp; Robinson 2006)", "plainTextFormattedCitation" : "(Boix, 2003; Acemoglu and Robinson, 2006; Ansell and Samuels, 2014)", "previouslyFormattedCitation" : "(Boix, 2003; Acemoglu and Robinson, 2006; Ansell and Samuels, 2014)" }, "properties" : { "noteIndex" : 0 }, "schema" : "https://github.com/citation-style-language/schema/raw/master/csl-citation.json" }</w:instrText>
      </w:r>
      <w:r w:rsidR="00D4366D">
        <w:fldChar w:fldCharType="separate"/>
      </w:r>
      <w:r w:rsidR="00D4366D">
        <w:rPr>
          <w:noProof/>
        </w:rPr>
        <w:t>Ansell &amp; Samuels 2014, Boix 2003 and</w:t>
      </w:r>
      <w:r w:rsidR="00D4366D" w:rsidRPr="00D4366D">
        <w:rPr>
          <w:noProof/>
        </w:rPr>
        <w:t xml:space="preserve"> Acemoglu &amp; Robinson 2006)</w:t>
      </w:r>
      <w:r w:rsidR="00D4366D">
        <w:fldChar w:fldCharType="end"/>
      </w:r>
      <w:r w:rsidR="00D4366D">
        <w:t>.</w:t>
      </w:r>
      <w:r w:rsidRPr="00D852C0">
        <w:t xml:space="preserve"> Higher levels of inequality could potential</w:t>
      </w:r>
      <w:r w:rsidR="00C01FB2">
        <w:t>ly have</w:t>
      </w:r>
      <w:r w:rsidRPr="00D852C0">
        <w:t xml:space="preserve"> opposite effects. A more unequal society could lead to more participation, as people strive to balance out what they see as an unfair playing field; this aligns with grievance theory. Or, a more unequal society could deprive people of resources and foster apathy, as it becomes too difficult to challenge the status quo; this aligns with resource theory. </w:t>
      </w:r>
    </w:p>
    <w:p w14:paraId="7F2B903D" w14:textId="3CDDC24E" w:rsidR="000B31C3" w:rsidRPr="00D852C0" w:rsidRDefault="00D66210" w:rsidP="00D66210">
      <w:r w:rsidRPr="00D852C0">
        <w:t>Figure 6.2 summarizes the expected relationship between informal political participation and national context.</w:t>
      </w:r>
    </w:p>
    <w:p w14:paraId="3702BDD8" w14:textId="7BC65897" w:rsidR="00D66210" w:rsidRPr="00717D00" w:rsidRDefault="00D66210" w:rsidP="00D66210">
      <w:pPr>
        <w:pStyle w:val="Caption"/>
        <w:rPr>
          <w:rFonts w:ascii="Segoe UI" w:hAnsi="Segoe UI" w:cs="Segoe UI"/>
          <w:i w:val="0"/>
          <w:color w:val="000000" w:themeColor="text1"/>
        </w:rPr>
      </w:pPr>
      <w:bookmarkStart w:id="370" w:name="_Toc494687189"/>
      <w:r w:rsidRPr="00717D00">
        <w:rPr>
          <w:rFonts w:ascii="Segoe UI" w:hAnsi="Segoe UI" w:cs="Segoe UI"/>
          <w:i w:val="0"/>
        </w:rPr>
        <w:t xml:space="preserve">Figure </w:t>
      </w:r>
      <w:r w:rsidR="00C96822" w:rsidRPr="00717D00">
        <w:rPr>
          <w:rFonts w:ascii="Segoe UI" w:hAnsi="Segoe UI" w:cs="Segoe UI"/>
          <w:i w:val="0"/>
        </w:rPr>
        <w:fldChar w:fldCharType="begin"/>
      </w:r>
      <w:r w:rsidR="00C96822" w:rsidRPr="00717D00">
        <w:rPr>
          <w:rFonts w:ascii="Segoe UI" w:hAnsi="Segoe UI" w:cs="Segoe UI"/>
          <w:i w:val="0"/>
        </w:rPr>
        <w:instrText xml:space="preserve"> STYLEREF 1 \s </w:instrText>
      </w:r>
      <w:r w:rsidR="00C96822" w:rsidRPr="00717D00">
        <w:rPr>
          <w:rFonts w:ascii="Segoe UI" w:hAnsi="Segoe UI" w:cs="Segoe UI"/>
          <w:i w:val="0"/>
        </w:rPr>
        <w:fldChar w:fldCharType="separate"/>
      </w:r>
      <w:r w:rsidR="00306E67" w:rsidRPr="00717D00">
        <w:rPr>
          <w:rFonts w:ascii="Segoe UI" w:hAnsi="Segoe UI" w:cs="Segoe UI"/>
          <w:i w:val="0"/>
          <w:noProof/>
        </w:rPr>
        <w:t>6</w:t>
      </w:r>
      <w:r w:rsidR="00C96822" w:rsidRPr="00717D00">
        <w:rPr>
          <w:rFonts w:ascii="Segoe UI" w:hAnsi="Segoe UI" w:cs="Segoe UI"/>
          <w:i w:val="0"/>
          <w:noProof/>
        </w:rPr>
        <w:fldChar w:fldCharType="end"/>
      </w:r>
      <w:r w:rsidR="00D9151E" w:rsidRPr="00717D00">
        <w:rPr>
          <w:rFonts w:ascii="Segoe UI" w:hAnsi="Segoe UI" w:cs="Segoe UI"/>
          <w:i w:val="0"/>
        </w:rPr>
        <w:t>:</w:t>
      </w:r>
      <w:r w:rsidR="00C96822" w:rsidRPr="00717D00">
        <w:rPr>
          <w:rFonts w:ascii="Segoe UI" w:hAnsi="Segoe UI" w:cs="Segoe UI"/>
          <w:i w:val="0"/>
        </w:rPr>
        <w:fldChar w:fldCharType="begin"/>
      </w:r>
      <w:r w:rsidR="00C96822" w:rsidRPr="00717D00">
        <w:rPr>
          <w:rFonts w:ascii="Segoe UI" w:hAnsi="Segoe UI" w:cs="Segoe UI"/>
          <w:i w:val="0"/>
        </w:rPr>
        <w:instrText xml:space="preserve"> SEQ Figure \* ARABIC \s 1 </w:instrText>
      </w:r>
      <w:r w:rsidR="00C96822" w:rsidRPr="00717D00">
        <w:rPr>
          <w:rFonts w:ascii="Segoe UI" w:hAnsi="Segoe UI" w:cs="Segoe UI"/>
          <w:i w:val="0"/>
        </w:rPr>
        <w:fldChar w:fldCharType="separate"/>
      </w:r>
      <w:r w:rsidR="00306E67" w:rsidRPr="00717D00">
        <w:rPr>
          <w:rFonts w:ascii="Segoe UI" w:hAnsi="Segoe UI" w:cs="Segoe UI"/>
          <w:i w:val="0"/>
          <w:noProof/>
        </w:rPr>
        <w:t>2</w:t>
      </w:r>
      <w:r w:rsidR="00C96822" w:rsidRPr="00717D00">
        <w:rPr>
          <w:rFonts w:ascii="Segoe UI" w:hAnsi="Segoe UI" w:cs="Segoe UI"/>
          <w:i w:val="0"/>
          <w:noProof/>
        </w:rPr>
        <w:fldChar w:fldCharType="end"/>
      </w:r>
      <w:r w:rsidRPr="00717D00">
        <w:rPr>
          <w:rFonts w:ascii="Segoe UI" w:hAnsi="Segoe UI" w:cs="Segoe UI"/>
          <w:i w:val="0"/>
        </w:rPr>
        <w:t xml:space="preserve"> Contextual Theoretical Predictions and Test Variables</w:t>
      </w:r>
      <w:bookmarkEnd w:id="370"/>
    </w:p>
    <w:tbl>
      <w:tblPr>
        <w:tblW w:w="8897" w:type="dxa"/>
        <w:tblLook w:val="04A0" w:firstRow="1" w:lastRow="0" w:firstColumn="1" w:lastColumn="0" w:noHBand="0" w:noVBand="1"/>
      </w:tblPr>
      <w:tblGrid>
        <w:gridCol w:w="2518"/>
        <w:gridCol w:w="3402"/>
        <w:gridCol w:w="2977"/>
      </w:tblGrid>
      <w:tr w:rsidR="00D66210" w:rsidRPr="00264CDF" w14:paraId="4BD720D1" w14:textId="77777777" w:rsidTr="00C01FB2">
        <w:trPr>
          <w:trHeight w:val="404"/>
        </w:trPr>
        <w:tc>
          <w:tcPr>
            <w:tcW w:w="2518" w:type="dxa"/>
            <w:tcBorders>
              <w:bottom w:val="single" w:sz="4" w:space="0" w:color="auto"/>
            </w:tcBorders>
            <w:shd w:val="clear" w:color="auto" w:fill="auto"/>
          </w:tcPr>
          <w:p w14:paraId="7F39C641" w14:textId="77777777" w:rsidR="00D66210" w:rsidRPr="000B31C3" w:rsidRDefault="00D66210" w:rsidP="00292280">
            <w:pPr>
              <w:pStyle w:val="NoSpacing"/>
              <w:rPr>
                <w:b/>
                <w:color w:val="000000" w:themeColor="text1"/>
                <w:sz w:val="20"/>
                <w:szCs w:val="20"/>
              </w:rPr>
            </w:pPr>
            <w:r w:rsidRPr="000B31C3">
              <w:rPr>
                <w:b/>
                <w:color w:val="000000" w:themeColor="text1"/>
                <w:sz w:val="20"/>
                <w:szCs w:val="20"/>
              </w:rPr>
              <w:t>Contextual Theory</w:t>
            </w:r>
          </w:p>
        </w:tc>
        <w:tc>
          <w:tcPr>
            <w:tcW w:w="3402" w:type="dxa"/>
            <w:tcBorders>
              <w:bottom w:val="single" w:sz="4" w:space="0" w:color="auto"/>
            </w:tcBorders>
            <w:shd w:val="clear" w:color="auto" w:fill="auto"/>
          </w:tcPr>
          <w:p w14:paraId="6677B40E" w14:textId="77777777" w:rsidR="00D66210" w:rsidRPr="000B31C3" w:rsidRDefault="00D66210" w:rsidP="00292280">
            <w:pPr>
              <w:pStyle w:val="NoSpacing"/>
              <w:rPr>
                <w:b/>
                <w:color w:val="000000" w:themeColor="text1"/>
                <w:sz w:val="20"/>
                <w:szCs w:val="20"/>
              </w:rPr>
            </w:pPr>
            <w:r w:rsidRPr="000B31C3">
              <w:rPr>
                <w:b/>
                <w:color w:val="000000" w:themeColor="text1"/>
                <w:sz w:val="20"/>
                <w:szCs w:val="20"/>
              </w:rPr>
              <w:t>Test Variables</w:t>
            </w:r>
          </w:p>
        </w:tc>
        <w:tc>
          <w:tcPr>
            <w:tcW w:w="2977" w:type="dxa"/>
            <w:tcBorders>
              <w:bottom w:val="single" w:sz="4" w:space="0" w:color="auto"/>
            </w:tcBorders>
            <w:shd w:val="clear" w:color="auto" w:fill="auto"/>
          </w:tcPr>
          <w:p w14:paraId="19437473" w14:textId="77777777" w:rsidR="00D66210" w:rsidRPr="000B31C3" w:rsidRDefault="00D66210" w:rsidP="00292280">
            <w:pPr>
              <w:pStyle w:val="NoSpacing"/>
              <w:rPr>
                <w:b/>
                <w:color w:val="000000" w:themeColor="text1"/>
                <w:sz w:val="20"/>
                <w:szCs w:val="20"/>
              </w:rPr>
            </w:pPr>
            <w:r w:rsidRPr="000B31C3">
              <w:rPr>
                <w:b/>
                <w:color w:val="000000" w:themeColor="text1"/>
                <w:sz w:val="20"/>
                <w:szCs w:val="20"/>
              </w:rPr>
              <w:t>Predicted Relationship</w:t>
            </w:r>
          </w:p>
        </w:tc>
      </w:tr>
      <w:tr w:rsidR="00D66210" w:rsidRPr="00264CDF" w14:paraId="6402738D" w14:textId="77777777" w:rsidTr="00C01FB2">
        <w:trPr>
          <w:trHeight w:val="404"/>
        </w:trPr>
        <w:tc>
          <w:tcPr>
            <w:tcW w:w="2518" w:type="dxa"/>
            <w:tcBorders>
              <w:top w:val="single" w:sz="4" w:space="0" w:color="auto"/>
            </w:tcBorders>
          </w:tcPr>
          <w:p w14:paraId="1712BEE1" w14:textId="77777777" w:rsidR="00D66210" w:rsidRPr="00264CDF" w:rsidRDefault="00D66210" w:rsidP="00292280">
            <w:pPr>
              <w:pStyle w:val="NoSpacing"/>
              <w:rPr>
                <w:sz w:val="20"/>
                <w:szCs w:val="20"/>
              </w:rPr>
            </w:pPr>
            <w:r w:rsidRPr="00264CDF">
              <w:rPr>
                <w:sz w:val="20"/>
                <w:szCs w:val="20"/>
              </w:rPr>
              <w:t>Modernization</w:t>
            </w:r>
          </w:p>
        </w:tc>
        <w:tc>
          <w:tcPr>
            <w:tcW w:w="3402" w:type="dxa"/>
            <w:tcBorders>
              <w:top w:val="single" w:sz="4" w:space="0" w:color="auto"/>
            </w:tcBorders>
          </w:tcPr>
          <w:p w14:paraId="4531861E" w14:textId="77777777" w:rsidR="00D66210" w:rsidRPr="00264CDF" w:rsidRDefault="00D66210" w:rsidP="00292280">
            <w:pPr>
              <w:pStyle w:val="NoSpacing"/>
              <w:rPr>
                <w:sz w:val="20"/>
                <w:szCs w:val="20"/>
              </w:rPr>
            </w:pPr>
            <w:r w:rsidRPr="00264CDF">
              <w:rPr>
                <w:sz w:val="20"/>
                <w:szCs w:val="20"/>
              </w:rPr>
              <w:t>HDI</w:t>
            </w:r>
          </w:p>
        </w:tc>
        <w:tc>
          <w:tcPr>
            <w:tcW w:w="2977" w:type="dxa"/>
            <w:tcBorders>
              <w:top w:val="single" w:sz="4" w:space="0" w:color="auto"/>
            </w:tcBorders>
          </w:tcPr>
          <w:p w14:paraId="17F31893" w14:textId="77777777" w:rsidR="00D66210" w:rsidRPr="00264CDF" w:rsidRDefault="00D66210" w:rsidP="00292280">
            <w:pPr>
              <w:pStyle w:val="NoSpacing"/>
              <w:rPr>
                <w:sz w:val="20"/>
                <w:szCs w:val="20"/>
              </w:rPr>
            </w:pPr>
            <w:r w:rsidRPr="00264CDF">
              <w:rPr>
                <w:sz w:val="20"/>
                <w:szCs w:val="20"/>
              </w:rPr>
              <w:t>Positive</w:t>
            </w:r>
          </w:p>
        </w:tc>
      </w:tr>
      <w:tr w:rsidR="00D66210" w:rsidRPr="00264CDF" w14:paraId="62D431B5" w14:textId="77777777" w:rsidTr="00292280">
        <w:trPr>
          <w:trHeight w:val="404"/>
        </w:trPr>
        <w:tc>
          <w:tcPr>
            <w:tcW w:w="2518" w:type="dxa"/>
          </w:tcPr>
          <w:p w14:paraId="4D17D23F" w14:textId="77777777" w:rsidR="00D66210" w:rsidRPr="00264CDF" w:rsidRDefault="00D66210" w:rsidP="00292280">
            <w:pPr>
              <w:pStyle w:val="NoSpacing"/>
              <w:rPr>
                <w:sz w:val="20"/>
                <w:szCs w:val="20"/>
              </w:rPr>
            </w:pPr>
          </w:p>
        </w:tc>
        <w:tc>
          <w:tcPr>
            <w:tcW w:w="3402" w:type="dxa"/>
          </w:tcPr>
          <w:p w14:paraId="25E9958D" w14:textId="77777777" w:rsidR="00D66210" w:rsidRPr="00264CDF" w:rsidRDefault="00D66210" w:rsidP="00292280">
            <w:pPr>
              <w:pStyle w:val="NoSpacing"/>
              <w:rPr>
                <w:sz w:val="20"/>
                <w:szCs w:val="20"/>
              </w:rPr>
            </w:pPr>
          </w:p>
        </w:tc>
        <w:tc>
          <w:tcPr>
            <w:tcW w:w="2977" w:type="dxa"/>
          </w:tcPr>
          <w:p w14:paraId="0D1B13D3" w14:textId="77777777" w:rsidR="00D66210" w:rsidRPr="00264CDF" w:rsidRDefault="00D66210" w:rsidP="00292280">
            <w:pPr>
              <w:pStyle w:val="NoSpacing"/>
              <w:rPr>
                <w:sz w:val="20"/>
                <w:szCs w:val="20"/>
              </w:rPr>
            </w:pPr>
          </w:p>
        </w:tc>
      </w:tr>
      <w:tr w:rsidR="00D66210" w:rsidRPr="00264CDF" w14:paraId="6EFFFB92" w14:textId="77777777" w:rsidTr="00C01FB2">
        <w:trPr>
          <w:trHeight w:val="404"/>
        </w:trPr>
        <w:tc>
          <w:tcPr>
            <w:tcW w:w="2518" w:type="dxa"/>
            <w:shd w:val="clear" w:color="auto" w:fill="F2F2F2" w:themeFill="background1" w:themeFillShade="F2"/>
          </w:tcPr>
          <w:p w14:paraId="0183E578" w14:textId="77777777" w:rsidR="00D66210" w:rsidRPr="00264CDF" w:rsidRDefault="00D66210" w:rsidP="00292280">
            <w:pPr>
              <w:pStyle w:val="NoSpacing"/>
              <w:rPr>
                <w:sz w:val="20"/>
                <w:szCs w:val="20"/>
              </w:rPr>
            </w:pPr>
            <w:r w:rsidRPr="00264CDF">
              <w:rPr>
                <w:sz w:val="20"/>
                <w:szCs w:val="20"/>
              </w:rPr>
              <w:t>Socialization</w:t>
            </w:r>
          </w:p>
        </w:tc>
        <w:tc>
          <w:tcPr>
            <w:tcW w:w="3402" w:type="dxa"/>
            <w:shd w:val="clear" w:color="auto" w:fill="F2F2F2" w:themeFill="background1" w:themeFillShade="F2"/>
          </w:tcPr>
          <w:p w14:paraId="3C06D19C" w14:textId="77777777" w:rsidR="00D66210" w:rsidRPr="00264CDF" w:rsidRDefault="00D66210" w:rsidP="00292280">
            <w:pPr>
              <w:pStyle w:val="NoSpacing"/>
              <w:rPr>
                <w:sz w:val="20"/>
                <w:szCs w:val="20"/>
              </w:rPr>
            </w:pPr>
            <w:r w:rsidRPr="00264CDF">
              <w:rPr>
                <w:sz w:val="20"/>
                <w:szCs w:val="20"/>
              </w:rPr>
              <w:t>Democratic History</w:t>
            </w:r>
          </w:p>
        </w:tc>
        <w:tc>
          <w:tcPr>
            <w:tcW w:w="2977" w:type="dxa"/>
            <w:shd w:val="clear" w:color="auto" w:fill="F2F2F2" w:themeFill="background1" w:themeFillShade="F2"/>
          </w:tcPr>
          <w:p w14:paraId="6CA41D2B" w14:textId="77777777" w:rsidR="00D66210" w:rsidRPr="00264CDF" w:rsidRDefault="00D66210" w:rsidP="00292280">
            <w:pPr>
              <w:pStyle w:val="NoSpacing"/>
              <w:rPr>
                <w:sz w:val="20"/>
                <w:szCs w:val="20"/>
              </w:rPr>
            </w:pPr>
            <w:r w:rsidRPr="00264CDF">
              <w:rPr>
                <w:sz w:val="20"/>
                <w:szCs w:val="20"/>
              </w:rPr>
              <w:t>Positive</w:t>
            </w:r>
          </w:p>
        </w:tc>
      </w:tr>
      <w:tr w:rsidR="00D66210" w:rsidRPr="00264CDF" w14:paraId="7CF8FD9C" w14:textId="77777777" w:rsidTr="00C01FB2">
        <w:trPr>
          <w:trHeight w:val="404"/>
        </w:trPr>
        <w:tc>
          <w:tcPr>
            <w:tcW w:w="2518" w:type="dxa"/>
            <w:shd w:val="clear" w:color="auto" w:fill="F2F2F2" w:themeFill="background1" w:themeFillShade="F2"/>
          </w:tcPr>
          <w:p w14:paraId="6D63011A" w14:textId="77777777" w:rsidR="00D66210" w:rsidRPr="00264CDF" w:rsidRDefault="00D66210" w:rsidP="00292280">
            <w:pPr>
              <w:pStyle w:val="NoSpacing"/>
              <w:rPr>
                <w:sz w:val="20"/>
                <w:szCs w:val="20"/>
              </w:rPr>
            </w:pPr>
          </w:p>
        </w:tc>
        <w:tc>
          <w:tcPr>
            <w:tcW w:w="3402" w:type="dxa"/>
            <w:shd w:val="clear" w:color="auto" w:fill="F2F2F2" w:themeFill="background1" w:themeFillShade="F2"/>
          </w:tcPr>
          <w:p w14:paraId="0A2E4666" w14:textId="77777777" w:rsidR="00D66210" w:rsidRPr="00264CDF" w:rsidRDefault="00D66210" w:rsidP="00292280">
            <w:pPr>
              <w:pStyle w:val="NoSpacing"/>
              <w:rPr>
                <w:sz w:val="20"/>
                <w:szCs w:val="20"/>
              </w:rPr>
            </w:pPr>
            <w:r w:rsidRPr="00264CDF">
              <w:rPr>
                <w:sz w:val="20"/>
                <w:szCs w:val="20"/>
              </w:rPr>
              <w:t>Freedom House</w:t>
            </w:r>
          </w:p>
        </w:tc>
        <w:tc>
          <w:tcPr>
            <w:tcW w:w="2977" w:type="dxa"/>
            <w:shd w:val="clear" w:color="auto" w:fill="F2F2F2" w:themeFill="background1" w:themeFillShade="F2"/>
          </w:tcPr>
          <w:p w14:paraId="2C4F6596" w14:textId="77777777" w:rsidR="00D66210" w:rsidRPr="00264CDF" w:rsidRDefault="00D66210" w:rsidP="00292280">
            <w:pPr>
              <w:pStyle w:val="NoSpacing"/>
              <w:rPr>
                <w:sz w:val="20"/>
                <w:szCs w:val="20"/>
              </w:rPr>
            </w:pPr>
            <w:r w:rsidRPr="00264CDF">
              <w:rPr>
                <w:sz w:val="20"/>
                <w:szCs w:val="20"/>
              </w:rPr>
              <w:t>Positive</w:t>
            </w:r>
          </w:p>
        </w:tc>
      </w:tr>
      <w:tr w:rsidR="00D66210" w:rsidRPr="00264CDF" w14:paraId="69797ED8" w14:textId="77777777" w:rsidTr="00C01FB2">
        <w:trPr>
          <w:trHeight w:val="404"/>
        </w:trPr>
        <w:tc>
          <w:tcPr>
            <w:tcW w:w="2518" w:type="dxa"/>
            <w:shd w:val="clear" w:color="auto" w:fill="F2F2F2" w:themeFill="background1" w:themeFillShade="F2"/>
          </w:tcPr>
          <w:p w14:paraId="77264CDE" w14:textId="77777777" w:rsidR="00D66210" w:rsidRPr="00264CDF" w:rsidRDefault="00D66210" w:rsidP="00292280">
            <w:pPr>
              <w:pStyle w:val="NoSpacing"/>
              <w:rPr>
                <w:sz w:val="20"/>
                <w:szCs w:val="20"/>
              </w:rPr>
            </w:pPr>
          </w:p>
        </w:tc>
        <w:tc>
          <w:tcPr>
            <w:tcW w:w="3402" w:type="dxa"/>
            <w:shd w:val="clear" w:color="auto" w:fill="F2F2F2" w:themeFill="background1" w:themeFillShade="F2"/>
          </w:tcPr>
          <w:p w14:paraId="135FE2F4" w14:textId="77777777" w:rsidR="00D66210" w:rsidRPr="00264CDF" w:rsidRDefault="00D66210" w:rsidP="00292280">
            <w:pPr>
              <w:pStyle w:val="NoSpacing"/>
              <w:rPr>
                <w:sz w:val="20"/>
                <w:szCs w:val="20"/>
              </w:rPr>
            </w:pPr>
            <w:r w:rsidRPr="00264CDF">
              <w:rPr>
                <w:sz w:val="20"/>
                <w:szCs w:val="20"/>
              </w:rPr>
              <w:t>Communist</w:t>
            </w:r>
          </w:p>
        </w:tc>
        <w:tc>
          <w:tcPr>
            <w:tcW w:w="2977" w:type="dxa"/>
            <w:shd w:val="clear" w:color="auto" w:fill="F2F2F2" w:themeFill="background1" w:themeFillShade="F2"/>
          </w:tcPr>
          <w:p w14:paraId="60925952" w14:textId="77777777" w:rsidR="00D66210" w:rsidRPr="00264CDF" w:rsidRDefault="00D66210" w:rsidP="00292280">
            <w:pPr>
              <w:pStyle w:val="NoSpacing"/>
              <w:rPr>
                <w:sz w:val="20"/>
                <w:szCs w:val="20"/>
              </w:rPr>
            </w:pPr>
            <w:r w:rsidRPr="00264CDF">
              <w:rPr>
                <w:sz w:val="20"/>
                <w:szCs w:val="20"/>
              </w:rPr>
              <w:t>Negative</w:t>
            </w:r>
          </w:p>
        </w:tc>
      </w:tr>
      <w:tr w:rsidR="00D66210" w:rsidRPr="00264CDF" w14:paraId="3ECE64C4" w14:textId="77777777" w:rsidTr="00C01FB2">
        <w:trPr>
          <w:trHeight w:val="404"/>
        </w:trPr>
        <w:tc>
          <w:tcPr>
            <w:tcW w:w="2518" w:type="dxa"/>
            <w:shd w:val="clear" w:color="auto" w:fill="F2F2F2" w:themeFill="background1" w:themeFillShade="F2"/>
          </w:tcPr>
          <w:p w14:paraId="75041F6C" w14:textId="77777777" w:rsidR="00D66210" w:rsidRPr="00264CDF" w:rsidRDefault="00D66210" w:rsidP="00292280">
            <w:pPr>
              <w:pStyle w:val="NoSpacing"/>
              <w:rPr>
                <w:sz w:val="20"/>
                <w:szCs w:val="20"/>
              </w:rPr>
            </w:pPr>
          </w:p>
        </w:tc>
        <w:tc>
          <w:tcPr>
            <w:tcW w:w="3402" w:type="dxa"/>
            <w:shd w:val="clear" w:color="auto" w:fill="F2F2F2" w:themeFill="background1" w:themeFillShade="F2"/>
          </w:tcPr>
          <w:p w14:paraId="3A367536" w14:textId="77777777" w:rsidR="00D66210" w:rsidRPr="00264CDF" w:rsidRDefault="00D66210" w:rsidP="00292280">
            <w:pPr>
              <w:pStyle w:val="NoSpacing"/>
              <w:rPr>
                <w:sz w:val="20"/>
                <w:szCs w:val="20"/>
              </w:rPr>
            </w:pPr>
          </w:p>
        </w:tc>
        <w:tc>
          <w:tcPr>
            <w:tcW w:w="2977" w:type="dxa"/>
            <w:shd w:val="clear" w:color="auto" w:fill="F2F2F2" w:themeFill="background1" w:themeFillShade="F2"/>
          </w:tcPr>
          <w:p w14:paraId="563B5F93" w14:textId="77777777" w:rsidR="00D66210" w:rsidRPr="00264CDF" w:rsidRDefault="00D66210" w:rsidP="00292280">
            <w:pPr>
              <w:pStyle w:val="NoSpacing"/>
              <w:rPr>
                <w:sz w:val="20"/>
                <w:szCs w:val="20"/>
              </w:rPr>
            </w:pPr>
          </w:p>
        </w:tc>
      </w:tr>
      <w:tr w:rsidR="00D66210" w:rsidRPr="00264CDF" w14:paraId="164EFAE7" w14:textId="77777777" w:rsidTr="00C01FB2">
        <w:trPr>
          <w:trHeight w:val="404"/>
        </w:trPr>
        <w:tc>
          <w:tcPr>
            <w:tcW w:w="2518" w:type="dxa"/>
          </w:tcPr>
          <w:p w14:paraId="0EFC8F4B" w14:textId="77777777" w:rsidR="00D66210" w:rsidRPr="00264CDF" w:rsidRDefault="00D66210" w:rsidP="00292280">
            <w:pPr>
              <w:pStyle w:val="NoSpacing"/>
              <w:rPr>
                <w:sz w:val="20"/>
                <w:szCs w:val="20"/>
              </w:rPr>
            </w:pPr>
            <w:r w:rsidRPr="00264CDF">
              <w:rPr>
                <w:sz w:val="20"/>
                <w:szCs w:val="20"/>
              </w:rPr>
              <w:t>Inequality</w:t>
            </w:r>
          </w:p>
        </w:tc>
        <w:tc>
          <w:tcPr>
            <w:tcW w:w="3402" w:type="dxa"/>
          </w:tcPr>
          <w:p w14:paraId="0A11ECCB" w14:textId="77777777" w:rsidR="00D66210" w:rsidRPr="00264CDF" w:rsidRDefault="00D66210" w:rsidP="00292280">
            <w:pPr>
              <w:pStyle w:val="NoSpacing"/>
              <w:rPr>
                <w:sz w:val="20"/>
                <w:szCs w:val="20"/>
              </w:rPr>
            </w:pPr>
            <w:r w:rsidRPr="00264CDF">
              <w:rPr>
                <w:sz w:val="20"/>
                <w:szCs w:val="20"/>
              </w:rPr>
              <w:t>Gini</w:t>
            </w:r>
          </w:p>
        </w:tc>
        <w:tc>
          <w:tcPr>
            <w:tcW w:w="2977" w:type="dxa"/>
          </w:tcPr>
          <w:p w14:paraId="6CB5D23A" w14:textId="77777777" w:rsidR="00D66210" w:rsidRPr="00264CDF" w:rsidRDefault="00D66210" w:rsidP="00292280">
            <w:pPr>
              <w:pStyle w:val="NoSpacing"/>
              <w:rPr>
                <w:sz w:val="20"/>
                <w:szCs w:val="20"/>
              </w:rPr>
            </w:pPr>
            <w:r w:rsidRPr="00264CDF">
              <w:rPr>
                <w:sz w:val="20"/>
                <w:szCs w:val="20"/>
              </w:rPr>
              <w:t xml:space="preserve">Unclear </w:t>
            </w:r>
          </w:p>
        </w:tc>
      </w:tr>
      <w:tr w:rsidR="00D66210" w:rsidRPr="00264CDF" w14:paraId="18846801" w14:textId="77777777" w:rsidTr="00292280">
        <w:trPr>
          <w:trHeight w:val="404"/>
        </w:trPr>
        <w:tc>
          <w:tcPr>
            <w:tcW w:w="2518" w:type="dxa"/>
          </w:tcPr>
          <w:p w14:paraId="6EFC1EBF" w14:textId="77777777" w:rsidR="00D66210" w:rsidRPr="00264CDF" w:rsidRDefault="00D66210" w:rsidP="00292280">
            <w:pPr>
              <w:pStyle w:val="NoSpacing"/>
              <w:rPr>
                <w:sz w:val="20"/>
                <w:szCs w:val="20"/>
              </w:rPr>
            </w:pPr>
          </w:p>
        </w:tc>
        <w:tc>
          <w:tcPr>
            <w:tcW w:w="3402" w:type="dxa"/>
          </w:tcPr>
          <w:p w14:paraId="59347361" w14:textId="77777777" w:rsidR="00D66210" w:rsidRPr="00264CDF" w:rsidRDefault="00D66210" w:rsidP="00292280">
            <w:pPr>
              <w:pStyle w:val="NoSpacing"/>
              <w:rPr>
                <w:sz w:val="20"/>
                <w:szCs w:val="20"/>
              </w:rPr>
            </w:pPr>
          </w:p>
        </w:tc>
        <w:tc>
          <w:tcPr>
            <w:tcW w:w="2977" w:type="dxa"/>
          </w:tcPr>
          <w:p w14:paraId="4C3B42F4" w14:textId="77777777" w:rsidR="00D66210" w:rsidRPr="00264CDF" w:rsidRDefault="00D66210" w:rsidP="00292280">
            <w:pPr>
              <w:pStyle w:val="NoSpacing"/>
              <w:rPr>
                <w:sz w:val="20"/>
                <w:szCs w:val="20"/>
              </w:rPr>
            </w:pPr>
          </w:p>
        </w:tc>
      </w:tr>
      <w:tr w:rsidR="00D66210" w:rsidRPr="00264CDF" w14:paraId="753F5E88" w14:textId="77777777" w:rsidTr="00C01FB2">
        <w:trPr>
          <w:trHeight w:val="404"/>
        </w:trPr>
        <w:tc>
          <w:tcPr>
            <w:tcW w:w="2518" w:type="dxa"/>
            <w:shd w:val="clear" w:color="auto" w:fill="F2F2F2" w:themeFill="background1" w:themeFillShade="F2"/>
          </w:tcPr>
          <w:p w14:paraId="2A96AE47" w14:textId="77777777" w:rsidR="00D66210" w:rsidRPr="00264CDF" w:rsidRDefault="00D66210" w:rsidP="00292280">
            <w:pPr>
              <w:pStyle w:val="NoSpacing"/>
              <w:rPr>
                <w:sz w:val="20"/>
                <w:szCs w:val="20"/>
              </w:rPr>
            </w:pPr>
            <w:r w:rsidRPr="00264CDF">
              <w:rPr>
                <w:sz w:val="20"/>
                <w:szCs w:val="20"/>
              </w:rPr>
              <w:t>Access to Information</w:t>
            </w:r>
          </w:p>
        </w:tc>
        <w:tc>
          <w:tcPr>
            <w:tcW w:w="3402" w:type="dxa"/>
            <w:shd w:val="clear" w:color="auto" w:fill="F2F2F2" w:themeFill="background1" w:themeFillShade="F2"/>
          </w:tcPr>
          <w:p w14:paraId="71A8B14E" w14:textId="77777777" w:rsidR="00D66210" w:rsidRPr="00264CDF" w:rsidRDefault="00D66210" w:rsidP="00292280">
            <w:pPr>
              <w:pStyle w:val="NoSpacing"/>
              <w:rPr>
                <w:sz w:val="20"/>
                <w:szCs w:val="20"/>
              </w:rPr>
            </w:pPr>
            <w:r w:rsidRPr="00264CDF">
              <w:rPr>
                <w:sz w:val="20"/>
                <w:szCs w:val="20"/>
              </w:rPr>
              <w:t>Press Freedom</w:t>
            </w:r>
          </w:p>
        </w:tc>
        <w:tc>
          <w:tcPr>
            <w:tcW w:w="2977" w:type="dxa"/>
            <w:shd w:val="clear" w:color="auto" w:fill="F2F2F2" w:themeFill="background1" w:themeFillShade="F2"/>
          </w:tcPr>
          <w:p w14:paraId="6FA70388" w14:textId="77777777" w:rsidR="00D66210" w:rsidRPr="00264CDF" w:rsidRDefault="00D66210" w:rsidP="00292280">
            <w:pPr>
              <w:pStyle w:val="NoSpacing"/>
              <w:rPr>
                <w:sz w:val="20"/>
                <w:szCs w:val="20"/>
              </w:rPr>
            </w:pPr>
            <w:r w:rsidRPr="00264CDF">
              <w:rPr>
                <w:sz w:val="20"/>
                <w:szCs w:val="20"/>
              </w:rPr>
              <w:t>Positive</w:t>
            </w:r>
          </w:p>
        </w:tc>
      </w:tr>
      <w:tr w:rsidR="00D66210" w:rsidRPr="00264CDF" w14:paraId="531A7FBD" w14:textId="77777777" w:rsidTr="00C01FB2">
        <w:trPr>
          <w:trHeight w:val="404"/>
        </w:trPr>
        <w:tc>
          <w:tcPr>
            <w:tcW w:w="2518" w:type="dxa"/>
            <w:shd w:val="clear" w:color="auto" w:fill="F2F2F2" w:themeFill="background1" w:themeFillShade="F2"/>
          </w:tcPr>
          <w:p w14:paraId="1B1A776D" w14:textId="77777777" w:rsidR="00D66210" w:rsidRPr="00264CDF" w:rsidRDefault="00D66210" w:rsidP="00292280">
            <w:pPr>
              <w:pStyle w:val="NoSpacing"/>
              <w:rPr>
                <w:sz w:val="20"/>
                <w:szCs w:val="20"/>
              </w:rPr>
            </w:pPr>
          </w:p>
        </w:tc>
        <w:tc>
          <w:tcPr>
            <w:tcW w:w="3402" w:type="dxa"/>
            <w:shd w:val="clear" w:color="auto" w:fill="F2F2F2" w:themeFill="background1" w:themeFillShade="F2"/>
          </w:tcPr>
          <w:p w14:paraId="6164595A" w14:textId="77777777" w:rsidR="00D66210" w:rsidRPr="00264CDF" w:rsidRDefault="00D66210" w:rsidP="00292280">
            <w:pPr>
              <w:pStyle w:val="NoSpacing"/>
              <w:rPr>
                <w:sz w:val="20"/>
                <w:szCs w:val="20"/>
              </w:rPr>
            </w:pPr>
          </w:p>
        </w:tc>
        <w:tc>
          <w:tcPr>
            <w:tcW w:w="2977" w:type="dxa"/>
            <w:shd w:val="clear" w:color="auto" w:fill="F2F2F2" w:themeFill="background1" w:themeFillShade="F2"/>
          </w:tcPr>
          <w:p w14:paraId="61C4B9D8" w14:textId="77777777" w:rsidR="00D66210" w:rsidRPr="00264CDF" w:rsidRDefault="00D66210" w:rsidP="00292280">
            <w:pPr>
              <w:pStyle w:val="NoSpacing"/>
              <w:rPr>
                <w:sz w:val="20"/>
                <w:szCs w:val="20"/>
              </w:rPr>
            </w:pPr>
          </w:p>
        </w:tc>
      </w:tr>
    </w:tbl>
    <w:p w14:paraId="46338AF5" w14:textId="4BDA65DB" w:rsidR="00D66210" w:rsidRPr="00577217" w:rsidRDefault="00D66210" w:rsidP="000674E6">
      <w:pPr>
        <w:pStyle w:val="Heading2"/>
        <w:numPr>
          <w:ilvl w:val="0"/>
          <w:numId w:val="0"/>
        </w:numPr>
      </w:pPr>
      <w:bookmarkStart w:id="371" w:name="_Toc441069044"/>
      <w:bookmarkStart w:id="372" w:name="_Toc441069284"/>
      <w:bookmarkStart w:id="373" w:name="_Toc494034236"/>
      <w:r w:rsidRPr="00577217">
        <w:t xml:space="preserve">6.4 </w:t>
      </w:r>
      <w:bookmarkEnd w:id="371"/>
      <w:bookmarkEnd w:id="372"/>
      <w:r w:rsidR="00D4366D">
        <w:t>Informal Political Participation</w:t>
      </w:r>
      <w:bookmarkEnd w:id="373"/>
    </w:p>
    <w:p w14:paraId="1DCE5597" w14:textId="0D019948" w:rsidR="00742A97" w:rsidRDefault="00D66210" w:rsidP="00D66210">
      <w:r w:rsidRPr="00D852C0">
        <w:t>Three particular forms of informal participation are focused on in this study: signing a petition, boycotting</w:t>
      </w:r>
      <w:r w:rsidR="000B31C3">
        <w:t>,</w:t>
      </w:r>
      <w:r w:rsidRPr="00D852C0">
        <w:t xml:space="preserve"> and demonstrating. These form part of a standard set of informal activities asked in the WVS, the European Social Survey, the British Electoral Study and others</w:t>
      </w:r>
      <w:r w:rsidR="006C55BF">
        <w:t xml:space="preserve">, and are a staple way of examining levels of informal participation </w:t>
      </w:r>
      <w:r w:rsidR="006C55BF">
        <w:fldChar w:fldCharType="begin" w:fldLock="1"/>
      </w:r>
      <w:r w:rsidR="00E63CC6">
        <w:instrText>ADDIN CSL_CITATION { "citationItems" : [ { "id" : "ITEM-1",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"ITEM-1", "issued" : { "date-parts" : [ [ "2004" ] ] }, "publisher" : "Cambridge University Press", "publisher-place" : "Cambridge", "title" : "Citizenship in Britain", "type" : "book" }, "uris" : [ "http://www.mendeley.com/documents/?uuid=7ee55eb4-c098-4a41-8cae-776b65b64c9b" ] }, { "id" : "ITEM-2", "itemData" : { "author" : [ { "dropping-particle" : "", "family" : "Norris", "given" : "P", "non-dropping-particle" : "", "parse-names" : false, "suffix" : "" } ], "id" : "ITEM-2", "issued" : { "date-parts" : [ [ "2002" ] ] }, "publisher" : "Cambridge University Press", "publisher-place" : "Cambridge", "title" : "Democratic Phoenix - Reinventing Political Activism", "type" : "book" }, "uris" : [ "http://www.mendeley.com/documents/?uuid=36c2bed4-dd22-4aa7-bbac-04d2c5dc223b" ] }, { "id" : "ITEM-3", "itemData" : { "author" : [ { "dropping-particle" : "", "family" : "Brady", "given" : "H.E", "non-dropping-particle" : "", "parse-names" : false, "suffix" : "" }, { "dropping-particle" : "", "family" : "Verba", "given" : "S", "non-dropping-particle" : "", "parse-names" : false, "suffix" : "" }, { "dropping-particle" : "", "family" : "Schlozman", "given" : "K.L.", "non-dropping-particle" : "", "parse-names" : false, "suffix" : "" } ], "id" : "ITEM-3", "issued" : { "date-parts" : [ [ "1995" ] ] }, "publisher" : "Havard University Press", "publisher-place" : "Cambridge", "title" : "Voice and Equality: Civic Voluntarism in American Politics", "type" : "book" }, "uris" : [ "http://www.mendeley.com/documents/?uuid=cb196963-6b0c-4829-9a88-126d05bab108" ] }, { "id" : "ITEM-4", "itemData" : { "author" : [ { "dropping-particle" : "", "family" : "Inglehart", "given" : "R.", "non-dropping-particle" : "", "parse-names" : false, "suffix" : "" } ], "id" : "ITEM-4", "issued" : { "date-parts" : [ [ "1997" ] ] }, "publisher" : "Princeton University Press", "publisher-place" : "New Jersey", "title" : "Modernization and Post Modernization", "type" : "book" }, "uris" : [ "http://www.mendeley.com/documents/?uuid=0cfd9f52-cee3-4240-b382-4e8a2b6cf7ae" ] } ], "mendeley" : { "formattedCitation" : "(Brady, Verba and Schlozman, 1995; Inglehart, 1997; Norris, 2002; Pattie, Seyd and Whiteley, 2004)", "manualFormatting" : "(see amongst many others Pattie et al. 2004; Norris 2002; Inglehart 1997; Brady et al. 1995)", "plainTextFormattedCitation" : "(Brady, Verba and Schlozman, 1995; Inglehart, 1997; Norris, 2002; Pattie, Seyd and Whiteley, 2004)", "previouslyFormattedCitation" : "(Brady, Verba and Schlozman, 1995; Inglehart, 1997; Norris, 2002; Pattie, Seyd and Whiteley, 2004)" }, "properties" : { "noteIndex" : 0 }, "schema" : "https://github.com/citation-style-language/schema/raw/master/csl-citation.json" }</w:instrText>
      </w:r>
      <w:r w:rsidR="006C55BF">
        <w:fldChar w:fldCharType="separate"/>
      </w:r>
      <w:r w:rsidR="006C55BF" w:rsidRPr="006C55BF">
        <w:rPr>
          <w:noProof/>
        </w:rPr>
        <w:t>(</w:t>
      </w:r>
      <w:r w:rsidR="006C55BF">
        <w:rPr>
          <w:noProof/>
        </w:rPr>
        <w:t xml:space="preserve">see amongst many others </w:t>
      </w:r>
      <w:r w:rsidR="006C55BF" w:rsidRPr="006C55BF">
        <w:rPr>
          <w:noProof/>
        </w:rPr>
        <w:t xml:space="preserve">Pattie </w:t>
      </w:r>
      <w:r w:rsidR="00803848">
        <w:rPr>
          <w:noProof/>
        </w:rPr>
        <w:t>et al</w:t>
      </w:r>
      <w:r w:rsidR="006C55BF" w:rsidRPr="006C55BF">
        <w:rPr>
          <w:noProof/>
        </w:rPr>
        <w:t>. 2004; Norris 2002; Inglehart 1997</w:t>
      </w:r>
      <w:r w:rsidR="006C55BF">
        <w:rPr>
          <w:noProof/>
        </w:rPr>
        <w:t xml:space="preserve">; Brady </w:t>
      </w:r>
      <w:r w:rsidR="00803848">
        <w:rPr>
          <w:noProof/>
        </w:rPr>
        <w:t>et al</w:t>
      </w:r>
      <w:r w:rsidR="006C55BF">
        <w:rPr>
          <w:noProof/>
        </w:rPr>
        <w:t>. 1995</w:t>
      </w:r>
      <w:r w:rsidR="006C55BF" w:rsidRPr="006C55BF">
        <w:rPr>
          <w:noProof/>
        </w:rPr>
        <w:t>)</w:t>
      </w:r>
      <w:r w:rsidR="006C55BF">
        <w:fldChar w:fldCharType="end"/>
      </w:r>
      <w:r w:rsidRPr="00D852C0">
        <w:t>. The full wordin</w:t>
      </w:r>
      <w:r w:rsidR="00646427">
        <w:t>g in the WVS2008 is as follows:</w:t>
      </w:r>
    </w:p>
    <w:tbl>
      <w:tblPr>
        <w:tblW w:w="0" w:type="auto"/>
        <w:tblLook w:val="04A0" w:firstRow="1" w:lastRow="0" w:firstColumn="1" w:lastColumn="0" w:noHBand="0" w:noVBand="1"/>
      </w:tblPr>
      <w:tblGrid>
        <w:gridCol w:w="8669"/>
      </w:tblGrid>
      <w:tr w:rsidR="00D66210" w14:paraId="1E5B3B7B" w14:textId="77777777" w:rsidTr="005440ED">
        <w:tc>
          <w:tcPr>
            <w:tcW w:w="8669" w:type="dxa"/>
          </w:tcPr>
          <w:p w14:paraId="2CC81934" w14:textId="77777777" w:rsidR="00D66210" w:rsidRPr="00BC5A5B" w:rsidRDefault="00D66210" w:rsidP="00646427">
            <w:pPr>
              <w:rPr>
                <w:i/>
                <w:sz w:val="20"/>
                <w:szCs w:val="20"/>
              </w:rPr>
            </w:pPr>
            <w:r w:rsidRPr="00BC5A5B">
              <w:rPr>
                <w:i/>
                <w:sz w:val="20"/>
                <w:szCs w:val="20"/>
              </w:rPr>
              <w:t>Now I’d like you to look at this card. I’m going to read out some different forms of political action that people can take, and I’d like you to tell me, for each one, whether you have actually done any of these things, whether you might do it or would never, under any circumstances do it:</w:t>
            </w:r>
          </w:p>
          <w:p w14:paraId="137BA4C1" w14:textId="77777777" w:rsidR="00D66210" w:rsidRPr="00BC5A5B" w:rsidRDefault="00D66210" w:rsidP="00646427">
            <w:pPr>
              <w:rPr>
                <w:i/>
                <w:sz w:val="20"/>
                <w:szCs w:val="20"/>
              </w:rPr>
            </w:pPr>
            <w:r w:rsidRPr="00BC5A5B">
              <w:rPr>
                <w:i/>
                <w:sz w:val="20"/>
                <w:szCs w:val="20"/>
              </w:rPr>
              <w:t>-Signing a petition</w:t>
            </w:r>
          </w:p>
          <w:p w14:paraId="096C30D2" w14:textId="77777777" w:rsidR="00D66210" w:rsidRPr="00BC5A5B" w:rsidRDefault="00D66210" w:rsidP="00646427">
            <w:pPr>
              <w:rPr>
                <w:i/>
                <w:sz w:val="20"/>
                <w:szCs w:val="20"/>
              </w:rPr>
            </w:pPr>
            <w:r w:rsidRPr="00BC5A5B">
              <w:rPr>
                <w:i/>
                <w:sz w:val="20"/>
                <w:szCs w:val="20"/>
              </w:rPr>
              <w:t>-Joining in boycotts</w:t>
            </w:r>
          </w:p>
          <w:p w14:paraId="16999E51" w14:textId="77777777" w:rsidR="00D66210" w:rsidRPr="00D852C0" w:rsidRDefault="00D66210" w:rsidP="00646427">
            <w:r w:rsidRPr="00BC5A5B">
              <w:rPr>
                <w:i/>
                <w:sz w:val="20"/>
                <w:szCs w:val="20"/>
              </w:rPr>
              <w:t>-Attending lawful/peaceful demonstrations</w:t>
            </w:r>
            <w:r w:rsidRPr="00D852C0">
              <w:rPr>
                <w:i/>
              </w:rPr>
              <w:t xml:space="preserve"> </w:t>
            </w:r>
          </w:p>
        </w:tc>
      </w:tr>
    </w:tbl>
    <w:p w14:paraId="4B8D0D52" w14:textId="77777777" w:rsidR="00D66210" w:rsidRPr="00D852C0" w:rsidRDefault="00D66210" w:rsidP="00D66210">
      <w:r w:rsidRPr="00D852C0">
        <w:t xml:space="preserve">To model this type of political behaviour, those who “have” or “might” undertake these activities are compared to those who “would never do” them. Placing the </w:t>
      </w:r>
      <w:r w:rsidRPr="00D852C0">
        <w:rPr>
          <w:i/>
          <w:iCs/>
        </w:rPr>
        <w:t>act</w:t>
      </w:r>
      <w:r w:rsidRPr="00D852C0">
        <w:t xml:space="preserve"> of protesting with the </w:t>
      </w:r>
      <w:r w:rsidRPr="00D852C0">
        <w:rPr>
          <w:i/>
          <w:iCs/>
        </w:rPr>
        <w:t>propensity</w:t>
      </w:r>
      <w:r w:rsidRPr="00D852C0">
        <w:t xml:space="preserve"> </w:t>
      </w:r>
      <w:r w:rsidRPr="00D852C0">
        <w:rPr>
          <w:i/>
          <w:iCs/>
        </w:rPr>
        <w:t>to act</w:t>
      </w:r>
      <w:r w:rsidRPr="00D852C0">
        <w:t xml:space="preserve"> in the same category follows the work of Barnes and Kaase (1979). Generally, small numbers of citizens actually carry out nonconventional or informal political acts. However, the nature of these acts means that it is not always possible, or necessary, to pursue politics in this manner. This does not mean there is not a readiness to carry out these activities should the opportunity present itself. Barnes and Kaase (1979:58) note that “the </w:t>
      </w:r>
      <w:r w:rsidRPr="00D852C0">
        <w:rPr>
          <w:i/>
          <w:iCs/>
        </w:rPr>
        <w:t>potential to participate</w:t>
      </w:r>
      <w:r w:rsidRPr="00D852C0">
        <w:t xml:space="preserve">, the individual readiness to be mobilized, is an abiding property of a wide sector of the whole political community, whether currently active or not.” </w:t>
      </w:r>
    </w:p>
    <w:p w14:paraId="58C1FC47" w14:textId="77777777" w:rsidR="00D66210" w:rsidRPr="00E223A2" w:rsidRDefault="00D66210" w:rsidP="00D66210">
      <w:pPr>
        <w:pStyle w:val="Heading3"/>
      </w:pPr>
      <w:bookmarkStart w:id="374" w:name="_Toc441069285"/>
      <w:r w:rsidRPr="00E223A2">
        <w:t>Logistical Regression Modelling</w:t>
      </w:r>
      <w:bookmarkEnd w:id="374"/>
    </w:p>
    <w:p w14:paraId="7C1D7748" w14:textId="22C0B3D1" w:rsidR="00FE0AF8" w:rsidRPr="005440ED" w:rsidRDefault="005440ED" w:rsidP="00D66210">
      <w:r w:rsidRPr="005440ED">
        <w:rPr>
          <w:highlight w:val="yellow"/>
        </w:rPr>
        <w:t xml:space="preserve">The dichotomous dependent variable (Have/might vs would never do) makes multi-level </w:t>
      </w:r>
      <w:r w:rsidRPr="005440ED">
        <w:rPr>
          <w:i/>
          <w:highlight w:val="yellow"/>
        </w:rPr>
        <w:t>logit</w:t>
      </w:r>
      <w:r w:rsidRPr="005440ED">
        <w:rPr>
          <w:highlight w:val="yellow"/>
        </w:rPr>
        <w:t xml:space="preserve"> regression the appropriate form of analysis and I look at each type of activity separately.</w:t>
      </w:r>
      <w:r w:rsidRPr="005440ED">
        <w:rPr>
          <w:rStyle w:val="FootnoteReference"/>
          <w:highlight w:val="yellow"/>
        </w:rPr>
        <w:footnoteReference w:id="27"/>
      </w:r>
      <w:r w:rsidR="00EB7353">
        <w:rPr>
          <w:highlight w:val="yellow"/>
        </w:rPr>
        <w:t xml:space="preserve"> </w:t>
      </w:r>
      <w:r w:rsidR="00D66210" w:rsidRPr="005440ED">
        <w:rPr>
          <w:highlight w:val="yellow"/>
        </w:rPr>
        <w:t xml:space="preserve">When examining political action as a binary variable, linear regression approaches are not appropriate, as the distribution of variance in the variable is </w:t>
      </w:r>
      <w:r w:rsidR="00B41AFB" w:rsidRPr="005440ED">
        <w:rPr>
          <w:highlight w:val="yellow"/>
        </w:rPr>
        <w:t>not standard normal.</w:t>
      </w:r>
      <w:r w:rsidR="00D66210" w:rsidRPr="005440ED">
        <w:rPr>
          <w:highlight w:val="yellow"/>
        </w:rPr>
        <w:t xml:space="preserve"> Logistic r</w:t>
      </w:r>
      <w:r w:rsidR="00F7170B">
        <w:rPr>
          <w:highlight w:val="yellow"/>
        </w:rPr>
        <w:t>egression is much more suitable as i</w:t>
      </w:r>
      <w:r w:rsidR="00D66210" w:rsidRPr="005440ED">
        <w:rPr>
          <w:highlight w:val="yellow"/>
        </w:rPr>
        <w:t>n logistic regression, the aim is to explain the likelihood of an event. For this reason, the standard practice is to code the non-event (in this case, saying you would never act) as zero, and the event (in this case saying you have or might act) as one. Coded in this wa</w:t>
      </w:r>
      <w:r w:rsidR="00706E8F" w:rsidRPr="005440ED">
        <w:rPr>
          <w:highlight w:val="yellow"/>
        </w:rPr>
        <w:t>y the variable is a dummy, and “</w:t>
      </w:r>
      <w:r w:rsidR="00D66210" w:rsidRPr="005440ED">
        <w:rPr>
          <w:highlight w:val="yellow"/>
        </w:rPr>
        <w:t xml:space="preserve">the mean of </w:t>
      </w:r>
      <w:r w:rsidR="00B0015A" w:rsidRPr="005440ED">
        <w:rPr>
          <w:highlight w:val="yellow"/>
        </w:rPr>
        <w:t>a dummy</w:t>
      </w:r>
      <w:r w:rsidR="00D66210" w:rsidRPr="005440ED">
        <w:rPr>
          <w:highlight w:val="yellow"/>
        </w:rPr>
        <w:t xml:space="preserve"> variable equals the proportion of cases with a value of 1, and can </w:t>
      </w:r>
      <w:r w:rsidR="00706E8F" w:rsidRPr="005440ED">
        <w:rPr>
          <w:highlight w:val="yellow"/>
        </w:rPr>
        <w:t xml:space="preserve">be interpreted as a probability” </w:t>
      </w:r>
      <w:r w:rsidR="00706E8F" w:rsidRPr="005440ED">
        <w:rPr>
          <w:highlight w:val="yellow"/>
        </w:rPr>
        <w:fldChar w:fldCharType="begin" w:fldLock="1"/>
      </w:r>
      <w:r w:rsidR="00E63CC6" w:rsidRPr="005440ED">
        <w:rPr>
          <w:highlight w:val="yellow"/>
        </w:rPr>
        <w:instrText>ADDIN CSL_CITATION { "citationItems" : [ { "id" : "ITEM-1", "itemData" : { "author" : [ { "dropping-particle" : "", "family" : "Pampel", "given" : "F", "non-dropping-particle" : "", "parse-names" : false, "suffix" : "" } ], "id" : "ITEM-1", "issued" : { "date-parts" : [ [ "2000" ] ] }, "publisher" : "SAGE Publications", "publisher-place" : "London", "title" : "Logistical Regression: A Primer", "type" : "book" }, "uris" : [ "http://www.mendeley.com/documents/?uuid=346116e8-83d5-464d-bff2-dfc70f00db02" ] } ], "mendeley" : { "formattedCitation" : "(Pampel, 2000)", "manualFormatting" : "(Pampel 2000, p.2)", "plainTextFormattedCitation" : "(Pampel, 2000)", "previouslyFormattedCitation" : "(Pampel, 2000)" }, "properties" : { "noteIndex" : 0 }, "schema" : "https://github.com/citation-style-language/schema/raw/master/csl-citation.json" }</w:instrText>
      </w:r>
      <w:r w:rsidR="00706E8F" w:rsidRPr="005440ED">
        <w:rPr>
          <w:highlight w:val="yellow"/>
        </w:rPr>
        <w:fldChar w:fldCharType="separate"/>
      </w:r>
      <w:r w:rsidR="00706E8F" w:rsidRPr="005440ED">
        <w:rPr>
          <w:noProof/>
          <w:highlight w:val="yellow"/>
        </w:rPr>
        <w:t>(Pampel 2000</w:t>
      </w:r>
      <w:r w:rsidR="00532C57" w:rsidRPr="005440ED">
        <w:rPr>
          <w:noProof/>
          <w:highlight w:val="yellow"/>
        </w:rPr>
        <w:t>, p.2</w:t>
      </w:r>
      <w:r w:rsidR="00706E8F" w:rsidRPr="005440ED">
        <w:rPr>
          <w:noProof/>
          <w:highlight w:val="yellow"/>
        </w:rPr>
        <w:t>)</w:t>
      </w:r>
      <w:r w:rsidR="00706E8F" w:rsidRPr="005440ED">
        <w:rPr>
          <w:highlight w:val="yellow"/>
        </w:rPr>
        <w:fldChar w:fldCharType="end"/>
      </w:r>
      <w:r w:rsidR="00532C57" w:rsidRPr="005440ED">
        <w:rPr>
          <w:highlight w:val="yellow"/>
        </w:rPr>
        <w:t>.</w:t>
      </w:r>
      <w:r w:rsidR="00D66210" w:rsidRPr="005440ED">
        <w:rPr>
          <w:highlight w:val="yellow"/>
        </w:rPr>
        <w:t xml:space="preserve"> </w:t>
      </w:r>
      <w:r w:rsidR="0034633D" w:rsidRPr="0034633D">
        <w:rPr>
          <w:highlight w:val="yellow"/>
        </w:rPr>
        <w:t>As with Chapter 5, due to country level variance, it is important to control for these effects (see Section 5.3) and so a MLM is fitted to the data.</w:t>
      </w:r>
      <w:r w:rsidR="00F7170B">
        <w:t xml:space="preserve"> </w:t>
      </w:r>
      <w:r w:rsidR="00F7170B" w:rsidRPr="00B714A6">
        <w:rPr>
          <w:highlight w:val="yellow"/>
        </w:rPr>
        <w:t>Using multilevel logistic regression on binary variables, using countries as the second level of analysis is now somewhat commonplace amongst</w:t>
      </w:r>
      <w:r w:rsidR="00F47DB1" w:rsidRPr="00B714A6">
        <w:rPr>
          <w:highlight w:val="yellow"/>
        </w:rPr>
        <w:t xml:space="preserve"> the quantitative literature </w:t>
      </w:r>
      <w:r w:rsidR="00F7170B" w:rsidRPr="00B714A6">
        <w:rPr>
          <w:highlight w:val="yellow"/>
        </w:rPr>
        <w:fldChar w:fldCharType="begin" w:fldLock="1"/>
      </w:r>
      <w:r w:rsidR="00C81624">
        <w:rPr>
          <w:highlight w:val="yellow"/>
        </w:rPr>
        <w:instrText>ADDIN CSL_CITATION { "citationItems" : [ { "id" : "ITEM-1", "itemData" : { "DOI" : "10.1111/polp.12157", "ISSN" : "17471346", "abstract" : "We examine the relationship between material deprivation and different\\ntypes of responses to economic crises by civil society actors. We are\\ninterested in understanding whether material deprivation has an effect\\non civil society reactions to the crisis and whether political\\nopportunity factors contribute to this relationship. In particular, we\\nwish to ascertain if the effect of material deprivation is moderated by\\nperceptions of political stability, on one hand, and of the\\neffectiveness of government, on the other. Our results show that the\\neffect of material deprivation on various aspects of responses to the\\ncrisis varies depending on the perceptions of the political environment.\\nThis suggests that perceptions of political stability and government\\neffectiveness feed into the interpretation of present conditions.\\nTherefore, perceptions of political stability and government\\neffectiveness act as signals leading material deprivation to become\\npoliticized as a grievance.", "author" : [ { "dropping-particle" : "", "family" : "Giugni", "given" : "Marco", "non-dropping-particle" : "", "parse-names" : false, "suffix" : "" }, { "dropping-particle" : "", "family" : "Grasso", "given" : "Maria T.", "non-dropping-particle" : "", "parse-names" : false, "suffix" : "" } ], "container-title" : "Politics and Policy", "id" : "ITEM-1", "issue" : "3", "issued" : { "date-parts" : [ [ "2016" ] ] }, "page" : "447-472", "title" : "How Civil Society Actors Responded to the Economic Crisis: The Interaction of Material Deprivation and Perceptions of Political Opportunity Structures", "type" : "article-journal", "volume" : "44" }, "uris" : [ "http://www.mendeley.com/documents/?uuid=3119b15f-5c81-4f02-80ba-125e27e3175a" ] }, { "id" : "ITEM-2", "itemData" : { "DOI" : "10.1111/1475-6765.12046", "ISSN" : "03044130", "author" : [ { "dropping-particle" : "", "family" : "Armingeon", "given" : "Klaus", "non-dropping-particle" : "", "parse-names" : false, "suffix" : "" }, { "dropping-particle" : "", "family" : "Guthmann", "given" : "Kai", "non-dropping-particle" : "", "parse-names" : false, "suffix" : "" } ], "container-title" : "European Journal of Political Research", "id" : "ITEM-2", "issued" : { "date-parts" : [ [ "2014", "1", "20" ] ] }, "page" : "n/a-n/a", "title" : "Democracy in crisis? The declining support for national democracy in European countries, 2007-2011", "type" : "article-journal" }, "uris" : [ "http://www.mendeley.com/documents/?uuid=5ba90baa-d541-4369-a7df-6cd688b22d93" ] }, { "id" : "ITEM-3", "itemData" : { "DOI" : "10.1177/0010414012463878", "ISSN" : "0010-4140", "author" : [ { "dropping-particle" : "", "family" : "Lee", "given" : "C.-S.", "non-dropping-particle" : "", "parse-names" : false, "suffix" : "" } ], "container-title" : "Comparative Political Studies", "id" : "ITEM-3", "issue" : "5", "issued" : { "date-parts" : [ [ "2012", "11", "5" ] ] }, "page" : "603-630", "title" : "Welfare States and Social Trust", "type" : "article-journal", "volume" : "46" }, "uris" : [ "http://www.mendeley.com/documents/?uuid=3449a7bd-f56f-441c-b0ac-61ddac15c2e8" ] }, { "id" : "ITEM-4", "itemData" : { "DOI" : "10.1016/j.ssresearch.2011.12.006", "ISSN" : "0049-089X", "PMID" : "23017788", "abstract" : "This study uses data from 23 countries in the World Values Survey and the National Survey of Families and Households and finds that the sex gap in feelings of depression is wider in high gender equity societies even though overall levels of feelings of depression are lower. Using hierarchical logistic modeling, we find that the sex difference in feelings of depression is wider in high gender equity societies because children increase depression for women in high gender equity societies, while they reduce depression for women without paid employment in low gender equity societies. There is little difference in the effect of children on feelings of depression for men across societies.", "author" : [ { "dropping-particle" : "", "family" : "Hopcroft", "given" : "Rosemary L", "non-dropping-particle" : "", "parse-names" : false, "suffix" : "" }, { "dropping-particle" : "", "family" : "McLaughlin", "given" : "Julie", "non-dropping-particle" : "", "parse-names" : false, "suffix" : "" } ], "container-title" : "Social science research", "id" : "ITEM-4", "issue" : "3", "issued" : { "date-parts" : [ [ "2012", "5" ] ] }, "page" : "501-13", "publisher" : "Elsevier Inc.", "title" : "Why is the sex gap in feelings of depression wider in high gender equity countries? The effect of children on the psychological well-being of men and women.", "type" : "article-journal", "volume" : "41" }, "uris" : [ "http://www.mendeley.com/documents/?uuid=6c44a566-5b0d-455f-8d48-47c1ccc35ec1" ] }, { "id" : "ITEM-5", "itemData" : { "DOI" : "10.1016/j.geoforum.2007.10.002", "author" : [ { "dropping-particle" : "", "family" : "Schueth", "given" : "Sam", "non-dropping-particle" : "", "parse-names" : false, "suffix" : "" }, { "dropping-particle" : "", "family" : "Loughlin", "given" : "John O", "non-dropping-particle" : "", "parse-names" : false, "suffix" : "" } ], "container-title" : "Geoforum", "id" : "ITEM-5", "issued" : { "date-parts" : [ [ "2008" ] ] }, "page" : "926-941", "title" : "Belonging to the world : Cosmopolitanism in geographic contexts", "type" : "article-journal", "volume" : "39" }, "uris" : [ "http://www.mendeley.com/documents/?uuid=c5877b9e-9858-40eb-848b-714f8f4ab4a7" ] } ], "mendeley" : { "formattedCitation" : "(Schueth and Loughlin, 2008; Hopcroft and McLaughlin, 2012; Lee, 2012; Armingeon and Guthmann, 2014; Giugni and Grasso, 2016)", "plainTextFormattedCitation" : "(Schueth and Loughlin, 2008; Hopcroft and McLaughlin, 2012; Lee, 2012; Armingeon and Guthmann, 2014; Giugni and Grasso, 2016)", "previouslyFormattedCitation" : "(Schueth and Loughlin, 2008; Hopcroft and McLaughlin, 2012; Lee, 2012; Armingeon and Guthmann, 2014; Giugni and Grasso, 2016)" }, "properties" : { "noteIndex" : 0 }, "schema" : "https://github.com/citation-style-language/schema/raw/master/csl-citation.json" }</w:instrText>
      </w:r>
      <w:r w:rsidR="00F7170B" w:rsidRPr="00B714A6">
        <w:rPr>
          <w:highlight w:val="yellow"/>
        </w:rPr>
        <w:fldChar w:fldCharType="separate"/>
      </w:r>
      <w:r w:rsidR="00F7170B" w:rsidRPr="00B714A6">
        <w:rPr>
          <w:noProof/>
          <w:highlight w:val="yellow"/>
        </w:rPr>
        <w:t>(Schueth and Loughlin, 2008; Hopcroft and McLaughlin, 2012; Lee, 2012; Armingeon and Guthmann, 2014; Giugni and Grasso, 2016)</w:t>
      </w:r>
      <w:r w:rsidR="00F7170B" w:rsidRPr="00B714A6">
        <w:rPr>
          <w:highlight w:val="yellow"/>
        </w:rPr>
        <w:fldChar w:fldCharType="end"/>
      </w:r>
      <w:r w:rsidR="00F47DB1" w:rsidRPr="00B714A6">
        <w:rPr>
          <w:highlight w:val="yellow"/>
        </w:rPr>
        <w:t>.</w:t>
      </w:r>
    </w:p>
    <w:p w14:paraId="24F803A4" w14:textId="7E885346" w:rsidR="00D66210" w:rsidRPr="005440ED" w:rsidRDefault="001B229F" w:rsidP="00366571">
      <w:pPr>
        <w:rPr>
          <w:noProof/>
          <w:szCs w:val="24"/>
          <w:highlight w:val="yellow"/>
        </w:rPr>
      </w:pPr>
      <w:r w:rsidRPr="005440ED">
        <w:rPr>
          <w:highlight w:val="yellow"/>
        </w:rPr>
        <w:t>The concepts of democracy are examined in an initial model before moving on to examining their explanatory power alongside the alternative theories outlined above, as well as a test in a full model.</w:t>
      </w:r>
      <w:r w:rsidR="00E32B20" w:rsidRPr="005440ED">
        <w:rPr>
          <w:highlight w:val="yellow"/>
        </w:rPr>
        <w:t xml:space="preserve"> </w:t>
      </w:r>
      <w:r w:rsidRPr="005440ED">
        <w:rPr>
          <w:highlight w:val="yellow"/>
        </w:rPr>
        <w:t xml:space="preserve">This is undertaken at the single level before the full model is tested in a multilevel model with contextual variables. </w:t>
      </w:r>
      <w:r w:rsidR="00E32B20" w:rsidRPr="005440ED">
        <w:rPr>
          <w:highlight w:val="yellow"/>
        </w:rPr>
        <w:t xml:space="preserve">The </w:t>
      </w:r>
      <w:r w:rsidR="00366571" w:rsidRPr="005440ED">
        <w:rPr>
          <w:highlight w:val="yellow"/>
        </w:rPr>
        <w:t xml:space="preserve">unstandardized </w:t>
      </w:r>
      <w:r w:rsidR="00E32B20" w:rsidRPr="005440ED">
        <w:rPr>
          <w:highlight w:val="yellow"/>
        </w:rPr>
        <w:t>coefficients are reported in all models, and are not converted into</w:t>
      </w:r>
      <w:r w:rsidR="00366571" w:rsidRPr="005440ED">
        <w:rPr>
          <w:highlight w:val="yellow"/>
        </w:rPr>
        <w:t xml:space="preserve"> any form of odds or risk ratio. As </w:t>
      </w:r>
      <w:r w:rsidR="00366571" w:rsidRPr="005440ED">
        <w:rPr>
          <w:highlight w:val="yellow"/>
        </w:rPr>
        <w:fldChar w:fldCharType="begin" w:fldLock="1"/>
      </w:r>
      <w:r w:rsidR="00366571" w:rsidRPr="005440ED">
        <w:rPr>
          <w:highlight w:val="yellow"/>
        </w:rPr>
        <w:instrText>ADDIN CSL_CITATION { "citationItems" : [ { "id" : "ITEM-1", "itemData" : { "author" : [ { "dropping-particle" : "", "family" : "Menard", "given" : "S", "non-dropping-particle" : "", "parse-names" : false, "suffix" : "" } ], "id" : "ITEM-1", "issued" : { "date-parts" : [ [ "2010" ] ] }, "publisher" : "SAGE Publications", "title" : "Logistic Regression: From Introductory to Advanced Concepts and Applications", "type" : "book" }, "uris" : [ "http://www.mendeley.com/documents/?uuid=10c5b92f-1c75-4676-8e21-8cd71dac5b45" ] } ], "mendeley" : { "formattedCitation" : "(Menard, 2010)", "manualFormatting" : "Menard (2010, p.94)", "plainTextFormattedCitation" : "(Menard, 2010)", "previouslyFormattedCitation" : "(Menard, 2010)" }, "properties" : { "noteIndex" : 0 }, "schema" : "https://github.com/citation-style-language/schema/raw/master/csl-citation.json" }</w:instrText>
      </w:r>
      <w:r w:rsidR="00366571" w:rsidRPr="005440ED">
        <w:rPr>
          <w:highlight w:val="yellow"/>
        </w:rPr>
        <w:fldChar w:fldCharType="separate"/>
      </w:r>
      <w:r w:rsidR="00366571" w:rsidRPr="005440ED">
        <w:rPr>
          <w:noProof/>
          <w:highlight w:val="yellow"/>
        </w:rPr>
        <w:t>Menard (2010, p.94)</w:t>
      </w:r>
      <w:r w:rsidR="00366571" w:rsidRPr="005440ED">
        <w:rPr>
          <w:highlight w:val="yellow"/>
        </w:rPr>
        <w:fldChar w:fldCharType="end"/>
      </w:r>
      <w:r w:rsidR="00366571" w:rsidRPr="005440ED">
        <w:rPr>
          <w:highlight w:val="yellow"/>
        </w:rPr>
        <w:t xml:space="preserve"> notes, in social science analysis the “odds ratio does not generally seem preferable to the simple unstandardized coefficient.” The use of odds ratios can often be confused with effect size, even though the odds ratio provides no additional information to the unstandardized coefficient (</w:t>
      </w:r>
      <w:r w:rsidR="00366571" w:rsidRPr="005440ED">
        <w:rPr>
          <w:i/>
          <w:highlight w:val="yellow"/>
        </w:rPr>
        <w:t>ibid</w:t>
      </w:r>
      <w:r w:rsidR="00366571" w:rsidRPr="005440ED">
        <w:rPr>
          <w:highlight w:val="yellow"/>
        </w:rPr>
        <w:t xml:space="preserve">, pp.93-97). Furthermore, concerning odds ratios in a multilevel model, “[F]or variables varying on the cluster level, the quantification is more difficult; the usual odds ratio interpretation is incorrect, because it is necessary to compare persons with different random effects, since the variable of interest does not vary between individuals within-cluster” </w:t>
      </w:r>
      <w:r w:rsidR="00366571" w:rsidRPr="005440ED">
        <w:rPr>
          <w:highlight w:val="yellow"/>
        </w:rPr>
        <w:fldChar w:fldCharType="begin" w:fldLock="1"/>
      </w:r>
      <w:r w:rsidR="00366571" w:rsidRPr="005440ED">
        <w:rPr>
          <w:highlight w:val="yellow"/>
        </w:rPr>
        <w:instrText>ADDIN CSL_CITATION { "citationItems" : [ { "id" : "ITEM-1", "itemData" : { "DOI" : "10.1093/aje/kwi017", "ISBN" : "0002-9262 (Print)", "ISSN" : "00029262", "PMID" : "15615918", "abstract" : "The logistic regression model is frequently used in epidemiologic studies, yielding odds ratio or relative risk interpretations. Inspired by the theory of linear normal models, the logistic regression model has been extended to allow for correlated responses by introducing random effects. However, the model does not inherit the interpretational features of the normal model. In this paper, the authors argue that the existing measures are unsatisfactory (and some of them are even improper) when quantifying results from multilevel logistic regression analyses. The authors suggest a measure of heterogeneity, the median odds ratio, that quantifies cluster heterogeneity and facilitates a direct comparison between covariate effects and the magnitude of heterogeneity in terms of well-known odds ratios. Quantifying cluster-level covariates in a meaningful way is a challenge in multilevel logistic regression. For this purpose, the authors propose an odds ratio measure, the interval odds ratio, that takes these difficulties into account. The authors demonstrate the two measures by investigating heterogeneity between neighborhoods and effects of neighborhood-level covariates in two examples--public physician visits and ischemic heart disease hospitalizations--using 1999 data on 11,312 men aged 45-85 years in Malmo, Sweden.", "author" : [ { "dropping-particle" : "", "family" : "Larsen", "given" : "Klaus", "non-dropping-particle" : "", "parse-names" : false, "suffix" : "" }, { "dropping-particle" : "", "family" : "Merlo", "given" : "Juan", "non-dropping-particle" : "", "parse-names" : false, "suffix" : "" } ], "container-title" : "American Journal of Epidemiology", "id" : "ITEM-1", "issue" : "1", "issued" : { "date-parts" : [ [ "2005" ] ] }, "page" : "81-88", "title" : "Appropriate assessment of neighborhood effects on individual health: Integrating random and fixed effects in multilevel logistic regression", "type" : "article-journal", "volume" : "161" }, "uris" : [ "http://www.mendeley.com/documents/?uuid=c7cb12c1-9cae-4a1f-af68-caa5a2e3d8d4" ] } ], "mendeley" : { "formattedCitation" : "(Larsen and Merlo, 2005)", "manualFormatting" : "(Larsen and Merlo, 2005, p.82)", "plainTextFormattedCitation" : "(Larsen and Merlo, 2005)", "previouslyFormattedCitation" : "(Larsen and Merlo, 2005)" }, "properties" : { "noteIndex" : 0 }, "schema" : "https://github.com/citation-style-language/schema/raw/master/csl-citation.json" }</w:instrText>
      </w:r>
      <w:r w:rsidR="00366571" w:rsidRPr="005440ED">
        <w:rPr>
          <w:highlight w:val="yellow"/>
        </w:rPr>
        <w:fldChar w:fldCharType="separate"/>
      </w:r>
      <w:r w:rsidR="00366571" w:rsidRPr="005440ED">
        <w:rPr>
          <w:noProof/>
          <w:highlight w:val="yellow"/>
        </w:rPr>
        <w:t>(Larsen and Merlo, 2005, p.82)</w:t>
      </w:r>
      <w:r w:rsidR="00366571" w:rsidRPr="005440ED">
        <w:rPr>
          <w:highlight w:val="yellow"/>
        </w:rPr>
        <w:fldChar w:fldCharType="end"/>
      </w:r>
      <w:r w:rsidR="00366571" w:rsidRPr="005440ED">
        <w:rPr>
          <w:highlight w:val="yellow"/>
        </w:rPr>
        <w:t xml:space="preserve">. Therefore the substantive interest in this analysis is to look at the significance and direction of relationship for the conceptualisations of democracy variables. Magnitude of effect is of </w:t>
      </w:r>
      <w:r w:rsidR="00757CC9" w:rsidRPr="005440ED">
        <w:rPr>
          <w:highlight w:val="yellow"/>
        </w:rPr>
        <w:t xml:space="preserve">less </w:t>
      </w:r>
      <w:r w:rsidR="00366571" w:rsidRPr="005440ED">
        <w:rPr>
          <w:highlight w:val="yellow"/>
        </w:rPr>
        <w:t xml:space="preserve">concern here as the key is to </w:t>
      </w:r>
      <w:r w:rsidR="00295C48" w:rsidRPr="005440ED">
        <w:rPr>
          <w:highlight w:val="yellow"/>
        </w:rPr>
        <w:t>outline</w:t>
      </w:r>
      <w:r w:rsidR="00366571" w:rsidRPr="005440ED">
        <w:rPr>
          <w:highlight w:val="yellow"/>
        </w:rPr>
        <w:t xml:space="preserve"> if there are effects at all (following </w:t>
      </w:r>
      <w:r w:rsidR="00366571" w:rsidRPr="005440ED">
        <w:rPr>
          <w:noProof/>
          <w:szCs w:val="24"/>
          <w:highlight w:val="yellow"/>
        </w:rPr>
        <w:t>Bengtsson and Christensen</w:t>
      </w:r>
      <w:r w:rsidR="00295C48" w:rsidRPr="005440ED">
        <w:rPr>
          <w:noProof/>
          <w:szCs w:val="24"/>
          <w:highlight w:val="yellow"/>
        </w:rPr>
        <w:t>,</w:t>
      </w:r>
      <w:r w:rsidR="00757CC9" w:rsidRPr="005440ED">
        <w:rPr>
          <w:noProof/>
          <w:szCs w:val="24"/>
          <w:highlight w:val="yellow"/>
        </w:rPr>
        <w:t xml:space="preserve"> 2014), however there will be discussion of </w:t>
      </w:r>
      <w:r w:rsidR="00295C48" w:rsidRPr="005440ED">
        <w:rPr>
          <w:noProof/>
          <w:szCs w:val="24"/>
          <w:highlight w:val="yellow"/>
        </w:rPr>
        <w:t>t</w:t>
      </w:r>
      <w:r w:rsidR="00757CC9" w:rsidRPr="005440ED">
        <w:rPr>
          <w:noProof/>
          <w:szCs w:val="24"/>
          <w:highlight w:val="yellow"/>
        </w:rPr>
        <w:t>he variables in relation to other theories as the multiple models are built up to examine their relative explanatory power.</w:t>
      </w:r>
    </w:p>
    <w:p w14:paraId="4EEF8DEE" w14:textId="3C5AFD2F" w:rsidR="00C6426E" w:rsidRPr="00D852C0" w:rsidRDefault="00C6426E" w:rsidP="00366571">
      <w:r w:rsidRPr="005440ED">
        <w:rPr>
          <w:noProof/>
          <w:szCs w:val="24"/>
          <w:highlight w:val="yellow"/>
        </w:rPr>
        <w:t xml:space="preserve">Whilst all models report the unstandardized coefficients, </w:t>
      </w:r>
      <w:r w:rsidR="00BD3ECD" w:rsidRPr="005440ED">
        <w:rPr>
          <w:noProof/>
          <w:szCs w:val="24"/>
          <w:highlight w:val="yellow"/>
        </w:rPr>
        <w:t>predicted margins are calculated in order to eaese interpretation of the understandings of democracy variables, visualed by gender. These are provided in each section.</w:t>
      </w:r>
      <w:r>
        <w:rPr>
          <w:noProof/>
          <w:szCs w:val="24"/>
        </w:rPr>
        <w:t xml:space="preserve"> </w:t>
      </w:r>
    </w:p>
    <w:p w14:paraId="59B067DE" w14:textId="77777777" w:rsidR="00D66210" w:rsidRPr="00E223A2" w:rsidRDefault="00D66210" w:rsidP="00D66210">
      <w:pPr>
        <w:pStyle w:val="Heading3"/>
      </w:pPr>
      <w:bookmarkStart w:id="375" w:name="_Toc441069286"/>
      <w:r w:rsidRPr="00E223A2">
        <w:t>Model Fit</w:t>
      </w:r>
      <w:bookmarkEnd w:id="375"/>
    </w:p>
    <w:p w14:paraId="21E41D11" w14:textId="35488C47" w:rsidR="00DF5085" w:rsidRDefault="00D66210" w:rsidP="00D66210">
      <w:pPr>
        <w:rPr>
          <w:rFonts w:eastAsia="Times New Roman" w:cs="Arial"/>
          <w:lang w:eastAsia="en-GB"/>
        </w:rPr>
      </w:pPr>
      <w:r w:rsidRPr="0078679A">
        <w:rPr>
          <w:rFonts w:eastAsia="Times New Roman" w:cs="Arial"/>
          <w:lang w:eastAsia="en-GB"/>
        </w:rPr>
        <w:t>There are numerous ways to calculate R</w:t>
      </w:r>
      <w:r w:rsidRPr="0078679A">
        <w:rPr>
          <w:rFonts w:eastAsia="Times New Roman" w:cs="Arial"/>
          <w:vertAlign w:val="superscript"/>
          <w:lang w:eastAsia="en-GB"/>
        </w:rPr>
        <w:t>2</w:t>
      </w:r>
      <w:r w:rsidRPr="0078679A">
        <w:rPr>
          <w:rFonts w:eastAsia="Times New Roman" w:cs="Arial"/>
          <w:lang w:eastAsia="en-GB"/>
        </w:rPr>
        <w:t xml:space="preserve"> scores for logit models, and no consensus on which is the most appropriate. </w:t>
      </w:r>
      <w:r w:rsidR="00DF5085" w:rsidRPr="0078679A">
        <w:rPr>
          <w:rFonts w:eastAsia="Times New Roman" w:cs="Arial"/>
          <w:lang w:eastAsia="en-GB"/>
        </w:rPr>
        <w:t>This is particularly true for hierarchical models. Furthermore, the R</w:t>
      </w:r>
      <w:r w:rsidR="00DF5085" w:rsidRPr="0078679A">
        <w:rPr>
          <w:rFonts w:eastAsia="Times New Roman" w:cs="Arial"/>
          <w:vertAlign w:val="superscript"/>
          <w:lang w:eastAsia="en-GB"/>
        </w:rPr>
        <w:t>2</w:t>
      </w:r>
      <w:r w:rsidR="00DF5085" w:rsidRPr="0078679A">
        <w:rPr>
          <w:rFonts w:eastAsia="Times New Roman" w:cs="Arial"/>
          <w:lang w:eastAsia="en-GB"/>
        </w:rPr>
        <w:t>, or pseudo-R</w:t>
      </w:r>
      <w:r w:rsidR="00DF5085" w:rsidRPr="0078679A">
        <w:rPr>
          <w:rFonts w:eastAsia="Times New Roman" w:cs="Arial"/>
          <w:vertAlign w:val="superscript"/>
          <w:lang w:eastAsia="en-GB"/>
        </w:rPr>
        <w:t>2</w:t>
      </w:r>
      <w:r w:rsidR="00DF5085" w:rsidRPr="0078679A">
        <w:rPr>
          <w:rFonts w:eastAsia="Times New Roman" w:cs="Arial"/>
          <w:lang w:eastAsia="en-GB"/>
        </w:rPr>
        <w:t xml:space="preserve"> as it is for these models, is not really analogous to those which are used for the OLS models. </w:t>
      </w:r>
      <w:r w:rsidR="00EE2BAB" w:rsidRPr="0078679A">
        <w:rPr>
          <w:rFonts w:eastAsia="Times New Roman" w:cs="Arial"/>
          <w:lang w:eastAsia="en-GB"/>
        </w:rPr>
        <w:t xml:space="preserve"> </w:t>
      </w:r>
      <w:r w:rsidR="008226A2">
        <w:rPr>
          <w:rFonts w:eastAsia="Times New Roman" w:cs="Arial"/>
          <w:lang w:eastAsia="en-GB"/>
        </w:rPr>
        <w:t>Because of this, i</w:t>
      </w:r>
      <w:r w:rsidR="00EE2BAB" w:rsidRPr="0078679A">
        <w:rPr>
          <w:rFonts w:eastAsia="Times New Roman" w:cs="Arial"/>
          <w:lang w:eastAsia="en-GB"/>
        </w:rPr>
        <w:t>n this discuss</w:t>
      </w:r>
      <w:r w:rsidR="008226A2">
        <w:rPr>
          <w:rFonts w:eastAsia="Times New Roman" w:cs="Arial"/>
          <w:lang w:eastAsia="en-GB"/>
        </w:rPr>
        <w:t>ion I report the log-likelihood,</w:t>
      </w:r>
      <w:r w:rsidR="00EB7353">
        <w:rPr>
          <w:rFonts w:eastAsia="Times New Roman" w:cs="Arial"/>
          <w:lang w:eastAsia="en-GB"/>
        </w:rPr>
        <w:t xml:space="preserve"> </w:t>
      </w:r>
      <w:r w:rsidR="00EE2BAB" w:rsidRPr="0078679A">
        <w:rPr>
          <w:rFonts w:eastAsia="Times New Roman" w:cs="Arial"/>
          <w:lang w:eastAsia="en-GB"/>
        </w:rPr>
        <w:t>AIC value</w:t>
      </w:r>
      <w:r w:rsidR="00EB7353">
        <w:rPr>
          <w:rFonts w:eastAsia="Times New Roman" w:cs="Arial"/>
          <w:lang w:eastAsia="en-GB"/>
        </w:rPr>
        <w:t xml:space="preserve"> and BIC value</w:t>
      </w:r>
      <w:r w:rsidR="00EE2BAB" w:rsidRPr="0078679A">
        <w:rPr>
          <w:rFonts w:eastAsia="Times New Roman" w:cs="Arial"/>
          <w:lang w:eastAsia="en-GB"/>
        </w:rPr>
        <w:t xml:space="preserve"> of each model. The lower the number the better, as they describe model fit, with the AIC also accounting for the number of parameters in the model </w:t>
      </w:r>
      <w:r w:rsidR="00EE2BAB" w:rsidRPr="0078679A">
        <w:rPr>
          <w:rFonts w:eastAsia="Times New Roman" w:cs="Arial"/>
          <w:lang w:eastAsia="en-GB"/>
        </w:rPr>
        <w:fldChar w:fldCharType="begin" w:fldLock="1"/>
      </w:r>
      <w:r w:rsidR="00E63CC6">
        <w:rPr>
          <w:rFonts w:eastAsia="Times New Roman" w:cs="Arial"/>
          <w:lang w:eastAsia="en-GB"/>
        </w:rPr>
        <w:instrText>ADDIN CSL_CITATION { "citationItems" : [ { "id" : "ITEM-1", "itemData" : { "author" : [ { "dropping-particle" : "", "family" : "Yang", "given" : "Hongwei", "non-dropping-particle" : "", "parse-names" : false, "suffix" : "" }, { "dropping-particle" : "", "family" : "Bozdogan", "given" : "Hamparsum", "non-dropping-particle" : "", "parse-names" : false, "suffix" : "" } ], "container-title" : "Multiple Linear Regression Viewpoints", "id" : "ITEM-1", "issue" : "2", "issued" : { "date-parts" : [ [ "2011" ] ] }, "page" : "1-13", "title" : "Model Selection with Information Complexity in Multiple Linear Regression Modeling", "type" : "article-journal", "volume" : "37" }, "uris" : [ "http://www.mendeley.com/documents/?uuid=6560439d-1879-4af2-8a24-7831f43049dd" ] } ], "mendeley" : { "formattedCitation" : "(Yang and Bozdogan, 2011)", "plainTextFormattedCitation" : "(Yang and Bozdogan, 2011)", "previouslyFormattedCitation" : "(Yang and Bozdogan, 2011)" }, "properties" : { "noteIndex" : 0 }, "schema" : "https://github.com/citation-style-language/schema/raw/master/csl-citation.json" }</w:instrText>
      </w:r>
      <w:r w:rsidR="00EE2BAB" w:rsidRPr="0078679A">
        <w:rPr>
          <w:rFonts w:eastAsia="Times New Roman" w:cs="Arial"/>
          <w:lang w:eastAsia="en-GB"/>
        </w:rPr>
        <w:fldChar w:fldCharType="separate"/>
      </w:r>
      <w:r w:rsidR="00E63CC6" w:rsidRPr="00E63CC6">
        <w:rPr>
          <w:rFonts w:eastAsia="Times New Roman" w:cs="Arial"/>
          <w:noProof/>
          <w:lang w:eastAsia="en-GB"/>
        </w:rPr>
        <w:t>(Yang and Bozdogan, 2011)</w:t>
      </w:r>
      <w:r w:rsidR="00EE2BAB" w:rsidRPr="0078679A">
        <w:rPr>
          <w:rFonts w:eastAsia="Times New Roman" w:cs="Arial"/>
          <w:lang w:eastAsia="en-GB"/>
        </w:rPr>
        <w:fldChar w:fldCharType="end"/>
      </w:r>
      <w:r w:rsidR="00EE2BAB" w:rsidRPr="0078679A">
        <w:rPr>
          <w:rFonts w:eastAsia="Times New Roman" w:cs="Arial"/>
          <w:lang w:eastAsia="en-GB"/>
        </w:rPr>
        <w:t xml:space="preserve">. </w:t>
      </w:r>
      <w:r w:rsidR="00C3775A">
        <w:rPr>
          <w:rFonts w:eastAsia="Times New Roman" w:cs="Arial"/>
          <w:lang w:eastAsia="en-GB"/>
        </w:rPr>
        <w:t>T</w:t>
      </w:r>
      <w:r w:rsidR="00EE2BAB" w:rsidRPr="0078679A">
        <w:rPr>
          <w:rFonts w:eastAsia="Times New Roman" w:cs="Arial"/>
          <w:lang w:eastAsia="en-GB"/>
        </w:rPr>
        <w:t>hese measures are not outlining a</w:t>
      </w:r>
      <w:r w:rsidR="0078679A">
        <w:rPr>
          <w:rFonts w:eastAsia="Times New Roman" w:cs="Arial"/>
          <w:lang w:eastAsia="en-GB"/>
        </w:rPr>
        <w:t>n intuitive</w:t>
      </w:r>
      <w:r w:rsidR="00EE2BAB" w:rsidRPr="0078679A">
        <w:rPr>
          <w:rFonts w:eastAsia="Times New Roman" w:cs="Arial"/>
          <w:lang w:eastAsia="en-GB"/>
        </w:rPr>
        <w:t xml:space="preserve"> degree of explained error which can </w:t>
      </w:r>
      <w:r w:rsidR="0078679A">
        <w:rPr>
          <w:rFonts w:eastAsia="Times New Roman" w:cs="Arial"/>
          <w:lang w:eastAsia="en-GB"/>
        </w:rPr>
        <w:t xml:space="preserve">then </w:t>
      </w:r>
      <w:r w:rsidR="00EE2BAB" w:rsidRPr="0078679A">
        <w:rPr>
          <w:rFonts w:eastAsia="Times New Roman" w:cs="Arial"/>
          <w:lang w:eastAsia="en-GB"/>
        </w:rPr>
        <w:t>be compared against a desired amount</w:t>
      </w:r>
      <w:r w:rsidR="0078679A">
        <w:rPr>
          <w:rFonts w:eastAsia="Times New Roman" w:cs="Arial"/>
          <w:lang w:eastAsia="en-GB"/>
        </w:rPr>
        <w:t xml:space="preserve"> (i.e. with R</w:t>
      </w:r>
      <w:r w:rsidR="0078679A">
        <w:rPr>
          <w:rFonts w:eastAsia="Times New Roman" w:cs="Arial"/>
          <w:vertAlign w:val="superscript"/>
          <w:lang w:eastAsia="en-GB"/>
        </w:rPr>
        <w:t>2</w:t>
      </w:r>
      <w:r w:rsidR="0078679A">
        <w:rPr>
          <w:rFonts w:eastAsia="Times New Roman" w:cs="Arial"/>
          <w:lang w:eastAsia="en-GB"/>
        </w:rPr>
        <w:t xml:space="preserve"> on a scale of 0-1)</w:t>
      </w:r>
      <w:r w:rsidR="00EE2BAB" w:rsidRPr="0078679A">
        <w:rPr>
          <w:rFonts w:eastAsia="Times New Roman" w:cs="Arial"/>
          <w:lang w:eastAsia="en-GB"/>
        </w:rPr>
        <w:t xml:space="preserve">. However, when looking at models which attempt to predict the outcome I am interested in (political participation), if one model features my main variables of interest (understandings of democracy) and another does not, I can see if the model fit has improved with my added variables. </w:t>
      </w:r>
      <w:r w:rsidR="00532C57">
        <w:rPr>
          <w:rFonts w:eastAsia="Times New Roman" w:cs="Arial"/>
          <w:lang w:eastAsia="en-GB"/>
        </w:rPr>
        <w:t>This is my substantive interest –</w:t>
      </w:r>
      <w:r w:rsidR="00EE2BAB" w:rsidRPr="0078679A">
        <w:rPr>
          <w:rFonts w:eastAsia="Times New Roman" w:cs="Arial"/>
          <w:lang w:eastAsia="en-GB"/>
        </w:rPr>
        <w:t xml:space="preserve"> do these varia</w:t>
      </w:r>
      <w:r w:rsidR="00532C57">
        <w:rPr>
          <w:rFonts w:eastAsia="Times New Roman" w:cs="Arial"/>
          <w:lang w:eastAsia="en-GB"/>
        </w:rPr>
        <w:t>bles help explain participation –</w:t>
      </w:r>
      <w:r w:rsidR="00EE2BAB" w:rsidRPr="0078679A">
        <w:rPr>
          <w:rFonts w:eastAsia="Times New Roman" w:cs="Arial"/>
          <w:lang w:eastAsia="en-GB"/>
        </w:rPr>
        <w:t xml:space="preserve"> and so these are</w:t>
      </w:r>
      <w:r w:rsidR="00532C57">
        <w:rPr>
          <w:rFonts w:eastAsia="Times New Roman" w:cs="Arial"/>
          <w:lang w:eastAsia="en-GB"/>
        </w:rPr>
        <w:t xml:space="preserve"> useful</w:t>
      </w:r>
      <w:r w:rsidR="00EE2BAB" w:rsidRPr="0078679A">
        <w:rPr>
          <w:rFonts w:eastAsia="Times New Roman" w:cs="Arial"/>
          <w:lang w:eastAsia="en-GB"/>
        </w:rPr>
        <w:t xml:space="preserve"> post-estimation </w:t>
      </w:r>
      <w:r w:rsidR="0078679A" w:rsidRPr="0078679A">
        <w:rPr>
          <w:rFonts w:eastAsia="Times New Roman" w:cs="Arial"/>
          <w:lang w:eastAsia="en-GB"/>
        </w:rPr>
        <w:t>measure</w:t>
      </w:r>
      <w:r w:rsidR="00532C57">
        <w:rPr>
          <w:rFonts w:eastAsia="Times New Roman" w:cs="Arial"/>
          <w:lang w:eastAsia="en-GB"/>
        </w:rPr>
        <w:t>s</w:t>
      </w:r>
      <w:r w:rsidR="0078679A" w:rsidRPr="0078679A">
        <w:rPr>
          <w:rFonts w:eastAsia="Times New Roman" w:cs="Arial"/>
          <w:lang w:eastAsia="en-GB"/>
        </w:rPr>
        <w:t xml:space="preserve"> </w:t>
      </w:r>
      <w:r w:rsidR="00532C57">
        <w:rPr>
          <w:rFonts w:eastAsia="Times New Roman" w:cs="Arial"/>
          <w:lang w:eastAsia="en-GB"/>
        </w:rPr>
        <w:t>of model fit</w:t>
      </w:r>
      <w:r w:rsidR="0078679A" w:rsidRPr="0078679A">
        <w:rPr>
          <w:rFonts w:eastAsia="Times New Roman" w:cs="Arial"/>
          <w:lang w:eastAsia="en-GB"/>
        </w:rPr>
        <w:t>.</w:t>
      </w:r>
      <w:r w:rsidR="00EE2BAB" w:rsidRPr="0078679A">
        <w:rPr>
          <w:rFonts w:eastAsia="Times New Roman" w:cs="Arial"/>
          <w:lang w:eastAsia="en-GB"/>
        </w:rPr>
        <w:t xml:space="preserve"> </w:t>
      </w:r>
    </w:p>
    <w:p w14:paraId="3B3A3F2F" w14:textId="3E0834E2" w:rsidR="00DE16F3" w:rsidRDefault="00DE16F3" w:rsidP="00D66210">
      <w:pPr>
        <w:rPr>
          <w:rFonts w:eastAsia="Times New Roman" w:cs="Arial"/>
          <w:lang w:eastAsia="en-GB"/>
        </w:rPr>
      </w:pPr>
    </w:p>
    <w:p w14:paraId="5BE193C6" w14:textId="77777777" w:rsidR="00DE16F3" w:rsidRPr="0078679A" w:rsidRDefault="00DE16F3" w:rsidP="00D66210">
      <w:pPr>
        <w:rPr>
          <w:rFonts w:eastAsia="Times New Roman" w:cs="Arial"/>
          <w:lang w:eastAsia="en-GB"/>
        </w:rPr>
      </w:pPr>
    </w:p>
    <w:p w14:paraId="728D8CB5" w14:textId="77777777" w:rsidR="00D66210" w:rsidRPr="00577217" w:rsidRDefault="00D66210" w:rsidP="00D66210">
      <w:pPr>
        <w:pStyle w:val="Heading2"/>
      </w:pPr>
      <w:bookmarkStart w:id="376" w:name="_Toc441069045"/>
      <w:bookmarkStart w:id="377" w:name="_Toc441069287"/>
      <w:bookmarkStart w:id="378" w:name="_Toc494034237"/>
      <w:r w:rsidRPr="00577217">
        <w:t>6.5 Results</w:t>
      </w:r>
      <w:bookmarkEnd w:id="376"/>
      <w:bookmarkEnd w:id="377"/>
      <w:bookmarkEnd w:id="378"/>
    </w:p>
    <w:p w14:paraId="3B5BEBD9" w14:textId="2154697E" w:rsidR="00D66210" w:rsidRPr="00D852C0" w:rsidRDefault="00D66210" w:rsidP="00D66210">
      <w:r w:rsidRPr="00D852C0">
        <w:t xml:space="preserve">This section begins by examining the patterns of informal protest across countries and time. Questions on non-institutional political participation have been asked in the World Values Survey since its inception and </w:t>
      </w:r>
      <w:r w:rsidR="00C3775A">
        <w:t>so</w:t>
      </w:r>
      <w:r w:rsidRPr="00D852C0">
        <w:t xml:space="preserve"> the scene can be set in more detail to determine whether there are any noticeable trends across time and place when it comes to the popularity of these types of protest.</w:t>
      </w:r>
    </w:p>
    <w:p w14:paraId="5073B37B" w14:textId="634A7DF6" w:rsidR="00D66210" w:rsidRPr="00D852C0" w:rsidRDefault="00D66210" w:rsidP="00D66210">
      <w:r w:rsidRPr="00D852C0">
        <w:t xml:space="preserve">Once this context has been addressed, the following part examines </w:t>
      </w:r>
      <w:r w:rsidR="00BC5A5B">
        <w:t xml:space="preserve">if any trends can be outlined for these </w:t>
      </w:r>
      <w:r w:rsidRPr="00D852C0">
        <w:t>informal type</w:t>
      </w:r>
      <w:r w:rsidR="00532C57">
        <w:t xml:space="preserve">s of participation, </w:t>
      </w:r>
      <w:r w:rsidR="00BC5A5B">
        <w:t>before</w:t>
      </w:r>
      <w:r w:rsidRPr="00D852C0">
        <w:t xml:space="preserve"> testing the long-standing theoretical measures against the two unique measures of democratic understanding that have been generated by this thesis.   </w:t>
      </w:r>
    </w:p>
    <w:p w14:paraId="01B952C0" w14:textId="77777777" w:rsidR="00D66210" w:rsidRPr="00E223A2" w:rsidRDefault="00D66210" w:rsidP="00D66210">
      <w:pPr>
        <w:pStyle w:val="Heading3"/>
      </w:pPr>
      <w:bookmarkStart w:id="379" w:name="_Toc441069288"/>
      <w:r w:rsidRPr="00E223A2">
        <w:t>Patterns of Informal Participation</w:t>
      </w:r>
      <w:bookmarkEnd w:id="379"/>
    </w:p>
    <w:p w14:paraId="3DA833CA" w14:textId="72494C16" w:rsidR="00D66210" w:rsidRDefault="00D66210" w:rsidP="00D66210">
      <w:r w:rsidRPr="00D852C0">
        <w:t>A common finding of the literature is that protest activities are more common in advanc</w:t>
      </w:r>
      <w:r w:rsidR="00E7627D">
        <w:t xml:space="preserve">ed economies (Dalton </w:t>
      </w:r>
      <w:r w:rsidR="00803848">
        <w:t>et al</w:t>
      </w:r>
      <w:r w:rsidR="00170FB9">
        <w:t>.</w:t>
      </w:r>
      <w:r w:rsidR="00E7627D">
        <w:t xml:space="preserve"> 2009, p.</w:t>
      </w:r>
      <w:r w:rsidRPr="00D852C0">
        <w:t>63). Figure 6.3 presents the percentages of those undertaking protest activities in the WVS2008 survey, using a simple Human Development Index categorisation that splits countries into either developed or developing (a country below 0.7 is classed as developing).</w:t>
      </w:r>
    </w:p>
    <w:p w14:paraId="680EE085" w14:textId="7381A39A" w:rsidR="00565E7E" w:rsidRDefault="00565E7E" w:rsidP="00565E7E">
      <w:r w:rsidRPr="00D852C0">
        <w:t xml:space="preserve">Citizens in developed countries </w:t>
      </w:r>
      <w:r w:rsidR="00532C57">
        <w:t>do appear</w:t>
      </w:r>
      <w:r w:rsidRPr="00D852C0">
        <w:t xml:space="preserve"> more likely to have undertaken these particular types of informal political participation</w:t>
      </w:r>
      <w:r w:rsidR="00532C57">
        <w:t>. T</w:t>
      </w:r>
      <w:r w:rsidRPr="00D852C0">
        <w:t>he largest difference</w:t>
      </w:r>
      <w:r w:rsidR="00532C57">
        <w:t xml:space="preserve"> is for</w:t>
      </w:r>
      <w:r w:rsidRPr="00D852C0">
        <w:t xml:space="preserve"> signing a petition</w:t>
      </w:r>
      <w:r>
        <w:t>:</w:t>
      </w:r>
      <w:r w:rsidR="00532C57">
        <w:t xml:space="preserve"> respondents</w:t>
      </w:r>
      <w:r w:rsidRPr="00D852C0">
        <w:t xml:space="preserve"> are almost four times more likely to do </w:t>
      </w:r>
      <w:r>
        <w:t xml:space="preserve">this </w:t>
      </w:r>
      <w:r w:rsidRPr="00D852C0">
        <w:t>than are those in developing countries (39.2% for developed countries, com</w:t>
      </w:r>
      <w:r w:rsidR="00103267">
        <w:t>pared to 10.2% for developing).</w:t>
      </w:r>
    </w:p>
    <w:p w14:paraId="0926FF65" w14:textId="25FA2F92" w:rsidR="000674E6" w:rsidRDefault="000674E6" w:rsidP="00565E7E">
      <w:r w:rsidRPr="00D852C0">
        <w:t xml:space="preserve">The corollary is that citizens in developing nations are much more likely to say they would </w:t>
      </w:r>
      <w:r w:rsidRPr="00D852C0">
        <w:rPr>
          <w:i/>
        </w:rPr>
        <w:t>never</w:t>
      </w:r>
      <w:r w:rsidRPr="00D852C0">
        <w:t xml:space="preserve"> </w:t>
      </w:r>
      <w:r>
        <w:t>undertake</w:t>
      </w:r>
      <w:r w:rsidRPr="00D852C0">
        <w:t xml:space="preserve"> such activities and in fact this group constitute a considerable majority for each activity, with the highest result being almost 70% of developing country respondents who say they </w:t>
      </w:r>
      <w:r w:rsidR="00EB7353">
        <w:t>would never engage in boycotts.</w:t>
      </w:r>
    </w:p>
    <w:p w14:paraId="09FFBE99" w14:textId="2D2E2C8E" w:rsidR="00DE16F3" w:rsidRDefault="00DE16F3" w:rsidP="00565E7E"/>
    <w:p w14:paraId="5F7021C5" w14:textId="79E63F91" w:rsidR="00DE16F3" w:rsidRDefault="00DE16F3" w:rsidP="00565E7E"/>
    <w:p w14:paraId="1121A7D9" w14:textId="6A42C096" w:rsidR="00DE16F3" w:rsidRDefault="00DE16F3" w:rsidP="00565E7E"/>
    <w:p w14:paraId="1DE32DBC" w14:textId="77777777" w:rsidR="00DE16F3" w:rsidRDefault="00DE16F3" w:rsidP="00565E7E"/>
    <w:p w14:paraId="78D7B462" w14:textId="2E2E4611" w:rsidR="00D66210" w:rsidRPr="00717D00" w:rsidRDefault="00D66210" w:rsidP="00D66210">
      <w:pPr>
        <w:pStyle w:val="Caption"/>
        <w:rPr>
          <w:rFonts w:ascii="Segoe UI" w:hAnsi="Segoe UI" w:cs="Segoe UI"/>
          <w:i w:val="0"/>
        </w:rPr>
      </w:pPr>
      <w:bookmarkStart w:id="380" w:name="_Toc494687190"/>
      <w:r w:rsidRPr="00717D00">
        <w:rPr>
          <w:rFonts w:ascii="Segoe UI" w:hAnsi="Segoe UI" w:cs="Segoe UI"/>
          <w:i w:val="0"/>
        </w:rPr>
        <w:t xml:space="preserve">Figure </w:t>
      </w:r>
      <w:r w:rsidR="00C96822" w:rsidRPr="00717D00">
        <w:rPr>
          <w:rFonts w:ascii="Segoe UI" w:hAnsi="Segoe UI" w:cs="Segoe UI"/>
          <w:i w:val="0"/>
        </w:rPr>
        <w:fldChar w:fldCharType="begin"/>
      </w:r>
      <w:r w:rsidR="00C96822" w:rsidRPr="00717D00">
        <w:rPr>
          <w:rFonts w:ascii="Segoe UI" w:hAnsi="Segoe UI" w:cs="Segoe UI"/>
          <w:i w:val="0"/>
        </w:rPr>
        <w:instrText xml:space="preserve"> STYLEREF 1 \s </w:instrText>
      </w:r>
      <w:r w:rsidR="00C96822" w:rsidRPr="00717D00">
        <w:rPr>
          <w:rFonts w:ascii="Segoe UI" w:hAnsi="Segoe UI" w:cs="Segoe UI"/>
          <w:i w:val="0"/>
        </w:rPr>
        <w:fldChar w:fldCharType="separate"/>
      </w:r>
      <w:r w:rsidR="00306E67" w:rsidRPr="00717D00">
        <w:rPr>
          <w:rFonts w:ascii="Segoe UI" w:hAnsi="Segoe UI" w:cs="Segoe UI"/>
          <w:i w:val="0"/>
          <w:noProof/>
        </w:rPr>
        <w:t>6</w:t>
      </w:r>
      <w:r w:rsidR="00C96822" w:rsidRPr="00717D00">
        <w:rPr>
          <w:rFonts w:ascii="Segoe UI" w:hAnsi="Segoe UI" w:cs="Segoe UI"/>
          <w:i w:val="0"/>
          <w:noProof/>
        </w:rPr>
        <w:fldChar w:fldCharType="end"/>
      </w:r>
      <w:r w:rsidR="00D9151E" w:rsidRPr="00717D00">
        <w:rPr>
          <w:rFonts w:ascii="Segoe UI" w:hAnsi="Segoe UI" w:cs="Segoe UI"/>
          <w:i w:val="0"/>
        </w:rPr>
        <w:t>:</w:t>
      </w:r>
      <w:r w:rsidR="00C96822" w:rsidRPr="00717D00">
        <w:rPr>
          <w:rFonts w:ascii="Segoe UI" w:hAnsi="Segoe UI" w:cs="Segoe UI"/>
          <w:i w:val="0"/>
        </w:rPr>
        <w:fldChar w:fldCharType="begin"/>
      </w:r>
      <w:r w:rsidR="00C96822" w:rsidRPr="00717D00">
        <w:rPr>
          <w:rFonts w:ascii="Segoe UI" w:hAnsi="Segoe UI" w:cs="Segoe UI"/>
          <w:i w:val="0"/>
        </w:rPr>
        <w:instrText xml:space="preserve"> SEQ Figure \* ARABIC \s 1 </w:instrText>
      </w:r>
      <w:r w:rsidR="00C96822" w:rsidRPr="00717D00">
        <w:rPr>
          <w:rFonts w:ascii="Segoe UI" w:hAnsi="Segoe UI" w:cs="Segoe UI"/>
          <w:i w:val="0"/>
        </w:rPr>
        <w:fldChar w:fldCharType="separate"/>
      </w:r>
      <w:r w:rsidR="00EB7353" w:rsidRPr="00717D00">
        <w:rPr>
          <w:rFonts w:ascii="Segoe UI" w:hAnsi="Segoe UI" w:cs="Segoe UI"/>
          <w:i w:val="0"/>
          <w:noProof/>
        </w:rPr>
        <w:t>3</w:t>
      </w:r>
      <w:r w:rsidR="00C96822" w:rsidRPr="00717D00">
        <w:rPr>
          <w:rFonts w:ascii="Segoe UI" w:hAnsi="Segoe UI" w:cs="Segoe UI"/>
          <w:i w:val="0"/>
          <w:noProof/>
        </w:rPr>
        <w:fldChar w:fldCharType="end"/>
      </w:r>
      <w:r w:rsidRPr="00717D00">
        <w:rPr>
          <w:rFonts w:ascii="Segoe UI" w:hAnsi="Segoe UI" w:cs="Segoe UI"/>
          <w:i w:val="0"/>
        </w:rPr>
        <w:t xml:space="preserve"> Informal Participation by Development (%)</w:t>
      </w:r>
      <w:bookmarkEnd w:id="380"/>
    </w:p>
    <w:tbl>
      <w:tblPr>
        <w:tblW w:w="8951" w:type="dxa"/>
        <w:tblLook w:val="04A0" w:firstRow="1" w:lastRow="0" w:firstColumn="1" w:lastColumn="0" w:noHBand="0" w:noVBand="1"/>
      </w:tblPr>
      <w:tblGrid>
        <w:gridCol w:w="2294"/>
        <w:gridCol w:w="2493"/>
        <w:gridCol w:w="1197"/>
        <w:gridCol w:w="1197"/>
        <w:gridCol w:w="1770"/>
      </w:tblGrid>
      <w:tr w:rsidR="00D66210" w:rsidRPr="00E7627D" w14:paraId="2881AD49" w14:textId="77777777" w:rsidTr="005800A8">
        <w:trPr>
          <w:trHeight w:val="310"/>
        </w:trPr>
        <w:tc>
          <w:tcPr>
            <w:tcW w:w="2294" w:type="dxa"/>
            <w:tcBorders>
              <w:bottom w:val="single" w:sz="4" w:space="0" w:color="auto"/>
            </w:tcBorders>
            <w:shd w:val="clear" w:color="auto" w:fill="auto"/>
            <w:hideMark/>
          </w:tcPr>
          <w:p w14:paraId="063008F1" w14:textId="77777777" w:rsidR="00D66210" w:rsidRPr="00E7627D" w:rsidRDefault="00D66210" w:rsidP="00292280">
            <w:pPr>
              <w:pStyle w:val="NoSpacing"/>
              <w:spacing w:before="0"/>
              <w:rPr>
                <w:rFonts w:cs="Segoe UI"/>
                <w:color w:val="000000" w:themeColor="text1"/>
                <w:sz w:val="20"/>
                <w:szCs w:val="20"/>
                <w:lang w:eastAsia="en-GB"/>
              </w:rPr>
            </w:pPr>
          </w:p>
        </w:tc>
        <w:tc>
          <w:tcPr>
            <w:tcW w:w="2493" w:type="dxa"/>
            <w:tcBorders>
              <w:bottom w:val="single" w:sz="4" w:space="0" w:color="auto"/>
            </w:tcBorders>
            <w:shd w:val="clear" w:color="auto" w:fill="auto"/>
            <w:hideMark/>
          </w:tcPr>
          <w:p w14:paraId="7BD3CA42" w14:textId="77777777" w:rsidR="00D66210" w:rsidRPr="00E7627D" w:rsidRDefault="00D66210" w:rsidP="00292280">
            <w:pPr>
              <w:pStyle w:val="NoSpacing"/>
              <w:spacing w:before="0"/>
              <w:rPr>
                <w:rFonts w:cs="Segoe UI"/>
                <w:i/>
                <w:color w:val="000000" w:themeColor="text1"/>
                <w:sz w:val="20"/>
                <w:szCs w:val="20"/>
                <w:lang w:eastAsia="en-GB"/>
              </w:rPr>
            </w:pPr>
          </w:p>
        </w:tc>
        <w:tc>
          <w:tcPr>
            <w:tcW w:w="1197" w:type="dxa"/>
            <w:tcBorders>
              <w:bottom w:val="single" w:sz="4" w:space="0" w:color="auto"/>
            </w:tcBorders>
            <w:shd w:val="clear" w:color="auto" w:fill="auto"/>
            <w:hideMark/>
          </w:tcPr>
          <w:p w14:paraId="07033579" w14:textId="77777777" w:rsidR="00D66210" w:rsidRPr="00E7627D" w:rsidRDefault="00D66210" w:rsidP="00292280">
            <w:pPr>
              <w:pStyle w:val="NoSpacing"/>
              <w:spacing w:before="0"/>
              <w:rPr>
                <w:rFonts w:cs="Segoe UI"/>
                <w:b/>
                <w:color w:val="000000" w:themeColor="text1"/>
                <w:sz w:val="20"/>
                <w:szCs w:val="20"/>
                <w:lang w:eastAsia="en-GB"/>
              </w:rPr>
            </w:pPr>
            <w:r w:rsidRPr="00E7627D">
              <w:rPr>
                <w:rFonts w:cs="Segoe UI"/>
                <w:b/>
                <w:color w:val="000000" w:themeColor="text1"/>
                <w:sz w:val="20"/>
                <w:szCs w:val="20"/>
                <w:lang w:eastAsia="en-GB"/>
              </w:rPr>
              <w:t>Have</w:t>
            </w:r>
          </w:p>
        </w:tc>
        <w:tc>
          <w:tcPr>
            <w:tcW w:w="1197" w:type="dxa"/>
            <w:tcBorders>
              <w:bottom w:val="single" w:sz="4" w:space="0" w:color="auto"/>
            </w:tcBorders>
            <w:shd w:val="clear" w:color="auto" w:fill="auto"/>
            <w:hideMark/>
          </w:tcPr>
          <w:p w14:paraId="2127213A" w14:textId="77777777" w:rsidR="00D66210" w:rsidRPr="00E7627D" w:rsidRDefault="00D66210" w:rsidP="00292280">
            <w:pPr>
              <w:pStyle w:val="NoSpacing"/>
              <w:spacing w:before="0"/>
              <w:rPr>
                <w:rFonts w:cs="Segoe UI"/>
                <w:b/>
                <w:color w:val="000000" w:themeColor="text1"/>
                <w:sz w:val="20"/>
                <w:szCs w:val="20"/>
                <w:lang w:eastAsia="en-GB"/>
              </w:rPr>
            </w:pPr>
            <w:r w:rsidRPr="00E7627D">
              <w:rPr>
                <w:rFonts w:cs="Segoe UI"/>
                <w:b/>
                <w:color w:val="000000" w:themeColor="text1"/>
                <w:sz w:val="20"/>
                <w:szCs w:val="20"/>
                <w:lang w:eastAsia="en-GB"/>
              </w:rPr>
              <w:t>Might</w:t>
            </w:r>
          </w:p>
        </w:tc>
        <w:tc>
          <w:tcPr>
            <w:tcW w:w="1770" w:type="dxa"/>
            <w:tcBorders>
              <w:bottom w:val="single" w:sz="4" w:space="0" w:color="auto"/>
            </w:tcBorders>
            <w:shd w:val="clear" w:color="auto" w:fill="auto"/>
            <w:hideMark/>
          </w:tcPr>
          <w:p w14:paraId="75325F5F" w14:textId="77777777" w:rsidR="00D66210" w:rsidRPr="00E7627D" w:rsidRDefault="00D66210" w:rsidP="00292280">
            <w:pPr>
              <w:pStyle w:val="NoSpacing"/>
              <w:spacing w:before="0"/>
              <w:rPr>
                <w:rFonts w:cs="Segoe UI"/>
                <w:b/>
                <w:color w:val="000000" w:themeColor="text1"/>
                <w:sz w:val="20"/>
                <w:szCs w:val="20"/>
                <w:lang w:eastAsia="en-GB"/>
              </w:rPr>
            </w:pPr>
            <w:r w:rsidRPr="00E7627D">
              <w:rPr>
                <w:rFonts w:cs="Segoe UI"/>
                <w:b/>
                <w:color w:val="000000" w:themeColor="text1"/>
                <w:sz w:val="20"/>
                <w:szCs w:val="20"/>
                <w:lang w:eastAsia="en-GB"/>
              </w:rPr>
              <w:t>Would Never</w:t>
            </w:r>
          </w:p>
        </w:tc>
      </w:tr>
      <w:tr w:rsidR="00D66210" w:rsidRPr="00E7627D" w14:paraId="7CCC0E06" w14:textId="77777777" w:rsidTr="005800A8">
        <w:trPr>
          <w:trHeight w:val="310"/>
        </w:trPr>
        <w:tc>
          <w:tcPr>
            <w:tcW w:w="2294" w:type="dxa"/>
            <w:vMerge w:val="restart"/>
            <w:tcBorders>
              <w:top w:val="single" w:sz="4" w:space="0" w:color="auto"/>
            </w:tcBorders>
            <w:hideMark/>
          </w:tcPr>
          <w:p w14:paraId="11E1810B" w14:textId="77777777" w:rsidR="00D66210" w:rsidRPr="00E7627D" w:rsidRDefault="00D66210" w:rsidP="00292280">
            <w:pPr>
              <w:pStyle w:val="NoSpacing"/>
              <w:spacing w:before="0"/>
              <w:rPr>
                <w:rFonts w:cs="Segoe UI"/>
                <w:b/>
                <w:sz w:val="20"/>
                <w:szCs w:val="20"/>
                <w:lang w:eastAsia="en-GB"/>
              </w:rPr>
            </w:pPr>
            <w:r w:rsidRPr="00E7627D">
              <w:rPr>
                <w:rFonts w:cs="Segoe UI"/>
                <w:b/>
                <w:sz w:val="20"/>
                <w:szCs w:val="20"/>
                <w:lang w:eastAsia="en-GB"/>
              </w:rPr>
              <w:t>Petition</w:t>
            </w:r>
          </w:p>
        </w:tc>
        <w:tc>
          <w:tcPr>
            <w:tcW w:w="2493" w:type="dxa"/>
            <w:tcBorders>
              <w:top w:val="single" w:sz="4" w:space="0" w:color="auto"/>
            </w:tcBorders>
            <w:hideMark/>
          </w:tcPr>
          <w:p w14:paraId="13204D54" w14:textId="77777777" w:rsidR="00D66210" w:rsidRPr="00E7627D" w:rsidRDefault="00D66210" w:rsidP="00292280">
            <w:pPr>
              <w:pStyle w:val="NoSpacing"/>
              <w:spacing w:before="0"/>
              <w:rPr>
                <w:rFonts w:cs="Segoe UI"/>
                <w:i/>
                <w:sz w:val="20"/>
                <w:szCs w:val="20"/>
                <w:lang w:eastAsia="en-GB"/>
              </w:rPr>
            </w:pPr>
            <w:r w:rsidRPr="00E7627D">
              <w:rPr>
                <w:rFonts w:cs="Segoe UI"/>
                <w:i/>
                <w:sz w:val="20"/>
                <w:szCs w:val="20"/>
                <w:lang w:eastAsia="en-GB"/>
              </w:rPr>
              <w:t>Developed</w:t>
            </w:r>
          </w:p>
        </w:tc>
        <w:tc>
          <w:tcPr>
            <w:tcW w:w="1197" w:type="dxa"/>
            <w:tcBorders>
              <w:top w:val="single" w:sz="4" w:space="0" w:color="auto"/>
            </w:tcBorders>
            <w:hideMark/>
          </w:tcPr>
          <w:p w14:paraId="59434A2F"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39.2</w:t>
            </w:r>
          </w:p>
        </w:tc>
        <w:tc>
          <w:tcPr>
            <w:tcW w:w="1197" w:type="dxa"/>
            <w:tcBorders>
              <w:top w:val="single" w:sz="4" w:space="0" w:color="auto"/>
            </w:tcBorders>
            <w:hideMark/>
          </w:tcPr>
          <w:p w14:paraId="0581CF89"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29.3</w:t>
            </w:r>
          </w:p>
        </w:tc>
        <w:tc>
          <w:tcPr>
            <w:tcW w:w="1770" w:type="dxa"/>
            <w:tcBorders>
              <w:top w:val="single" w:sz="4" w:space="0" w:color="auto"/>
            </w:tcBorders>
            <w:hideMark/>
          </w:tcPr>
          <w:p w14:paraId="600361CE"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31.4</w:t>
            </w:r>
          </w:p>
        </w:tc>
      </w:tr>
      <w:tr w:rsidR="00D66210" w:rsidRPr="00E7627D" w14:paraId="5A345FB5" w14:textId="77777777" w:rsidTr="00292280">
        <w:trPr>
          <w:trHeight w:val="310"/>
        </w:trPr>
        <w:tc>
          <w:tcPr>
            <w:tcW w:w="2294" w:type="dxa"/>
            <w:vMerge/>
            <w:hideMark/>
          </w:tcPr>
          <w:p w14:paraId="3B42F57D" w14:textId="77777777" w:rsidR="00D66210" w:rsidRPr="00E7627D" w:rsidRDefault="00D66210" w:rsidP="00292280">
            <w:pPr>
              <w:pStyle w:val="NoSpacing"/>
              <w:spacing w:before="0"/>
              <w:rPr>
                <w:rFonts w:cs="Segoe UI"/>
                <w:b/>
                <w:sz w:val="20"/>
                <w:szCs w:val="20"/>
                <w:lang w:eastAsia="en-GB"/>
              </w:rPr>
            </w:pPr>
          </w:p>
        </w:tc>
        <w:tc>
          <w:tcPr>
            <w:tcW w:w="2493" w:type="dxa"/>
            <w:hideMark/>
          </w:tcPr>
          <w:p w14:paraId="12D09940" w14:textId="77777777" w:rsidR="00D66210" w:rsidRPr="00E7627D" w:rsidRDefault="00D66210" w:rsidP="00292280">
            <w:pPr>
              <w:pStyle w:val="NoSpacing"/>
              <w:spacing w:before="0"/>
              <w:rPr>
                <w:rFonts w:cs="Segoe UI"/>
                <w:i/>
                <w:sz w:val="20"/>
                <w:szCs w:val="20"/>
                <w:lang w:eastAsia="en-GB"/>
              </w:rPr>
            </w:pPr>
            <w:r w:rsidRPr="00E7627D">
              <w:rPr>
                <w:rFonts w:cs="Segoe UI"/>
                <w:i/>
                <w:sz w:val="20"/>
                <w:szCs w:val="20"/>
                <w:lang w:eastAsia="en-GB"/>
              </w:rPr>
              <w:t>Developing</w:t>
            </w:r>
          </w:p>
        </w:tc>
        <w:tc>
          <w:tcPr>
            <w:tcW w:w="1197" w:type="dxa"/>
            <w:hideMark/>
          </w:tcPr>
          <w:p w14:paraId="6793E1BF"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10.2</w:t>
            </w:r>
          </w:p>
        </w:tc>
        <w:tc>
          <w:tcPr>
            <w:tcW w:w="1197" w:type="dxa"/>
            <w:hideMark/>
          </w:tcPr>
          <w:p w14:paraId="2F4850C0"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30.25</w:t>
            </w:r>
          </w:p>
        </w:tc>
        <w:tc>
          <w:tcPr>
            <w:tcW w:w="1770" w:type="dxa"/>
            <w:hideMark/>
          </w:tcPr>
          <w:p w14:paraId="044EB2F7"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59.6</w:t>
            </w:r>
          </w:p>
        </w:tc>
      </w:tr>
      <w:tr w:rsidR="00D66210" w:rsidRPr="00E7627D" w14:paraId="28D59355" w14:textId="77777777" w:rsidTr="005800A8">
        <w:trPr>
          <w:trHeight w:val="310"/>
        </w:trPr>
        <w:tc>
          <w:tcPr>
            <w:tcW w:w="2294" w:type="dxa"/>
          </w:tcPr>
          <w:p w14:paraId="26488284" w14:textId="77777777" w:rsidR="00D66210" w:rsidRPr="00E7627D" w:rsidRDefault="00D66210" w:rsidP="00292280">
            <w:pPr>
              <w:pStyle w:val="NoSpacing"/>
              <w:spacing w:before="0"/>
              <w:rPr>
                <w:rFonts w:cs="Segoe UI"/>
                <w:b/>
                <w:sz w:val="20"/>
                <w:szCs w:val="20"/>
                <w:lang w:eastAsia="en-GB"/>
              </w:rPr>
            </w:pPr>
          </w:p>
        </w:tc>
        <w:tc>
          <w:tcPr>
            <w:tcW w:w="2493" w:type="dxa"/>
          </w:tcPr>
          <w:p w14:paraId="46C3BAAC" w14:textId="77777777" w:rsidR="00D66210" w:rsidRPr="00E7627D" w:rsidRDefault="00D66210" w:rsidP="00292280">
            <w:pPr>
              <w:pStyle w:val="NoSpacing"/>
              <w:spacing w:before="0"/>
              <w:rPr>
                <w:rFonts w:cs="Segoe UI"/>
                <w:i/>
                <w:sz w:val="20"/>
                <w:szCs w:val="20"/>
                <w:lang w:eastAsia="en-GB"/>
              </w:rPr>
            </w:pPr>
          </w:p>
        </w:tc>
        <w:tc>
          <w:tcPr>
            <w:tcW w:w="1197" w:type="dxa"/>
          </w:tcPr>
          <w:p w14:paraId="5DDD4594" w14:textId="77777777" w:rsidR="00D66210" w:rsidRPr="00E7627D" w:rsidRDefault="00D66210" w:rsidP="00292280">
            <w:pPr>
              <w:pStyle w:val="NoSpacing"/>
              <w:spacing w:before="0"/>
              <w:rPr>
                <w:rFonts w:cs="Segoe UI"/>
                <w:sz w:val="20"/>
                <w:szCs w:val="20"/>
                <w:lang w:eastAsia="en-GB"/>
              </w:rPr>
            </w:pPr>
          </w:p>
        </w:tc>
        <w:tc>
          <w:tcPr>
            <w:tcW w:w="1197" w:type="dxa"/>
          </w:tcPr>
          <w:p w14:paraId="0CC32A97" w14:textId="77777777" w:rsidR="00D66210" w:rsidRPr="00E7627D" w:rsidRDefault="00D66210" w:rsidP="00292280">
            <w:pPr>
              <w:pStyle w:val="NoSpacing"/>
              <w:spacing w:before="0"/>
              <w:rPr>
                <w:rFonts w:cs="Segoe UI"/>
                <w:sz w:val="20"/>
                <w:szCs w:val="20"/>
                <w:lang w:eastAsia="en-GB"/>
              </w:rPr>
            </w:pPr>
          </w:p>
        </w:tc>
        <w:tc>
          <w:tcPr>
            <w:tcW w:w="1770" w:type="dxa"/>
          </w:tcPr>
          <w:p w14:paraId="3645A4F1" w14:textId="77777777" w:rsidR="00D66210" w:rsidRPr="00E7627D" w:rsidRDefault="00D66210" w:rsidP="00292280">
            <w:pPr>
              <w:pStyle w:val="NoSpacing"/>
              <w:spacing w:before="0"/>
              <w:rPr>
                <w:rFonts w:cs="Segoe UI"/>
                <w:sz w:val="20"/>
                <w:szCs w:val="20"/>
                <w:lang w:eastAsia="en-GB"/>
              </w:rPr>
            </w:pPr>
          </w:p>
        </w:tc>
      </w:tr>
      <w:tr w:rsidR="00D66210" w:rsidRPr="00E7627D" w14:paraId="3B7A7562" w14:textId="77777777" w:rsidTr="005800A8">
        <w:trPr>
          <w:trHeight w:val="310"/>
        </w:trPr>
        <w:tc>
          <w:tcPr>
            <w:tcW w:w="2294" w:type="dxa"/>
            <w:vMerge w:val="restart"/>
            <w:shd w:val="clear" w:color="auto" w:fill="F2F2F2" w:themeFill="background1" w:themeFillShade="F2"/>
            <w:hideMark/>
          </w:tcPr>
          <w:p w14:paraId="2481FF4B" w14:textId="77777777" w:rsidR="00D66210" w:rsidRPr="00E7627D" w:rsidRDefault="00D66210" w:rsidP="00292280">
            <w:pPr>
              <w:pStyle w:val="NoSpacing"/>
              <w:spacing w:before="0"/>
              <w:rPr>
                <w:rFonts w:cs="Segoe UI"/>
                <w:b/>
                <w:sz w:val="20"/>
                <w:szCs w:val="20"/>
                <w:lang w:eastAsia="en-GB"/>
              </w:rPr>
            </w:pPr>
            <w:r w:rsidRPr="00E7627D">
              <w:rPr>
                <w:rFonts w:cs="Segoe UI"/>
                <w:b/>
                <w:sz w:val="20"/>
                <w:szCs w:val="20"/>
                <w:lang w:eastAsia="en-GB"/>
              </w:rPr>
              <w:t>Boycotts</w:t>
            </w:r>
          </w:p>
        </w:tc>
        <w:tc>
          <w:tcPr>
            <w:tcW w:w="2493" w:type="dxa"/>
            <w:shd w:val="clear" w:color="auto" w:fill="F2F2F2" w:themeFill="background1" w:themeFillShade="F2"/>
            <w:hideMark/>
          </w:tcPr>
          <w:p w14:paraId="2A2BAACD" w14:textId="77777777" w:rsidR="00D66210" w:rsidRPr="00E7627D" w:rsidRDefault="00D66210" w:rsidP="00292280">
            <w:pPr>
              <w:pStyle w:val="NoSpacing"/>
              <w:spacing w:before="0"/>
              <w:rPr>
                <w:rFonts w:cs="Segoe UI"/>
                <w:i/>
                <w:sz w:val="20"/>
                <w:szCs w:val="20"/>
                <w:lang w:eastAsia="en-GB"/>
              </w:rPr>
            </w:pPr>
            <w:r w:rsidRPr="00E7627D">
              <w:rPr>
                <w:rFonts w:cs="Segoe UI"/>
                <w:i/>
                <w:sz w:val="20"/>
                <w:szCs w:val="20"/>
                <w:lang w:eastAsia="en-GB"/>
              </w:rPr>
              <w:t>Developed</w:t>
            </w:r>
          </w:p>
        </w:tc>
        <w:tc>
          <w:tcPr>
            <w:tcW w:w="1197" w:type="dxa"/>
            <w:shd w:val="clear" w:color="auto" w:fill="F2F2F2" w:themeFill="background1" w:themeFillShade="F2"/>
            <w:hideMark/>
          </w:tcPr>
          <w:p w14:paraId="68444A0B"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9.9</w:t>
            </w:r>
          </w:p>
        </w:tc>
        <w:tc>
          <w:tcPr>
            <w:tcW w:w="1197" w:type="dxa"/>
            <w:shd w:val="clear" w:color="auto" w:fill="F2F2F2" w:themeFill="background1" w:themeFillShade="F2"/>
            <w:hideMark/>
          </w:tcPr>
          <w:p w14:paraId="1ED98474" w14:textId="6451C259"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32</w:t>
            </w:r>
            <w:r w:rsidR="000A14C8">
              <w:rPr>
                <w:rFonts w:cs="Segoe UI"/>
                <w:sz w:val="20"/>
                <w:szCs w:val="20"/>
                <w:lang w:eastAsia="en-GB"/>
              </w:rPr>
              <w:t>.0</w:t>
            </w:r>
          </w:p>
        </w:tc>
        <w:tc>
          <w:tcPr>
            <w:tcW w:w="1770" w:type="dxa"/>
            <w:shd w:val="clear" w:color="auto" w:fill="F2F2F2" w:themeFill="background1" w:themeFillShade="F2"/>
            <w:hideMark/>
          </w:tcPr>
          <w:p w14:paraId="19BB24AB"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58.1</w:t>
            </w:r>
          </w:p>
        </w:tc>
      </w:tr>
      <w:tr w:rsidR="00D66210" w:rsidRPr="00E7627D" w14:paraId="245A929C" w14:textId="77777777" w:rsidTr="005800A8">
        <w:trPr>
          <w:trHeight w:val="310"/>
        </w:trPr>
        <w:tc>
          <w:tcPr>
            <w:tcW w:w="2294" w:type="dxa"/>
            <w:vMerge/>
            <w:shd w:val="clear" w:color="auto" w:fill="F2F2F2" w:themeFill="background1" w:themeFillShade="F2"/>
            <w:hideMark/>
          </w:tcPr>
          <w:p w14:paraId="63F61275" w14:textId="77777777" w:rsidR="00D66210" w:rsidRPr="00E7627D" w:rsidRDefault="00D66210" w:rsidP="00292280">
            <w:pPr>
              <w:pStyle w:val="NoSpacing"/>
              <w:spacing w:before="0"/>
              <w:rPr>
                <w:rFonts w:cs="Segoe UI"/>
                <w:b/>
                <w:sz w:val="20"/>
                <w:szCs w:val="20"/>
                <w:lang w:eastAsia="en-GB"/>
              </w:rPr>
            </w:pPr>
          </w:p>
        </w:tc>
        <w:tc>
          <w:tcPr>
            <w:tcW w:w="2493" w:type="dxa"/>
            <w:shd w:val="clear" w:color="auto" w:fill="F2F2F2" w:themeFill="background1" w:themeFillShade="F2"/>
            <w:hideMark/>
          </w:tcPr>
          <w:p w14:paraId="722EF4E2" w14:textId="77777777" w:rsidR="00D66210" w:rsidRPr="00E7627D" w:rsidRDefault="00D66210" w:rsidP="00292280">
            <w:pPr>
              <w:pStyle w:val="NoSpacing"/>
              <w:spacing w:before="0"/>
              <w:rPr>
                <w:rFonts w:cs="Segoe UI"/>
                <w:i/>
                <w:sz w:val="20"/>
                <w:szCs w:val="20"/>
                <w:lang w:eastAsia="en-GB"/>
              </w:rPr>
            </w:pPr>
            <w:r w:rsidRPr="00E7627D">
              <w:rPr>
                <w:rFonts w:cs="Segoe UI"/>
                <w:i/>
                <w:sz w:val="20"/>
                <w:szCs w:val="20"/>
                <w:lang w:eastAsia="en-GB"/>
              </w:rPr>
              <w:t>Developing</w:t>
            </w:r>
          </w:p>
        </w:tc>
        <w:tc>
          <w:tcPr>
            <w:tcW w:w="1197" w:type="dxa"/>
            <w:shd w:val="clear" w:color="auto" w:fill="F2F2F2" w:themeFill="background1" w:themeFillShade="F2"/>
            <w:hideMark/>
          </w:tcPr>
          <w:p w14:paraId="0E756EE7"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6.6</w:t>
            </w:r>
          </w:p>
        </w:tc>
        <w:tc>
          <w:tcPr>
            <w:tcW w:w="1197" w:type="dxa"/>
            <w:shd w:val="clear" w:color="auto" w:fill="F2F2F2" w:themeFill="background1" w:themeFillShade="F2"/>
            <w:hideMark/>
          </w:tcPr>
          <w:p w14:paraId="4A2C3D81"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24.5</w:t>
            </w:r>
          </w:p>
        </w:tc>
        <w:tc>
          <w:tcPr>
            <w:tcW w:w="1770" w:type="dxa"/>
            <w:shd w:val="clear" w:color="auto" w:fill="F2F2F2" w:themeFill="background1" w:themeFillShade="F2"/>
            <w:hideMark/>
          </w:tcPr>
          <w:p w14:paraId="1E405070"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68.9</w:t>
            </w:r>
          </w:p>
        </w:tc>
      </w:tr>
      <w:tr w:rsidR="00D66210" w:rsidRPr="00E7627D" w14:paraId="6D5765A1" w14:textId="77777777" w:rsidTr="005800A8">
        <w:trPr>
          <w:trHeight w:val="310"/>
        </w:trPr>
        <w:tc>
          <w:tcPr>
            <w:tcW w:w="2294" w:type="dxa"/>
            <w:shd w:val="clear" w:color="auto" w:fill="F2F2F2" w:themeFill="background1" w:themeFillShade="F2"/>
          </w:tcPr>
          <w:p w14:paraId="41B72DCF" w14:textId="77777777" w:rsidR="00D66210" w:rsidRPr="00E7627D" w:rsidRDefault="00D66210" w:rsidP="00292280">
            <w:pPr>
              <w:pStyle w:val="NoSpacing"/>
              <w:spacing w:before="0"/>
              <w:rPr>
                <w:rFonts w:cs="Segoe UI"/>
                <w:b/>
                <w:sz w:val="20"/>
                <w:szCs w:val="20"/>
                <w:lang w:eastAsia="en-GB"/>
              </w:rPr>
            </w:pPr>
          </w:p>
        </w:tc>
        <w:tc>
          <w:tcPr>
            <w:tcW w:w="2493" w:type="dxa"/>
            <w:shd w:val="clear" w:color="auto" w:fill="F2F2F2" w:themeFill="background1" w:themeFillShade="F2"/>
          </w:tcPr>
          <w:p w14:paraId="2B652E73" w14:textId="77777777" w:rsidR="00D66210" w:rsidRPr="00E7627D" w:rsidRDefault="00D66210" w:rsidP="00292280">
            <w:pPr>
              <w:pStyle w:val="NoSpacing"/>
              <w:spacing w:before="0"/>
              <w:rPr>
                <w:rFonts w:cs="Segoe UI"/>
                <w:i/>
                <w:sz w:val="20"/>
                <w:szCs w:val="20"/>
                <w:lang w:eastAsia="en-GB"/>
              </w:rPr>
            </w:pPr>
          </w:p>
        </w:tc>
        <w:tc>
          <w:tcPr>
            <w:tcW w:w="1197" w:type="dxa"/>
            <w:shd w:val="clear" w:color="auto" w:fill="F2F2F2" w:themeFill="background1" w:themeFillShade="F2"/>
          </w:tcPr>
          <w:p w14:paraId="63B3B9DB" w14:textId="77777777" w:rsidR="00D66210" w:rsidRPr="00E7627D" w:rsidRDefault="00D66210" w:rsidP="00292280">
            <w:pPr>
              <w:pStyle w:val="NoSpacing"/>
              <w:spacing w:before="0"/>
              <w:rPr>
                <w:rFonts w:cs="Segoe UI"/>
                <w:sz w:val="20"/>
                <w:szCs w:val="20"/>
                <w:lang w:eastAsia="en-GB"/>
              </w:rPr>
            </w:pPr>
          </w:p>
        </w:tc>
        <w:tc>
          <w:tcPr>
            <w:tcW w:w="1197" w:type="dxa"/>
            <w:shd w:val="clear" w:color="auto" w:fill="F2F2F2" w:themeFill="background1" w:themeFillShade="F2"/>
          </w:tcPr>
          <w:p w14:paraId="00EDFCBA" w14:textId="77777777" w:rsidR="00D66210" w:rsidRPr="00E7627D" w:rsidRDefault="00D66210" w:rsidP="00292280">
            <w:pPr>
              <w:pStyle w:val="NoSpacing"/>
              <w:spacing w:before="0"/>
              <w:rPr>
                <w:rFonts w:cs="Segoe UI"/>
                <w:sz w:val="20"/>
                <w:szCs w:val="20"/>
                <w:lang w:eastAsia="en-GB"/>
              </w:rPr>
            </w:pPr>
          </w:p>
        </w:tc>
        <w:tc>
          <w:tcPr>
            <w:tcW w:w="1770" w:type="dxa"/>
            <w:shd w:val="clear" w:color="auto" w:fill="F2F2F2" w:themeFill="background1" w:themeFillShade="F2"/>
          </w:tcPr>
          <w:p w14:paraId="450509D7" w14:textId="77777777" w:rsidR="00D66210" w:rsidRPr="00E7627D" w:rsidRDefault="00D66210" w:rsidP="00292280">
            <w:pPr>
              <w:pStyle w:val="NoSpacing"/>
              <w:spacing w:before="0"/>
              <w:rPr>
                <w:rFonts w:cs="Segoe UI"/>
                <w:sz w:val="20"/>
                <w:szCs w:val="20"/>
                <w:lang w:eastAsia="en-GB"/>
              </w:rPr>
            </w:pPr>
          </w:p>
        </w:tc>
      </w:tr>
      <w:tr w:rsidR="00D66210" w:rsidRPr="00E7627D" w14:paraId="5B5B1834" w14:textId="77777777" w:rsidTr="005800A8">
        <w:trPr>
          <w:trHeight w:val="310"/>
        </w:trPr>
        <w:tc>
          <w:tcPr>
            <w:tcW w:w="2294" w:type="dxa"/>
            <w:vMerge w:val="restart"/>
            <w:hideMark/>
          </w:tcPr>
          <w:p w14:paraId="4CE2C5B4" w14:textId="77777777" w:rsidR="00D66210" w:rsidRPr="00E7627D" w:rsidRDefault="00D66210" w:rsidP="00292280">
            <w:pPr>
              <w:pStyle w:val="NoSpacing"/>
              <w:spacing w:before="0"/>
              <w:rPr>
                <w:rFonts w:cs="Segoe UI"/>
                <w:b/>
                <w:sz w:val="20"/>
                <w:szCs w:val="20"/>
                <w:lang w:eastAsia="en-GB"/>
              </w:rPr>
            </w:pPr>
            <w:r w:rsidRPr="00E7627D">
              <w:rPr>
                <w:rFonts w:cs="Segoe UI"/>
                <w:b/>
                <w:sz w:val="20"/>
                <w:szCs w:val="20"/>
                <w:lang w:eastAsia="en-GB"/>
              </w:rPr>
              <w:t>Demonstrating</w:t>
            </w:r>
          </w:p>
        </w:tc>
        <w:tc>
          <w:tcPr>
            <w:tcW w:w="2493" w:type="dxa"/>
            <w:hideMark/>
          </w:tcPr>
          <w:p w14:paraId="32C759BE" w14:textId="77777777" w:rsidR="00D66210" w:rsidRPr="00E7627D" w:rsidRDefault="00D66210" w:rsidP="00292280">
            <w:pPr>
              <w:pStyle w:val="NoSpacing"/>
              <w:spacing w:before="0"/>
              <w:rPr>
                <w:rFonts w:cs="Segoe UI"/>
                <w:i/>
                <w:sz w:val="20"/>
                <w:szCs w:val="20"/>
                <w:lang w:eastAsia="en-GB"/>
              </w:rPr>
            </w:pPr>
            <w:r w:rsidRPr="00E7627D">
              <w:rPr>
                <w:rFonts w:cs="Segoe UI"/>
                <w:i/>
                <w:sz w:val="20"/>
                <w:szCs w:val="20"/>
                <w:lang w:eastAsia="en-GB"/>
              </w:rPr>
              <w:t>Developed</w:t>
            </w:r>
          </w:p>
        </w:tc>
        <w:tc>
          <w:tcPr>
            <w:tcW w:w="1197" w:type="dxa"/>
            <w:hideMark/>
          </w:tcPr>
          <w:p w14:paraId="24CA8F37"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19.4</w:t>
            </w:r>
          </w:p>
        </w:tc>
        <w:tc>
          <w:tcPr>
            <w:tcW w:w="1197" w:type="dxa"/>
            <w:hideMark/>
          </w:tcPr>
          <w:p w14:paraId="09E4E582"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37.6</w:t>
            </w:r>
          </w:p>
        </w:tc>
        <w:tc>
          <w:tcPr>
            <w:tcW w:w="1770" w:type="dxa"/>
            <w:hideMark/>
          </w:tcPr>
          <w:p w14:paraId="2D456C5E"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43.1</w:t>
            </w:r>
          </w:p>
        </w:tc>
      </w:tr>
      <w:tr w:rsidR="00D66210" w:rsidRPr="00E7627D" w14:paraId="3482BB2D" w14:textId="77777777" w:rsidTr="005800A8">
        <w:trPr>
          <w:trHeight w:val="310"/>
        </w:trPr>
        <w:tc>
          <w:tcPr>
            <w:tcW w:w="2294" w:type="dxa"/>
            <w:vMerge/>
            <w:hideMark/>
          </w:tcPr>
          <w:p w14:paraId="50BC7CB9" w14:textId="77777777" w:rsidR="00D66210" w:rsidRPr="00E7627D" w:rsidRDefault="00D66210" w:rsidP="00292280">
            <w:pPr>
              <w:pStyle w:val="NoSpacing"/>
              <w:spacing w:before="0"/>
              <w:rPr>
                <w:rFonts w:cs="Segoe UI"/>
                <w:sz w:val="20"/>
                <w:szCs w:val="20"/>
                <w:lang w:eastAsia="en-GB"/>
              </w:rPr>
            </w:pPr>
          </w:p>
        </w:tc>
        <w:tc>
          <w:tcPr>
            <w:tcW w:w="2493" w:type="dxa"/>
            <w:hideMark/>
          </w:tcPr>
          <w:p w14:paraId="6A09AC62" w14:textId="77777777" w:rsidR="00D66210" w:rsidRPr="00E7627D" w:rsidRDefault="00D66210" w:rsidP="00292280">
            <w:pPr>
              <w:pStyle w:val="NoSpacing"/>
              <w:spacing w:before="0"/>
              <w:rPr>
                <w:rFonts w:cs="Segoe UI"/>
                <w:i/>
                <w:sz w:val="20"/>
                <w:szCs w:val="20"/>
                <w:lang w:eastAsia="en-GB"/>
              </w:rPr>
            </w:pPr>
            <w:r w:rsidRPr="00E7627D">
              <w:rPr>
                <w:rFonts w:cs="Segoe UI"/>
                <w:i/>
                <w:sz w:val="20"/>
                <w:szCs w:val="20"/>
                <w:lang w:eastAsia="en-GB"/>
              </w:rPr>
              <w:t>Developing</w:t>
            </w:r>
          </w:p>
        </w:tc>
        <w:tc>
          <w:tcPr>
            <w:tcW w:w="1197" w:type="dxa"/>
            <w:hideMark/>
          </w:tcPr>
          <w:p w14:paraId="10270A04"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13.7</w:t>
            </w:r>
          </w:p>
        </w:tc>
        <w:tc>
          <w:tcPr>
            <w:tcW w:w="1197" w:type="dxa"/>
            <w:hideMark/>
          </w:tcPr>
          <w:p w14:paraId="44B7E9D5"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28.5</w:t>
            </w:r>
          </w:p>
        </w:tc>
        <w:tc>
          <w:tcPr>
            <w:tcW w:w="1770" w:type="dxa"/>
            <w:hideMark/>
          </w:tcPr>
          <w:p w14:paraId="5E927AED" w14:textId="77777777" w:rsidR="00D66210" w:rsidRPr="00E7627D" w:rsidRDefault="00D66210" w:rsidP="00292280">
            <w:pPr>
              <w:pStyle w:val="NoSpacing"/>
              <w:spacing w:before="0"/>
              <w:rPr>
                <w:rFonts w:cs="Segoe UI"/>
                <w:sz w:val="20"/>
                <w:szCs w:val="20"/>
                <w:lang w:eastAsia="en-GB"/>
              </w:rPr>
            </w:pPr>
            <w:r w:rsidRPr="00E7627D">
              <w:rPr>
                <w:rFonts w:cs="Segoe UI"/>
                <w:sz w:val="20"/>
                <w:szCs w:val="20"/>
                <w:lang w:eastAsia="en-GB"/>
              </w:rPr>
              <w:t>57.8</w:t>
            </w:r>
          </w:p>
        </w:tc>
      </w:tr>
    </w:tbl>
    <w:p w14:paraId="16538877" w14:textId="77777777" w:rsidR="00D66210" w:rsidRPr="00D852C0" w:rsidRDefault="00D66210" w:rsidP="00D66210">
      <w:pPr>
        <w:jc w:val="right"/>
        <w:rPr>
          <w:sz w:val="18"/>
          <w:szCs w:val="18"/>
        </w:rPr>
      </w:pPr>
      <w:r w:rsidRPr="00D852C0">
        <w:rPr>
          <w:i/>
          <w:sz w:val="18"/>
          <w:szCs w:val="18"/>
        </w:rPr>
        <w:t>n</w:t>
      </w:r>
      <w:r w:rsidRPr="00D852C0">
        <w:rPr>
          <w:sz w:val="18"/>
          <w:szCs w:val="18"/>
        </w:rPr>
        <w:t>=51, 33 developed and 18 developing countries</w:t>
      </w:r>
    </w:p>
    <w:p w14:paraId="6C0DB2FB" w14:textId="77777777" w:rsidR="00D66210" w:rsidRPr="00D852C0" w:rsidRDefault="00D66210" w:rsidP="00D66210">
      <w:r w:rsidRPr="00D852C0">
        <w:t xml:space="preserve">Overall, petitioning is the most popular form of informal activity and around 30% of citizens, would consider doing it both developed and developing countries. In general this ‘latent’ or ‘potential’ consideration of protest tends to attract around a similar amount (roughly a third) of citizens across all the activities. </w:t>
      </w:r>
    </w:p>
    <w:p w14:paraId="64984A28" w14:textId="5CD9D015" w:rsidR="00D66210" w:rsidRPr="00D852C0" w:rsidRDefault="00D66210" w:rsidP="00D66210">
      <w:r w:rsidRPr="00D852C0">
        <w:t xml:space="preserve">The least popular form of action is boycotting, with only 10% of citizens having done this activity in a developed country and a large majority in both types of country saying they would never do it. </w:t>
      </w:r>
      <w:r w:rsidR="000324CE">
        <w:fldChar w:fldCharType="begin" w:fldLock="1"/>
      </w:r>
      <w:r w:rsidR="00E63CC6">
        <w:instrText>ADDIN CSL_CITATION { "citationItems" : [ { "id" : "ITEM-1", "itemData" : { "DOI" : "10.1016/j.geoforum.2012.11.002", "ISSN" : "00167185", "author" : [ { "dropping-particle" : "", "family" : "Pattie", "given" : "Charles", "non-dropping-particle" : "", "parse-names" : false, "suffix" : "" }, { "dropping-particle" : "", "family" : "Johnston", "given" : "Ron", "non-dropping-particle" : "", "parse-names" : false, "suffix" : "" } ], "container-title" : "Geoforum", "id" : "ITEM-1", "issued" : { "date-parts" : [ [ "2013", "3" ] ] }, "page" : "178-189", "title" : "Personal mobilisation, civic norms and political participation", "type" : "article-journal", "volume" : "45" }, "uris" : [ "http://www.mendeley.com/documents/?uuid=7c53c6b9-b387-47cb-b0e2-45e5402dd6e0" ] } ], "mendeley" : { "formattedCitation" : "(Pattie and Johnston, 2013)", "manualFormatting" : "Pattie and Johnston (2013)", "plainTextFormattedCitation" : "(Pattie and Johnston, 2013)", "previouslyFormattedCitation" : "(Pattie and Johnston, 2013)" }, "properties" : { "noteIndex" : 0 }, "schema" : "https://github.com/citation-style-language/schema/raw/master/csl-citation.json" }</w:instrText>
      </w:r>
      <w:r w:rsidR="000324CE">
        <w:fldChar w:fldCharType="separate"/>
      </w:r>
      <w:r w:rsidR="000324CE">
        <w:rPr>
          <w:noProof/>
        </w:rPr>
        <w:t>Pattie and</w:t>
      </w:r>
      <w:r w:rsidR="000324CE" w:rsidRPr="000324CE">
        <w:rPr>
          <w:noProof/>
        </w:rPr>
        <w:t xml:space="preserve"> Johnston </w:t>
      </w:r>
      <w:r w:rsidR="000324CE">
        <w:rPr>
          <w:noProof/>
        </w:rPr>
        <w:t>(</w:t>
      </w:r>
      <w:r w:rsidR="000324CE" w:rsidRPr="000324CE">
        <w:rPr>
          <w:noProof/>
        </w:rPr>
        <w:t>2013)</w:t>
      </w:r>
      <w:r w:rsidR="000324CE">
        <w:fldChar w:fldCharType="end"/>
      </w:r>
      <w:r w:rsidRPr="00D852C0">
        <w:t xml:space="preserve"> </w:t>
      </w:r>
      <w:r w:rsidR="00532C57">
        <w:t xml:space="preserve">have </w:t>
      </w:r>
      <w:r w:rsidRPr="00D852C0">
        <w:t>note</w:t>
      </w:r>
      <w:r w:rsidR="00532C57">
        <w:t>d</w:t>
      </w:r>
      <w:r w:rsidRPr="00D852C0">
        <w:t xml:space="preserve"> that in the UK this type of political activity is undertaken by considerably engaged, trusting</w:t>
      </w:r>
      <w:r w:rsidR="00EB7353">
        <w:t>,</w:t>
      </w:r>
      <w:r w:rsidRPr="00D852C0">
        <w:t xml:space="preserve"> and well-educated citizens with an active interest in politics. These qualities are all important. For instance, citizens engaging in boycotts must have a degree of trust in other citizens to also join in and enhance the potential impact of the </w:t>
      </w:r>
      <w:r w:rsidR="000324CE">
        <w:t>boycott (</w:t>
      </w:r>
      <w:r w:rsidR="00532C57">
        <w:t>Ibid.</w:t>
      </w:r>
      <w:r w:rsidR="000324CE">
        <w:t>, p.</w:t>
      </w:r>
      <w:r w:rsidRPr="00D852C0">
        <w:t>182). It is then quite easy to see how this would be less likely in developing countries, where resources are already scarce and it is difficult to appreciate the impact a boycott might be having.</w:t>
      </w:r>
    </w:p>
    <w:p w14:paraId="4161CDDA" w14:textId="37D13FA3" w:rsidR="00D66210" w:rsidRDefault="00D66210" w:rsidP="00D66210">
      <w:r w:rsidRPr="00D852C0">
        <w:t>The act of demonstrating is perhaps surprisingly popular, with 57% of people in developed countries who have done or would consider doing it, and 42% thinking the same in developing countries. This is surprising as</w:t>
      </w:r>
      <w:r w:rsidR="00532C57">
        <w:t>,</w:t>
      </w:r>
      <w:r w:rsidRPr="00D852C0">
        <w:t xml:space="preserve"> out of these three activities</w:t>
      </w:r>
      <w:r w:rsidR="00532C57">
        <w:t>,</w:t>
      </w:r>
      <w:r w:rsidRPr="00D852C0">
        <w:t xml:space="preserve"> demonstrating is arguably the most risky, resource-intensive</w:t>
      </w:r>
      <w:r w:rsidR="00EB7353">
        <w:t>,</w:t>
      </w:r>
      <w:r w:rsidRPr="00D852C0">
        <w:t xml:space="preserve"> and costly. Although the survey specifies lawful/peaceful protests, a lot of time and effort is still required to attend a demonstration, with the added potential risks associated with large public demonstrations getting out of hand or being repressed by security forces</w:t>
      </w:r>
      <w:r>
        <w:t xml:space="preserve"> (especially in more authoritarian states)</w:t>
      </w:r>
      <w:r w:rsidR="00532C57">
        <w:t>.</w:t>
      </w:r>
    </w:p>
    <w:p w14:paraId="71831E23" w14:textId="77777777" w:rsidR="00DE16F3" w:rsidRPr="00D852C0" w:rsidRDefault="00DE16F3" w:rsidP="00D66210"/>
    <w:p w14:paraId="6022FE8F" w14:textId="77777777" w:rsidR="00D66210" w:rsidRPr="00E223A2" w:rsidRDefault="00D66210" w:rsidP="00D66210">
      <w:pPr>
        <w:pStyle w:val="Heading3"/>
      </w:pPr>
      <w:bookmarkStart w:id="381" w:name="_Toc441069289"/>
      <w:r w:rsidRPr="00E223A2">
        <w:t>Informal Participation Over Time</w:t>
      </w:r>
      <w:bookmarkEnd w:id="381"/>
    </w:p>
    <w:p w14:paraId="398C9009" w14:textId="2F5A0984" w:rsidR="00D66210" w:rsidRDefault="00D66210" w:rsidP="00D66210">
      <w:r w:rsidRPr="00D852C0">
        <w:t>A second common claim in the literature is that informal political participation is increasing in popularity over time</w:t>
      </w:r>
      <w:r w:rsidR="00142A6D">
        <w:t xml:space="preserve"> </w:t>
      </w:r>
      <w:r w:rsidR="00142A6D">
        <w:fldChar w:fldCharType="begin" w:fldLock="1"/>
      </w:r>
      <w:r w:rsidR="00E63CC6">
        <w:instrText>ADDIN CSL_CITATION { "citationItems" : [ { "id" : "ITEM-1", "itemData" : { "DOI" : "10.1017/S000712340999038X", "ISSN" : "0007-1234", "author" : [ { "dropping-particle" : "", "family" : "Dalton", "given" : "R.", "non-dropping-particle" : "", "parse-names" : false, "suffix" : "" }, { "dropping-particle" : "", "family" : "Sickle", "given" : "Alix", "non-dropping-particle" : "van", "parse-names" : false, "suffix" : "" }, { "dropping-particle" : "", "family" : "Weldon", "given" : "Steven", "non-dropping-particle" : "", "parse-names" : false, "suffix" : "" } ], "container-title" : "British Journal of Political Science", "id" : "ITEM-1", "issue" : "01", "issued" : { "date-parts" : [ [ "2009", "12", "8" ] ] }, "page" : "51-73", "title" : "The Individual\u2013Institutional Nexus of Protest Behaviour", "type" : "article-journal", "volume" : "40" }, "uris" : [ "http://www.mendeley.com/documents/?uuid=8b82cc70-29fc-4963-96dc-277702cfacf9" ] }, { "id" : "ITEM-2", "itemData" : { "author" : [ { "dropping-particle" : "", "family" : "Norris", "given" : "P", "non-dropping-particle" : "", "parse-names" : false, "suffix" : "" } ], "id" : "ITEM-2", "issued" : { "date-parts" : [ [ "2002" ] ] }, "publisher" : "Cambridge University Press", "publisher-place" : "Cambridge", "title" : "Democratic Phoenix - Reinventing Political Activism", "type" : "book" }, "uris" : [ "http://www.mendeley.com/documents/?uuid=36c2bed4-dd22-4aa7-bbac-04d2c5dc223b" ] } ], "mendeley" : { "formattedCitation" : "(Norris, 2002; Dalton, van Sickle and Weldon, 2009)", "manualFormatting" : "(Dalton et al. 2009; Norris 2002, p.198)", "plainTextFormattedCitation" : "(Norris, 2002; Dalton, van Sickle and Weldon, 2009)", "previouslyFormattedCitation" : "(Norris, 2002; Dalton, van Sickle and Weldon, 2009)" }, "properties" : { "noteIndex" : 0 }, "schema" : "https://github.com/citation-style-language/schema/raw/master/csl-citation.json" }</w:instrText>
      </w:r>
      <w:r w:rsidR="00142A6D">
        <w:fldChar w:fldCharType="separate"/>
      </w:r>
      <w:r w:rsidR="00142A6D" w:rsidRPr="00142A6D">
        <w:rPr>
          <w:noProof/>
        </w:rPr>
        <w:t xml:space="preserve">(Dalton </w:t>
      </w:r>
      <w:r w:rsidR="00803848">
        <w:rPr>
          <w:noProof/>
        </w:rPr>
        <w:t>et al</w:t>
      </w:r>
      <w:r w:rsidR="00142A6D" w:rsidRPr="00142A6D">
        <w:rPr>
          <w:noProof/>
        </w:rPr>
        <w:t>. 2009; Norris 2002</w:t>
      </w:r>
      <w:r w:rsidR="00142A6D">
        <w:rPr>
          <w:noProof/>
        </w:rPr>
        <w:t>, p.198</w:t>
      </w:r>
      <w:r w:rsidR="00142A6D" w:rsidRPr="00142A6D">
        <w:rPr>
          <w:noProof/>
        </w:rPr>
        <w:t>)</w:t>
      </w:r>
      <w:r w:rsidR="00142A6D">
        <w:fldChar w:fldCharType="end"/>
      </w:r>
      <w:r w:rsidRPr="00D852C0">
        <w:t>. Whilst the WVS does not feature every country in every wave, it is still possible to examine change over time with a smaller number of countries. Figure 6.4 shows percentages for Have/Might undertake petition for countries which have results available in 3 or more consecutive waves of the survey. Preliminary results from the WVS2010-2014 are also included here.</w:t>
      </w:r>
    </w:p>
    <w:p w14:paraId="61CC0B35" w14:textId="406B6F5C" w:rsidR="00DF39C8" w:rsidRPr="00D852C0" w:rsidRDefault="00DF39C8" w:rsidP="00D66210">
      <w:r w:rsidRPr="00D852C0">
        <w:t>The table reiterates the divide between developed and developing countries. In some cases this divide becomes a gulf, as in the examples of United States and Sweden, where over nine out of 10 citizens have or would consider singing a petition, compared to Jordan where it fails to reach two out of 10.</w:t>
      </w:r>
    </w:p>
    <w:p w14:paraId="607E8C2C" w14:textId="53A2208A" w:rsidR="00D66210" w:rsidRPr="00717D00" w:rsidRDefault="00D66210" w:rsidP="00D66210">
      <w:pPr>
        <w:pStyle w:val="Caption"/>
        <w:rPr>
          <w:rFonts w:ascii="Segoe UI" w:hAnsi="Segoe UI" w:cs="Segoe UI"/>
          <w:i w:val="0"/>
        </w:rPr>
      </w:pPr>
      <w:bookmarkStart w:id="382" w:name="_Toc494687191"/>
      <w:r w:rsidRPr="00717D00">
        <w:rPr>
          <w:rFonts w:ascii="Segoe UI" w:hAnsi="Segoe UI" w:cs="Segoe UI"/>
          <w:i w:val="0"/>
        </w:rPr>
        <w:t xml:space="preserve">Figure </w:t>
      </w:r>
      <w:r w:rsidR="00994662" w:rsidRPr="00717D00">
        <w:rPr>
          <w:rFonts w:ascii="Segoe UI" w:hAnsi="Segoe UI" w:cs="Segoe UI"/>
          <w:i w:val="0"/>
        </w:rPr>
        <w:fldChar w:fldCharType="begin"/>
      </w:r>
      <w:r w:rsidR="00994662" w:rsidRPr="00717D00">
        <w:rPr>
          <w:rFonts w:ascii="Segoe UI" w:hAnsi="Segoe UI" w:cs="Segoe UI"/>
          <w:i w:val="0"/>
        </w:rPr>
        <w:instrText xml:space="preserve"> STYLEREF 1 \s </w:instrText>
      </w:r>
      <w:r w:rsidR="00994662" w:rsidRPr="00717D00">
        <w:rPr>
          <w:rFonts w:ascii="Segoe UI" w:hAnsi="Segoe UI" w:cs="Segoe UI"/>
          <w:i w:val="0"/>
        </w:rPr>
        <w:fldChar w:fldCharType="separate"/>
      </w:r>
      <w:r w:rsidR="00306E67" w:rsidRPr="00717D00">
        <w:rPr>
          <w:rFonts w:ascii="Segoe UI" w:hAnsi="Segoe UI" w:cs="Segoe UI"/>
          <w:i w:val="0"/>
          <w:noProof/>
        </w:rPr>
        <w:t>6</w:t>
      </w:r>
      <w:r w:rsidR="00994662" w:rsidRPr="00717D00">
        <w:rPr>
          <w:rFonts w:ascii="Segoe UI" w:hAnsi="Segoe UI" w:cs="Segoe UI"/>
          <w:i w:val="0"/>
          <w:noProof/>
        </w:rPr>
        <w:fldChar w:fldCharType="end"/>
      </w:r>
      <w:r w:rsidR="00D9151E" w:rsidRPr="00717D00">
        <w:rPr>
          <w:rFonts w:ascii="Segoe UI" w:hAnsi="Segoe UI" w:cs="Segoe UI"/>
          <w:i w:val="0"/>
        </w:rPr>
        <w:t>:</w:t>
      </w:r>
      <w:r w:rsidR="00994662" w:rsidRPr="00717D00">
        <w:rPr>
          <w:rFonts w:ascii="Segoe UI" w:hAnsi="Segoe UI" w:cs="Segoe UI"/>
          <w:i w:val="0"/>
        </w:rPr>
        <w:fldChar w:fldCharType="begin"/>
      </w:r>
      <w:r w:rsidR="00994662" w:rsidRPr="00717D00">
        <w:rPr>
          <w:rFonts w:ascii="Segoe UI" w:hAnsi="Segoe UI" w:cs="Segoe UI"/>
          <w:i w:val="0"/>
        </w:rPr>
        <w:instrText xml:space="preserve"> SEQ Figure \* ARABIC \s 1 </w:instrText>
      </w:r>
      <w:r w:rsidR="00994662" w:rsidRPr="00717D00">
        <w:rPr>
          <w:rFonts w:ascii="Segoe UI" w:hAnsi="Segoe UI" w:cs="Segoe UI"/>
          <w:i w:val="0"/>
        </w:rPr>
        <w:fldChar w:fldCharType="separate"/>
      </w:r>
      <w:r w:rsidR="00EB7353" w:rsidRPr="00717D00">
        <w:rPr>
          <w:rFonts w:ascii="Segoe UI" w:hAnsi="Segoe UI" w:cs="Segoe UI"/>
          <w:i w:val="0"/>
          <w:noProof/>
        </w:rPr>
        <w:t>4</w:t>
      </w:r>
      <w:r w:rsidR="00994662" w:rsidRPr="00717D00">
        <w:rPr>
          <w:rFonts w:ascii="Segoe UI" w:hAnsi="Segoe UI" w:cs="Segoe UI"/>
          <w:i w:val="0"/>
          <w:noProof/>
        </w:rPr>
        <w:fldChar w:fldCharType="end"/>
      </w:r>
      <w:r w:rsidRPr="00717D00">
        <w:rPr>
          <w:rFonts w:ascii="Segoe UI" w:hAnsi="Segoe UI" w:cs="Segoe UI"/>
          <w:i w:val="0"/>
        </w:rPr>
        <w:t xml:space="preserve"> Have/Might petition (%) by country and wave</w:t>
      </w:r>
      <w:bookmarkEnd w:id="382"/>
    </w:p>
    <w:p w14:paraId="0DC71FE2" w14:textId="77777777" w:rsidR="00EB7353" w:rsidRPr="00EB7353" w:rsidRDefault="00EB7353" w:rsidP="00EB7353"/>
    <w:tbl>
      <w:tblPr>
        <w:tblW w:w="0" w:type="auto"/>
        <w:tblLook w:val="04A0" w:firstRow="1" w:lastRow="0" w:firstColumn="1" w:lastColumn="0" w:noHBand="0" w:noVBand="1"/>
      </w:tblPr>
      <w:tblGrid>
        <w:gridCol w:w="1356"/>
        <w:gridCol w:w="1218"/>
        <w:gridCol w:w="1219"/>
        <w:gridCol w:w="1219"/>
        <w:gridCol w:w="1219"/>
        <w:gridCol w:w="1219"/>
        <w:gridCol w:w="1219"/>
      </w:tblGrid>
      <w:tr w:rsidR="00D66210" w:rsidRPr="000324CE" w14:paraId="7E3993AE" w14:textId="77777777" w:rsidTr="005800A8">
        <w:trPr>
          <w:trHeight w:val="300"/>
        </w:trPr>
        <w:tc>
          <w:tcPr>
            <w:tcW w:w="0" w:type="auto"/>
            <w:shd w:val="clear" w:color="auto" w:fill="auto"/>
            <w:noWrap/>
            <w:hideMark/>
          </w:tcPr>
          <w:p w14:paraId="71D46B31" w14:textId="77777777" w:rsidR="00D66210" w:rsidRPr="000324CE" w:rsidRDefault="00D66210" w:rsidP="00292280">
            <w:pPr>
              <w:pStyle w:val="NoSpacing"/>
              <w:spacing w:before="0"/>
              <w:rPr>
                <w:rFonts w:cs="Segoe UI"/>
                <w:b/>
                <w:color w:val="000000" w:themeColor="text1"/>
                <w:sz w:val="20"/>
                <w:szCs w:val="20"/>
                <w:lang w:eastAsia="en-GB"/>
              </w:rPr>
            </w:pPr>
          </w:p>
        </w:tc>
        <w:tc>
          <w:tcPr>
            <w:tcW w:w="0" w:type="auto"/>
            <w:gridSpan w:val="6"/>
            <w:tcBorders>
              <w:bottom w:val="single" w:sz="4" w:space="0" w:color="auto"/>
            </w:tcBorders>
            <w:shd w:val="clear" w:color="auto" w:fill="auto"/>
            <w:noWrap/>
            <w:hideMark/>
          </w:tcPr>
          <w:p w14:paraId="7D2136A0" w14:textId="77777777" w:rsidR="00D66210" w:rsidRPr="000324CE" w:rsidRDefault="00D66210" w:rsidP="00292280">
            <w:pPr>
              <w:pStyle w:val="NoSpacing"/>
              <w:spacing w:before="0"/>
              <w:jc w:val="center"/>
              <w:rPr>
                <w:rFonts w:cs="Segoe UI"/>
                <w:color w:val="000000" w:themeColor="text1"/>
                <w:sz w:val="20"/>
                <w:szCs w:val="20"/>
                <w:lang w:eastAsia="en-GB"/>
              </w:rPr>
            </w:pPr>
            <w:r w:rsidRPr="000324CE">
              <w:rPr>
                <w:rFonts w:cs="Segoe UI"/>
                <w:color w:val="000000" w:themeColor="text1"/>
                <w:sz w:val="20"/>
                <w:szCs w:val="20"/>
                <w:lang w:eastAsia="en-GB"/>
              </w:rPr>
              <w:t>Have/Might Do: Petition (%)</w:t>
            </w:r>
          </w:p>
        </w:tc>
      </w:tr>
      <w:tr w:rsidR="00D66210" w:rsidRPr="000324CE" w14:paraId="0A74C427" w14:textId="77777777" w:rsidTr="005800A8">
        <w:trPr>
          <w:trHeight w:val="300"/>
        </w:trPr>
        <w:tc>
          <w:tcPr>
            <w:tcW w:w="0" w:type="auto"/>
            <w:tcBorders>
              <w:bottom w:val="single" w:sz="4" w:space="0" w:color="auto"/>
            </w:tcBorders>
            <w:noWrap/>
            <w:hideMark/>
          </w:tcPr>
          <w:p w14:paraId="01E36849" w14:textId="77777777" w:rsidR="00D66210" w:rsidRPr="000324CE" w:rsidRDefault="00D66210" w:rsidP="00292280">
            <w:pPr>
              <w:pStyle w:val="NoSpacing"/>
              <w:spacing w:before="0"/>
              <w:rPr>
                <w:rFonts w:cs="Segoe UI"/>
                <w:b/>
                <w:sz w:val="20"/>
                <w:szCs w:val="20"/>
                <w:lang w:eastAsia="en-GB"/>
              </w:rPr>
            </w:pPr>
          </w:p>
        </w:tc>
        <w:tc>
          <w:tcPr>
            <w:tcW w:w="0" w:type="auto"/>
            <w:tcBorders>
              <w:top w:val="single" w:sz="4" w:space="0" w:color="auto"/>
              <w:bottom w:val="single" w:sz="4" w:space="0" w:color="auto"/>
            </w:tcBorders>
            <w:noWrap/>
            <w:hideMark/>
          </w:tcPr>
          <w:p w14:paraId="0C24658E" w14:textId="77777777" w:rsidR="00D66210" w:rsidRPr="000324CE" w:rsidRDefault="00D66210" w:rsidP="00292280">
            <w:pPr>
              <w:pStyle w:val="NoSpacing"/>
              <w:spacing w:before="0"/>
              <w:rPr>
                <w:rFonts w:cs="Segoe UI"/>
                <w:b/>
                <w:i/>
                <w:sz w:val="20"/>
                <w:szCs w:val="20"/>
                <w:lang w:eastAsia="en-GB"/>
              </w:rPr>
            </w:pPr>
            <w:r w:rsidRPr="000324CE">
              <w:rPr>
                <w:rFonts w:cs="Segoe UI"/>
                <w:b/>
                <w:i/>
                <w:sz w:val="20"/>
                <w:szCs w:val="20"/>
                <w:lang w:eastAsia="en-GB"/>
              </w:rPr>
              <w:t>1981-1984</w:t>
            </w:r>
          </w:p>
        </w:tc>
        <w:tc>
          <w:tcPr>
            <w:tcW w:w="0" w:type="auto"/>
            <w:tcBorders>
              <w:top w:val="single" w:sz="4" w:space="0" w:color="auto"/>
              <w:bottom w:val="single" w:sz="4" w:space="0" w:color="auto"/>
            </w:tcBorders>
            <w:noWrap/>
            <w:hideMark/>
          </w:tcPr>
          <w:p w14:paraId="6B58B26E" w14:textId="77777777" w:rsidR="00D66210" w:rsidRPr="000324CE" w:rsidRDefault="00D66210" w:rsidP="00292280">
            <w:pPr>
              <w:pStyle w:val="NoSpacing"/>
              <w:spacing w:before="0"/>
              <w:rPr>
                <w:rFonts w:cs="Segoe UI"/>
                <w:b/>
                <w:i/>
                <w:sz w:val="20"/>
                <w:szCs w:val="20"/>
                <w:lang w:eastAsia="en-GB"/>
              </w:rPr>
            </w:pPr>
            <w:r w:rsidRPr="000324CE">
              <w:rPr>
                <w:rFonts w:cs="Segoe UI"/>
                <w:b/>
                <w:i/>
                <w:sz w:val="20"/>
                <w:szCs w:val="20"/>
                <w:lang w:eastAsia="en-GB"/>
              </w:rPr>
              <w:t>1990-1994</w:t>
            </w:r>
          </w:p>
        </w:tc>
        <w:tc>
          <w:tcPr>
            <w:tcW w:w="0" w:type="auto"/>
            <w:tcBorders>
              <w:top w:val="single" w:sz="4" w:space="0" w:color="auto"/>
              <w:bottom w:val="single" w:sz="4" w:space="0" w:color="auto"/>
            </w:tcBorders>
            <w:noWrap/>
            <w:hideMark/>
          </w:tcPr>
          <w:p w14:paraId="44C21F7C" w14:textId="77777777" w:rsidR="00D66210" w:rsidRPr="000324CE" w:rsidRDefault="00D66210" w:rsidP="00292280">
            <w:pPr>
              <w:pStyle w:val="NoSpacing"/>
              <w:spacing w:before="0"/>
              <w:rPr>
                <w:rFonts w:cs="Segoe UI"/>
                <w:b/>
                <w:i/>
                <w:sz w:val="20"/>
                <w:szCs w:val="20"/>
                <w:lang w:eastAsia="en-GB"/>
              </w:rPr>
            </w:pPr>
            <w:r w:rsidRPr="000324CE">
              <w:rPr>
                <w:rFonts w:cs="Segoe UI"/>
                <w:b/>
                <w:i/>
                <w:sz w:val="20"/>
                <w:szCs w:val="20"/>
                <w:lang w:eastAsia="en-GB"/>
              </w:rPr>
              <w:t>1994-1999</w:t>
            </w:r>
          </w:p>
        </w:tc>
        <w:tc>
          <w:tcPr>
            <w:tcW w:w="0" w:type="auto"/>
            <w:tcBorders>
              <w:top w:val="single" w:sz="4" w:space="0" w:color="auto"/>
              <w:bottom w:val="single" w:sz="4" w:space="0" w:color="auto"/>
            </w:tcBorders>
            <w:noWrap/>
            <w:hideMark/>
          </w:tcPr>
          <w:p w14:paraId="663EBA6D" w14:textId="77777777" w:rsidR="00D66210" w:rsidRPr="000324CE" w:rsidRDefault="00D66210" w:rsidP="00292280">
            <w:pPr>
              <w:pStyle w:val="NoSpacing"/>
              <w:spacing w:before="0"/>
              <w:rPr>
                <w:rFonts w:cs="Segoe UI"/>
                <w:b/>
                <w:i/>
                <w:sz w:val="20"/>
                <w:szCs w:val="20"/>
                <w:lang w:eastAsia="en-GB"/>
              </w:rPr>
            </w:pPr>
            <w:r w:rsidRPr="000324CE">
              <w:rPr>
                <w:rFonts w:cs="Segoe UI"/>
                <w:b/>
                <w:i/>
                <w:sz w:val="20"/>
                <w:szCs w:val="20"/>
                <w:lang w:eastAsia="en-GB"/>
              </w:rPr>
              <w:t>1999-2004</w:t>
            </w:r>
          </w:p>
        </w:tc>
        <w:tc>
          <w:tcPr>
            <w:tcW w:w="0" w:type="auto"/>
            <w:tcBorders>
              <w:top w:val="single" w:sz="4" w:space="0" w:color="auto"/>
              <w:bottom w:val="single" w:sz="4" w:space="0" w:color="auto"/>
            </w:tcBorders>
            <w:noWrap/>
            <w:hideMark/>
          </w:tcPr>
          <w:p w14:paraId="0F82D466" w14:textId="77777777" w:rsidR="00D66210" w:rsidRPr="000324CE" w:rsidRDefault="00D66210" w:rsidP="00292280">
            <w:pPr>
              <w:pStyle w:val="NoSpacing"/>
              <w:spacing w:before="0"/>
              <w:rPr>
                <w:rFonts w:cs="Segoe UI"/>
                <w:b/>
                <w:i/>
                <w:sz w:val="20"/>
                <w:szCs w:val="20"/>
                <w:lang w:eastAsia="en-GB"/>
              </w:rPr>
            </w:pPr>
            <w:r w:rsidRPr="000324CE">
              <w:rPr>
                <w:rFonts w:cs="Segoe UI"/>
                <w:b/>
                <w:i/>
                <w:sz w:val="20"/>
                <w:szCs w:val="20"/>
                <w:lang w:eastAsia="en-GB"/>
              </w:rPr>
              <w:t>2005-2008</w:t>
            </w:r>
          </w:p>
        </w:tc>
        <w:tc>
          <w:tcPr>
            <w:tcW w:w="0" w:type="auto"/>
            <w:tcBorders>
              <w:top w:val="single" w:sz="4" w:space="0" w:color="auto"/>
              <w:bottom w:val="single" w:sz="4" w:space="0" w:color="auto"/>
            </w:tcBorders>
            <w:noWrap/>
            <w:hideMark/>
          </w:tcPr>
          <w:p w14:paraId="291AF6A4" w14:textId="77777777" w:rsidR="00D66210" w:rsidRPr="000324CE" w:rsidRDefault="00D66210" w:rsidP="00292280">
            <w:pPr>
              <w:pStyle w:val="NoSpacing"/>
              <w:spacing w:before="0"/>
              <w:rPr>
                <w:rFonts w:cs="Segoe UI"/>
                <w:b/>
                <w:i/>
                <w:sz w:val="20"/>
                <w:szCs w:val="20"/>
                <w:lang w:eastAsia="en-GB"/>
              </w:rPr>
            </w:pPr>
            <w:r w:rsidRPr="000324CE">
              <w:rPr>
                <w:rFonts w:cs="Segoe UI"/>
                <w:b/>
                <w:i/>
                <w:sz w:val="20"/>
                <w:szCs w:val="20"/>
                <w:lang w:eastAsia="en-GB"/>
              </w:rPr>
              <w:t>2010-2014</w:t>
            </w:r>
          </w:p>
        </w:tc>
      </w:tr>
      <w:tr w:rsidR="00D66210" w:rsidRPr="000324CE" w14:paraId="7F20E853" w14:textId="77777777" w:rsidTr="005800A8">
        <w:trPr>
          <w:trHeight w:val="300"/>
        </w:trPr>
        <w:tc>
          <w:tcPr>
            <w:tcW w:w="0" w:type="auto"/>
            <w:tcBorders>
              <w:top w:val="single" w:sz="4" w:space="0" w:color="auto"/>
            </w:tcBorders>
            <w:noWrap/>
            <w:hideMark/>
          </w:tcPr>
          <w:p w14:paraId="3C95C617"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Argentina</w:t>
            </w:r>
          </w:p>
        </w:tc>
        <w:tc>
          <w:tcPr>
            <w:tcW w:w="0" w:type="auto"/>
            <w:tcBorders>
              <w:top w:val="single" w:sz="4" w:space="0" w:color="auto"/>
            </w:tcBorders>
            <w:noWrap/>
            <w:hideMark/>
          </w:tcPr>
          <w:p w14:paraId="58DD237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72.9</w:t>
            </w:r>
          </w:p>
        </w:tc>
        <w:tc>
          <w:tcPr>
            <w:tcW w:w="0" w:type="auto"/>
            <w:tcBorders>
              <w:top w:val="single" w:sz="4" w:space="0" w:color="auto"/>
            </w:tcBorders>
            <w:noWrap/>
            <w:hideMark/>
          </w:tcPr>
          <w:p w14:paraId="36A7690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54.9</w:t>
            </w:r>
          </w:p>
        </w:tc>
        <w:tc>
          <w:tcPr>
            <w:tcW w:w="0" w:type="auto"/>
            <w:tcBorders>
              <w:top w:val="single" w:sz="4" w:space="0" w:color="auto"/>
            </w:tcBorders>
            <w:noWrap/>
            <w:hideMark/>
          </w:tcPr>
          <w:p w14:paraId="4F74D34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68.6</w:t>
            </w:r>
          </w:p>
        </w:tc>
        <w:tc>
          <w:tcPr>
            <w:tcW w:w="0" w:type="auto"/>
            <w:tcBorders>
              <w:top w:val="single" w:sz="4" w:space="0" w:color="auto"/>
            </w:tcBorders>
            <w:noWrap/>
            <w:hideMark/>
          </w:tcPr>
          <w:p w14:paraId="4FD9812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54.1</w:t>
            </w:r>
          </w:p>
        </w:tc>
        <w:tc>
          <w:tcPr>
            <w:tcW w:w="0" w:type="auto"/>
            <w:tcBorders>
              <w:top w:val="single" w:sz="4" w:space="0" w:color="auto"/>
            </w:tcBorders>
            <w:noWrap/>
            <w:hideMark/>
          </w:tcPr>
          <w:p w14:paraId="663C06B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66.9</w:t>
            </w:r>
          </w:p>
        </w:tc>
        <w:tc>
          <w:tcPr>
            <w:tcW w:w="0" w:type="auto"/>
            <w:tcBorders>
              <w:top w:val="single" w:sz="4" w:space="0" w:color="auto"/>
            </w:tcBorders>
            <w:noWrap/>
            <w:hideMark/>
          </w:tcPr>
          <w:p w14:paraId="27DA5CA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r>
      <w:tr w:rsidR="00D66210" w:rsidRPr="000324CE" w14:paraId="0FA70A83" w14:textId="77777777" w:rsidTr="005800A8">
        <w:trPr>
          <w:trHeight w:val="300"/>
        </w:trPr>
        <w:tc>
          <w:tcPr>
            <w:tcW w:w="0" w:type="auto"/>
            <w:noWrap/>
            <w:hideMark/>
          </w:tcPr>
          <w:p w14:paraId="2C7DB5CF"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Chile</w:t>
            </w:r>
          </w:p>
        </w:tc>
        <w:tc>
          <w:tcPr>
            <w:tcW w:w="0" w:type="auto"/>
            <w:noWrap/>
            <w:hideMark/>
          </w:tcPr>
          <w:p w14:paraId="6DB4913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43334AE9"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56.5</w:t>
            </w:r>
          </w:p>
        </w:tc>
        <w:tc>
          <w:tcPr>
            <w:tcW w:w="0" w:type="auto"/>
            <w:noWrap/>
            <w:hideMark/>
          </w:tcPr>
          <w:p w14:paraId="21CDB060"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55.9</w:t>
            </w:r>
          </w:p>
        </w:tc>
        <w:tc>
          <w:tcPr>
            <w:tcW w:w="0" w:type="auto"/>
            <w:noWrap/>
            <w:hideMark/>
          </w:tcPr>
          <w:p w14:paraId="6AF423A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47.1</w:t>
            </w:r>
          </w:p>
        </w:tc>
        <w:tc>
          <w:tcPr>
            <w:tcW w:w="0" w:type="auto"/>
            <w:noWrap/>
            <w:hideMark/>
          </w:tcPr>
          <w:p w14:paraId="330869C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37.3</w:t>
            </w:r>
          </w:p>
        </w:tc>
        <w:tc>
          <w:tcPr>
            <w:tcW w:w="0" w:type="auto"/>
            <w:noWrap/>
            <w:hideMark/>
          </w:tcPr>
          <w:p w14:paraId="64CFB6D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48.1</w:t>
            </w:r>
          </w:p>
        </w:tc>
      </w:tr>
      <w:tr w:rsidR="00D66210" w:rsidRPr="000324CE" w14:paraId="7FF1F5C6" w14:textId="77777777" w:rsidTr="00292280">
        <w:trPr>
          <w:trHeight w:val="300"/>
        </w:trPr>
        <w:tc>
          <w:tcPr>
            <w:tcW w:w="0" w:type="auto"/>
            <w:noWrap/>
            <w:hideMark/>
          </w:tcPr>
          <w:p w14:paraId="164B0F58"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Egypt</w:t>
            </w:r>
          </w:p>
        </w:tc>
        <w:tc>
          <w:tcPr>
            <w:tcW w:w="0" w:type="auto"/>
            <w:noWrap/>
            <w:hideMark/>
          </w:tcPr>
          <w:p w14:paraId="58986EF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6AE51ACB"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7241D8A0"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63206E21"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57.1</w:t>
            </w:r>
          </w:p>
        </w:tc>
        <w:tc>
          <w:tcPr>
            <w:tcW w:w="0" w:type="auto"/>
            <w:noWrap/>
            <w:hideMark/>
          </w:tcPr>
          <w:p w14:paraId="6E2DD981"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21.5</w:t>
            </w:r>
          </w:p>
        </w:tc>
        <w:tc>
          <w:tcPr>
            <w:tcW w:w="0" w:type="auto"/>
            <w:noWrap/>
            <w:hideMark/>
          </w:tcPr>
          <w:p w14:paraId="6FFE0AD1"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4.3</w:t>
            </w:r>
          </w:p>
        </w:tc>
      </w:tr>
      <w:tr w:rsidR="00D66210" w:rsidRPr="000324CE" w14:paraId="02E19D0E" w14:textId="77777777" w:rsidTr="005800A8">
        <w:trPr>
          <w:trHeight w:val="300"/>
        </w:trPr>
        <w:tc>
          <w:tcPr>
            <w:tcW w:w="0" w:type="auto"/>
            <w:noWrap/>
            <w:hideMark/>
          </w:tcPr>
          <w:p w14:paraId="006EA4E5"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India</w:t>
            </w:r>
          </w:p>
        </w:tc>
        <w:tc>
          <w:tcPr>
            <w:tcW w:w="0" w:type="auto"/>
            <w:noWrap/>
            <w:hideMark/>
          </w:tcPr>
          <w:p w14:paraId="2FB8915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56ABF678"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69.9</w:t>
            </w:r>
          </w:p>
        </w:tc>
        <w:tc>
          <w:tcPr>
            <w:tcW w:w="0" w:type="auto"/>
            <w:noWrap/>
            <w:hideMark/>
          </w:tcPr>
          <w:p w14:paraId="1E1B2C5B"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71.0</w:t>
            </w:r>
          </w:p>
        </w:tc>
        <w:tc>
          <w:tcPr>
            <w:tcW w:w="0" w:type="auto"/>
            <w:noWrap/>
            <w:hideMark/>
          </w:tcPr>
          <w:p w14:paraId="1381574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57.5</w:t>
            </w:r>
          </w:p>
        </w:tc>
        <w:tc>
          <w:tcPr>
            <w:tcW w:w="0" w:type="auto"/>
            <w:noWrap/>
            <w:hideMark/>
          </w:tcPr>
          <w:p w14:paraId="63FD3B4B"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54.7</w:t>
            </w:r>
          </w:p>
        </w:tc>
        <w:tc>
          <w:tcPr>
            <w:tcW w:w="0" w:type="auto"/>
            <w:noWrap/>
            <w:hideMark/>
          </w:tcPr>
          <w:p w14:paraId="04D88E8E"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r>
      <w:tr w:rsidR="00D66210" w:rsidRPr="000324CE" w14:paraId="7B8E5B6A" w14:textId="77777777" w:rsidTr="00292280">
        <w:trPr>
          <w:trHeight w:val="300"/>
        </w:trPr>
        <w:tc>
          <w:tcPr>
            <w:tcW w:w="0" w:type="auto"/>
            <w:noWrap/>
            <w:hideMark/>
          </w:tcPr>
          <w:p w14:paraId="2452CFCB"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Japan</w:t>
            </w:r>
          </w:p>
        </w:tc>
        <w:tc>
          <w:tcPr>
            <w:tcW w:w="0" w:type="auto"/>
            <w:noWrap/>
            <w:hideMark/>
          </w:tcPr>
          <w:p w14:paraId="17FA70F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7DCBC85B"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0DD2401A"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55F1CE48"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92.8</w:t>
            </w:r>
          </w:p>
        </w:tc>
        <w:tc>
          <w:tcPr>
            <w:tcW w:w="0" w:type="auto"/>
            <w:noWrap/>
            <w:hideMark/>
          </w:tcPr>
          <w:p w14:paraId="388379C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87.7</w:t>
            </w:r>
          </w:p>
        </w:tc>
        <w:tc>
          <w:tcPr>
            <w:tcW w:w="0" w:type="auto"/>
            <w:noWrap/>
            <w:hideMark/>
          </w:tcPr>
          <w:p w14:paraId="26E35DB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76.9</w:t>
            </w:r>
          </w:p>
        </w:tc>
      </w:tr>
      <w:tr w:rsidR="00D66210" w:rsidRPr="000324CE" w14:paraId="15401691" w14:textId="77777777" w:rsidTr="005800A8">
        <w:trPr>
          <w:trHeight w:val="300"/>
        </w:trPr>
        <w:tc>
          <w:tcPr>
            <w:tcW w:w="0" w:type="auto"/>
            <w:noWrap/>
            <w:hideMark/>
          </w:tcPr>
          <w:p w14:paraId="1F55E4FA"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Jordan</w:t>
            </w:r>
          </w:p>
        </w:tc>
        <w:tc>
          <w:tcPr>
            <w:tcW w:w="0" w:type="auto"/>
            <w:noWrap/>
            <w:hideMark/>
          </w:tcPr>
          <w:p w14:paraId="3D3DFADA"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0DCD413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164C4B94"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07FC29C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17.0</w:t>
            </w:r>
          </w:p>
        </w:tc>
        <w:tc>
          <w:tcPr>
            <w:tcW w:w="0" w:type="auto"/>
            <w:noWrap/>
            <w:hideMark/>
          </w:tcPr>
          <w:p w14:paraId="6FDACBC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10.5</w:t>
            </w:r>
          </w:p>
        </w:tc>
        <w:tc>
          <w:tcPr>
            <w:tcW w:w="0" w:type="auto"/>
            <w:noWrap/>
            <w:hideMark/>
          </w:tcPr>
          <w:p w14:paraId="37C82BAB"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14.9</w:t>
            </w:r>
          </w:p>
        </w:tc>
      </w:tr>
      <w:tr w:rsidR="00D66210" w:rsidRPr="000324CE" w14:paraId="4C562D8D" w14:textId="77777777" w:rsidTr="00292280">
        <w:trPr>
          <w:trHeight w:val="300"/>
        </w:trPr>
        <w:tc>
          <w:tcPr>
            <w:tcW w:w="0" w:type="auto"/>
            <w:noWrap/>
            <w:hideMark/>
          </w:tcPr>
          <w:p w14:paraId="56AE6B2D"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Mexico</w:t>
            </w:r>
          </w:p>
        </w:tc>
        <w:tc>
          <w:tcPr>
            <w:tcW w:w="0" w:type="auto"/>
            <w:noWrap/>
            <w:hideMark/>
          </w:tcPr>
          <w:p w14:paraId="7C52878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49.0</w:t>
            </w:r>
          </w:p>
        </w:tc>
        <w:tc>
          <w:tcPr>
            <w:tcW w:w="0" w:type="auto"/>
            <w:noWrap/>
            <w:hideMark/>
          </w:tcPr>
          <w:p w14:paraId="0525E1E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79.0</w:t>
            </w:r>
          </w:p>
        </w:tc>
        <w:tc>
          <w:tcPr>
            <w:tcW w:w="0" w:type="auto"/>
            <w:noWrap/>
            <w:hideMark/>
          </w:tcPr>
          <w:p w14:paraId="1958BDBB"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79.7</w:t>
            </w:r>
          </w:p>
        </w:tc>
        <w:tc>
          <w:tcPr>
            <w:tcW w:w="0" w:type="auto"/>
            <w:noWrap/>
            <w:hideMark/>
          </w:tcPr>
          <w:p w14:paraId="7C735BB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55.1</w:t>
            </w:r>
          </w:p>
        </w:tc>
        <w:tc>
          <w:tcPr>
            <w:tcW w:w="0" w:type="auto"/>
            <w:noWrap/>
            <w:hideMark/>
          </w:tcPr>
          <w:p w14:paraId="7093535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61.1</w:t>
            </w:r>
          </w:p>
        </w:tc>
        <w:tc>
          <w:tcPr>
            <w:tcW w:w="0" w:type="auto"/>
            <w:noWrap/>
            <w:hideMark/>
          </w:tcPr>
          <w:p w14:paraId="5EF0861F"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57.7</w:t>
            </w:r>
          </w:p>
        </w:tc>
      </w:tr>
      <w:tr w:rsidR="00D66210" w:rsidRPr="000324CE" w14:paraId="0C827491" w14:textId="77777777" w:rsidTr="005800A8">
        <w:trPr>
          <w:trHeight w:val="300"/>
        </w:trPr>
        <w:tc>
          <w:tcPr>
            <w:tcW w:w="0" w:type="auto"/>
            <w:noWrap/>
            <w:hideMark/>
          </w:tcPr>
          <w:p w14:paraId="211E4F58"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Moldova</w:t>
            </w:r>
          </w:p>
        </w:tc>
        <w:tc>
          <w:tcPr>
            <w:tcW w:w="0" w:type="auto"/>
            <w:noWrap/>
            <w:hideMark/>
          </w:tcPr>
          <w:p w14:paraId="22D6A3A2" w14:textId="77777777" w:rsidR="00D66210" w:rsidRPr="000324CE" w:rsidRDefault="00D66210" w:rsidP="00292280">
            <w:pPr>
              <w:pStyle w:val="NoSpacing"/>
              <w:spacing w:before="0"/>
              <w:jc w:val="center"/>
              <w:rPr>
                <w:rFonts w:cs="Segoe UI"/>
                <w:sz w:val="20"/>
                <w:szCs w:val="20"/>
                <w:lang w:eastAsia="en-GB"/>
              </w:rPr>
            </w:pPr>
          </w:p>
        </w:tc>
        <w:tc>
          <w:tcPr>
            <w:tcW w:w="0" w:type="auto"/>
            <w:noWrap/>
            <w:hideMark/>
          </w:tcPr>
          <w:p w14:paraId="1F504E54"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66D9A32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44.4</w:t>
            </w:r>
          </w:p>
        </w:tc>
        <w:tc>
          <w:tcPr>
            <w:tcW w:w="0" w:type="auto"/>
            <w:noWrap/>
            <w:hideMark/>
          </w:tcPr>
          <w:p w14:paraId="46545F8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40.1</w:t>
            </w:r>
          </w:p>
        </w:tc>
        <w:tc>
          <w:tcPr>
            <w:tcW w:w="0" w:type="auto"/>
            <w:noWrap/>
            <w:hideMark/>
          </w:tcPr>
          <w:p w14:paraId="2DE110B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42.5</w:t>
            </w:r>
          </w:p>
        </w:tc>
        <w:tc>
          <w:tcPr>
            <w:tcW w:w="0" w:type="auto"/>
            <w:noWrap/>
            <w:hideMark/>
          </w:tcPr>
          <w:p w14:paraId="2E4AF414"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r>
      <w:tr w:rsidR="00D66210" w:rsidRPr="000324CE" w14:paraId="52FB35A7" w14:textId="77777777" w:rsidTr="00292280">
        <w:trPr>
          <w:trHeight w:val="300"/>
        </w:trPr>
        <w:tc>
          <w:tcPr>
            <w:tcW w:w="0" w:type="auto"/>
            <w:noWrap/>
            <w:hideMark/>
          </w:tcPr>
          <w:p w14:paraId="03BE953A"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Morocco</w:t>
            </w:r>
          </w:p>
        </w:tc>
        <w:tc>
          <w:tcPr>
            <w:tcW w:w="0" w:type="auto"/>
            <w:noWrap/>
            <w:hideMark/>
          </w:tcPr>
          <w:p w14:paraId="416F8E8A"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6FBC0E0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1C7266AE"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6BD9CFB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46.5</w:t>
            </w:r>
          </w:p>
        </w:tc>
        <w:tc>
          <w:tcPr>
            <w:tcW w:w="0" w:type="auto"/>
            <w:noWrap/>
            <w:hideMark/>
          </w:tcPr>
          <w:p w14:paraId="1E037E2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42.1</w:t>
            </w:r>
          </w:p>
        </w:tc>
        <w:tc>
          <w:tcPr>
            <w:tcW w:w="0" w:type="auto"/>
            <w:noWrap/>
            <w:hideMark/>
          </w:tcPr>
          <w:p w14:paraId="070B2E48"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13.7</w:t>
            </w:r>
          </w:p>
        </w:tc>
      </w:tr>
      <w:tr w:rsidR="00D66210" w:rsidRPr="000324CE" w14:paraId="34B529D9" w14:textId="77777777" w:rsidTr="005800A8">
        <w:trPr>
          <w:trHeight w:val="300"/>
        </w:trPr>
        <w:tc>
          <w:tcPr>
            <w:tcW w:w="0" w:type="auto"/>
            <w:noWrap/>
            <w:hideMark/>
          </w:tcPr>
          <w:p w14:paraId="0A463C09"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Peru</w:t>
            </w:r>
          </w:p>
        </w:tc>
        <w:tc>
          <w:tcPr>
            <w:tcW w:w="0" w:type="auto"/>
            <w:noWrap/>
            <w:hideMark/>
          </w:tcPr>
          <w:p w14:paraId="4379DC1E"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34FE433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19665AE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63.7</w:t>
            </w:r>
          </w:p>
        </w:tc>
        <w:tc>
          <w:tcPr>
            <w:tcW w:w="0" w:type="auto"/>
            <w:noWrap/>
            <w:hideMark/>
          </w:tcPr>
          <w:p w14:paraId="06BAC87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81.0</w:t>
            </w:r>
          </w:p>
        </w:tc>
        <w:tc>
          <w:tcPr>
            <w:tcW w:w="0" w:type="auto"/>
            <w:noWrap/>
            <w:hideMark/>
          </w:tcPr>
          <w:p w14:paraId="46A8F73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62.8</w:t>
            </w:r>
          </w:p>
        </w:tc>
        <w:tc>
          <w:tcPr>
            <w:tcW w:w="0" w:type="auto"/>
            <w:noWrap/>
            <w:hideMark/>
          </w:tcPr>
          <w:p w14:paraId="5B21A49E"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60.6</w:t>
            </w:r>
          </w:p>
        </w:tc>
      </w:tr>
      <w:tr w:rsidR="00D66210" w:rsidRPr="000324CE" w14:paraId="53853FBB" w14:textId="77777777" w:rsidTr="00292280">
        <w:trPr>
          <w:trHeight w:val="300"/>
        </w:trPr>
        <w:tc>
          <w:tcPr>
            <w:tcW w:w="0" w:type="auto"/>
            <w:noWrap/>
            <w:hideMark/>
          </w:tcPr>
          <w:p w14:paraId="25134B9E"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Serbia</w:t>
            </w:r>
          </w:p>
        </w:tc>
        <w:tc>
          <w:tcPr>
            <w:tcW w:w="0" w:type="auto"/>
            <w:noWrap/>
            <w:hideMark/>
          </w:tcPr>
          <w:p w14:paraId="7048A17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2D66835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50C92387"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57.8</w:t>
            </w:r>
          </w:p>
        </w:tc>
        <w:tc>
          <w:tcPr>
            <w:tcW w:w="0" w:type="auto"/>
            <w:noWrap/>
            <w:hideMark/>
          </w:tcPr>
          <w:p w14:paraId="4F64CF1A"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65.1</w:t>
            </w:r>
          </w:p>
        </w:tc>
        <w:tc>
          <w:tcPr>
            <w:tcW w:w="0" w:type="auto"/>
            <w:noWrap/>
            <w:hideMark/>
          </w:tcPr>
          <w:p w14:paraId="696A093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63.8</w:t>
            </w:r>
          </w:p>
        </w:tc>
        <w:tc>
          <w:tcPr>
            <w:tcW w:w="0" w:type="auto"/>
            <w:noWrap/>
            <w:hideMark/>
          </w:tcPr>
          <w:p w14:paraId="23F0449F"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r>
      <w:tr w:rsidR="00D66210" w:rsidRPr="000324CE" w14:paraId="076D8F0B" w14:textId="77777777" w:rsidTr="005800A8">
        <w:trPr>
          <w:trHeight w:val="300"/>
        </w:trPr>
        <w:tc>
          <w:tcPr>
            <w:tcW w:w="0" w:type="auto"/>
            <w:noWrap/>
            <w:hideMark/>
          </w:tcPr>
          <w:p w14:paraId="39EADD13"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South Africa</w:t>
            </w:r>
          </w:p>
        </w:tc>
        <w:tc>
          <w:tcPr>
            <w:tcW w:w="0" w:type="auto"/>
            <w:noWrap/>
            <w:hideMark/>
          </w:tcPr>
          <w:p w14:paraId="022FEA3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60.5</w:t>
            </w:r>
          </w:p>
        </w:tc>
        <w:tc>
          <w:tcPr>
            <w:tcW w:w="0" w:type="auto"/>
            <w:noWrap/>
            <w:hideMark/>
          </w:tcPr>
          <w:p w14:paraId="0338D7F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71.6</w:t>
            </w:r>
          </w:p>
        </w:tc>
        <w:tc>
          <w:tcPr>
            <w:tcW w:w="0" w:type="auto"/>
            <w:noWrap/>
            <w:hideMark/>
          </w:tcPr>
          <w:p w14:paraId="36C1B0A4"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54.7</w:t>
            </w:r>
          </w:p>
        </w:tc>
        <w:tc>
          <w:tcPr>
            <w:tcW w:w="0" w:type="auto"/>
            <w:noWrap/>
            <w:hideMark/>
          </w:tcPr>
          <w:p w14:paraId="3FA25DD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65.3</w:t>
            </w:r>
          </w:p>
        </w:tc>
        <w:tc>
          <w:tcPr>
            <w:tcW w:w="0" w:type="auto"/>
            <w:noWrap/>
            <w:hideMark/>
          </w:tcPr>
          <w:p w14:paraId="52F7B4C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46.7</w:t>
            </w:r>
          </w:p>
        </w:tc>
        <w:tc>
          <w:tcPr>
            <w:tcW w:w="0" w:type="auto"/>
            <w:noWrap/>
            <w:hideMark/>
          </w:tcPr>
          <w:p w14:paraId="03DE6FA4"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r>
      <w:tr w:rsidR="00D66210" w:rsidRPr="000324CE" w14:paraId="5E1E3A30" w14:textId="77777777" w:rsidTr="00292280">
        <w:trPr>
          <w:trHeight w:val="300"/>
        </w:trPr>
        <w:tc>
          <w:tcPr>
            <w:tcW w:w="0" w:type="auto"/>
            <w:noWrap/>
            <w:hideMark/>
          </w:tcPr>
          <w:p w14:paraId="11154FC6"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South Korea</w:t>
            </w:r>
          </w:p>
        </w:tc>
        <w:tc>
          <w:tcPr>
            <w:tcW w:w="0" w:type="auto"/>
            <w:noWrap/>
            <w:hideMark/>
          </w:tcPr>
          <w:p w14:paraId="79A209EF"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70.6</w:t>
            </w:r>
          </w:p>
        </w:tc>
        <w:tc>
          <w:tcPr>
            <w:tcW w:w="0" w:type="auto"/>
            <w:noWrap/>
            <w:hideMark/>
          </w:tcPr>
          <w:p w14:paraId="58642011"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83.8</w:t>
            </w:r>
          </w:p>
        </w:tc>
        <w:tc>
          <w:tcPr>
            <w:tcW w:w="0" w:type="auto"/>
            <w:noWrap/>
            <w:hideMark/>
          </w:tcPr>
          <w:p w14:paraId="142F0AF7"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82.4</w:t>
            </w:r>
          </w:p>
        </w:tc>
        <w:tc>
          <w:tcPr>
            <w:tcW w:w="0" w:type="auto"/>
            <w:noWrap/>
            <w:hideMark/>
          </w:tcPr>
          <w:p w14:paraId="6BC4509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89.4</w:t>
            </w:r>
          </w:p>
        </w:tc>
        <w:tc>
          <w:tcPr>
            <w:tcW w:w="0" w:type="auto"/>
            <w:noWrap/>
            <w:hideMark/>
          </w:tcPr>
          <w:p w14:paraId="655486C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77.3</w:t>
            </w:r>
          </w:p>
        </w:tc>
        <w:tc>
          <w:tcPr>
            <w:tcW w:w="0" w:type="auto"/>
            <w:noWrap/>
            <w:hideMark/>
          </w:tcPr>
          <w:p w14:paraId="76C4272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69.3</w:t>
            </w:r>
          </w:p>
        </w:tc>
      </w:tr>
      <w:tr w:rsidR="00D66210" w:rsidRPr="000324CE" w14:paraId="5F5B45E4" w14:textId="77777777" w:rsidTr="005800A8">
        <w:trPr>
          <w:trHeight w:val="300"/>
        </w:trPr>
        <w:tc>
          <w:tcPr>
            <w:tcW w:w="0" w:type="auto"/>
            <w:noWrap/>
            <w:hideMark/>
          </w:tcPr>
          <w:p w14:paraId="48AB206C"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Spain</w:t>
            </w:r>
          </w:p>
        </w:tc>
        <w:tc>
          <w:tcPr>
            <w:tcW w:w="0" w:type="auto"/>
            <w:noWrap/>
            <w:hideMark/>
          </w:tcPr>
          <w:p w14:paraId="6807B908"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0B525408"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54.4</w:t>
            </w:r>
          </w:p>
        </w:tc>
        <w:tc>
          <w:tcPr>
            <w:tcW w:w="0" w:type="auto"/>
            <w:noWrap/>
            <w:hideMark/>
          </w:tcPr>
          <w:p w14:paraId="706E6E80"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58.0</w:t>
            </w:r>
          </w:p>
        </w:tc>
        <w:tc>
          <w:tcPr>
            <w:tcW w:w="0" w:type="auto"/>
            <w:noWrap/>
            <w:hideMark/>
          </w:tcPr>
          <w:p w14:paraId="57921C29"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62.0</w:t>
            </w:r>
          </w:p>
        </w:tc>
        <w:tc>
          <w:tcPr>
            <w:tcW w:w="0" w:type="auto"/>
            <w:noWrap/>
            <w:hideMark/>
          </w:tcPr>
          <w:p w14:paraId="1B4F2DE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70.0</w:t>
            </w:r>
          </w:p>
        </w:tc>
        <w:tc>
          <w:tcPr>
            <w:tcW w:w="0" w:type="auto"/>
            <w:noWrap/>
            <w:hideMark/>
          </w:tcPr>
          <w:p w14:paraId="479FFA89"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65.1</w:t>
            </w:r>
          </w:p>
        </w:tc>
      </w:tr>
      <w:tr w:rsidR="00D66210" w:rsidRPr="000324CE" w14:paraId="6B053068" w14:textId="77777777" w:rsidTr="00292280">
        <w:trPr>
          <w:trHeight w:val="300"/>
        </w:trPr>
        <w:tc>
          <w:tcPr>
            <w:tcW w:w="0" w:type="auto"/>
            <w:noWrap/>
            <w:hideMark/>
          </w:tcPr>
          <w:p w14:paraId="4B9519CA"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Sweden</w:t>
            </w:r>
          </w:p>
        </w:tc>
        <w:tc>
          <w:tcPr>
            <w:tcW w:w="0" w:type="auto"/>
            <w:noWrap/>
            <w:hideMark/>
          </w:tcPr>
          <w:p w14:paraId="320B2BAE"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71978F1F"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5E5A7B17"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94.4</w:t>
            </w:r>
          </w:p>
        </w:tc>
        <w:tc>
          <w:tcPr>
            <w:tcW w:w="0" w:type="auto"/>
            <w:noWrap/>
            <w:hideMark/>
          </w:tcPr>
          <w:p w14:paraId="503111A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97.6</w:t>
            </w:r>
          </w:p>
        </w:tc>
        <w:tc>
          <w:tcPr>
            <w:tcW w:w="0" w:type="auto"/>
            <w:noWrap/>
            <w:hideMark/>
          </w:tcPr>
          <w:p w14:paraId="057FD80B"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94.9</w:t>
            </w:r>
          </w:p>
        </w:tc>
        <w:tc>
          <w:tcPr>
            <w:tcW w:w="0" w:type="auto"/>
            <w:noWrap/>
            <w:hideMark/>
          </w:tcPr>
          <w:p w14:paraId="148FC85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93.4</w:t>
            </w:r>
          </w:p>
        </w:tc>
      </w:tr>
      <w:tr w:rsidR="00D66210" w:rsidRPr="000324CE" w14:paraId="0CFFC2EA" w14:textId="77777777" w:rsidTr="005800A8">
        <w:trPr>
          <w:trHeight w:val="300"/>
        </w:trPr>
        <w:tc>
          <w:tcPr>
            <w:tcW w:w="0" w:type="auto"/>
            <w:noWrap/>
            <w:hideMark/>
          </w:tcPr>
          <w:p w14:paraId="411EE338"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Turkey</w:t>
            </w:r>
          </w:p>
        </w:tc>
        <w:tc>
          <w:tcPr>
            <w:tcW w:w="0" w:type="auto"/>
            <w:noWrap/>
            <w:hideMark/>
          </w:tcPr>
          <w:p w14:paraId="58FFA24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noWrap/>
            <w:hideMark/>
          </w:tcPr>
          <w:p w14:paraId="62023E56"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54.4</w:t>
            </w:r>
          </w:p>
        </w:tc>
        <w:tc>
          <w:tcPr>
            <w:tcW w:w="0" w:type="auto"/>
            <w:noWrap/>
            <w:hideMark/>
          </w:tcPr>
          <w:p w14:paraId="0B1E455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54.7</w:t>
            </w:r>
          </w:p>
        </w:tc>
        <w:tc>
          <w:tcPr>
            <w:tcW w:w="0" w:type="auto"/>
            <w:noWrap/>
            <w:hideMark/>
          </w:tcPr>
          <w:p w14:paraId="23568A6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56.2</w:t>
            </w:r>
          </w:p>
        </w:tc>
        <w:tc>
          <w:tcPr>
            <w:tcW w:w="0" w:type="auto"/>
            <w:noWrap/>
            <w:hideMark/>
          </w:tcPr>
          <w:p w14:paraId="4A09221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47.3</w:t>
            </w:r>
          </w:p>
        </w:tc>
        <w:tc>
          <w:tcPr>
            <w:tcW w:w="0" w:type="auto"/>
            <w:noWrap/>
            <w:hideMark/>
          </w:tcPr>
          <w:p w14:paraId="5B6D5918" w14:textId="60F6CCB0" w:rsidR="00D66210" w:rsidRPr="000324CE" w:rsidRDefault="00E44876" w:rsidP="00292280">
            <w:pPr>
              <w:pStyle w:val="NoSpacing"/>
              <w:spacing w:before="0"/>
              <w:jc w:val="center"/>
              <w:rPr>
                <w:rFonts w:cs="Segoe UI"/>
                <w:sz w:val="20"/>
                <w:szCs w:val="20"/>
                <w:lang w:eastAsia="en-GB"/>
              </w:rPr>
            </w:pPr>
            <w:r>
              <w:rPr>
                <w:rFonts w:cs="Segoe UI"/>
                <w:sz w:val="20"/>
                <w:szCs w:val="20"/>
                <w:lang w:eastAsia="en-GB"/>
              </w:rPr>
              <w:t>40.7</w:t>
            </w:r>
          </w:p>
        </w:tc>
      </w:tr>
      <w:tr w:rsidR="00D66210" w:rsidRPr="000324CE" w14:paraId="367F45E5" w14:textId="77777777" w:rsidTr="005800A8">
        <w:trPr>
          <w:trHeight w:val="300"/>
        </w:trPr>
        <w:tc>
          <w:tcPr>
            <w:tcW w:w="0" w:type="auto"/>
            <w:tcBorders>
              <w:bottom w:val="single" w:sz="4" w:space="0" w:color="auto"/>
            </w:tcBorders>
            <w:noWrap/>
            <w:hideMark/>
          </w:tcPr>
          <w:p w14:paraId="4AE552A4" w14:textId="77777777" w:rsidR="00D66210" w:rsidRPr="000324CE" w:rsidRDefault="00D66210" w:rsidP="00292280">
            <w:pPr>
              <w:pStyle w:val="NoSpacing"/>
              <w:spacing w:before="0"/>
              <w:rPr>
                <w:rFonts w:cs="Segoe UI"/>
                <w:i/>
                <w:sz w:val="20"/>
                <w:szCs w:val="20"/>
                <w:lang w:eastAsia="en-GB"/>
              </w:rPr>
            </w:pPr>
            <w:r w:rsidRPr="000324CE">
              <w:rPr>
                <w:rFonts w:cs="Segoe UI"/>
                <w:i/>
                <w:sz w:val="20"/>
                <w:szCs w:val="20"/>
                <w:lang w:eastAsia="en-GB"/>
              </w:rPr>
              <w:t>United States</w:t>
            </w:r>
          </w:p>
        </w:tc>
        <w:tc>
          <w:tcPr>
            <w:tcW w:w="0" w:type="auto"/>
            <w:tcBorders>
              <w:bottom w:val="single" w:sz="4" w:space="0" w:color="auto"/>
            </w:tcBorders>
            <w:noWrap/>
            <w:hideMark/>
          </w:tcPr>
          <w:p w14:paraId="5AA029EE"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tcBorders>
              <w:bottom w:val="single" w:sz="4" w:space="0" w:color="auto"/>
            </w:tcBorders>
            <w:noWrap/>
            <w:hideMark/>
          </w:tcPr>
          <w:p w14:paraId="4D756CD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w:t>
            </w:r>
          </w:p>
        </w:tc>
        <w:tc>
          <w:tcPr>
            <w:tcW w:w="0" w:type="auto"/>
            <w:tcBorders>
              <w:bottom w:val="single" w:sz="4" w:space="0" w:color="auto"/>
            </w:tcBorders>
            <w:noWrap/>
            <w:hideMark/>
          </w:tcPr>
          <w:p w14:paraId="2CDC9A91"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91.7</w:t>
            </w:r>
          </w:p>
        </w:tc>
        <w:tc>
          <w:tcPr>
            <w:tcW w:w="0" w:type="auto"/>
            <w:tcBorders>
              <w:bottom w:val="single" w:sz="4" w:space="0" w:color="auto"/>
            </w:tcBorders>
            <w:noWrap/>
            <w:hideMark/>
          </w:tcPr>
          <w:p w14:paraId="26228432"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96.9</w:t>
            </w:r>
          </w:p>
        </w:tc>
        <w:tc>
          <w:tcPr>
            <w:tcW w:w="0" w:type="auto"/>
            <w:tcBorders>
              <w:bottom w:val="single" w:sz="4" w:space="0" w:color="auto"/>
            </w:tcBorders>
            <w:noWrap/>
            <w:hideMark/>
          </w:tcPr>
          <w:p w14:paraId="15362BA3"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94.5</w:t>
            </w:r>
          </w:p>
        </w:tc>
        <w:tc>
          <w:tcPr>
            <w:tcW w:w="0" w:type="auto"/>
            <w:tcBorders>
              <w:bottom w:val="single" w:sz="4" w:space="0" w:color="auto"/>
            </w:tcBorders>
            <w:noWrap/>
            <w:hideMark/>
          </w:tcPr>
          <w:p w14:paraId="5A34CBE7"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91.9</w:t>
            </w:r>
          </w:p>
        </w:tc>
      </w:tr>
      <w:tr w:rsidR="00D66210" w:rsidRPr="000324CE" w14:paraId="4AFF3798" w14:textId="77777777" w:rsidTr="005800A8">
        <w:trPr>
          <w:trHeight w:val="300"/>
        </w:trPr>
        <w:tc>
          <w:tcPr>
            <w:tcW w:w="0" w:type="auto"/>
            <w:tcBorders>
              <w:top w:val="single" w:sz="4" w:space="0" w:color="auto"/>
              <w:bottom w:val="single" w:sz="4" w:space="0" w:color="auto"/>
            </w:tcBorders>
            <w:shd w:val="clear" w:color="auto" w:fill="F2F2F2" w:themeFill="background1" w:themeFillShade="F2"/>
            <w:noWrap/>
            <w:hideMark/>
          </w:tcPr>
          <w:p w14:paraId="4BA92806" w14:textId="77777777" w:rsidR="00D66210" w:rsidRPr="000324CE" w:rsidRDefault="00D66210" w:rsidP="00292280">
            <w:pPr>
              <w:pStyle w:val="NoSpacing"/>
              <w:spacing w:before="0"/>
              <w:rPr>
                <w:rFonts w:cs="Segoe UI"/>
                <w:b/>
                <w:i/>
                <w:sz w:val="20"/>
                <w:szCs w:val="20"/>
                <w:lang w:eastAsia="en-GB"/>
              </w:rPr>
            </w:pPr>
            <w:r w:rsidRPr="000324CE">
              <w:rPr>
                <w:rFonts w:cs="Segoe UI"/>
                <w:b/>
                <w:i/>
                <w:sz w:val="20"/>
                <w:szCs w:val="20"/>
                <w:lang w:eastAsia="en-GB"/>
              </w:rPr>
              <w:t>Average</w:t>
            </w:r>
          </w:p>
        </w:tc>
        <w:tc>
          <w:tcPr>
            <w:tcW w:w="0" w:type="auto"/>
            <w:tcBorders>
              <w:top w:val="single" w:sz="4" w:space="0" w:color="auto"/>
              <w:bottom w:val="single" w:sz="4" w:space="0" w:color="auto"/>
            </w:tcBorders>
            <w:shd w:val="clear" w:color="auto" w:fill="F2F2F2" w:themeFill="background1" w:themeFillShade="F2"/>
            <w:noWrap/>
            <w:hideMark/>
          </w:tcPr>
          <w:p w14:paraId="3371531C"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63.3</w:t>
            </w:r>
          </w:p>
        </w:tc>
        <w:tc>
          <w:tcPr>
            <w:tcW w:w="0" w:type="auto"/>
            <w:tcBorders>
              <w:top w:val="single" w:sz="4" w:space="0" w:color="auto"/>
              <w:bottom w:val="single" w:sz="4" w:space="0" w:color="auto"/>
            </w:tcBorders>
            <w:shd w:val="clear" w:color="auto" w:fill="F2F2F2" w:themeFill="background1" w:themeFillShade="F2"/>
            <w:noWrap/>
            <w:hideMark/>
          </w:tcPr>
          <w:p w14:paraId="1D8E265A"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65.6</w:t>
            </w:r>
          </w:p>
        </w:tc>
        <w:tc>
          <w:tcPr>
            <w:tcW w:w="0" w:type="auto"/>
            <w:tcBorders>
              <w:top w:val="single" w:sz="4" w:space="0" w:color="auto"/>
              <w:bottom w:val="single" w:sz="4" w:space="0" w:color="auto"/>
            </w:tcBorders>
            <w:shd w:val="clear" w:color="auto" w:fill="F2F2F2" w:themeFill="background1" w:themeFillShade="F2"/>
            <w:noWrap/>
            <w:hideMark/>
          </w:tcPr>
          <w:p w14:paraId="7162019D"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67.5</w:t>
            </w:r>
          </w:p>
        </w:tc>
        <w:tc>
          <w:tcPr>
            <w:tcW w:w="0" w:type="auto"/>
            <w:tcBorders>
              <w:top w:val="single" w:sz="4" w:space="0" w:color="auto"/>
              <w:bottom w:val="single" w:sz="4" w:space="0" w:color="auto"/>
            </w:tcBorders>
            <w:shd w:val="clear" w:color="auto" w:fill="F2F2F2" w:themeFill="background1" w:themeFillShade="F2"/>
            <w:noWrap/>
            <w:hideMark/>
          </w:tcPr>
          <w:p w14:paraId="57E4E9B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63.6</w:t>
            </w:r>
          </w:p>
        </w:tc>
        <w:tc>
          <w:tcPr>
            <w:tcW w:w="0" w:type="auto"/>
            <w:tcBorders>
              <w:top w:val="single" w:sz="4" w:space="0" w:color="auto"/>
              <w:bottom w:val="single" w:sz="4" w:space="0" w:color="auto"/>
            </w:tcBorders>
            <w:shd w:val="clear" w:color="auto" w:fill="F2F2F2" w:themeFill="background1" w:themeFillShade="F2"/>
            <w:noWrap/>
            <w:hideMark/>
          </w:tcPr>
          <w:p w14:paraId="03E6A065" w14:textId="77777777" w:rsidR="00D66210" w:rsidRPr="000324CE" w:rsidRDefault="00D66210" w:rsidP="00292280">
            <w:pPr>
              <w:pStyle w:val="NoSpacing"/>
              <w:spacing w:before="0"/>
              <w:jc w:val="center"/>
              <w:rPr>
                <w:rFonts w:cs="Segoe UI"/>
                <w:sz w:val="20"/>
                <w:szCs w:val="20"/>
                <w:lang w:eastAsia="en-GB"/>
              </w:rPr>
            </w:pPr>
            <w:r w:rsidRPr="000324CE">
              <w:rPr>
                <w:rFonts w:cs="Segoe UI"/>
                <w:sz w:val="20"/>
                <w:szCs w:val="20"/>
                <w:lang w:eastAsia="en-GB"/>
              </w:rPr>
              <w:t>57.7</w:t>
            </w:r>
          </w:p>
        </w:tc>
        <w:tc>
          <w:tcPr>
            <w:tcW w:w="0" w:type="auto"/>
            <w:tcBorders>
              <w:top w:val="single" w:sz="4" w:space="0" w:color="auto"/>
              <w:bottom w:val="single" w:sz="4" w:space="0" w:color="auto"/>
            </w:tcBorders>
            <w:shd w:val="clear" w:color="auto" w:fill="F2F2F2" w:themeFill="background1" w:themeFillShade="F2"/>
            <w:noWrap/>
            <w:hideMark/>
          </w:tcPr>
          <w:p w14:paraId="41A3FBC9" w14:textId="2F5E3582" w:rsidR="00D66210" w:rsidRPr="000324CE" w:rsidRDefault="00E44876" w:rsidP="00BF13AE">
            <w:pPr>
              <w:pStyle w:val="NoSpacing"/>
              <w:spacing w:before="0"/>
              <w:jc w:val="center"/>
              <w:rPr>
                <w:rFonts w:cs="Segoe UI"/>
                <w:sz w:val="20"/>
                <w:szCs w:val="20"/>
                <w:lang w:eastAsia="en-GB"/>
              </w:rPr>
            </w:pPr>
            <w:r>
              <w:rPr>
                <w:rFonts w:cs="Segoe UI"/>
                <w:sz w:val="20"/>
                <w:szCs w:val="20"/>
                <w:lang w:eastAsia="en-GB"/>
              </w:rPr>
              <w:t>53.1</w:t>
            </w:r>
          </w:p>
        </w:tc>
      </w:tr>
    </w:tbl>
    <w:p w14:paraId="3C049970" w14:textId="77777777" w:rsidR="00D66210" w:rsidRPr="00BD6AAB" w:rsidRDefault="00D66210" w:rsidP="00D66210">
      <w:pPr>
        <w:jc w:val="right"/>
        <w:rPr>
          <w:sz w:val="18"/>
          <w:szCs w:val="18"/>
        </w:rPr>
      </w:pPr>
      <w:r w:rsidRPr="00D852C0">
        <w:tab/>
      </w:r>
      <w:r w:rsidRPr="00D852C0">
        <w:tab/>
      </w:r>
      <w:r w:rsidRPr="00BD6AAB">
        <w:rPr>
          <w:sz w:val="18"/>
          <w:szCs w:val="18"/>
        </w:rPr>
        <w:t>Percentages exclude ‘Don’t Knows’</w:t>
      </w:r>
    </w:p>
    <w:p w14:paraId="033AAD7B" w14:textId="77777777" w:rsidR="00D66210" w:rsidRPr="00D852C0" w:rsidRDefault="00D66210" w:rsidP="00D66210">
      <w:r w:rsidRPr="00D852C0">
        <w:t>When it comes to change over time however, patterns are quite difficult to discern. The developed countries appear more consistent in their results, whereas developing countries present more fluctuation. The two developed countries with the most data, the US and Sweden, show remarkable consistency since the mid-1990s with little sign of any increase</w:t>
      </w:r>
      <w:r>
        <w:t xml:space="preserve"> or decrease</w:t>
      </w:r>
      <w:r w:rsidRPr="00D852C0">
        <w:t xml:space="preserve"> in popularity. However, participation in petitioning </w:t>
      </w:r>
      <w:r>
        <w:t xml:space="preserve">there </w:t>
      </w:r>
      <w:r w:rsidRPr="00D852C0">
        <w:t>was already high to begin with. Increasing levels of participation can be clearly seen only in Spain, though even here the latest result bucks this trend. In some countries petition signing seems on the decline, gradually in Chile and India, and dramatically in Egypt.</w:t>
      </w:r>
    </w:p>
    <w:p w14:paraId="116EA527" w14:textId="3B2041AD" w:rsidR="00BF13AE" w:rsidRDefault="00BF13AE" w:rsidP="00D66210">
      <w:r>
        <w:t>The averages, from such small and fluctuating numbers, should then be read cautiously. For instance, in 2005-2008, the very low result for Jordan is two standard deviations from the mean, and, if removed, the average</w:t>
      </w:r>
      <w:r w:rsidR="005730AF">
        <w:t xml:space="preserve"> across all the countries</w:t>
      </w:r>
      <w:r>
        <w:t xml:space="preserve"> rises from 57.7% to 60.7%. The results for 2010-2014 also show Jordan, Egypt and Morocco </w:t>
      </w:r>
      <w:r w:rsidR="005730AF">
        <w:t>with</w:t>
      </w:r>
      <w:r>
        <w:t xml:space="preserve"> considerably different results to the rest. There are not outliers in terms of standard deviation, but this is because the standard deviation is very large in this much smaller set of numbers. However if these three are removed the average </w:t>
      </w:r>
      <w:r w:rsidR="005730AF">
        <w:t xml:space="preserve">across the countries </w:t>
      </w:r>
      <w:r>
        <w:t xml:space="preserve">changes </w:t>
      </w:r>
      <w:r w:rsidR="005730AF">
        <w:t>quite dramaticall</w:t>
      </w:r>
      <w:r w:rsidR="00795398">
        <w:t>y</w:t>
      </w:r>
      <w:r w:rsidR="005730AF">
        <w:t xml:space="preserve">: </w:t>
      </w:r>
      <w:r>
        <w:t xml:space="preserve">from </w:t>
      </w:r>
      <w:r w:rsidR="00E44876">
        <w:t>53.1</w:t>
      </w:r>
      <w:r>
        <w:t xml:space="preserve">% to </w:t>
      </w:r>
      <w:r w:rsidR="00E44876">
        <w:t>67.1</w:t>
      </w:r>
      <w:r>
        <w:t>%.</w:t>
      </w:r>
    </w:p>
    <w:p w14:paraId="2F08F706" w14:textId="6F783AE3" w:rsidR="00BF13AE" w:rsidRDefault="00795398" w:rsidP="00D66210">
      <w:r>
        <w:t>F</w:t>
      </w:r>
      <w:r w:rsidR="00B259E7">
        <w:t xml:space="preserve">ocusing on the states with more robust data, there seems to be relatively minor fluctuations across time within the 60-70% range, with some discrepancies from these three non-democracies, all of which interestingly were affected, to varying degrees, by the Arab Spring. </w:t>
      </w:r>
    </w:p>
    <w:p w14:paraId="078FBBE3" w14:textId="6B99F348" w:rsidR="00E75E1F" w:rsidRDefault="00D66210" w:rsidP="00E75E1F">
      <w:r w:rsidRPr="00D852C0">
        <w:t>Figure 6.5 shows the same calculations but this time for boycotting. Once again the latest wave is added.</w:t>
      </w:r>
      <w:r w:rsidR="00EB7353">
        <w:t xml:space="preserve"> </w:t>
      </w:r>
      <w:r w:rsidR="00E75E1F">
        <w:t>T</w:t>
      </w:r>
      <w:r w:rsidR="00E75E1F" w:rsidRPr="00D852C0">
        <w:t>he overall percentages are lower</w:t>
      </w:r>
      <w:r w:rsidR="00E75E1F">
        <w:t xml:space="preserve"> compared to petitioning. We might expect this if we argue that a boycott of certain products might not be a practical or useful political act in much poorer countries where choice is limited (see below, in discussion of Egypt).</w:t>
      </w:r>
      <w:r w:rsidR="00E75E1F" w:rsidRPr="00D852C0">
        <w:t xml:space="preserve"> </w:t>
      </w:r>
      <w:r w:rsidR="00E75E1F">
        <w:t>Indeed, t</w:t>
      </w:r>
      <w:r w:rsidR="00E75E1F" w:rsidRPr="00D852C0">
        <w:t>he gap between developed and developing</w:t>
      </w:r>
      <w:r w:rsidR="00E75E1F">
        <w:t xml:space="preserve"> countries</w:t>
      </w:r>
      <w:r w:rsidR="00E75E1F" w:rsidRPr="00D852C0">
        <w:t xml:space="preserve"> is again clear; for instance three-quarters of Swedes have considered or have undertaken boycotting, compared to one quarter </w:t>
      </w:r>
      <w:r w:rsidR="00E75E1F">
        <w:t>of</w:t>
      </w:r>
      <w:r w:rsidR="00E75E1F" w:rsidRPr="00D852C0">
        <w:t xml:space="preserve"> Moldova</w:t>
      </w:r>
      <w:r w:rsidR="00E75E1F">
        <w:t>ns</w:t>
      </w:r>
      <w:r w:rsidR="00E75E1F" w:rsidRPr="00D852C0">
        <w:t xml:space="preserve">. No country shows any clear sign of boycotting activity increasing over time. There are also some considerable differences between waves. In the 1994-1999 wave, 43.5% of Mexicans had or considered boycotting, </w:t>
      </w:r>
      <w:r w:rsidR="00E75E1F">
        <w:t>but this</w:t>
      </w:r>
      <w:r w:rsidR="00E75E1F" w:rsidRPr="00D852C0">
        <w:t xml:space="preserve"> fell to 19.7% in the following wave.</w:t>
      </w:r>
    </w:p>
    <w:p w14:paraId="462CCBC7" w14:textId="33047B87" w:rsidR="000674E6" w:rsidRPr="00D852C0" w:rsidRDefault="00EB7353" w:rsidP="00E75E1F">
      <w:r w:rsidRPr="00D852C0">
        <w:t xml:space="preserve">In Egypt in the 1999-2004 wave, 66.9% supported boycotting, a not impossible </w:t>
      </w:r>
      <w:r>
        <w:t xml:space="preserve">but </w:t>
      </w:r>
      <w:r w:rsidRPr="00D852C0">
        <w:t xml:space="preserve">high amount, comparable to India in the previous wave. However, in 2005-2008 this drops spectacularly to only 8.8% and then further to 7.3% </w:t>
      </w:r>
      <w:r>
        <w:t xml:space="preserve">in </w:t>
      </w:r>
      <w:r w:rsidRPr="00D852C0">
        <w:t xml:space="preserve">the </w:t>
      </w:r>
      <w:r>
        <w:t xml:space="preserve">following </w:t>
      </w:r>
      <w:r w:rsidRPr="00D852C0">
        <w:t>wave.  The considerable drop for the final wave might be expected, as the survey took place in early 2012, just over a year after the</w:t>
      </w:r>
      <w:r>
        <w:t xml:space="preserve"> Arab Spring</w:t>
      </w:r>
      <w:r w:rsidRPr="00D852C0">
        <w:t xml:space="preserve"> uprisings</w:t>
      </w:r>
      <w:r>
        <w:t xml:space="preserve"> which resulted in the fall of the Mubarak regime</w:t>
      </w:r>
      <w:r w:rsidRPr="00D852C0">
        <w:t xml:space="preserve"> and in an unstable environment in which, for many reasons, people may be less inclined to admit to undertaking such political activities. However, the survey for the wave before this took place in early 2008, almost three years before th</w:t>
      </w:r>
      <w:r>
        <w:t>e uprisings. As can be seen in F</w:t>
      </w:r>
      <w:r w:rsidRPr="00D852C0">
        <w:t>igures 6.4 and 6.5, the drop occurred in the other activities in Egypt, but less dramatically and from a lower starting point. What might explain this boycott result is the huge rise in food prices in Egypt following the</w:t>
      </w:r>
      <w:r>
        <w:t xml:space="preserve"> 2008 </w:t>
      </w:r>
      <w:r w:rsidRPr="00D852C0">
        <w:t>financial crisis. Indeed, the cost of bread led to riots in 2008, a month after the survey was completed</w:t>
      </w:r>
      <w:r>
        <w:t xml:space="preserve"> </w:t>
      </w:r>
      <w:r>
        <w:fldChar w:fldCharType="begin" w:fldLock="1"/>
      </w:r>
      <w:r>
        <w:instrText>ADDIN CSL_CITATION { "citationItems" : [ { "id" : "ITEM-1", "itemData" : { "container-title" : "The Telegraph", "id" : "ITEM-1", "issued" : { "date-parts" : [ [ "2008", "4" ] ] }, "title" : "Egyptians riot over bread crisis", "type" : "article-newspaper" }, "uris" : [ "http://www.mendeley.com/documents/?uuid=a84bb77a-4cd2-4e56-80b6-97806d2dc1e1" ] } ], "mendeley" : { "formattedCitation" : "(&lt;i&gt;The Telegraph&lt;/i&gt;, 2008)", "manualFormatting" : "(Anon, The Telegraph, April 8, 2008)", "plainTextFormattedCitation" : "(The Telegraph, 2008)", "previouslyFormattedCitation" : "(&lt;i&gt;The Telegraph&lt;/i&gt;, 2008)" }, "properties" : { "noteIndex" : 0 }, "schema" : "https://github.com/citation-style-language/schema/raw/master/csl-citation.json" }</w:instrText>
      </w:r>
      <w:r>
        <w:fldChar w:fldCharType="separate"/>
      </w:r>
      <w:r w:rsidRPr="00F05AE9">
        <w:rPr>
          <w:noProof/>
        </w:rPr>
        <w:t>(Anon</w:t>
      </w:r>
      <w:r>
        <w:rPr>
          <w:noProof/>
        </w:rPr>
        <w:t xml:space="preserve">, </w:t>
      </w:r>
      <w:r>
        <w:rPr>
          <w:i/>
          <w:noProof/>
        </w:rPr>
        <w:t>The Telegraph</w:t>
      </w:r>
      <w:r>
        <w:rPr>
          <w:noProof/>
        </w:rPr>
        <w:t>, April 8,</w:t>
      </w:r>
      <w:r w:rsidRPr="00F05AE9">
        <w:rPr>
          <w:noProof/>
        </w:rPr>
        <w:t xml:space="preserve"> 2008)</w:t>
      </w:r>
      <w:r>
        <w:fldChar w:fldCharType="end"/>
      </w:r>
      <w:r w:rsidRPr="00D852C0">
        <w:t>. Indeed, in such a time of hardship, it is arguable that boycotting products on moral grounds was not something pe</w:t>
      </w:r>
      <w:r>
        <w:t>ople were actively considering.</w:t>
      </w:r>
    </w:p>
    <w:p w14:paraId="7E76C8BA" w14:textId="66AA7981" w:rsidR="00D66210" w:rsidRPr="00717D00" w:rsidRDefault="00D66210" w:rsidP="00D66210">
      <w:pPr>
        <w:pStyle w:val="Caption"/>
        <w:rPr>
          <w:rFonts w:ascii="Segoe UI" w:hAnsi="Segoe UI" w:cs="Segoe UI"/>
          <w:b w:val="0"/>
          <w:i w:val="0"/>
        </w:rPr>
      </w:pPr>
      <w:bookmarkStart w:id="383" w:name="_Toc494687192"/>
      <w:r w:rsidRPr="00717D00">
        <w:rPr>
          <w:rFonts w:ascii="Segoe UI" w:hAnsi="Segoe UI" w:cs="Segoe UI"/>
          <w:i w:val="0"/>
        </w:rPr>
        <w:t xml:space="preserve">Figure </w:t>
      </w:r>
      <w:r w:rsidR="00C96822" w:rsidRPr="00717D00">
        <w:rPr>
          <w:rFonts w:ascii="Segoe UI" w:hAnsi="Segoe UI" w:cs="Segoe UI"/>
          <w:i w:val="0"/>
        </w:rPr>
        <w:fldChar w:fldCharType="begin"/>
      </w:r>
      <w:r w:rsidR="00C96822" w:rsidRPr="00717D00">
        <w:rPr>
          <w:rFonts w:ascii="Segoe UI" w:hAnsi="Segoe UI" w:cs="Segoe UI"/>
          <w:i w:val="0"/>
        </w:rPr>
        <w:instrText xml:space="preserve"> STYLEREF 1 \s </w:instrText>
      </w:r>
      <w:r w:rsidR="00C96822" w:rsidRPr="00717D00">
        <w:rPr>
          <w:rFonts w:ascii="Segoe UI" w:hAnsi="Segoe UI" w:cs="Segoe UI"/>
          <w:i w:val="0"/>
        </w:rPr>
        <w:fldChar w:fldCharType="separate"/>
      </w:r>
      <w:r w:rsidR="00306E67" w:rsidRPr="00717D00">
        <w:rPr>
          <w:rFonts w:ascii="Segoe UI" w:hAnsi="Segoe UI" w:cs="Segoe UI"/>
          <w:i w:val="0"/>
          <w:noProof/>
        </w:rPr>
        <w:t>6</w:t>
      </w:r>
      <w:r w:rsidR="00C96822" w:rsidRPr="00717D00">
        <w:rPr>
          <w:rFonts w:ascii="Segoe UI" w:hAnsi="Segoe UI" w:cs="Segoe UI"/>
          <w:i w:val="0"/>
          <w:noProof/>
        </w:rPr>
        <w:fldChar w:fldCharType="end"/>
      </w:r>
      <w:r w:rsidR="00D9151E" w:rsidRPr="00717D00">
        <w:rPr>
          <w:rFonts w:ascii="Segoe UI" w:hAnsi="Segoe UI" w:cs="Segoe UI"/>
          <w:i w:val="0"/>
        </w:rPr>
        <w:t>:</w:t>
      </w:r>
      <w:r w:rsidR="00C96822" w:rsidRPr="00717D00">
        <w:rPr>
          <w:rFonts w:ascii="Segoe UI" w:hAnsi="Segoe UI" w:cs="Segoe UI"/>
          <w:i w:val="0"/>
        </w:rPr>
        <w:fldChar w:fldCharType="begin"/>
      </w:r>
      <w:r w:rsidR="00C96822" w:rsidRPr="00717D00">
        <w:rPr>
          <w:rFonts w:ascii="Segoe UI" w:hAnsi="Segoe UI" w:cs="Segoe UI"/>
          <w:i w:val="0"/>
        </w:rPr>
        <w:instrText xml:space="preserve"> SEQ Figure \* ARABIC \s 1 </w:instrText>
      </w:r>
      <w:r w:rsidR="00C96822" w:rsidRPr="00717D00">
        <w:rPr>
          <w:rFonts w:ascii="Segoe UI" w:hAnsi="Segoe UI" w:cs="Segoe UI"/>
          <w:i w:val="0"/>
        </w:rPr>
        <w:fldChar w:fldCharType="separate"/>
      </w:r>
      <w:r w:rsidR="00EB7353" w:rsidRPr="00717D00">
        <w:rPr>
          <w:rFonts w:ascii="Segoe UI" w:hAnsi="Segoe UI" w:cs="Segoe UI"/>
          <w:i w:val="0"/>
          <w:noProof/>
        </w:rPr>
        <w:t>5</w:t>
      </w:r>
      <w:r w:rsidR="00C96822" w:rsidRPr="00717D00">
        <w:rPr>
          <w:rFonts w:ascii="Segoe UI" w:hAnsi="Segoe UI" w:cs="Segoe UI"/>
          <w:i w:val="0"/>
          <w:noProof/>
        </w:rPr>
        <w:fldChar w:fldCharType="end"/>
      </w:r>
      <w:r w:rsidRPr="00717D00">
        <w:rPr>
          <w:rFonts w:ascii="Segoe UI" w:hAnsi="Segoe UI" w:cs="Segoe UI"/>
          <w:i w:val="0"/>
        </w:rPr>
        <w:t xml:space="preserve"> Have/Might boycott (%) by country and wave</w:t>
      </w:r>
      <w:bookmarkEnd w:id="383"/>
    </w:p>
    <w:tbl>
      <w:tblPr>
        <w:tblW w:w="0" w:type="auto"/>
        <w:tblLook w:val="04A0" w:firstRow="1" w:lastRow="0" w:firstColumn="1" w:lastColumn="0" w:noHBand="0" w:noVBand="1"/>
      </w:tblPr>
      <w:tblGrid>
        <w:gridCol w:w="1447"/>
        <w:gridCol w:w="1203"/>
        <w:gridCol w:w="1203"/>
        <w:gridCol w:w="1204"/>
        <w:gridCol w:w="1204"/>
        <w:gridCol w:w="1204"/>
        <w:gridCol w:w="1204"/>
      </w:tblGrid>
      <w:tr w:rsidR="00D66210" w:rsidRPr="000324CE" w14:paraId="5523CA25" w14:textId="77777777" w:rsidTr="005800A8">
        <w:trPr>
          <w:trHeight w:val="300"/>
        </w:trPr>
        <w:tc>
          <w:tcPr>
            <w:tcW w:w="0" w:type="auto"/>
            <w:shd w:val="clear" w:color="auto" w:fill="auto"/>
            <w:noWrap/>
          </w:tcPr>
          <w:p w14:paraId="2DFF89DF" w14:textId="77777777" w:rsidR="00D66210" w:rsidRPr="000324CE" w:rsidRDefault="00D66210" w:rsidP="000324CE">
            <w:pPr>
              <w:pStyle w:val="NoSpacing"/>
              <w:spacing w:before="0"/>
              <w:rPr>
                <w:color w:val="000000" w:themeColor="text1"/>
                <w:sz w:val="20"/>
                <w:szCs w:val="20"/>
                <w:lang w:eastAsia="en-GB"/>
              </w:rPr>
            </w:pPr>
          </w:p>
        </w:tc>
        <w:tc>
          <w:tcPr>
            <w:tcW w:w="0" w:type="auto"/>
            <w:gridSpan w:val="6"/>
            <w:tcBorders>
              <w:bottom w:val="single" w:sz="4" w:space="0" w:color="auto"/>
            </w:tcBorders>
            <w:shd w:val="clear" w:color="auto" w:fill="auto"/>
            <w:noWrap/>
          </w:tcPr>
          <w:p w14:paraId="3F59050E" w14:textId="77777777" w:rsidR="00D66210" w:rsidRPr="000324CE" w:rsidRDefault="00D66210" w:rsidP="000324CE">
            <w:pPr>
              <w:pStyle w:val="NoSpacing"/>
              <w:spacing w:before="0"/>
              <w:jc w:val="center"/>
              <w:rPr>
                <w:color w:val="000000" w:themeColor="text1"/>
                <w:sz w:val="20"/>
                <w:szCs w:val="20"/>
                <w:lang w:eastAsia="en-GB"/>
              </w:rPr>
            </w:pPr>
            <w:r w:rsidRPr="000324CE">
              <w:rPr>
                <w:color w:val="000000" w:themeColor="text1"/>
                <w:sz w:val="20"/>
                <w:szCs w:val="20"/>
                <w:lang w:eastAsia="en-GB"/>
              </w:rPr>
              <w:t>Have/Might Do: Boycott (%)</w:t>
            </w:r>
          </w:p>
        </w:tc>
      </w:tr>
      <w:tr w:rsidR="00D66210" w:rsidRPr="000324CE" w14:paraId="5D5C75B2" w14:textId="77777777" w:rsidTr="005800A8">
        <w:trPr>
          <w:trHeight w:val="300"/>
        </w:trPr>
        <w:tc>
          <w:tcPr>
            <w:tcW w:w="0" w:type="auto"/>
            <w:tcBorders>
              <w:bottom w:val="single" w:sz="4" w:space="0" w:color="auto"/>
            </w:tcBorders>
            <w:noWrap/>
            <w:hideMark/>
          </w:tcPr>
          <w:p w14:paraId="590EC209" w14:textId="77777777" w:rsidR="00D66210" w:rsidRPr="000324CE" w:rsidRDefault="00D66210" w:rsidP="000324CE">
            <w:pPr>
              <w:pStyle w:val="NoSpacing"/>
              <w:spacing w:before="0"/>
              <w:rPr>
                <w:sz w:val="20"/>
                <w:szCs w:val="20"/>
                <w:lang w:eastAsia="en-GB"/>
              </w:rPr>
            </w:pPr>
          </w:p>
        </w:tc>
        <w:tc>
          <w:tcPr>
            <w:tcW w:w="0" w:type="auto"/>
            <w:tcBorders>
              <w:top w:val="single" w:sz="4" w:space="0" w:color="auto"/>
              <w:bottom w:val="single" w:sz="4" w:space="0" w:color="auto"/>
            </w:tcBorders>
            <w:noWrap/>
            <w:hideMark/>
          </w:tcPr>
          <w:p w14:paraId="2636AFE2"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1981-1984</w:t>
            </w:r>
          </w:p>
        </w:tc>
        <w:tc>
          <w:tcPr>
            <w:tcW w:w="0" w:type="auto"/>
            <w:tcBorders>
              <w:top w:val="single" w:sz="4" w:space="0" w:color="auto"/>
              <w:bottom w:val="single" w:sz="4" w:space="0" w:color="auto"/>
            </w:tcBorders>
            <w:noWrap/>
            <w:hideMark/>
          </w:tcPr>
          <w:p w14:paraId="1B063810"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1990-1994</w:t>
            </w:r>
          </w:p>
        </w:tc>
        <w:tc>
          <w:tcPr>
            <w:tcW w:w="0" w:type="auto"/>
            <w:tcBorders>
              <w:top w:val="single" w:sz="4" w:space="0" w:color="auto"/>
              <w:bottom w:val="single" w:sz="4" w:space="0" w:color="auto"/>
            </w:tcBorders>
            <w:noWrap/>
            <w:hideMark/>
          </w:tcPr>
          <w:p w14:paraId="58A171D0"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1994-1999</w:t>
            </w:r>
          </w:p>
        </w:tc>
        <w:tc>
          <w:tcPr>
            <w:tcW w:w="0" w:type="auto"/>
            <w:tcBorders>
              <w:top w:val="single" w:sz="4" w:space="0" w:color="auto"/>
              <w:bottom w:val="single" w:sz="4" w:space="0" w:color="auto"/>
            </w:tcBorders>
            <w:noWrap/>
            <w:hideMark/>
          </w:tcPr>
          <w:p w14:paraId="449814A6"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1999-2004</w:t>
            </w:r>
          </w:p>
        </w:tc>
        <w:tc>
          <w:tcPr>
            <w:tcW w:w="0" w:type="auto"/>
            <w:tcBorders>
              <w:top w:val="single" w:sz="4" w:space="0" w:color="auto"/>
              <w:bottom w:val="single" w:sz="4" w:space="0" w:color="auto"/>
            </w:tcBorders>
            <w:noWrap/>
            <w:hideMark/>
          </w:tcPr>
          <w:p w14:paraId="195D0736"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2005-2008</w:t>
            </w:r>
          </w:p>
        </w:tc>
        <w:tc>
          <w:tcPr>
            <w:tcW w:w="0" w:type="auto"/>
            <w:tcBorders>
              <w:top w:val="single" w:sz="4" w:space="0" w:color="auto"/>
              <w:bottom w:val="single" w:sz="4" w:space="0" w:color="auto"/>
            </w:tcBorders>
            <w:noWrap/>
            <w:hideMark/>
          </w:tcPr>
          <w:p w14:paraId="20EA7378"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2010-2014</w:t>
            </w:r>
          </w:p>
        </w:tc>
      </w:tr>
      <w:tr w:rsidR="00D66210" w:rsidRPr="000324CE" w14:paraId="6941B8C1" w14:textId="77777777" w:rsidTr="005800A8">
        <w:trPr>
          <w:trHeight w:val="300"/>
        </w:trPr>
        <w:tc>
          <w:tcPr>
            <w:tcW w:w="0" w:type="auto"/>
            <w:tcBorders>
              <w:top w:val="single" w:sz="4" w:space="0" w:color="auto"/>
            </w:tcBorders>
            <w:noWrap/>
            <w:hideMark/>
          </w:tcPr>
          <w:p w14:paraId="3F1C02DC" w14:textId="77777777" w:rsidR="00D66210" w:rsidRPr="000324CE" w:rsidRDefault="00D66210" w:rsidP="000324CE">
            <w:pPr>
              <w:pStyle w:val="NoSpacing"/>
              <w:spacing w:before="0"/>
              <w:rPr>
                <w:i/>
                <w:sz w:val="20"/>
                <w:szCs w:val="20"/>
                <w:lang w:eastAsia="en-GB"/>
              </w:rPr>
            </w:pPr>
            <w:r w:rsidRPr="000324CE">
              <w:rPr>
                <w:i/>
                <w:sz w:val="20"/>
                <w:szCs w:val="20"/>
                <w:lang w:eastAsia="en-GB"/>
              </w:rPr>
              <w:t>Argentina</w:t>
            </w:r>
          </w:p>
        </w:tc>
        <w:tc>
          <w:tcPr>
            <w:tcW w:w="0" w:type="auto"/>
            <w:tcBorders>
              <w:top w:val="single" w:sz="4" w:space="0" w:color="auto"/>
            </w:tcBorders>
            <w:noWrap/>
            <w:hideMark/>
          </w:tcPr>
          <w:p w14:paraId="30A6798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22.7</w:t>
            </w:r>
          </w:p>
        </w:tc>
        <w:tc>
          <w:tcPr>
            <w:tcW w:w="0" w:type="auto"/>
            <w:tcBorders>
              <w:top w:val="single" w:sz="4" w:space="0" w:color="auto"/>
            </w:tcBorders>
            <w:noWrap/>
            <w:hideMark/>
          </w:tcPr>
          <w:p w14:paraId="7D9208E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12.6</w:t>
            </w:r>
          </w:p>
        </w:tc>
        <w:tc>
          <w:tcPr>
            <w:tcW w:w="0" w:type="auto"/>
            <w:tcBorders>
              <w:top w:val="single" w:sz="4" w:space="0" w:color="auto"/>
            </w:tcBorders>
            <w:noWrap/>
            <w:hideMark/>
          </w:tcPr>
          <w:p w14:paraId="666DBC8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12.6</w:t>
            </w:r>
          </w:p>
        </w:tc>
        <w:tc>
          <w:tcPr>
            <w:tcW w:w="0" w:type="auto"/>
            <w:tcBorders>
              <w:top w:val="single" w:sz="4" w:space="0" w:color="auto"/>
            </w:tcBorders>
            <w:noWrap/>
            <w:hideMark/>
          </w:tcPr>
          <w:p w14:paraId="1AE72D2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9.2</w:t>
            </w:r>
          </w:p>
        </w:tc>
        <w:tc>
          <w:tcPr>
            <w:tcW w:w="0" w:type="auto"/>
            <w:tcBorders>
              <w:top w:val="single" w:sz="4" w:space="0" w:color="auto"/>
            </w:tcBorders>
            <w:noWrap/>
            <w:hideMark/>
          </w:tcPr>
          <w:p w14:paraId="31BB6F3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18.3</w:t>
            </w:r>
          </w:p>
        </w:tc>
        <w:tc>
          <w:tcPr>
            <w:tcW w:w="0" w:type="auto"/>
            <w:tcBorders>
              <w:top w:val="single" w:sz="4" w:space="0" w:color="auto"/>
            </w:tcBorders>
            <w:noWrap/>
            <w:hideMark/>
          </w:tcPr>
          <w:p w14:paraId="7EA70A4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5E66E0E3" w14:textId="77777777" w:rsidTr="005800A8">
        <w:trPr>
          <w:trHeight w:val="300"/>
        </w:trPr>
        <w:tc>
          <w:tcPr>
            <w:tcW w:w="0" w:type="auto"/>
            <w:noWrap/>
            <w:hideMark/>
          </w:tcPr>
          <w:p w14:paraId="1959AD17" w14:textId="77777777" w:rsidR="00D66210" w:rsidRPr="000324CE" w:rsidRDefault="00D66210" w:rsidP="000324CE">
            <w:pPr>
              <w:pStyle w:val="NoSpacing"/>
              <w:spacing w:before="0"/>
              <w:rPr>
                <w:i/>
                <w:sz w:val="20"/>
                <w:szCs w:val="20"/>
                <w:lang w:eastAsia="en-GB"/>
              </w:rPr>
            </w:pPr>
            <w:r w:rsidRPr="000324CE">
              <w:rPr>
                <w:i/>
                <w:sz w:val="20"/>
                <w:szCs w:val="20"/>
                <w:lang w:eastAsia="en-GB"/>
              </w:rPr>
              <w:t>Chile</w:t>
            </w:r>
          </w:p>
        </w:tc>
        <w:tc>
          <w:tcPr>
            <w:tcW w:w="0" w:type="auto"/>
            <w:noWrap/>
            <w:hideMark/>
          </w:tcPr>
          <w:p w14:paraId="2052113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076A435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15.4</w:t>
            </w:r>
          </w:p>
        </w:tc>
        <w:tc>
          <w:tcPr>
            <w:tcW w:w="0" w:type="auto"/>
            <w:noWrap/>
            <w:hideMark/>
          </w:tcPr>
          <w:p w14:paraId="12A73A5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15.1</w:t>
            </w:r>
          </w:p>
        </w:tc>
        <w:tc>
          <w:tcPr>
            <w:tcW w:w="0" w:type="auto"/>
            <w:noWrap/>
            <w:hideMark/>
          </w:tcPr>
          <w:p w14:paraId="34755F7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18.3</w:t>
            </w:r>
          </w:p>
        </w:tc>
        <w:tc>
          <w:tcPr>
            <w:tcW w:w="0" w:type="auto"/>
            <w:noWrap/>
            <w:hideMark/>
          </w:tcPr>
          <w:p w14:paraId="15DB2B0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14.1</w:t>
            </w:r>
          </w:p>
        </w:tc>
        <w:tc>
          <w:tcPr>
            <w:tcW w:w="0" w:type="auto"/>
            <w:noWrap/>
            <w:hideMark/>
          </w:tcPr>
          <w:p w14:paraId="140D544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20.8</w:t>
            </w:r>
          </w:p>
        </w:tc>
      </w:tr>
      <w:tr w:rsidR="00D66210" w:rsidRPr="000324CE" w14:paraId="4EF135BB" w14:textId="77777777" w:rsidTr="00292280">
        <w:trPr>
          <w:trHeight w:val="300"/>
        </w:trPr>
        <w:tc>
          <w:tcPr>
            <w:tcW w:w="0" w:type="auto"/>
            <w:noWrap/>
            <w:hideMark/>
          </w:tcPr>
          <w:p w14:paraId="2BCE4E0A" w14:textId="77777777" w:rsidR="00D66210" w:rsidRPr="000324CE" w:rsidRDefault="00D66210" w:rsidP="000324CE">
            <w:pPr>
              <w:pStyle w:val="NoSpacing"/>
              <w:spacing w:before="0"/>
              <w:rPr>
                <w:i/>
                <w:sz w:val="20"/>
                <w:szCs w:val="20"/>
                <w:lang w:eastAsia="en-GB"/>
              </w:rPr>
            </w:pPr>
            <w:r w:rsidRPr="000324CE">
              <w:rPr>
                <w:i/>
                <w:sz w:val="20"/>
                <w:szCs w:val="20"/>
                <w:lang w:eastAsia="en-GB"/>
              </w:rPr>
              <w:t>Egypt</w:t>
            </w:r>
          </w:p>
        </w:tc>
        <w:tc>
          <w:tcPr>
            <w:tcW w:w="0" w:type="auto"/>
            <w:noWrap/>
            <w:hideMark/>
          </w:tcPr>
          <w:p w14:paraId="2494ACD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76B7EB2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08C52DB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0F7739D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66.9</w:t>
            </w:r>
          </w:p>
        </w:tc>
        <w:tc>
          <w:tcPr>
            <w:tcW w:w="0" w:type="auto"/>
            <w:noWrap/>
            <w:hideMark/>
          </w:tcPr>
          <w:p w14:paraId="6BF3CD9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8.8</w:t>
            </w:r>
          </w:p>
        </w:tc>
        <w:tc>
          <w:tcPr>
            <w:tcW w:w="0" w:type="auto"/>
            <w:noWrap/>
            <w:hideMark/>
          </w:tcPr>
          <w:p w14:paraId="03221E4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7.3</w:t>
            </w:r>
          </w:p>
        </w:tc>
      </w:tr>
      <w:tr w:rsidR="00D66210" w:rsidRPr="000324CE" w14:paraId="1C038DD7" w14:textId="77777777" w:rsidTr="005800A8">
        <w:trPr>
          <w:trHeight w:val="300"/>
        </w:trPr>
        <w:tc>
          <w:tcPr>
            <w:tcW w:w="0" w:type="auto"/>
            <w:noWrap/>
            <w:hideMark/>
          </w:tcPr>
          <w:p w14:paraId="16A724E6" w14:textId="77777777" w:rsidR="00D66210" w:rsidRPr="000324CE" w:rsidRDefault="00D66210" w:rsidP="000324CE">
            <w:pPr>
              <w:pStyle w:val="NoSpacing"/>
              <w:spacing w:before="0"/>
              <w:rPr>
                <w:i/>
                <w:sz w:val="20"/>
                <w:szCs w:val="20"/>
                <w:lang w:eastAsia="en-GB"/>
              </w:rPr>
            </w:pPr>
            <w:r w:rsidRPr="000324CE">
              <w:rPr>
                <w:i/>
                <w:sz w:val="20"/>
                <w:szCs w:val="20"/>
                <w:lang w:eastAsia="en-GB"/>
              </w:rPr>
              <w:t>India</w:t>
            </w:r>
          </w:p>
        </w:tc>
        <w:tc>
          <w:tcPr>
            <w:tcW w:w="0" w:type="auto"/>
            <w:noWrap/>
            <w:hideMark/>
          </w:tcPr>
          <w:p w14:paraId="253F4D7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088CAE9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61.2</w:t>
            </w:r>
          </w:p>
        </w:tc>
        <w:tc>
          <w:tcPr>
            <w:tcW w:w="0" w:type="auto"/>
            <w:noWrap/>
            <w:hideMark/>
          </w:tcPr>
          <w:p w14:paraId="1813C70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65.8</w:t>
            </w:r>
          </w:p>
        </w:tc>
        <w:tc>
          <w:tcPr>
            <w:tcW w:w="0" w:type="auto"/>
            <w:noWrap/>
            <w:hideMark/>
          </w:tcPr>
          <w:p w14:paraId="49C82DE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40.5</w:t>
            </w:r>
          </w:p>
        </w:tc>
        <w:tc>
          <w:tcPr>
            <w:tcW w:w="0" w:type="auto"/>
            <w:noWrap/>
            <w:hideMark/>
          </w:tcPr>
          <w:p w14:paraId="1F955A7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44.5</w:t>
            </w:r>
          </w:p>
        </w:tc>
        <w:tc>
          <w:tcPr>
            <w:tcW w:w="0" w:type="auto"/>
            <w:noWrap/>
            <w:hideMark/>
          </w:tcPr>
          <w:p w14:paraId="3FBBA05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6458EB14" w14:textId="77777777" w:rsidTr="00292280">
        <w:trPr>
          <w:trHeight w:val="300"/>
        </w:trPr>
        <w:tc>
          <w:tcPr>
            <w:tcW w:w="0" w:type="auto"/>
            <w:noWrap/>
          </w:tcPr>
          <w:p w14:paraId="4F652F38" w14:textId="77777777" w:rsidR="00D66210" w:rsidRPr="000324CE" w:rsidRDefault="00D66210" w:rsidP="000324CE">
            <w:pPr>
              <w:pStyle w:val="NoSpacing"/>
              <w:spacing w:before="0"/>
              <w:rPr>
                <w:i/>
                <w:sz w:val="20"/>
                <w:szCs w:val="20"/>
                <w:lang w:eastAsia="en-GB"/>
              </w:rPr>
            </w:pPr>
            <w:r w:rsidRPr="000324CE">
              <w:rPr>
                <w:i/>
                <w:sz w:val="20"/>
                <w:szCs w:val="20"/>
                <w:lang w:eastAsia="en-GB"/>
              </w:rPr>
              <w:t>Japan</w:t>
            </w:r>
          </w:p>
        </w:tc>
        <w:tc>
          <w:tcPr>
            <w:tcW w:w="0" w:type="auto"/>
            <w:noWrap/>
          </w:tcPr>
          <w:p w14:paraId="77D1676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377A035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5EDED76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25F9759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72.6</w:t>
            </w:r>
          </w:p>
        </w:tc>
        <w:tc>
          <w:tcPr>
            <w:tcW w:w="0" w:type="auto"/>
            <w:noWrap/>
          </w:tcPr>
          <w:p w14:paraId="6E21C58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58.8</w:t>
            </w:r>
          </w:p>
        </w:tc>
        <w:tc>
          <w:tcPr>
            <w:tcW w:w="0" w:type="auto"/>
            <w:noWrap/>
          </w:tcPr>
          <w:p w14:paraId="20A490E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42.7</w:t>
            </w:r>
          </w:p>
        </w:tc>
      </w:tr>
      <w:tr w:rsidR="00D66210" w:rsidRPr="000324CE" w14:paraId="0D1F2365" w14:textId="77777777" w:rsidTr="005800A8">
        <w:trPr>
          <w:trHeight w:val="300"/>
        </w:trPr>
        <w:tc>
          <w:tcPr>
            <w:tcW w:w="0" w:type="auto"/>
            <w:noWrap/>
          </w:tcPr>
          <w:p w14:paraId="423F3854" w14:textId="77777777" w:rsidR="00D66210" w:rsidRPr="000324CE" w:rsidRDefault="00D66210" w:rsidP="000324CE">
            <w:pPr>
              <w:pStyle w:val="NoSpacing"/>
              <w:spacing w:before="0"/>
              <w:rPr>
                <w:i/>
                <w:sz w:val="20"/>
                <w:szCs w:val="20"/>
                <w:lang w:eastAsia="en-GB"/>
              </w:rPr>
            </w:pPr>
            <w:r w:rsidRPr="000324CE">
              <w:rPr>
                <w:i/>
                <w:sz w:val="20"/>
                <w:szCs w:val="20"/>
                <w:lang w:eastAsia="en-GB"/>
              </w:rPr>
              <w:t>Jordan</w:t>
            </w:r>
          </w:p>
        </w:tc>
        <w:tc>
          <w:tcPr>
            <w:tcW w:w="0" w:type="auto"/>
            <w:noWrap/>
          </w:tcPr>
          <w:p w14:paraId="0E60D51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33DBC6B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11645CB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52467FD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8.4</w:t>
            </w:r>
          </w:p>
        </w:tc>
        <w:tc>
          <w:tcPr>
            <w:tcW w:w="0" w:type="auto"/>
            <w:noWrap/>
          </w:tcPr>
          <w:p w14:paraId="75A382B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9.0</w:t>
            </w:r>
          </w:p>
        </w:tc>
        <w:tc>
          <w:tcPr>
            <w:tcW w:w="0" w:type="auto"/>
            <w:noWrap/>
          </w:tcPr>
          <w:p w14:paraId="1CDAB35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14.7</w:t>
            </w:r>
          </w:p>
        </w:tc>
      </w:tr>
      <w:tr w:rsidR="00D66210" w:rsidRPr="000324CE" w14:paraId="36BFB6BF" w14:textId="77777777" w:rsidTr="00292280">
        <w:trPr>
          <w:trHeight w:val="300"/>
        </w:trPr>
        <w:tc>
          <w:tcPr>
            <w:tcW w:w="0" w:type="auto"/>
            <w:noWrap/>
            <w:hideMark/>
          </w:tcPr>
          <w:p w14:paraId="7E9D86CB" w14:textId="77777777" w:rsidR="00D66210" w:rsidRPr="000324CE" w:rsidRDefault="00D66210" w:rsidP="000324CE">
            <w:pPr>
              <w:pStyle w:val="NoSpacing"/>
              <w:spacing w:before="0"/>
              <w:rPr>
                <w:i/>
                <w:sz w:val="20"/>
                <w:szCs w:val="20"/>
                <w:lang w:eastAsia="en-GB"/>
              </w:rPr>
            </w:pPr>
            <w:r w:rsidRPr="000324CE">
              <w:rPr>
                <w:i/>
                <w:sz w:val="20"/>
                <w:szCs w:val="20"/>
                <w:lang w:eastAsia="en-GB"/>
              </w:rPr>
              <w:t>Mexico</w:t>
            </w:r>
          </w:p>
        </w:tc>
        <w:tc>
          <w:tcPr>
            <w:tcW w:w="0" w:type="auto"/>
            <w:noWrap/>
            <w:hideMark/>
          </w:tcPr>
          <w:p w14:paraId="7C49274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19.3</w:t>
            </w:r>
          </w:p>
        </w:tc>
        <w:tc>
          <w:tcPr>
            <w:tcW w:w="0" w:type="auto"/>
            <w:noWrap/>
            <w:hideMark/>
          </w:tcPr>
          <w:p w14:paraId="1D74FA0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42.1</w:t>
            </w:r>
          </w:p>
        </w:tc>
        <w:tc>
          <w:tcPr>
            <w:tcW w:w="0" w:type="auto"/>
            <w:noWrap/>
            <w:hideMark/>
          </w:tcPr>
          <w:p w14:paraId="2BA7D42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43.5</w:t>
            </w:r>
          </w:p>
        </w:tc>
        <w:tc>
          <w:tcPr>
            <w:tcW w:w="0" w:type="auto"/>
            <w:noWrap/>
            <w:hideMark/>
          </w:tcPr>
          <w:p w14:paraId="6082A33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19.7</w:t>
            </w:r>
          </w:p>
        </w:tc>
        <w:tc>
          <w:tcPr>
            <w:tcW w:w="0" w:type="auto"/>
            <w:noWrap/>
            <w:hideMark/>
          </w:tcPr>
          <w:p w14:paraId="0EBBBCD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17.8</w:t>
            </w:r>
          </w:p>
        </w:tc>
        <w:tc>
          <w:tcPr>
            <w:tcW w:w="0" w:type="auto"/>
            <w:noWrap/>
            <w:hideMark/>
          </w:tcPr>
          <w:p w14:paraId="53491BE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18</w:t>
            </w:r>
          </w:p>
        </w:tc>
      </w:tr>
      <w:tr w:rsidR="00D66210" w:rsidRPr="000324CE" w14:paraId="5B69347C" w14:textId="77777777" w:rsidTr="005800A8">
        <w:trPr>
          <w:trHeight w:val="300"/>
        </w:trPr>
        <w:tc>
          <w:tcPr>
            <w:tcW w:w="0" w:type="auto"/>
            <w:noWrap/>
            <w:hideMark/>
          </w:tcPr>
          <w:p w14:paraId="73D28AB6" w14:textId="77777777" w:rsidR="00D66210" w:rsidRPr="000324CE" w:rsidRDefault="00D66210" w:rsidP="000324CE">
            <w:pPr>
              <w:pStyle w:val="NoSpacing"/>
              <w:spacing w:before="0"/>
              <w:rPr>
                <w:i/>
                <w:sz w:val="20"/>
                <w:szCs w:val="20"/>
                <w:lang w:eastAsia="en-GB"/>
              </w:rPr>
            </w:pPr>
            <w:r w:rsidRPr="000324CE">
              <w:rPr>
                <w:i/>
                <w:sz w:val="20"/>
                <w:szCs w:val="20"/>
                <w:lang w:eastAsia="en-GB"/>
              </w:rPr>
              <w:t>Moldova</w:t>
            </w:r>
          </w:p>
        </w:tc>
        <w:tc>
          <w:tcPr>
            <w:tcW w:w="0" w:type="auto"/>
            <w:noWrap/>
            <w:hideMark/>
          </w:tcPr>
          <w:p w14:paraId="6F20535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462A07B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55780DD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15.4</w:t>
            </w:r>
          </w:p>
        </w:tc>
        <w:tc>
          <w:tcPr>
            <w:tcW w:w="0" w:type="auto"/>
            <w:noWrap/>
            <w:hideMark/>
          </w:tcPr>
          <w:p w14:paraId="79B6E62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17.0</w:t>
            </w:r>
          </w:p>
        </w:tc>
        <w:tc>
          <w:tcPr>
            <w:tcW w:w="0" w:type="auto"/>
            <w:noWrap/>
            <w:hideMark/>
          </w:tcPr>
          <w:p w14:paraId="78A9A26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25.7</w:t>
            </w:r>
          </w:p>
        </w:tc>
        <w:tc>
          <w:tcPr>
            <w:tcW w:w="0" w:type="auto"/>
            <w:noWrap/>
            <w:hideMark/>
          </w:tcPr>
          <w:p w14:paraId="15B1A73B" w14:textId="75778158" w:rsidR="00D66210" w:rsidRPr="000324CE" w:rsidRDefault="00B259E7" w:rsidP="00B259E7">
            <w:pPr>
              <w:pStyle w:val="NoSpacing"/>
              <w:spacing w:before="0"/>
              <w:jc w:val="center"/>
              <w:rPr>
                <w:sz w:val="20"/>
                <w:szCs w:val="20"/>
                <w:lang w:eastAsia="en-GB"/>
              </w:rPr>
            </w:pPr>
            <w:r>
              <w:rPr>
                <w:sz w:val="20"/>
                <w:szCs w:val="20"/>
                <w:lang w:eastAsia="en-GB"/>
              </w:rPr>
              <w:t>-</w:t>
            </w:r>
          </w:p>
        </w:tc>
      </w:tr>
      <w:tr w:rsidR="00D66210" w:rsidRPr="000324CE" w14:paraId="56CE35CD" w14:textId="77777777" w:rsidTr="00292280">
        <w:trPr>
          <w:trHeight w:val="300"/>
        </w:trPr>
        <w:tc>
          <w:tcPr>
            <w:tcW w:w="0" w:type="auto"/>
            <w:noWrap/>
            <w:hideMark/>
          </w:tcPr>
          <w:p w14:paraId="6E0F5FC5" w14:textId="77777777" w:rsidR="00D66210" w:rsidRPr="000324CE" w:rsidRDefault="00D66210" w:rsidP="000324CE">
            <w:pPr>
              <w:pStyle w:val="NoSpacing"/>
              <w:spacing w:before="0"/>
              <w:rPr>
                <w:i/>
                <w:sz w:val="20"/>
                <w:szCs w:val="20"/>
                <w:lang w:eastAsia="en-GB"/>
              </w:rPr>
            </w:pPr>
            <w:r w:rsidRPr="000324CE">
              <w:rPr>
                <w:i/>
                <w:sz w:val="20"/>
                <w:szCs w:val="20"/>
                <w:lang w:eastAsia="en-GB"/>
              </w:rPr>
              <w:t>Morocco</w:t>
            </w:r>
          </w:p>
        </w:tc>
        <w:tc>
          <w:tcPr>
            <w:tcW w:w="0" w:type="auto"/>
            <w:noWrap/>
            <w:hideMark/>
          </w:tcPr>
          <w:p w14:paraId="5EDA09E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6DBA5D4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19A14E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F21027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32.8</w:t>
            </w:r>
          </w:p>
        </w:tc>
        <w:tc>
          <w:tcPr>
            <w:tcW w:w="0" w:type="auto"/>
            <w:noWrap/>
            <w:hideMark/>
          </w:tcPr>
          <w:p w14:paraId="2069591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41.9</w:t>
            </w:r>
          </w:p>
        </w:tc>
        <w:tc>
          <w:tcPr>
            <w:tcW w:w="0" w:type="auto"/>
            <w:noWrap/>
            <w:hideMark/>
          </w:tcPr>
          <w:p w14:paraId="048AAAF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13.3</w:t>
            </w:r>
          </w:p>
        </w:tc>
      </w:tr>
      <w:tr w:rsidR="00D66210" w:rsidRPr="000324CE" w14:paraId="7B5517F6" w14:textId="77777777" w:rsidTr="005800A8">
        <w:trPr>
          <w:trHeight w:val="300"/>
        </w:trPr>
        <w:tc>
          <w:tcPr>
            <w:tcW w:w="0" w:type="auto"/>
            <w:noWrap/>
            <w:hideMark/>
          </w:tcPr>
          <w:p w14:paraId="3FF2D26A" w14:textId="77777777" w:rsidR="00D66210" w:rsidRPr="000324CE" w:rsidRDefault="00D66210" w:rsidP="000324CE">
            <w:pPr>
              <w:pStyle w:val="NoSpacing"/>
              <w:spacing w:before="0"/>
              <w:rPr>
                <w:i/>
                <w:sz w:val="20"/>
                <w:szCs w:val="20"/>
                <w:lang w:eastAsia="en-GB"/>
              </w:rPr>
            </w:pPr>
            <w:r w:rsidRPr="000324CE">
              <w:rPr>
                <w:i/>
                <w:sz w:val="20"/>
                <w:szCs w:val="20"/>
                <w:lang w:eastAsia="en-GB"/>
              </w:rPr>
              <w:t>Peru</w:t>
            </w:r>
          </w:p>
        </w:tc>
        <w:tc>
          <w:tcPr>
            <w:tcW w:w="0" w:type="auto"/>
            <w:noWrap/>
            <w:hideMark/>
          </w:tcPr>
          <w:p w14:paraId="617EF74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5EE18FF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0E5E19B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16.7</w:t>
            </w:r>
          </w:p>
        </w:tc>
        <w:tc>
          <w:tcPr>
            <w:tcW w:w="0" w:type="auto"/>
            <w:noWrap/>
            <w:hideMark/>
          </w:tcPr>
          <w:p w14:paraId="4B0DEA9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49.2</w:t>
            </w:r>
          </w:p>
        </w:tc>
        <w:tc>
          <w:tcPr>
            <w:tcW w:w="0" w:type="auto"/>
            <w:noWrap/>
            <w:hideMark/>
          </w:tcPr>
          <w:p w14:paraId="6FED333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30.3</w:t>
            </w:r>
          </w:p>
        </w:tc>
        <w:tc>
          <w:tcPr>
            <w:tcW w:w="0" w:type="auto"/>
            <w:noWrap/>
            <w:hideMark/>
          </w:tcPr>
          <w:p w14:paraId="79D1A93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20.9</w:t>
            </w:r>
          </w:p>
        </w:tc>
      </w:tr>
      <w:tr w:rsidR="00D66210" w:rsidRPr="000324CE" w14:paraId="228D71E9" w14:textId="77777777" w:rsidTr="00292280">
        <w:trPr>
          <w:trHeight w:val="300"/>
        </w:trPr>
        <w:tc>
          <w:tcPr>
            <w:tcW w:w="0" w:type="auto"/>
            <w:noWrap/>
            <w:hideMark/>
          </w:tcPr>
          <w:p w14:paraId="0A85441D" w14:textId="77777777" w:rsidR="00D66210" w:rsidRPr="000324CE" w:rsidRDefault="00D66210" w:rsidP="000324CE">
            <w:pPr>
              <w:pStyle w:val="NoSpacing"/>
              <w:spacing w:before="0"/>
              <w:rPr>
                <w:i/>
                <w:sz w:val="20"/>
                <w:szCs w:val="20"/>
                <w:lang w:eastAsia="en-GB"/>
              </w:rPr>
            </w:pPr>
            <w:r w:rsidRPr="000324CE">
              <w:rPr>
                <w:i/>
                <w:sz w:val="20"/>
                <w:szCs w:val="20"/>
                <w:lang w:eastAsia="en-GB"/>
              </w:rPr>
              <w:t>Serbia</w:t>
            </w:r>
          </w:p>
        </w:tc>
        <w:tc>
          <w:tcPr>
            <w:tcW w:w="0" w:type="auto"/>
          </w:tcPr>
          <w:p w14:paraId="3592B6DF" w14:textId="77777777" w:rsidR="00D66210" w:rsidRPr="000324CE" w:rsidRDefault="00D66210" w:rsidP="000324CE">
            <w:pPr>
              <w:pStyle w:val="NoSpacing"/>
              <w:spacing w:before="0"/>
              <w:jc w:val="center"/>
              <w:rPr>
                <w:i/>
                <w:sz w:val="20"/>
                <w:szCs w:val="20"/>
                <w:lang w:eastAsia="en-GB"/>
              </w:rPr>
            </w:pPr>
            <w:r w:rsidRPr="000324CE">
              <w:rPr>
                <w:i/>
                <w:sz w:val="20"/>
                <w:szCs w:val="20"/>
                <w:lang w:eastAsia="en-GB"/>
              </w:rPr>
              <w:t>-</w:t>
            </w:r>
          </w:p>
        </w:tc>
        <w:tc>
          <w:tcPr>
            <w:tcW w:w="0" w:type="auto"/>
          </w:tcPr>
          <w:p w14:paraId="587E548A" w14:textId="77777777" w:rsidR="00D66210" w:rsidRPr="000324CE" w:rsidRDefault="00D66210" w:rsidP="000324CE">
            <w:pPr>
              <w:pStyle w:val="NoSpacing"/>
              <w:spacing w:before="0"/>
              <w:jc w:val="center"/>
              <w:rPr>
                <w:i/>
                <w:sz w:val="20"/>
                <w:szCs w:val="20"/>
                <w:lang w:eastAsia="en-GB"/>
              </w:rPr>
            </w:pPr>
            <w:r w:rsidRPr="000324CE">
              <w:rPr>
                <w:i/>
                <w:sz w:val="20"/>
                <w:szCs w:val="20"/>
                <w:lang w:eastAsia="en-GB"/>
              </w:rPr>
              <w:t>-</w:t>
            </w:r>
          </w:p>
        </w:tc>
        <w:tc>
          <w:tcPr>
            <w:tcW w:w="0" w:type="auto"/>
            <w:noWrap/>
            <w:hideMark/>
          </w:tcPr>
          <w:p w14:paraId="017E0F9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41.3</w:t>
            </w:r>
          </w:p>
        </w:tc>
        <w:tc>
          <w:tcPr>
            <w:tcW w:w="0" w:type="auto"/>
            <w:noWrap/>
            <w:hideMark/>
          </w:tcPr>
          <w:p w14:paraId="5C281AE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51.7</w:t>
            </w:r>
          </w:p>
        </w:tc>
        <w:tc>
          <w:tcPr>
            <w:tcW w:w="0" w:type="auto"/>
            <w:noWrap/>
            <w:hideMark/>
          </w:tcPr>
          <w:p w14:paraId="099DA32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54.4</w:t>
            </w:r>
          </w:p>
        </w:tc>
        <w:tc>
          <w:tcPr>
            <w:tcW w:w="0" w:type="auto"/>
            <w:noWrap/>
            <w:hideMark/>
          </w:tcPr>
          <w:p w14:paraId="7F8814A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044D6695" w14:textId="77777777" w:rsidTr="005800A8">
        <w:trPr>
          <w:trHeight w:val="300"/>
        </w:trPr>
        <w:tc>
          <w:tcPr>
            <w:tcW w:w="0" w:type="auto"/>
            <w:noWrap/>
            <w:hideMark/>
          </w:tcPr>
          <w:p w14:paraId="2757BB4E" w14:textId="77777777" w:rsidR="00D66210" w:rsidRPr="000324CE" w:rsidRDefault="00D66210" w:rsidP="000324CE">
            <w:pPr>
              <w:pStyle w:val="NoSpacing"/>
              <w:spacing w:before="0"/>
              <w:rPr>
                <w:i/>
                <w:sz w:val="20"/>
                <w:szCs w:val="20"/>
                <w:lang w:eastAsia="en-GB"/>
              </w:rPr>
            </w:pPr>
            <w:r w:rsidRPr="000324CE">
              <w:rPr>
                <w:i/>
                <w:sz w:val="20"/>
                <w:szCs w:val="20"/>
                <w:lang w:eastAsia="en-GB"/>
              </w:rPr>
              <w:t>South Africa</w:t>
            </w:r>
          </w:p>
        </w:tc>
        <w:tc>
          <w:tcPr>
            <w:tcW w:w="0" w:type="auto"/>
            <w:noWrap/>
            <w:hideMark/>
          </w:tcPr>
          <w:p w14:paraId="6BB979F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32.1</w:t>
            </w:r>
          </w:p>
        </w:tc>
        <w:tc>
          <w:tcPr>
            <w:tcW w:w="0" w:type="auto"/>
            <w:noWrap/>
            <w:hideMark/>
          </w:tcPr>
          <w:p w14:paraId="458A239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57.9</w:t>
            </w:r>
          </w:p>
        </w:tc>
        <w:tc>
          <w:tcPr>
            <w:tcW w:w="0" w:type="auto"/>
            <w:noWrap/>
            <w:hideMark/>
          </w:tcPr>
          <w:p w14:paraId="5F84771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45.7</w:t>
            </w:r>
          </w:p>
        </w:tc>
        <w:tc>
          <w:tcPr>
            <w:tcW w:w="0" w:type="auto"/>
            <w:noWrap/>
            <w:hideMark/>
          </w:tcPr>
          <w:p w14:paraId="77D9139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50.1</w:t>
            </w:r>
          </w:p>
        </w:tc>
        <w:tc>
          <w:tcPr>
            <w:tcW w:w="0" w:type="auto"/>
            <w:noWrap/>
            <w:hideMark/>
          </w:tcPr>
          <w:p w14:paraId="5DD1026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34.5</w:t>
            </w:r>
          </w:p>
        </w:tc>
        <w:tc>
          <w:tcPr>
            <w:tcW w:w="0" w:type="auto"/>
            <w:noWrap/>
            <w:hideMark/>
          </w:tcPr>
          <w:p w14:paraId="36555FE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33A9DF82" w14:textId="77777777" w:rsidTr="00292280">
        <w:trPr>
          <w:trHeight w:val="300"/>
        </w:trPr>
        <w:tc>
          <w:tcPr>
            <w:tcW w:w="0" w:type="auto"/>
            <w:noWrap/>
            <w:hideMark/>
          </w:tcPr>
          <w:p w14:paraId="28651C0D" w14:textId="77777777" w:rsidR="00D66210" w:rsidRPr="000324CE" w:rsidRDefault="00D66210" w:rsidP="000324CE">
            <w:pPr>
              <w:pStyle w:val="NoSpacing"/>
              <w:spacing w:before="0"/>
              <w:rPr>
                <w:i/>
                <w:sz w:val="20"/>
                <w:szCs w:val="20"/>
                <w:lang w:eastAsia="en-GB"/>
              </w:rPr>
            </w:pPr>
            <w:r w:rsidRPr="000324CE">
              <w:rPr>
                <w:i/>
                <w:sz w:val="20"/>
                <w:szCs w:val="20"/>
                <w:lang w:eastAsia="en-GB"/>
              </w:rPr>
              <w:t>South Korea</w:t>
            </w:r>
          </w:p>
        </w:tc>
        <w:tc>
          <w:tcPr>
            <w:tcW w:w="0" w:type="auto"/>
            <w:noWrap/>
            <w:hideMark/>
          </w:tcPr>
          <w:p w14:paraId="49F1E1D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50.1</w:t>
            </w:r>
          </w:p>
        </w:tc>
        <w:tc>
          <w:tcPr>
            <w:tcW w:w="0" w:type="auto"/>
            <w:noWrap/>
            <w:hideMark/>
          </w:tcPr>
          <w:p w14:paraId="5F72852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61.0</w:t>
            </w:r>
          </w:p>
        </w:tc>
        <w:tc>
          <w:tcPr>
            <w:tcW w:w="0" w:type="auto"/>
            <w:noWrap/>
            <w:hideMark/>
          </w:tcPr>
          <w:p w14:paraId="476BB11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74.5</w:t>
            </w:r>
          </w:p>
        </w:tc>
        <w:tc>
          <w:tcPr>
            <w:tcW w:w="0" w:type="auto"/>
            <w:noWrap/>
            <w:hideMark/>
          </w:tcPr>
          <w:p w14:paraId="0974A8F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71.9</w:t>
            </w:r>
          </w:p>
        </w:tc>
        <w:tc>
          <w:tcPr>
            <w:tcW w:w="0" w:type="auto"/>
            <w:noWrap/>
            <w:hideMark/>
          </w:tcPr>
          <w:p w14:paraId="5B83437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58.3</w:t>
            </w:r>
          </w:p>
        </w:tc>
        <w:tc>
          <w:tcPr>
            <w:tcW w:w="0" w:type="auto"/>
            <w:noWrap/>
            <w:hideMark/>
          </w:tcPr>
          <w:p w14:paraId="55BFA1A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52.7</w:t>
            </w:r>
          </w:p>
        </w:tc>
      </w:tr>
      <w:tr w:rsidR="00D66210" w:rsidRPr="000324CE" w14:paraId="1E86184F" w14:textId="77777777" w:rsidTr="005800A8">
        <w:trPr>
          <w:trHeight w:val="300"/>
        </w:trPr>
        <w:tc>
          <w:tcPr>
            <w:tcW w:w="0" w:type="auto"/>
            <w:noWrap/>
            <w:hideMark/>
          </w:tcPr>
          <w:p w14:paraId="16F05585" w14:textId="77777777" w:rsidR="00D66210" w:rsidRPr="000324CE" w:rsidRDefault="00D66210" w:rsidP="000324CE">
            <w:pPr>
              <w:pStyle w:val="NoSpacing"/>
              <w:spacing w:before="0"/>
              <w:rPr>
                <w:i/>
                <w:sz w:val="20"/>
                <w:szCs w:val="20"/>
                <w:lang w:eastAsia="en-GB"/>
              </w:rPr>
            </w:pPr>
            <w:r w:rsidRPr="000324CE">
              <w:rPr>
                <w:i/>
                <w:sz w:val="20"/>
                <w:szCs w:val="20"/>
                <w:lang w:eastAsia="en-GB"/>
              </w:rPr>
              <w:t>Spain</w:t>
            </w:r>
          </w:p>
        </w:tc>
        <w:tc>
          <w:tcPr>
            <w:tcW w:w="0" w:type="auto"/>
            <w:noWrap/>
            <w:hideMark/>
          </w:tcPr>
          <w:p w14:paraId="1D0D9A3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DE32EF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32.8</w:t>
            </w:r>
          </w:p>
        </w:tc>
        <w:tc>
          <w:tcPr>
            <w:tcW w:w="0" w:type="auto"/>
            <w:noWrap/>
            <w:hideMark/>
          </w:tcPr>
          <w:p w14:paraId="7F8C950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27.2</w:t>
            </w:r>
          </w:p>
        </w:tc>
        <w:tc>
          <w:tcPr>
            <w:tcW w:w="0" w:type="auto"/>
            <w:noWrap/>
            <w:hideMark/>
          </w:tcPr>
          <w:p w14:paraId="4F3E710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27.7</w:t>
            </w:r>
          </w:p>
        </w:tc>
        <w:tc>
          <w:tcPr>
            <w:tcW w:w="0" w:type="auto"/>
            <w:noWrap/>
            <w:hideMark/>
          </w:tcPr>
          <w:p w14:paraId="2983160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42.1</w:t>
            </w:r>
          </w:p>
        </w:tc>
        <w:tc>
          <w:tcPr>
            <w:tcW w:w="0" w:type="auto"/>
            <w:noWrap/>
            <w:hideMark/>
          </w:tcPr>
          <w:p w14:paraId="24EFCC8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40.2</w:t>
            </w:r>
          </w:p>
        </w:tc>
      </w:tr>
      <w:tr w:rsidR="00D66210" w:rsidRPr="000324CE" w14:paraId="02861527" w14:textId="77777777" w:rsidTr="00292280">
        <w:trPr>
          <w:trHeight w:val="300"/>
        </w:trPr>
        <w:tc>
          <w:tcPr>
            <w:tcW w:w="0" w:type="auto"/>
            <w:noWrap/>
            <w:hideMark/>
          </w:tcPr>
          <w:p w14:paraId="195F4A32" w14:textId="77777777" w:rsidR="00D66210" w:rsidRPr="000324CE" w:rsidRDefault="00D66210" w:rsidP="000324CE">
            <w:pPr>
              <w:pStyle w:val="NoSpacing"/>
              <w:spacing w:before="0"/>
              <w:rPr>
                <w:i/>
                <w:sz w:val="20"/>
                <w:szCs w:val="20"/>
                <w:lang w:eastAsia="en-GB"/>
              </w:rPr>
            </w:pPr>
            <w:r w:rsidRPr="000324CE">
              <w:rPr>
                <w:i/>
                <w:sz w:val="20"/>
                <w:szCs w:val="20"/>
                <w:lang w:eastAsia="en-GB"/>
              </w:rPr>
              <w:t>Sweden</w:t>
            </w:r>
          </w:p>
        </w:tc>
        <w:tc>
          <w:tcPr>
            <w:tcW w:w="0" w:type="auto"/>
            <w:noWrap/>
            <w:hideMark/>
          </w:tcPr>
          <w:p w14:paraId="77AE1C2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6D7BFD8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48B9342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82.3</w:t>
            </w:r>
          </w:p>
        </w:tc>
        <w:tc>
          <w:tcPr>
            <w:tcW w:w="0" w:type="auto"/>
            <w:noWrap/>
            <w:hideMark/>
          </w:tcPr>
          <w:p w14:paraId="041374F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87.8</w:t>
            </w:r>
          </w:p>
        </w:tc>
        <w:tc>
          <w:tcPr>
            <w:tcW w:w="0" w:type="auto"/>
            <w:noWrap/>
            <w:hideMark/>
          </w:tcPr>
          <w:p w14:paraId="797C1B8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77.2</w:t>
            </w:r>
          </w:p>
        </w:tc>
        <w:tc>
          <w:tcPr>
            <w:tcW w:w="0" w:type="auto"/>
            <w:noWrap/>
            <w:hideMark/>
          </w:tcPr>
          <w:p w14:paraId="2938C90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72.5</w:t>
            </w:r>
          </w:p>
        </w:tc>
      </w:tr>
      <w:tr w:rsidR="00D66210" w:rsidRPr="000324CE" w14:paraId="6208F9E7" w14:textId="77777777" w:rsidTr="005800A8">
        <w:trPr>
          <w:trHeight w:val="300"/>
        </w:trPr>
        <w:tc>
          <w:tcPr>
            <w:tcW w:w="0" w:type="auto"/>
            <w:noWrap/>
            <w:hideMark/>
          </w:tcPr>
          <w:p w14:paraId="6CE61E54" w14:textId="77777777" w:rsidR="00D66210" w:rsidRPr="000324CE" w:rsidRDefault="00D66210" w:rsidP="000324CE">
            <w:pPr>
              <w:pStyle w:val="NoSpacing"/>
              <w:spacing w:before="0"/>
              <w:rPr>
                <w:i/>
                <w:sz w:val="20"/>
                <w:szCs w:val="20"/>
                <w:lang w:eastAsia="en-GB"/>
              </w:rPr>
            </w:pPr>
            <w:r w:rsidRPr="000324CE">
              <w:rPr>
                <w:i/>
                <w:sz w:val="20"/>
                <w:szCs w:val="20"/>
                <w:lang w:eastAsia="en-GB"/>
              </w:rPr>
              <w:t>Turkey</w:t>
            </w:r>
          </w:p>
        </w:tc>
        <w:tc>
          <w:tcPr>
            <w:tcW w:w="0" w:type="auto"/>
            <w:noWrap/>
            <w:hideMark/>
          </w:tcPr>
          <w:p w14:paraId="5326805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0715815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28.5</w:t>
            </w:r>
          </w:p>
        </w:tc>
        <w:tc>
          <w:tcPr>
            <w:tcW w:w="0" w:type="auto"/>
            <w:noWrap/>
            <w:hideMark/>
          </w:tcPr>
          <w:p w14:paraId="5F0EA46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25.2</w:t>
            </w:r>
          </w:p>
        </w:tc>
        <w:tc>
          <w:tcPr>
            <w:tcW w:w="0" w:type="auto"/>
            <w:noWrap/>
            <w:hideMark/>
          </w:tcPr>
          <w:p w14:paraId="4FC5715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34.5</w:t>
            </w:r>
          </w:p>
        </w:tc>
        <w:tc>
          <w:tcPr>
            <w:tcW w:w="0" w:type="auto"/>
            <w:noWrap/>
            <w:hideMark/>
          </w:tcPr>
          <w:p w14:paraId="649AB8E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35.3</w:t>
            </w:r>
          </w:p>
        </w:tc>
        <w:tc>
          <w:tcPr>
            <w:tcW w:w="0" w:type="auto"/>
            <w:noWrap/>
            <w:hideMark/>
          </w:tcPr>
          <w:p w14:paraId="1EB35D2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29.1</w:t>
            </w:r>
          </w:p>
        </w:tc>
      </w:tr>
      <w:tr w:rsidR="00D66210" w:rsidRPr="000324CE" w14:paraId="16749C6F" w14:textId="77777777" w:rsidTr="005800A8">
        <w:trPr>
          <w:trHeight w:val="246"/>
        </w:trPr>
        <w:tc>
          <w:tcPr>
            <w:tcW w:w="0" w:type="auto"/>
            <w:tcBorders>
              <w:bottom w:val="single" w:sz="4" w:space="0" w:color="auto"/>
            </w:tcBorders>
            <w:noWrap/>
            <w:hideMark/>
          </w:tcPr>
          <w:p w14:paraId="0D680C3B" w14:textId="77777777" w:rsidR="00D66210" w:rsidRPr="000324CE" w:rsidRDefault="00D66210" w:rsidP="000324CE">
            <w:pPr>
              <w:pStyle w:val="NoSpacing"/>
              <w:spacing w:before="0"/>
              <w:rPr>
                <w:i/>
                <w:sz w:val="20"/>
                <w:szCs w:val="20"/>
                <w:lang w:eastAsia="en-GB"/>
              </w:rPr>
            </w:pPr>
            <w:r w:rsidRPr="000324CE">
              <w:rPr>
                <w:i/>
                <w:sz w:val="20"/>
                <w:szCs w:val="20"/>
                <w:lang w:eastAsia="en-GB"/>
              </w:rPr>
              <w:t>United States</w:t>
            </w:r>
          </w:p>
        </w:tc>
        <w:tc>
          <w:tcPr>
            <w:tcW w:w="0" w:type="auto"/>
            <w:tcBorders>
              <w:bottom w:val="single" w:sz="4" w:space="0" w:color="auto"/>
            </w:tcBorders>
          </w:tcPr>
          <w:p w14:paraId="6BA9E9D4" w14:textId="77777777" w:rsidR="00D66210" w:rsidRPr="000324CE" w:rsidRDefault="00D66210" w:rsidP="000324CE">
            <w:pPr>
              <w:pStyle w:val="NoSpacing"/>
              <w:spacing w:before="0"/>
              <w:jc w:val="center"/>
              <w:rPr>
                <w:i/>
                <w:sz w:val="20"/>
                <w:szCs w:val="20"/>
                <w:lang w:eastAsia="en-GB"/>
              </w:rPr>
            </w:pPr>
            <w:r w:rsidRPr="000324CE">
              <w:rPr>
                <w:i/>
                <w:sz w:val="20"/>
                <w:szCs w:val="20"/>
                <w:lang w:eastAsia="en-GB"/>
              </w:rPr>
              <w:t>-</w:t>
            </w:r>
          </w:p>
        </w:tc>
        <w:tc>
          <w:tcPr>
            <w:tcW w:w="0" w:type="auto"/>
            <w:tcBorders>
              <w:bottom w:val="single" w:sz="4" w:space="0" w:color="auto"/>
            </w:tcBorders>
            <w:noWrap/>
            <w:hideMark/>
          </w:tcPr>
          <w:p w14:paraId="707C654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tcBorders>
              <w:bottom w:val="single" w:sz="4" w:space="0" w:color="auto"/>
            </w:tcBorders>
            <w:noWrap/>
            <w:hideMark/>
          </w:tcPr>
          <w:p w14:paraId="6F4600A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62.9</w:t>
            </w:r>
          </w:p>
        </w:tc>
        <w:tc>
          <w:tcPr>
            <w:tcW w:w="0" w:type="auto"/>
            <w:tcBorders>
              <w:bottom w:val="single" w:sz="4" w:space="0" w:color="auto"/>
            </w:tcBorders>
            <w:noWrap/>
            <w:hideMark/>
          </w:tcPr>
          <w:p w14:paraId="6B92DE0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76.9</w:t>
            </w:r>
          </w:p>
        </w:tc>
        <w:tc>
          <w:tcPr>
            <w:tcW w:w="0" w:type="auto"/>
            <w:tcBorders>
              <w:bottom w:val="single" w:sz="4" w:space="0" w:color="auto"/>
            </w:tcBorders>
            <w:noWrap/>
            <w:hideMark/>
          </w:tcPr>
          <w:p w14:paraId="7C5BAB2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73.0</w:t>
            </w:r>
          </w:p>
        </w:tc>
        <w:tc>
          <w:tcPr>
            <w:tcW w:w="0" w:type="auto"/>
            <w:tcBorders>
              <w:bottom w:val="single" w:sz="4" w:space="0" w:color="auto"/>
            </w:tcBorders>
            <w:noWrap/>
            <w:hideMark/>
          </w:tcPr>
          <w:p w14:paraId="63C1A21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67.6</w:t>
            </w:r>
          </w:p>
        </w:tc>
      </w:tr>
      <w:tr w:rsidR="00D66210" w:rsidRPr="000324CE" w14:paraId="0F5376D9" w14:textId="77777777" w:rsidTr="005800A8">
        <w:trPr>
          <w:trHeight w:val="315"/>
        </w:trPr>
        <w:tc>
          <w:tcPr>
            <w:tcW w:w="1522" w:type="dxa"/>
            <w:tcBorders>
              <w:top w:val="single" w:sz="4" w:space="0" w:color="auto"/>
              <w:bottom w:val="single" w:sz="4" w:space="0" w:color="auto"/>
            </w:tcBorders>
            <w:shd w:val="clear" w:color="auto" w:fill="F2F2F2" w:themeFill="background1" w:themeFillShade="F2"/>
            <w:noWrap/>
            <w:hideMark/>
          </w:tcPr>
          <w:p w14:paraId="12A211C3" w14:textId="77777777" w:rsidR="00D66210" w:rsidRPr="000324CE" w:rsidRDefault="00D66210" w:rsidP="000324CE">
            <w:pPr>
              <w:spacing w:before="0" w:line="240" w:lineRule="auto"/>
              <w:rPr>
                <w:rFonts w:eastAsia="Times New Roman"/>
                <w:b/>
                <w:i/>
                <w:iCs/>
                <w:color w:val="000000"/>
                <w:sz w:val="20"/>
                <w:szCs w:val="20"/>
                <w:lang w:eastAsia="en-GB"/>
              </w:rPr>
            </w:pPr>
            <w:r w:rsidRPr="000324CE">
              <w:rPr>
                <w:rFonts w:eastAsia="Times New Roman"/>
                <w:b/>
                <w:i/>
                <w:iCs/>
                <w:color w:val="000000"/>
                <w:sz w:val="20"/>
                <w:szCs w:val="20"/>
                <w:lang w:eastAsia="en-GB"/>
              </w:rPr>
              <w:t>Average</w:t>
            </w:r>
          </w:p>
        </w:tc>
        <w:tc>
          <w:tcPr>
            <w:tcW w:w="1263" w:type="dxa"/>
            <w:tcBorders>
              <w:top w:val="single" w:sz="4" w:space="0" w:color="auto"/>
              <w:bottom w:val="single" w:sz="4" w:space="0" w:color="auto"/>
            </w:tcBorders>
            <w:shd w:val="clear" w:color="auto" w:fill="F2F2F2" w:themeFill="background1" w:themeFillShade="F2"/>
            <w:noWrap/>
            <w:hideMark/>
          </w:tcPr>
          <w:p w14:paraId="6E902B98" w14:textId="77777777" w:rsidR="00D66210" w:rsidRPr="000324CE" w:rsidRDefault="00D66210" w:rsidP="000324CE">
            <w:pPr>
              <w:spacing w:before="0" w:line="240" w:lineRule="auto"/>
              <w:jc w:val="center"/>
              <w:rPr>
                <w:rFonts w:eastAsia="Times New Roman"/>
                <w:color w:val="000000"/>
                <w:sz w:val="20"/>
                <w:szCs w:val="20"/>
                <w:lang w:eastAsia="en-GB"/>
              </w:rPr>
            </w:pPr>
            <w:r w:rsidRPr="000324CE">
              <w:rPr>
                <w:rFonts w:eastAsia="Times New Roman"/>
                <w:color w:val="000000"/>
                <w:sz w:val="20"/>
                <w:szCs w:val="20"/>
                <w:lang w:eastAsia="en-GB"/>
              </w:rPr>
              <w:t>31.1</w:t>
            </w:r>
          </w:p>
        </w:tc>
        <w:tc>
          <w:tcPr>
            <w:tcW w:w="1263" w:type="dxa"/>
            <w:tcBorders>
              <w:top w:val="single" w:sz="4" w:space="0" w:color="auto"/>
              <w:bottom w:val="single" w:sz="4" w:space="0" w:color="auto"/>
            </w:tcBorders>
            <w:shd w:val="clear" w:color="auto" w:fill="F2F2F2" w:themeFill="background1" w:themeFillShade="F2"/>
            <w:noWrap/>
            <w:hideMark/>
          </w:tcPr>
          <w:p w14:paraId="2BE56A8B" w14:textId="77777777" w:rsidR="00D66210" w:rsidRPr="000324CE" w:rsidRDefault="00D66210" w:rsidP="000324CE">
            <w:pPr>
              <w:spacing w:before="0" w:line="240" w:lineRule="auto"/>
              <w:jc w:val="center"/>
              <w:rPr>
                <w:rFonts w:eastAsia="Times New Roman"/>
                <w:color w:val="000000"/>
                <w:sz w:val="20"/>
                <w:szCs w:val="20"/>
                <w:lang w:eastAsia="en-GB"/>
              </w:rPr>
            </w:pPr>
            <w:r w:rsidRPr="000324CE">
              <w:rPr>
                <w:rFonts w:eastAsia="Times New Roman"/>
                <w:color w:val="000000"/>
                <w:sz w:val="20"/>
                <w:szCs w:val="20"/>
                <w:lang w:eastAsia="en-GB"/>
              </w:rPr>
              <w:t>38.9</w:t>
            </w:r>
          </w:p>
        </w:tc>
        <w:tc>
          <w:tcPr>
            <w:tcW w:w="1263" w:type="dxa"/>
            <w:tcBorders>
              <w:top w:val="single" w:sz="4" w:space="0" w:color="auto"/>
              <w:bottom w:val="single" w:sz="4" w:space="0" w:color="auto"/>
            </w:tcBorders>
            <w:shd w:val="clear" w:color="auto" w:fill="F2F2F2" w:themeFill="background1" w:themeFillShade="F2"/>
            <w:noWrap/>
            <w:hideMark/>
          </w:tcPr>
          <w:p w14:paraId="1B3527CC" w14:textId="77777777" w:rsidR="00D66210" w:rsidRPr="000324CE" w:rsidRDefault="00D66210" w:rsidP="000324CE">
            <w:pPr>
              <w:spacing w:before="0" w:line="240" w:lineRule="auto"/>
              <w:jc w:val="center"/>
              <w:rPr>
                <w:rFonts w:eastAsia="Times New Roman"/>
                <w:color w:val="000000"/>
                <w:sz w:val="20"/>
                <w:szCs w:val="20"/>
                <w:lang w:eastAsia="en-GB"/>
              </w:rPr>
            </w:pPr>
            <w:r w:rsidRPr="000324CE">
              <w:rPr>
                <w:rFonts w:eastAsia="Times New Roman"/>
                <w:color w:val="000000"/>
                <w:sz w:val="20"/>
                <w:szCs w:val="20"/>
                <w:lang w:eastAsia="en-GB"/>
              </w:rPr>
              <w:t>40.6</w:t>
            </w:r>
          </w:p>
        </w:tc>
        <w:tc>
          <w:tcPr>
            <w:tcW w:w="1263" w:type="dxa"/>
            <w:tcBorders>
              <w:top w:val="single" w:sz="4" w:space="0" w:color="auto"/>
              <w:bottom w:val="single" w:sz="4" w:space="0" w:color="auto"/>
            </w:tcBorders>
            <w:shd w:val="clear" w:color="auto" w:fill="F2F2F2" w:themeFill="background1" w:themeFillShade="F2"/>
            <w:noWrap/>
            <w:hideMark/>
          </w:tcPr>
          <w:p w14:paraId="614473A8" w14:textId="77777777" w:rsidR="00D66210" w:rsidRPr="000324CE" w:rsidRDefault="00D66210" w:rsidP="000324CE">
            <w:pPr>
              <w:spacing w:before="0" w:line="240" w:lineRule="auto"/>
              <w:jc w:val="center"/>
              <w:rPr>
                <w:rFonts w:eastAsia="Times New Roman"/>
                <w:color w:val="000000"/>
                <w:sz w:val="20"/>
                <w:szCs w:val="20"/>
                <w:lang w:eastAsia="en-GB"/>
              </w:rPr>
            </w:pPr>
            <w:r w:rsidRPr="000324CE">
              <w:rPr>
                <w:rFonts w:eastAsia="Times New Roman"/>
                <w:color w:val="000000"/>
                <w:sz w:val="20"/>
                <w:szCs w:val="20"/>
                <w:lang w:eastAsia="en-GB"/>
              </w:rPr>
              <w:t>43.2</w:t>
            </w:r>
          </w:p>
        </w:tc>
        <w:tc>
          <w:tcPr>
            <w:tcW w:w="1263" w:type="dxa"/>
            <w:tcBorders>
              <w:top w:val="single" w:sz="4" w:space="0" w:color="auto"/>
              <w:bottom w:val="single" w:sz="4" w:space="0" w:color="auto"/>
            </w:tcBorders>
            <w:shd w:val="clear" w:color="auto" w:fill="F2F2F2" w:themeFill="background1" w:themeFillShade="F2"/>
            <w:noWrap/>
            <w:hideMark/>
          </w:tcPr>
          <w:p w14:paraId="1A15D6DD" w14:textId="77777777" w:rsidR="00D66210" w:rsidRPr="000324CE" w:rsidRDefault="00D66210" w:rsidP="000324CE">
            <w:pPr>
              <w:spacing w:before="0" w:line="240" w:lineRule="auto"/>
              <w:jc w:val="center"/>
              <w:rPr>
                <w:rFonts w:eastAsia="Times New Roman"/>
                <w:color w:val="000000"/>
                <w:sz w:val="20"/>
                <w:szCs w:val="20"/>
                <w:lang w:eastAsia="en-GB"/>
              </w:rPr>
            </w:pPr>
            <w:r w:rsidRPr="000324CE">
              <w:rPr>
                <w:rFonts w:eastAsia="Times New Roman"/>
                <w:color w:val="000000"/>
                <w:sz w:val="20"/>
                <w:szCs w:val="20"/>
                <w:lang w:eastAsia="en-GB"/>
              </w:rPr>
              <w:t>37.9</w:t>
            </w:r>
          </w:p>
        </w:tc>
        <w:tc>
          <w:tcPr>
            <w:tcW w:w="1263" w:type="dxa"/>
            <w:tcBorders>
              <w:top w:val="single" w:sz="4" w:space="0" w:color="auto"/>
              <w:bottom w:val="single" w:sz="4" w:space="0" w:color="auto"/>
            </w:tcBorders>
            <w:shd w:val="clear" w:color="auto" w:fill="F2F2F2" w:themeFill="background1" w:themeFillShade="F2"/>
            <w:noWrap/>
            <w:hideMark/>
          </w:tcPr>
          <w:p w14:paraId="52E0A62A" w14:textId="77777777" w:rsidR="00D66210" w:rsidRPr="000324CE" w:rsidRDefault="00D66210" w:rsidP="000324CE">
            <w:pPr>
              <w:spacing w:before="0" w:line="240" w:lineRule="auto"/>
              <w:jc w:val="center"/>
              <w:rPr>
                <w:rFonts w:eastAsia="Times New Roman"/>
                <w:color w:val="000000"/>
                <w:sz w:val="20"/>
                <w:szCs w:val="20"/>
                <w:lang w:eastAsia="en-GB"/>
              </w:rPr>
            </w:pPr>
            <w:r w:rsidRPr="000324CE">
              <w:rPr>
                <w:rFonts w:eastAsia="Times New Roman"/>
                <w:color w:val="000000"/>
                <w:sz w:val="20"/>
                <w:szCs w:val="20"/>
                <w:lang w:eastAsia="en-GB"/>
              </w:rPr>
              <w:t>33.3</w:t>
            </w:r>
          </w:p>
        </w:tc>
      </w:tr>
    </w:tbl>
    <w:p w14:paraId="1003114A" w14:textId="77777777" w:rsidR="00D66210" w:rsidRPr="000324CE" w:rsidRDefault="00D66210" w:rsidP="00D66210">
      <w:pPr>
        <w:jc w:val="right"/>
        <w:rPr>
          <w:sz w:val="16"/>
          <w:szCs w:val="16"/>
        </w:rPr>
      </w:pPr>
      <w:r w:rsidRPr="00D852C0">
        <w:tab/>
      </w:r>
      <w:r w:rsidRPr="000324CE">
        <w:rPr>
          <w:sz w:val="16"/>
          <w:szCs w:val="16"/>
        </w:rPr>
        <w:t>Percentages exclude ‘Don’t Knows’</w:t>
      </w:r>
    </w:p>
    <w:p w14:paraId="49CE658F" w14:textId="77777777" w:rsidR="00D66210" w:rsidRPr="00D852C0" w:rsidRDefault="00D66210" w:rsidP="00D66210">
      <w:r w:rsidRPr="00D852C0">
        <w:t xml:space="preserve">It may also be that boycotting as a form of protest is particularly susceptible to focused campaigns, such as the widely publicised boycotting of </w:t>
      </w:r>
      <w:r w:rsidRPr="00D852C0">
        <w:rPr>
          <w:i/>
        </w:rPr>
        <w:t xml:space="preserve">Nestlé </w:t>
      </w:r>
      <w:r w:rsidRPr="00D852C0">
        <w:t>products which started in the 1970s. As such campaigns are often short-lived and focussed on particular countries</w:t>
      </w:r>
      <w:r>
        <w:t xml:space="preserve"> and products</w:t>
      </w:r>
      <w:r w:rsidRPr="00D852C0">
        <w:t>, this is liable to produce relatively large short-term rises and falls in the proportions (considering) boycotting, with different countries seeing rises and falls at different times.</w:t>
      </w:r>
    </w:p>
    <w:p w14:paraId="5A63285A" w14:textId="61351D56" w:rsidR="00EB7353" w:rsidRPr="00D852C0" w:rsidRDefault="00D66210" w:rsidP="00D66210">
      <w:r w:rsidRPr="00D852C0">
        <w:t>The results for the final act of informal political partic</w:t>
      </w:r>
      <w:r w:rsidR="00795398">
        <w:t>ipation, demonstrating, are in F</w:t>
      </w:r>
      <w:r w:rsidRPr="00D852C0">
        <w:t>igure 6.6</w:t>
      </w:r>
      <w:r w:rsidR="000A14C8">
        <w:t>.</w:t>
      </w:r>
      <w:r w:rsidRPr="00D852C0">
        <w:t xml:space="preserve"> </w:t>
      </w:r>
      <w:r w:rsidR="00795398">
        <w:t>As we saw in Figure 6.3</w:t>
      </w:r>
      <w:r w:rsidR="000A14C8">
        <w:t xml:space="preserve">, there is more muted difference between developed and </w:t>
      </w:r>
      <w:r w:rsidR="00142A6D">
        <w:t>d</w:t>
      </w:r>
      <w:r w:rsidR="000A14C8">
        <w:t>eveloping countries</w:t>
      </w:r>
      <w:r w:rsidR="00795398">
        <w:t>,</w:t>
      </w:r>
      <w:r w:rsidR="000A14C8">
        <w:t xml:space="preserve"> suggesting that, whilst it might be the most energy intensive and risky of acts, the act of demonstrating is less conditioned by the level of development in a country.</w:t>
      </w:r>
      <w:r w:rsidRPr="00D852C0">
        <w:t xml:space="preserve"> </w:t>
      </w:r>
    </w:p>
    <w:p w14:paraId="3A88346A" w14:textId="455FC98B" w:rsidR="00D66210" w:rsidRPr="00717D00" w:rsidRDefault="00D66210" w:rsidP="00D66210">
      <w:pPr>
        <w:pStyle w:val="Caption"/>
        <w:rPr>
          <w:rFonts w:ascii="Segoe UI" w:hAnsi="Segoe UI" w:cs="Segoe UI"/>
          <w:i w:val="0"/>
        </w:rPr>
      </w:pPr>
      <w:bookmarkStart w:id="384" w:name="_Toc494687193"/>
      <w:r w:rsidRPr="00717D00">
        <w:rPr>
          <w:rFonts w:ascii="Segoe UI" w:hAnsi="Segoe UI" w:cs="Segoe UI"/>
          <w:i w:val="0"/>
        </w:rPr>
        <w:t xml:space="preserve">Figure </w:t>
      </w:r>
      <w:r w:rsidR="00C96822" w:rsidRPr="00717D00">
        <w:rPr>
          <w:rFonts w:ascii="Segoe UI" w:hAnsi="Segoe UI" w:cs="Segoe UI"/>
          <w:i w:val="0"/>
        </w:rPr>
        <w:fldChar w:fldCharType="begin"/>
      </w:r>
      <w:r w:rsidR="00C96822" w:rsidRPr="00717D00">
        <w:rPr>
          <w:rFonts w:ascii="Segoe UI" w:hAnsi="Segoe UI" w:cs="Segoe UI"/>
          <w:i w:val="0"/>
        </w:rPr>
        <w:instrText xml:space="preserve"> STYLEREF 1 \s </w:instrText>
      </w:r>
      <w:r w:rsidR="00C96822" w:rsidRPr="00717D00">
        <w:rPr>
          <w:rFonts w:ascii="Segoe UI" w:hAnsi="Segoe UI" w:cs="Segoe UI"/>
          <w:i w:val="0"/>
        </w:rPr>
        <w:fldChar w:fldCharType="separate"/>
      </w:r>
      <w:r w:rsidR="00306E67" w:rsidRPr="00717D00">
        <w:rPr>
          <w:rFonts w:ascii="Segoe UI" w:hAnsi="Segoe UI" w:cs="Segoe UI"/>
          <w:i w:val="0"/>
          <w:noProof/>
        </w:rPr>
        <w:t>6</w:t>
      </w:r>
      <w:r w:rsidR="00C96822" w:rsidRPr="00717D00">
        <w:rPr>
          <w:rFonts w:ascii="Segoe UI" w:hAnsi="Segoe UI" w:cs="Segoe UI"/>
          <w:i w:val="0"/>
          <w:noProof/>
        </w:rPr>
        <w:fldChar w:fldCharType="end"/>
      </w:r>
      <w:r w:rsidR="00D9151E" w:rsidRPr="00717D00">
        <w:rPr>
          <w:rFonts w:ascii="Segoe UI" w:hAnsi="Segoe UI" w:cs="Segoe UI"/>
          <w:i w:val="0"/>
        </w:rPr>
        <w:t>:</w:t>
      </w:r>
      <w:r w:rsidR="00C96822" w:rsidRPr="00717D00">
        <w:rPr>
          <w:rFonts w:ascii="Segoe UI" w:hAnsi="Segoe UI" w:cs="Segoe UI"/>
          <w:i w:val="0"/>
        </w:rPr>
        <w:fldChar w:fldCharType="begin"/>
      </w:r>
      <w:r w:rsidR="00C96822" w:rsidRPr="00717D00">
        <w:rPr>
          <w:rFonts w:ascii="Segoe UI" w:hAnsi="Segoe UI" w:cs="Segoe UI"/>
          <w:i w:val="0"/>
        </w:rPr>
        <w:instrText xml:space="preserve"> SEQ Figure \* ARABIC \s 1 </w:instrText>
      </w:r>
      <w:r w:rsidR="00C96822" w:rsidRPr="00717D00">
        <w:rPr>
          <w:rFonts w:ascii="Segoe UI" w:hAnsi="Segoe UI" w:cs="Segoe UI"/>
          <w:i w:val="0"/>
        </w:rPr>
        <w:fldChar w:fldCharType="separate"/>
      </w:r>
      <w:r w:rsidR="00EB7353" w:rsidRPr="00717D00">
        <w:rPr>
          <w:rFonts w:ascii="Segoe UI" w:hAnsi="Segoe UI" w:cs="Segoe UI"/>
          <w:i w:val="0"/>
          <w:noProof/>
        </w:rPr>
        <w:t>6</w:t>
      </w:r>
      <w:r w:rsidR="00C96822" w:rsidRPr="00717D00">
        <w:rPr>
          <w:rFonts w:ascii="Segoe UI" w:hAnsi="Segoe UI" w:cs="Segoe UI"/>
          <w:i w:val="0"/>
          <w:noProof/>
        </w:rPr>
        <w:fldChar w:fldCharType="end"/>
      </w:r>
      <w:r w:rsidRPr="00717D00">
        <w:rPr>
          <w:rFonts w:ascii="Segoe UI" w:hAnsi="Segoe UI" w:cs="Segoe UI"/>
          <w:i w:val="0"/>
        </w:rPr>
        <w:t xml:space="preserve"> Have/Might demonstrate (%) by country and wave</w:t>
      </w:r>
      <w:bookmarkEnd w:id="384"/>
    </w:p>
    <w:tbl>
      <w:tblPr>
        <w:tblW w:w="0" w:type="auto"/>
        <w:tblLook w:val="04A0" w:firstRow="1" w:lastRow="0" w:firstColumn="1" w:lastColumn="0" w:noHBand="0" w:noVBand="1"/>
      </w:tblPr>
      <w:tblGrid>
        <w:gridCol w:w="1356"/>
        <w:gridCol w:w="1218"/>
        <w:gridCol w:w="1219"/>
        <w:gridCol w:w="1219"/>
        <w:gridCol w:w="1219"/>
        <w:gridCol w:w="1219"/>
        <w:gridCol w:w="1219"/>
      </w:tblGrid>
      <w:tr w:rsidR="00D66210" w:rsidRPr="000324CE" w14:paraId="01797DE8" w14:textId="77777777" w:rsidTr="005800A8">
        <w:trPr>
          <w:trHeight w:val="300"/>
        </w:trPr>
        <w:tc>
          <w:tcPr>
            <w:tcW w:w="0" w:type="auto"/>
            <w:shd w:val="clear" w:color="auto" w:fill="auto"/>
            <w:noWrap/>
          </w:tcPr>
          <w:p w14:paraId="164F93E9" w14:textId="77777777" w:rsidR="00D66210" w:rsidRPr="000324CE" w:rsidRDefault="00D66210" w:rsidP="000324CE">
            <w:pPr>
              <w:pStyle w:val="NoSpacing"/>
              <w:spacing w:before="0"/>
              <w:rPr>
                <w:i/>
                <w:color w:val="000000" w:themeColor="text1"/>
                <w:sz w:val="20"/>
                <w:szCs w:val="20"/>
                <w:lang w:eastAsia="en-GB"/>
              </w:rPr>
            </w:pPr>
          </w:p>
        </w:tc>
        <w:tc>
          <w:tcPr>
            <w:tcW w:w="0" w:type="auto"/>
            <w:gridSpan w:val="6"/>
            <w:tcBorders>
              <w:bottom w:val="single" w:sz="4" w:space="0" w:color="auto"/>
            </w:tcBorders>
            <w:shd w:val="clear" w:color="auto" w:fill="auto"/>
            <w:noWrap/>
          </w:tcPr>
          <w:p w14:paraId="05EA1D7A" w14:textId="77777777" w:rsidR="00D66210" w:rsidRPr="000324CE" w:rsidRDefault="00D66210" w:rsidP="000324CE">
            <w:pPr>
              <w:pStyle w:val="NoSpacing"/>
              <w:spacing w:before="0"/>
              <w:jc w:val="center"/>
              <w:rPr>
                <w:color w:val="000000" w:themeColor="text1"/>
                <w:sz w:val="20"/>
                <w:szCs w:val="20"/>
                <w:lang w:eastAsia="en-GB"/>
              </w:rPr>
            </w:pPr>
            <w:r w:rsidRPr="000324CE">
              <w:rPr>
                <w:color w:val="000000" w:themeColor="text1"/>
                <w:sz w:val="20"/>
                <w:szCs w:val="20"/>
                <w:lang w:eastAsia="en-GB"/>
              </w:rPr>
              <w:t>Have/Might Do: Demonstration (%)</w:t>
            </w:r>
          </w:p>
        </w:tc>
      </w:tr>
      <w:tr w:rsidR="00D66210" w:rsidRPr="000324CE" w14:paraId="21812668" w14:textId="77777777" w:rsidTr="005800A8">
        <w:trPr>
          <w:trHeight w:val="300"/>
        </w:trPr>
        <w:tc>
          <w:tcPr>
            <w:tcW w:w="0" w:type="auto"/>
            <w:tcBorders>
              <w:bottom w:val="single" w:sz="4" w:space="0" w:color="auto"/>
            </w:tcBorders>
            <w:noWrap/>
            <w:hideMark/>
          </w:tcPr>
          <w:p w14:paraId="2CDFE3AE" w14:textId="77777777" w:rsidR="00D66210" w:rsidRPr="000324CE" w:rsidRDefault="00D66210" w:rsidP="000324CE">
            <w:pPr>
              <w:pStyle w:val="NoSpacing"/>
              <w:spacing w:before="0"/>
              <w:rPr>
                <w:i/>
                <w:sz w:val="20"/>
                <w:szCs w:val="20"/>
                <w:lang w:eastAsia="en-GB"/>
              </w:rPr>
            </w:pPr>
          </w:p>
        </w:tc>
        <w:tc>
          <w:tcPr>
            <w:tcW w:w="0" w:type="auto"/>
            <w:tcBorders>
              <w:top w:val="single" w:sz="4" w:space="0" w:color="auto"/>
              <w:bottom w:val="single" w:sz="4" w:space="0" w:color="auto"/>
            </w:tcBorders>
            <w:noWrap/>
            <w:hideMark/>
          </w:tcPr>
          <w:p w14:paraId="242E5F1C"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1981-1984</w:t>
            </w:r>
          </w:p>
        </w:tc>
        <w:tc>
          <w:tcPr>
            <w:tcW w:w="0" w:type="auto"/>
            <w:tcBorders>
              <w:top w:val="single" w:sz="4" w:space="0" w:color="auto"/>
              <w:bottom w:val="single" w:sz="4" w:space="0" w:color="auto"/>
            </w:tcBorders>
            <w:noWrap/>
            <w:hideMark/>
          </w:tcPr>
          <w:p w14:paraId="22036C6F"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1990-1994</w:t>
            </w:r>
          </w:p>
        </w:tc>
        <w:tc>
          <w:tcPr>
            <w:tcW w:w="0" w:type="auto"/>
            <w:tcBorders>
              <w:top w:val="single" w:sz="4" w:space="0" w:color="auto"/>
              <w:bottom w:val="single" w:sz="4" w:space="0" w:color="auto"/>
            </w:tcBorders>
            <w:noWrap/>
            <w:hideMark/>
          </w:tcPr>
          <w:p w14:paraId="7863A371"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1994-1999</w:t>
            </w:r>
          </w:p>
        </w:tc>
        <w:tc>
          <w:tcPr>
            <w:tcW w:w="0" w:type="auto"/>
            <w:tcBorders>
              <w:top w:val="single" w:sz="4" w:space="0" w:color="auto"/>
              <w:bottom w:val="single" w:sz="4" w:space="0" w:color="auto"/>
            </w:tcBorders>
            <w:noWrap/>
            <w:hideMark/>
          </w:tcPr>
          <w:p w14:paraId="218228B1"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1999-2004</w:t>
            </w:r>
          </w:p>
        </w:tc>
        <w:tc>
          <w:tcPr>
            <w:tcW w:w="0" w:type="auto"/>
            <w:tcBorders>
              <w:top w:val="single" w:sz="4" w:space="0" w:color="auto"/>
              <w:bottom w:val="single" w:sz="4" w:space="0" w:color="auto"/>
            </w:tcBorders>
            <w:noWrap/>
            <w:hideMark/>
          </w:tcPr>
          <w:p w14:paraId="195FC91F"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2005-2008</w:t>
            </w:r>
          </w:p>
        </w:tc>
        <w:tc>
          <w:tcPr>
            <w:tcW w:w="0" w:type="auto"/>
            <w:tcBorders>
              <w:top w:val="single" w:sz="4" w:space="0" w:color="auto"/>
              <w:bottom w:val="single" w:sz="4" w:space="0" w:color="auto"/>
            </w:tcBorders>
            <w:noWrap/>
            <w:hideMark/>
          </w:tcPr>
          <w:p w14:paraId="0AB3744B"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2010-2014</w:t>
            </w:r>
          </w:p>
        </w:tc>
      </w:tr>
      <w:tr w:rsidR="00D66210" w:rsidRPr="000324CE" w14:paraId="4310000B" w14:textId="77777777" w:rsidTr="005800A8">
        <w:trPr>
          <w:trHeight w:val="300"/>
        </w:trPr>
        <w:tc>
          <w:tcPr>
            <w:tcW w:w="0" w:type="auto"/>
            <w:tcBorders>
              <w:top w:val="single" w:sz="4" w:space="0" w:color="auto"/>
            </w:tcBorders>
            <w:noWrap/>
            <w:hideMark/>
          </w:tcPr>
          <w:p w14:paraId="72AB305B" w14:textId="77777777" w:rsidR="00D66210" w:rsidRPr="000324CE" w:rsidRDefault="00D66210" w:rsidP="000324CE">
            <w:pPr>
              <w:pStyle w:val="NoSpacing"/>
              <w:spacing w:before="0"/>
              <w:rPr>
                <w:i/>
                <w:sz w:val="20"/>
                <w:szCs w:val="20"/>
                <w:lang w:eastAsia="en-GB"/>
              </w:rPr>
            </w:pPr>
            <w:r w:rsidRPr="000324CE">
              <w:rPr>
                <w:i/>
                <w:sz w:val="20"/>
                <w:szCs w:val="20"/>
                <w:lang w:eastAsia="en-GB"/>
              </w:rPr>
              <w:t>Argentina</w:t>
            </w:r>
          </w:p>
        </w:tc>
        <w:tc>
          <w:tcPr>
            <w:tcW w:w="0" w:type="auto"/>
            <w:tcBorders>
              <w:top w:val="single" w:sz="4" w:space="0" w:color="auto"/>
            </w:tcBorders>
            <w:noWrap/>
            <w:hideMark/>
          </w:tcPr>
          <w:p w14:paraId="2C6B055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55.4</w:t>
            </w:r>
          </w:p>
        </w:tc>
        <w:tc>
          <w:tcPr>
            <w:tcW w:w="0" w:type="auto"/>
            <w:tcBorders>
              <w:top w:val="single" w:sz="4" w:space="0" w:color="auto"/>
            </w:tcBorders>
            <w:noWrap/>
            <w:hideMark/>
          </w:tcPr>
          <w:p w14:paraId="20B81B2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36.1</w:t>
            </w:r>
          </w:p>
        </w:tc>
        <w:tc>
          <w:tcPr>
            <w:tcW w:w="0" w:type="auto"/>
            <w:tcBorders>
              <w:top w:val="single" w:sz="4" w:space="0" w:color="auto"/>
            </w:tcBorders>
            <w:noWrap/>
            <w:hideMark/>
          </w:tcPr>
          <w:p w14:paraId="51F613B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43.0</w:t>
            </w:r>
          </w:p>
        </w:tc>
        <w:tc>
          <w:tcPr>
            <w:tcW w:w="0" w:type="auto"/>
            <w:tcBorders>
              <w:top w:val="single" w:sz="4" w:space="0" w:color="auto"/>
            </w:tcBorders>
            <w:noWrap/>
            <w:hideMark/>
          </w:tcPr>
          <w:p w14:paraId="685E181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36.1</w:t>
            </w:r>
          </w:p>
        </w:tc>
        <w:tc>
          <w:tcPr>
            <w:tcW w:w="0" w:type="auto"/>
            <w:tcBorders>
              <w:top w:val="single" w:sz="4" w:space="0" w:color="auto"/>
            </w:tcBorders>
            <w:noWrap/>
            <w:hideMark/>
          </w:tcPr>
          <w:p w14:paraId="7CCED2F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57.7</w:t>
            </w:r>
          </w:p>
        </w:tc>
        <w:tc>
          <w:tcPr>
            <w:tcW w:w="0" w:type="auto"/>
            <w:tcBorders>
              <w:top w:val="single" w:sz="4" w:space="0" w:color="auto"/>
            </w:tcBorders>
            <w:noWrap/>
            <w:hideMark/>
          </w:tcPr>
          <w:p w14:paraId="258038C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47CCF21B" w14:textId="77777777" w:rsidTr="005800A8">
        <w:trPr>
          <w:trHeight w:val="300"/>
        </w:trPr>
        <w:tc>
          <w:tcPr>
            <w:tcW w:w="0" w:type="auto"/>
            <w:noWrap/>
            <w:hideMark/>
          </w:tcPr>
          <w:p w14:paraId="57DE6B3B" w14:textId="77777777" w:rsidR="00D66210" w:rsidRPr="000324CE" w:rsidRDefault="00D66210" w:rsidP="000324CE">
            <w:pPr>
              <w:pStyle w:val="NoSpacing"/>
              <w:spacing w:before="0"/>
              <w:rPr>
                <w:i/>
                <w:sz w:val="20"/>
                <w:szCs w:val="20"/>
                <w:lang w:eastAsia="en-GB"/>
              </w:rPr>
            </w:pPr>
            <w:r w:rsidRPr="000324CE">
              <w:rPr>
                <w:i/>
                <w:sz w:val="20"/>
                <w:szCs w:val="20"/>
                <w:lang w:eastAsia="en-GB"/>
              </w:rPr>
              <w:t>Chile</w:t>
            </w:r>
          </w:p>
        </w:tc>
        <w:tc>
          <w:tcPr>
            <w:tcW w:w="0" w:type="auto"/>
            <w:noWrap/>
            <w:hideMark/>
          </w:tcPr>
          <w:p w14:paraId="0AC489F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30EE29F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53.8</w:t>
            </w:r>
          </w:p>
        </w:tc>
        <w:tc>
          <w:tcPr>
            <w:tcW w:w="0" w:type="auto"/>
            <w:noWrap/>
            <w:hideMark/>
          </w:tcPr>
          <w:p w14:paraId="3BCCC30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43.3</w:t>
            </w:r>
          </w:p>
        </w:tc>
        <w:tc>
          <w:tcPr>
            <w:tcW w:w="0" w:type="auto"/>
            <w:noWrap/>
            <w:hideMark/>
          </w:tcPr>
          <w:p w14:paraId="39626BF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38.9</w:t>
            </w:r>
          </w:p>
        </w:tc>
        <w:tc>
          <w:tcPr>
            <w:tcW w:w="0" w:type="auto"/>
            <w:noWrap/>
            <w:hideMark/>
          </w:tcPr>
          <w:p w14:paraId="0FD396D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35.8</w:t>
            </w:r>
          </w:p>
        </w:tc>
        <w:tc>
          <w:tcPr>
            <w:tcW w:w="0" w:type="auto"/>
            <w:noWrap/>
            <w:hideMark/>
          </w:tcPr>
          <w:p w14:paraId="434EF9A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45.9</w:t>
            </w:r>
          </w:p>
        </w:tc>
      </w:tr>
      <w:tr w:rsidR="00D66210" w:rsidRPr="000324CE" w14:paraId="5C5050A5" w14:textId="77777777" w:rsidTr="00292280">
        <w:trPr>
          <w:trHeight w:val="300"/>
        </w:trPr>
        <w:tc>
          <w:tcPr>
            <w:tcW w:w="0" w:type="auto"/>
            <w:noWrap/>
            <w:hideMark/>
          </w:tcPr>
          <w:p w14:paraId="1C70DF9C" w14:textId="77777777" w:rsidR="00D66210" w:rsidRPr="000324CE" w:rsidRDefault="00D66210" w:rsidP="000324CE">
            <w:pPr>
              <w:pStyle w:val="NoSpacing"/>
              <w:spacing w:before="0"/>
              <w:rPr>
                <w:i/>
                <w:sz w:val="20"/>
                <w:szCs w:val="20"/>
                <w:lang w:eastAsia="en-GB"/>
              </w:rPr>
            </w:pPr>
            <w:r w:rsidRPr="000324CE">
              <w:rPr>
                <w:i/>
                <w:sz w:val="20"/>
                <w:szCs w:val="20"/>
                <w:lang w:eastAsia="en-GB"/>
              </w:rPr>
              <w:t>Egypt</w:t>
            </w:r>
          </w:p>
        </w:tc>
        <w:tc>
          <w:tcPr>
            <w:tcW w:w="0" w:type="auto"/>
            <w:noWrap/>
            <w:hideMark/>
          </w:tcPr>
          <w:p w14:paraId="313F296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5F253EE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32EBB50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178CD0D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17.5</w:t>
            </w:r>
          </w:p>
        </w:tc>
        <w:tc>
          <w:tcPr>
            <w:tcW w:w="0" w:type="auto"/>
            <w:noWrap/>
            <w:hideMark/>
          </w:tcPr>
          <w:p w14:paraId="1033C4C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8.7</w:t>
            </w:r>
          </w:p>
        </w:tc>
        <w:tc>
          <w:tcPr>
            <w:tcW w:w="0" w:type="auto"/>
            <w:noWrap/>
            <w:hideMark/>
          </w:tcPr>
          <w:p w14:paraId="2D10105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10.6</w:t>
            </w:r>
          </w:p>
        </w:tc>
      </w:tr>
      <w:tr w:rsidR="00D66210" w:rsidRPr="000324CE" w14:paraId="06ED5F0A" w14:textId="77777777" w:rsidTr="005800A8">
        <w:trPr>
          <w:trHeight w:val="300"/>
        </w:trPr>
        <w:tc>
          <w:tcPr>
            <w:tcW w:w="0" w:type="auto"/>
            <w:noWrap/>
            <w:hideMark/>
          </w:tcPr>
          <w:p w14:paraId="10329EC3" w14:textId="77777777" w:rsidR="00D66210" w:rsidRPr="000324CE" w:rsidRDefault="00D66210" w:rsidP="000324CE">
            <w:pPr>
              <w:pStyle w:val="NoSpacing"/>
              <w:spacing w:before="0"/>
              <w:rPr>
                <w:i/>
                <w:sz w:val="20"/>
                <w:szCs w:val="20"/>
                <w:lang w:eastAsia="en-GB"/>
              </w:rPr>
            </w:pPr>
            <w:r w:rsidRPr="000324CE">
              <w:rPr>
                <w:i/>
                <w:sz w:val="20"/>
                <w:szCs w:val="20"/>
                <w:lang w:eastAsia="en-GB"/>
              </w:rPr>
              <w:t>India</w:t>
            </w:r>
          </w:p>
        </w:tc>
        <w:tc>
          <w:tcPr>
            <w:tcW w:w="0" w:type="auto"/>
            <w:noWrap/>
            <w:hideMark/>
          </w:tcPr>
          <w:p w14:paraId="010169F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E4C163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60.1</w:t>
            </w:r>
          </w:p>
        </w:tc>
        <w:tc>
          <w:tcPr>
            <w:tcW w:w="0" w:type="auto"/>
            <w:noWrap/>
            <w:hideMark/>
          </w:tcPr>
          <w:p w14:paraId="37FDB0E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59.3</w:t>
            </w:r>
          </w:p>
        </w:tc>
        <w:tc>
          <w:tcPr>
            <w:tcW w:w="0" w:type="auto"/>
            <w:noWrap/>
            <w:hideMark/>
          </w:tcPr>
          <w:p w14:paraId="1A792AC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52.3</w:t>
            </w:r>
          </w:p>
        </w:tc>
        <w:tc>
          <w:tcPr>
            <w:tcW w:w="0" w:type="auto"/>
            <w:noWrap/>
            <w:hideMark/>
          </w:tcPr>
          <w:p w14:paraId="356A2E9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46.4</w:t>
            </w:r>
          </w:p>
        </w:tc>
        <w:tc>
          <w:tcPr>
            <w:tcW w:w="0" w:type="auto"/>
            <w:noWrap/>
            <w:hideMark/>
          </w:tcPr>
          <w:p w14:paraId="458B2A9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1658E14A" w14:textId="77777777" w:rsidTr="00292280">
        <w:trPr>
          <w:trHeight w:val="300"/>
        </w:trPr>
        <w:tc>
          <w:tcPr>
            <w:tcW w:w="0" w:type="auto"/>
            <w:noWrap/>
            <w:hideMark/>
          </w:tcPr>
          <w:p w14:paraId="5B63ABFE" w14:textId="77777777" w:rsidR="00D66210" w:rsidRPr="000324CE" w:rsidRDefault="00D66210" w:rsidP="000324CE">
            <w:pPr>
              <w:pStyle w:val="NoSpacing"/>
              <w:spacing w:before="0"/>
              <w:rPr>
                <w:i/>
                <w:sz w:val="20"/>
                <w:szCs w:val="20"/>
                <w:lang w:eastAsia="en-GB"/>
              </w:rPr>
            </w:pPr>
            <w:r w:rsidRPr="000324CE">
              <w:rPr>
                <w:i/>
                <w:sz w:val="20"/>
                <w:szCs w:val="20"/>
                <w:lang w:eastAsia="en-GB"/>
              </w:rPr>
              <w:t>Japan</w:t>
            </w:r>
          </w:p>
        </w:tc>
        <w:tc>
          <w:tcPr>
            <w:tcW w:w="0" w:type="auto"/>
            <w:noWrap/>
            <w:hideMark/>
          </w:tcPr>
          <w:p w14:paraId="19CA134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78535D9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313B5EC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4DAFACD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49.7</w:t>
            </w:r>
          </w:p>
        </w:tc>
        <w:tc>
          <w:tcPr>
            <w:tcW w:w="0" w:type="auto"/>
            <w:noWrap/>
            <w:hideMark/>
          </w:tcPr>
          <w:p w14:paraId="6785B46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41.9</w:t>
            </w:r>
          </w:p>
        </w:tc>
        <w:tc>
          <w:tcPr>
            <w:tcW w:w="0" w:type="auto"/>
            <w:noWrap/>
            <w:hideMark/>
          </w:tcPr>
          <w:p w14:paraId="0F67A60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45.6</w:t>
            </w:r>
          </w:p>
        </w:tc>
      </w:tr>
      <w:tr w:rsidR="00D66210" w:rsidRPr="000324CE" w14:paraId="38405228" w14:textId="77777777" w:rsidTr="005800A8">
        <w:trPr>
          <w:trHeight w:val="300"/>
        </w:trPr>
        <w:tc>
          <w:tcPr>
            <w:tcW w:w="0" w:type="auto"/>
            <w:noWrap/>
            <w:hideMark/>
          </w:tcPr>
          <w:p w14:paraId="6AC794B2" w14:textId="77777777" w:rsidR="00D66210" w:rsidRPr="000324CE" w:rsidRDefault="00D66210" w:rsidP="000324CE">
            <w:pPr>
              <w:pStyle w:val="NoSpacing"/>
              <w:spacing w:before="0"/>
              <w:rPr>
                <w:i/>
                <w:sz w:val="20"/>
                <w:szCs w:val="20"/>
                <w:lang w:eastAsia="en-GB"/>
              </w:rPr>
            </w:pPr>
            <w:r w:rsidRPr="000324CE">
              <w:rPr>
                <w:i/>
                <w:sz w:val="20"/>
                <w:szCs w:val="20"/>
                <w:lang w:eastAsia="en-GB"/>
              </w:rPr>
              <w:t>Jordan</w:t>
            </w:r>
          </w:p>
        </w:tc>
        <w:tc>
          <w:tcPr>
            <w:tcW w:w="0" w:type="auto"/>
            <w:noWrap/>
            <w:hideMark/>
          </w:tcPr>
          <w:p w14:paraId="05A04F1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720660A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79B6847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6A05947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9.3</w:t>
            </w:r>
          </w:p>
        </w:tc>
        <w:tc>
          <w:tcPr>
            <w:tcW w:w="0" w:type="auto"/>
            <w:noWrap/>
            <w:hideMark/>
          </w:tcPr>
          <w:p w14:paraId="731E5A9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11.4</w:t>
            </w:r>
          </w:p>
        </w:tc>
        <w:tc>
          <w:tcPr>
            <w:tcW w:w="0" w:type="auto"/>
            <w:noWrap/>
            <w:hideMark/>
          </w:tcPr>
          <w:p w14:paraId="6E867B9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11.4</w:t>
            </w:r>
          </w:p>
        </w:tc>
      </w:tr>
      <w:tr w:rsidR="00D66210" w:rsidRPr="000324CE" w14:paraId="2D79951F" w14:textId="77777777" w:rsidTr="00292280">
        <w:trPr>
          <w:trHeight w:val="300"/>
        </w:trPr>
        <w:tc>
          <w:tcPr>
            <w:tcW w:w="0" w:type="auto"/>
            <w:noWrap/>
            <w:hideMark/>
          </w:tcPr>
          <w:p w14:paraId="169C9D94" w14:textId="77777777" w:rsidR="00D66210" w:rsidRPr="000324CE" w:rsidRDefault="00D66210" w:rsidP="000324CE">
            <w:pPr>
              <w:pStyle w:val="NoSpacing"/>
              <w:spacing w:before="0"/>
              <w:rPr>
                <w:i/>
                <w:sz w:val="20"/>
                <w:szCs w:val="20"/>
                <w:lang w:eastAsia="en-GB"/>
              </w:rPr>
            </w:pPr>
            <w:r w:rsidRPr="000324CE">
              <w:rPr>
                <w:i/>
                <w:sz w:val="20"/>
                <w:szCs w:val="20"/>
                <w:lang w:eastAsia="en-GB"/>
              </w:rPr>
              <w:t>Mexico</w:t>
            </w:r>
          </w:p>
        </w:tc>
        <w:tc>
          <w:tcPr>
            <w:tcW w:w="0" w:type="auto"/>
            <w:noWrap/>
            <w:hideMark/>
          </w:tcPr>
          <w:p w14:paraId="1155F07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45.3</w:t>
            </w:r>
          </w:p>
        </w:tc>
        <w:tc>
          <w:tcPr>
            <w:tcW w:w="0" w:type="auto"/>
            <w:noWrap/>
            <w:hideMark/>
          </w:tcPr>
          <w:p w14:paraId="28F6B37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65.2</w:t>
            </w:r>
          </w:p>
        </w:tc>
        <w:tc>
          <w:tcPr>
            <w:tcW w:w="0" w:type="auto"/>
            <w:noWrap/>
            <w:hideMark/>
          </w:tcPr>
          <w:p w14:paraId="1B4F927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58.6</w:t>
            </w:r>
          </w:p>
        </w:tc>
        <w:tc>
          <w:tcPr>
            <w:tcW w:w="0" w:type="auto"/>
            <w:noWrap/>
            <w:hideMark/>
          </w:tcPr>
          <w:p w14:paraId="56B33FA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14.2</w:t>
            </w:r>
          </w:p>
        </w:tc>
        <w:tc>
          <w:tcPr>
            <w:tcW w:w="0" w:type="auto"/>
            <w:noWrap/>
            <w:hideMark/>
          </w:tcPr>
          <w:p w14:paraId="359D50F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59.4</w:t>
            </w:r>
          </w:p>
        </w:tc>
        <w:tc>
          <w:tcPr>
            <w:tcW w:w="0" w:type="auto"/>
            <w:noWrap/>
            <w:hideMark/>
          </w:tcPr>
          <w:p w14:paraId="6F3709A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50.8</w:t>
            </w:r>
          </w:p>
        </w:tc>
      </w:tr>
      <w:tr w:rsidR="00D66210" w:rsidRPr="000324CE" w14:paraId="7C6E46D6" w14:textId="77777777" w:rsidTr="005800A8">
        <w:trPr>
          <w:trHeight w:val="300"/>
        </w:trPr>
        <w:tc>
          <w:tcPr>
            <w:tcW w:w="0" w:type="auto"/>
            <w:noWrap/>
            <w:hideMark/>
          </w:tcPr>
          <w:p w14:paraId="2C5A971C" w14:textId="77777777" w:rsidR="00D66210" w:rsidRPr="000324CE" w:rsidRDefault="00D66210" w:rsidP="000324CE">
            <w:pPr>
              <w:pStyle w:val="NoSpacing"/>
              <w:spacing w:before="0"/>
              <w:rPr>
                <w:i/>
                <w:sz w:val="20"/>
                <w:szCs w:val="20"/>
                <w:lang w:eastAsia="en-GB"/>
              </w:rPr>
            </w:pPr>
            <w:r w:rsidRPr="000324CE">
              <w:rPr>
                <w:i/>
                <w:sz w:val="20"/>
                <w:szCs w:val="20"/>
                <w:lang w:eastAsia="en-GB"/>
              </w:rPr>
              <w:t>Moldova</w:t>
            </w:r>
          </w:p>
        </w:tc>
        <w:tc>
          <w:tcPr>
            <w:tcW w:w="0" w:type="auto"/>
            <w:noWrap/>
            <w:hideMark/>
          </w:tcPr>
          <w:p w14:paraId="2A63E6A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5593D06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2AF13C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51.3</w:t>
            </w:r>
          </w:p>
        </w:tc>
        <w:tc>
          <w:tcPr>
            <w:tcW w:w="0" w:type="auto"/>
            <w:noWrap/>
            <w:hideMark/>
          </w:tcPr>
          <w:p w14:paraId="319685A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44.6</w:t>
            </w:r>
          </w:p>
        </w:tc>
        <w:tc>
          <w:tcPr>
            <w:tcW w:w="0" w:type="auto"/>
            <w:noWrap/>
            <w:hideMark/>
          </w:tcPr>
          <w:p w14:paraId="7691E84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51.0</w:t>
            </w:r>
          </w:p>
        </w:tc>
        <w:tc>
          <w:tcPr>
            <w:tcW w:w="0" w:type="auto"/>
            <w:noWrap/>
            <w:hideMark/>
          </w:tcPr>
          <w:p w14:paraId="5689B84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08B26435" w14:textId="77777777" w:rsidTr="00292280">
        <w:trPr>
          <w:trHeight w:val="300"/>
        </w:trPr>
        <w:tc>
          <w:tcPr>
            <w:tcW w:w="0" w:type="auto"/>
            <w:noWrap/>
          </w:tcPr>
          <w:p w14:paraId="2DA08CE9" w14:textId="77777777" w:rsidR="00D66210" w:rsidRPr="000324CE" w:rsidRDefault="00D66210" w:rsidP="000324CE">
            <w:pPr>
              <w:pStyle w:val="NoSpacing"/>
              <w:spacing w:before="0"/>
              <w:rPr>
                <w:i/>
                <w:sz w:val="20"/>
                <w:szCs w:val="20"/>
                <w:lang w:eastAsia="en-GB"/>
              </w:rPr>
            </w:pPr>
            <w:r w:rsidRPr="000324CE">
              <w:rPr>
                <w:i/>
                <w:sz w:val="20"/>
                <w:szCs w:val="20"/>
                <w:lang w:eastAsia="en-GB"/>
              </w:rPr>
              <w:t>Morocco</w:t>
            </w:r>
          </w:p>
        </w:tc>
        <w:tc>
          <w:tcPr>
            <w:tcW w:w="0" w:type="auto"/>
            <w:noWrap/>
          </w:tcPr>
          <w:p w14:paraId="034A823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5C723AF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254CFE6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tcPr>
          <w:p w14:paraId="15C8C31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37.4</w:t>
            </w:r>
          </w:p>
        </w:tc>
        <w:tc>
          <w:tcPr>
            <w:tcW w:w="0" w:type="auto"/>
            <w:noWrap/>
          </w:tcPr>
          <w:p w14:paraId="51F1CF2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46.6</w:t>
            </w:r>
          </w:p>
        </w:tc>
        <w:tc>
          <w:tcPr>
            <w:tcW w:w="0" w:type="auto"/>
            <w:noWrap/>
          </w:tcPr>
          <w:p w14:paraId="44A4FE0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19.4</w:t>
            </w:r>
          </w:p>
        </w:tc>
      </w:tr>
      <w:tr w:rsidR="00D66210" w:rsidRPr="000324CE" w14:paraId="6DF628F0" w14:textId="77777777" w:rsidTr="005800A8">
        <w:trPr>
          <w:trHeight w:val="300"/>
        </w:trPr>
        <w:tc>
          <w:tcPr>
            <w:tcW w:w="0" w:type="auto"/>
            <w:noWrap/>
            <w:hideMark/>
          </w:tcPr>
          <w:p w14:paraId="3EBAFCED" w14:textId="77777777" w:rsidR="00D66210" w:rsidRPr="000324CE" w:rsidRDefault="00D66210" w:rsidP="000324CE">
            <w:pPr>
              <w:pStyle w:val="NoSpacing"/>
              <w:spacing w:before="0"/>
              <w:rPr>
                <w:i/>
                <w:sz w:val="20"/>
                <w:szCs w:val="20"/>
                <w:lang w:eastAsia="en-GB"/>
              </w:rPr>
            </w:pPr>
            <w:r w:rsidRPr="000324CE">
              <w:rPr>
                <w:i/>
                <w:sz w:val="20"/>
                <w:szCs w:val="20"/>
                <w:lang w:eastAsia="en-GB"/>
              </w:rPr>
              <w:t>Peru</w:t>
            </w:r>
          </w:p>
        </w:tc>
        <w:tc>
          <w:tcPr>
            <w:tcW w:w="0" w:type="auto"/>
            <w:noWrap/>
            <w:hideMark/>
          </w:tcPr>
          <w:p w14:paraId="2685E85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7A30109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0F8BA9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44.7</w:t>
            </w:r>
          </w:p>
        </w:tc>
        <w:tc>
          <w:tcPr>
            <w:tcW w:w="0" w:type="auto"/>
            <w:noWrap/>
            <w:hideMark/>
          </w:tcPr>
          <w:p w14:paraId="011BB90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68.3</w:t>
            </w:r>
          </w:p>
        </w:tc>
        <w:tc>
          <w:tcPr>
            <w:tcW w:w="0" w:type="auto"/>
            <w:noWrap/>
            <w:hideMark/>
          </w:tcPr>
          <w:p w14:paraId="1F9630E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64.0</w:t>
            </w:r>
          </w:p>
        </w:tc>
        <w:tc>
          <w:tcPr>
            <w:tcW w:w="0" w:type="auto"/>
            <w:noWrap/>
            <w:hideMark/>
          </w:tcPr>
          <w:p w14:paraId="5FDE4B2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0F900595" w14:textId="77777777" w:rsidTr="00292280">
        <w:trPr>
          <w:trHeight w:val="300"/>
        </w:trPr>
        <w:tc>
          <w:tcPr>
            <w:tcW w:w="0" w:type="auto"/>
            <w:noWrap/>
            <w:hideMark/>
          </w:tcPr>
          <w:p w14:paraId="178D7AE6" w14:textId="77777777" w:rsidR="00D66210" w:rsidRPr="000324CE" w:rsidRDefault="00D66210" w:rsidP="000324CE">
            <w:pPr>
              <w:pStyle w:val="NoSpacing"/>
              <w:spacing w:before="0"/>
              <w:rPr>
                <w:i/>
                <w:sz w:val="20"/>
                <w:szCs w:val="20"/>
                <w:lang w:eastAsia="en-GB"/>
              </w:rPr>
            </w:pPr>
            <w:r w:rsidRPr="000324CE">
              <w:rPr>
                <w:i/>
                <w:sz w:val="20"/>
                <w:szCs w:val="20"/>
                <w:lang w:eastAsia="en-GB"/>
              </w:rPr>
              <w:t>Serbia</w:t>
            </w:r>
          </w:p>
        </w:tc>
        <w:tc>
          <w:tcPr>
            <w:tcW w:w="0" w:type="auto"/>
            <w:noWrap/>
            <w:hideMark/>
          </w:tcPr>
          <w:p w14:paraId="29B078D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721874D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F46764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46.8</w:t>
            </w:r>
          </w:p>
        </w:tc>
        <w:tc>
          <w:tcPr>
            <w:tcW w:w="0" w:type="auto"/>
            <w:noWrap/>
            <w:hideMark/>
          </w:tcPr>
          <w:p w14:paraId="3D34617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56.2</w:t>
            </w:r>
          </w:p>
        </w:tc>
        <w:tc>
          <w:tcPr>
            <w:tcW w:w="0" w:type="auto"/>
            <w:noWrap/>
            <w:hideMark/>
          </w:tcPr>
          <w:p w14:paraId="1D8C5D7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58.0</w:t>
            </w:r>
          </w:p>
        </w:tc>
        <w:tc>
          <w:tcPr>
            <w:tcW w:w="0" w:type="auto"/>
            <w:noWrap/>
            <w:hideMark/>
          </w:tcPr>
          <w:p w14:paraId="2CE95C8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09E8F5C1" w14:textId="77777777" w:rsidTr="005800A8">
        <w:trPr>
          <w:trHeight w:val="300"/>
        </w:trPr>
        <w:tc>
          <w:tcPr>
            <w:tcW w:w="0" w:type="auto"/>
            <w:noWrap/>
            <w:hideMark/>
          </w:tcPr>
          <w:p w14:paraId="2332EABD" w14:textId="77777777" w:rsidR="00D66210" w:rsidRPr="000324CE" w:rsidRDefault="00D66210" w:rsidP="000324CE">
            <w:pPr>
              <w:pStyle w:val="NoSpacing"/>
              <w:spacing w:before="0"/>
              <w:rPr>
                <w:i/>
                <w:sz w:val="20"/>
                <w:szCs w:val="20"/>
                <w:lang w:eastAsia="en-GB"/>
              </w:rPr>
            </w:pPr>
            <w:r w:rsidRPr="000324CE">
              <w:rPr>
                <w:i/>
                <w:sz w:val="20"/>
                <w:szCs w:val="20"/>
                <w:lang w:eastAsia="en-GB"/>
              </w:rPr>
              <w:t>South Africa</w:t>
            </w:r>
          </w:p>
        </w:tc>
        <w:tc>
          <w:tcPr>
            <w:tcW w:w="0" w:type="auto"/>
            <w:noWrap/>
            <w:hideMark/>
          </w:tcPr>
          <w:p w14:paraId="736424A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38.1</w:t>
            </w:r>
          </w:p>
        </w:tc>
        <w:tc>
          <w:tcPr>
            <w:tcW w:w="0" w:type="auto"/>
            <w:noWrap/>
            <w:hideMark/>
          </w:tcPr>
          <w:p w14:paraId="63E0271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60.2</w:t>
            </w:r>
          </w:p>
        </w:tc>
        <w:tc>
          <w:tcPr>
            <w:tcW w:w="0" w:type="auto"/>
            <w:noWrap/>
            <w:hideMark/>
          </w:tcPr>
          <w:p w14:paraId="29495FC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48.4</w:t>
            </w:r>
          </w:p>
        </w:tc>
        <w:tc>
          <w:tcPr>
            <w:tcW w:w="0" w:type="auto"/>
            <w:noWrap/>
            <w:hideMark/>
          </w:tcPr>
          <w:p w14:paraId="7EEBF96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55.3</w:t>
            </w:r>
          </w:p>
        </w:tc>
        <w:tc>
          <w:tcPr>
            <w:tcW w:w="0" w:type="auto"/>
            <w:noWrap/>
            <w:hideMark/>
          </w:tcPr>
          <w:p w14:paraId="3DCBF9C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47.7</w:t>
            </w:r>
          </w:p>
        </w:tc>
        <w:tc>
          <w:tcPr>
            <w:tcW w:w="0" w:type="auto"/>
            <w:noWrap/>
            <w:hideMark/>
          </w:tcPr>
          <w:p w14:paraId="5539150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r>
      <w:tr w:rsidR="00D66210" w:rsidRPr="000324CE" w14:paraId="791AD541" w14:textId="77777777" w:rsidTr="00292280">
        <w:trPr>
          <w:trHeight w:val="300"/>
        </w:trPr>
        <w:tc>
          <w:tcPr>
            <w:tcW w:w="0" w:type="auto"/>
            <w:noWrap/>
            <w:hideMark/>
          </w:tcPr>
          <w:p w14:paraId="4928ADC7" w14:textId="77777777" w:rsidR="00D66210" w:rsidRPr="000324CE" w:rsidRDefault="00D66210" w:rsidP="000324CE">
            <w:pPr>
              <w:pStyle w:val="NoSpacing"/>
              <w:spacing w:before="0"/>
              <w:rPr>
                <w:i/>
                <w:sz w:val="20"/>
                <w:szCs w:val="20"/>
                <w:lang w:eastAsia="en-GB"/>
              </w:rPr>
            </w:pPr>
            <w:r w:rsidRPr="000324CE">
              <w:rPr>
                <w:i/>
                <w:sz w:val="20"/>
                <w:szCs w:val="20"/>
                <w:lang w:eastAsia="en-GB"/>
              </w:rPr>
              <w:t>South Korea</w:t>
            </w:r>
          </w:p>
        </w:tc>
        <w:tc>
          <w:tcPr>
            <w:tcW w:w="0" w:type="auto"/>
            <w:noWrap/>
            <w:hideMark/>
          </w:tcPr>
          <w:p w14:paraId="389F7BC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43.4</w:t>
            </w:r>
          </w:p>
        </w:tc>
        <w:tc>
          <w:tcPr>
            <w:tcW w:w="0" w:type="auto"/>
            <w:noWrap/>
            <w:hideMark/>
          </w:tcPr>
          <w:p w14:paraId="595BEB30"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52.9</w:t>
            </w:r>
          </w:p>
        </w:tc>
        <w:tc>
          <w:tcPr>
            <w:tcW w:w="0" w:type="auto"/>
            <w:noWrap/>
            <w:hideMark/>
          </w:tcPr>
          <w:p w14:paraId="365A7A3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51.4</w:t>
            </w:r>
          </w:p>
        </w:tc>
        <w:tc>
          <w:tcPr>
            <w:tcW w:w="0" w:type="auto"/>
            <w:noWrap/>
            <w:hideMark/>
          </w:tcPr>
          <w:p w14:paraId="48103BE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67.2</w:t>
            </w:r>
          </w:p>
        </w:tc>
        <w:tc>
          <w:tcPr>
            <w:tcW w:w="0" w:type="auto"/>
            <w:noWrap/>
            <w:hideMark/>
          </w:tcPr>
          <w:p w14:paraId="31D7845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56.5</w:t>
            </w:r>
          </w:p>
        </w:tc>
        <w:tc>
          <w:tcPr>
            <w:tcW w:w="0" w:type="auto"/>
            <w:noWrap/>
            <w:hideMark/>
          </w:tcPr>
          <w:p w14:paraId="33FC822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66.9</w:t>
            </w:r>
          </w:p>
        </w:tc>
      </w:tr>
      <w:tr w:rsidR="00D66210" w:rsidRPr="000324CE" w14:paraId="7DE70279" w14:textId="77777777" w:rsidTr="005800A8">
        <w:trPr>
          <w:trHeight w:val="300"/>
        </w:trPr>
        <w:tc>
          <w:tcPr>
            <w:tcW w:w="0" w:type="auto"/>
            <w:noWrap/>
            <w:hideMark/>
          </w:tcPr>
          <w:p w14:paraId="157427CF" w14:textId="77777777" w:rsidR="00D66210" w:rsidRPr="000324CE" w:rsidRDefault="00D66210" w:rsidP="000324CE">
            <w:pPr>
              <w:pStyle w:val="NoSpacing"/>
              <w:spacing w:before="0"/>
              <w:rPr>
                <w:i/>
                <w:sz w:val="20"/>
                <w:szCs w:val="20"/>
                <w:lang w:eastAsia="en-GB"/>
              </w:rPr>
            </w:pPr>
            <w:r w:rsidRPr="000324CE">
              <w:rPr>
                <w:i/>
                <w:sz w:val="20"/>
                <w:szCs w:val="20"/>
                <w:lang w:eastAsia="en-GB"/>
              </w:rPr>
              <w:t>Spain</w:t>
            </w:r>
          </w:p>
        </w:tc>
        <w:tc>
          <w:tcPr>
            <w:tcW w:w="0" w:type="auto"/>
            <w:noWrap/>
            <w:hideMark/>
          </w:tcPr>
          <w:p w14:paraId="2427FA2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2CB48EB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59.4</w:t>
            </w:r>
          </w:p>
        </w:tc>
        <w:tc>
          <w:tcPr>
            <w:tcW w:w="0" w:type="auto"/>
            <w:noWrap/>
            <w:hideMark/>
          </w:tcPr>
          <w:p w14:paraId="25D41FE8"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56.4</w:t>
            </w:r>
          </w:p>
        </w:tc>
        <w:tc>
          <w:tcPr>
            <w:tcW w:w="0" w:type="auto"/>
            <w:noWrap/>
            <w:hideMark/>
          </w:tcPr>
          <w:p w14:paraId="55D8D2C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67.6</w:t>
            </w:r>
          </w:p>
        </w:tc>
        <w:tc>
          <w:tcPr>
            <w:tcW w:w="0" w:type="auto"/>
            <w:noWrap/>
            <w:hideMark/>
          </w:tcPr>
          <w:p w14:paraId="7A1C2CA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75.6</w:t>
            </w:r>
          </w:p>
        </w:tc>
        <w:tc>
          <w:tcPr>
            <w:tcW w:w="0" w:type="auto"/>
            <w:noWrap/>
            <w:hideMark/>
          </w:tcPr>
          <w:p w14:paraId="25E9301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64.8</w:t>
            </w:r>
          </w:p>
        </w:tc>
      </w:tr>
      <w:tr w:rsidR="00D66210" w:rsidRPr="000324CE" w14:paraId="0AB54E3D" w14:textId="77777777" w:rsidTr="00292280">
        <w:trPr>
          <w:trHeight w:val="300"/>
        </w:trPr>
        <w:tc>
          <w:tcPr>
            <w:tcW w:w="0" w:type="auto"/>
            <w:noWrap/>
            <w:hideMark/>
          </w:tcPr>
          <w:p w14:paraId="2256E288" w14:textId="77777777" w:rsidR="00D66210" w:rsidRPr="000324CE" w:rsidRDefault="00D66210" w:rsidP="000324CE">
            <w:pPr>
              <w:pStyle w:val="NoSpacing"/>
              <w:spacing w:before="0"/>
              <w:rPr>
                <w:i/>
                <w:sz w:val="20"/>
                <w:szCs w:val="20"/>
                <w:lang w:eastAsia="en-GB"/>
              </w:rPr>
            </w:pPr>
            <w:r w:rsidRPr="000324CE">
              <w:rPr>
                <w:i/>
                <w:sz w:val="20"/>
                <w:szCs w:val="20"/>
                <w:lang w:eastAsia="en-GB"/>
              </w:rPr>
              <w:t>Sweden</w:t>
            </w:r>
          </w:p>
        </w:tc>
        <w:tc>
          <w:tcPr>
            <w:tcW w:w="0" w:type="auto"/>
            <w:noWrap/>
            <w:hideMark/>
          </w:tcPr>
          <w:p w14:paraId="7A3D379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1989D6C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580131A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78.4</w:t>
            </w:r>
          </w:p>
        </w:tc>
        <w:tc>
          <w:tcPr>
            <w:tcW w:w="0" w:type="auto"/>
            <w:noWrap/>
            <w:hideMark/>
          </w:tcPr>
          <w:p w14:paraId="40DA0D89"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88.0</w:t>
            </w:r>
          </w:p>
        </w:tc>
        <w:tc>
          <w:tcPr>
            <w:tcW w:w="0" w:type="auto"/>
            <w:noWrap/>
            <w:hideMark/>
          </w:tcPr>
          <w:p w14:paraId="08461A03"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78.7</w:t>
            </w:r>
          </w:p>
        </w:tc>
        <w:tc>
          <w:tcPr>
            <w:tcW w:w="0" w:type="auto"/>
            <w:noWrap/>
            <w:hideMark/>
          </w:tcPr>
          <w:p w14:paraId="0460A562"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74.4</w:t>
            </w:r>
          </w:p>
        </w:tc>
      </w:tr>
      <w:tr w:rsidR="00D66210" w:rsidRPr="000324CE" w14:paraId="66F7D0F9" w14:textId="77777777" w:rsidTr="005800A8">
        <w:trPr>
          <w:trHeight w:val="300"/>
        </w:trPr>
        <w:tc>
          <w:tcPr>
            <w:tcW w:w="0" w:type="auto"/>
            <w:noWrap/>
            <w:hideMark/>
          </w:tcPr>
          <w:p w14:paraId="68871F06" w14:textId="77777777" w:rsidR="00D66210" w:rsidRPr="000324CE" w:rsidRDefault="00D66210" w:rsidP="000324CE">
            <w:pPr>
              <w:pStyle w:val="NoSpacing"/>
              <w:spacing w:before="0"/>
              <w:rPr>
                <w:i/>
                <w:sz w:val="20"/>
                <w:szCs w:val="20"/>
                <w:lang w:eastAsia="en-GB"/>
              </w:rPr>
            </w:pPr>
            <w:r w:rsidRPr="000324CE">
              <w:rPr>
                <w:i/>
                <w:sz w:val="20"/>
                <w:szCs w:val="20"/>
                <w:lang w:eastAsia="en-GB"/>
              </w:rPr>
              <w:t>Turkey</w:t>
            </w:r>
          </w:p>
        </w:tc>
        <w:tc>
          <w:tcPr>
            <w:tcW w:w="0" w:type="auto"/>
            <w:noWrap/>
            <w:hideMark/>
          </w:tcPr>
          <w:p w14:paraId="22BE111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noWrap/>
            <w:hideMark/>
          </w:tcPr>
          <w:p w14:paraId="70A3102C"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37.3</w:t>
            </w:r>
          </w:p>
        </w:tc>
        <w:tc>
          <w:tcPr>
            <w:tcW w:w="0" w:type="auto"/>
            <w:noWrap/>
            <w:hideMark/>
          </w:tcPr>
          <w:p w14:paraId="3AB0603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35.7</w:t>
            </w:r>
          </w:p>
        </w:tc>
        <w:tc>
          <w:tcPr>
            <w:tcW w:w="0" w:type="auto"/>
            <w:noWrap/>
            <w:hideMark/>
          </w:tcPr>
          <w:p w14:paraId="1B6918E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41.8</w:t>
            </w:r>
          </w:p>
        </w:tc>
        <w:tc>
          <w:tcPr>
            <w:tcW w:w="0" w:type="auto"/>
            <w:noWrap/>
            <w:hideMark/>
          </w:tcPr>
          <w:p w14:paraId="29ECD20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36.9</w:t>
            </w:r>
          </w:p>
        </w:tc>
        <w:tc>
          <w:tcPr>
            <w:tcW w:w="0" w:type="auto"/>
            <w:noWrap/>
            <w:hideMark/>
          </w:tcPr>
          <w:p w14:paraId="7D41F8EF"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33.9</w:t>
            </w:r>
          </w:p>
        </w:tc>
      </w:tr>
      <w:tr w:rsidR="00D66210" w:rsidRPr="000324CE" w14:paraId="3325EC18" w14:textId="77777777" w:rsidTr="005800A8">
        <w:trPr>
          <w:trHeight w:val="300"/>
        </w:trPr>
        <w:tc>
          <w:tcPr>
            <w:tcW w:w="0" w:type="auto"/>
            <w:tcBorders>
              <w:bottom w:val="single" w:sz="4" w:space="0" w:color="auto"/>
            </w:tcBorders>
            <w:noWrap/>
            <w:hideMark/>
          </w:tcPr>
          <w:p w14:paraId="4C18CCBA" w14:textId="77777777" w:rsidR="00D66210" w:rsidRPr="000324CE" w:rsidRDefault="00D66210" w:rsidP="000324CE">
            <w:pPr>
              <w:pStyle w:val="NoSpacing"/>
              <w:spacing w:before="0"/>
              <w:rPr>
                <w:i/>
                <w:sz w:val="20"/>
                <w:szCs w:val="20"/>
                <w:lang w:eastAsia="en-GB"/>
              </w:rPr>
            </w:pPr>
            <w:r w:rsidRPr="000324CE">
              <w:rPr>
                <w:i/>
                <w:sz w:val="20"/>
                <w:szCs w:val="20"/>
                <w:lang w:eastAsia="en-GB"/>
              </w:rPr>
              <w:t>United States</w:t>
            </w:r>
          </w:p>
        </w:tc>
        <w:tc>
          <w:tcPr>
            <w:tcW w:w="0" w:type="auto"/>
            <w:tcBorders>
              <w:bottom w:val="single" w:sz="4" w:space="0" w:color="auto"/>
            </w:tcBorders>
          </w:tcPr>
          <w:p w14:paraId="6E72E777"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tcBorders>
              <w:bottom w:val="single" w:sz="4" w:space="0" w:color="auto"/>
            </w:tcBorders>
            <w:noWrap/>
            <w:hideMark/>
          </w:tcPr>
          <w:p w14:paraId="4926AFA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w:t>
            </w:r>
          </w:p>
        </w:tc>
        <w:tc>
          <w:tcPr>
            <w:tcW w:w="0" w:type="auto"/>
            <w:tcBorders>
              <w:bottom w:val="single" w:sz="4" w:space="0" w:color="auto"/>
            </w:tcBorders>
            <w:noWrap/>
            <w:hideMark/>
          </w:tcPr>
          <w:p w14:paraId="6C2D510A"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59.3</w:t>
            </w:r>
          </w:p>
        </w:tc>
        <w:tc>
          <w:tcPr>
            <w:tcW w:w="0" w:type="auto"/>
            <w:tcBorders>
              <w:bottom w:val="single" w:sz="4" w:space="0" w:color="auto"/>
            </w:tcBorders>
            <w:noWrap/>
            <w:hideMark/>
          </w:tcPr>
          <w:p w14:paraId="218ACF64"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75.7</w:t>
            </w:r>
          </w:p>
        </w:tc>
        <w:tc>
          <w:tcPr>
            <w:tcW w:w="0" w:type="auto"/>
            <w:tcBorders>
              <w:bottom w:val="single" w:sz="4" w:space="0" w:color="auto"/>
            </w:tcBorders>
            <w:noWrap/>
            <w:hideMark/>
          </w:tcPr>
          <w:p w14:paraId="6542F23D"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69.9</w:t>
            </w:r>
          </w:p>
        </w:tc>
        <w:tc>
          <w:tcPr>
            <w:tcW w:w="0" w:type="auto"/>
            <w:tcBorders>
              <w:bottom w:val="single" w:sz="4" w:space="0" w:color="auto"/>
            </w:tcBorders>
            <w:noWrap/>
            <w:hideMark/>
          </w:tcPr>
          <w:p w14:paraId="5453EFD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69.5</w:t>
            </w:r>
          </w:p>
        </w:tc>
      </w:tr>
      <w:tr w:rsidR="00D66210" w:rsidRPr="000324CE" w14:paraId="4B9034B0" w14:textId="77777777" w:rsidTr="005800A8">
        <w:trPr>
          <w:trHeight w:val="300"/>
        </w:trPr>
        <w:tc>
          <w:tcPr>
            <w:tcW w:w="0" w:type="auto"/>
            <w:tcBorders>
              <w:top w:val="single" w:sz="4" w:space="0" w:color="auto"/>
              <w:bottom w:val="single" w:sz="4" w:space="0" w:color="auto"/>
            </w:tcBorders>
            <w:shd w:val="clear" w:color="auto" w:fill="F2F2F2" w:themeFill="background1" w:themeFillShade="F2"/>
            <w:noWrap/>
            <w:hideMark/>
          </w:tcPr>
          <w:p w14:paraId="50DF2365" w14:textId="77777777" w:rsidR="00D66210" w:rsidRPr="000324CE" w:rsidRDefault="00D66210" w:rsidP="000324CE">
            <w:pPr>
              <w:pStyle w:val="NoSpacing"/>
              <w:spacing w:before="0"/>
              <w:rPr>
                <w:b/>
                <w:i/>
                <w:sz w:val="20"/>
                <w:szCs w:val="20"/>
                <w:lang w:eastAsia="en-GB"/>
              </w:rPr>
            </w:pPr>
            <w:r w:rsidRPr="000324CE">
              <w:rPr>
                <w:b/>
                <w:i/>
                <w:sz w:val="20"/>
                <w:szCs w:val="20"/>
                <w:lang w:eastAsia="en-GB"/>
              </w:rPr>
              <w:t>Average</w:t>
            </w:r>
          </w:p>
        </w:tc>
        <w:tc>
          <w:tcPr>
            <w:tcW w:w="0" w:type="auto"/>
            <w:tcBorders>
              <w:top w:val="single" w:sz="4" w:space="0" w:color="auto"/>
              <w:bottom w:val="single" w:sz="4" w:space="0" w:color="auto"/>
            </w:tcBorders>
            <w:shd w:val="clear" w:color="auto" w:fill="F2F2F2" w:themeFill="background1" w:themeFillShade="F2"/>
          </w:tcPr>
          <w:p w14:paraId="1B5DA8E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45.6</w:t>
            </w:r>
          </w:p>
        </w:tc>
        <w:tc>
          <w:tcPr>
            <w:tcW w:w="0" w:type="auto"/>
            <w:tcBorders>
              <w:top w:val="single" w:sz="4" w:space="0" w:color="auto"/>
              <w:bottom w:val="single" w:sz="4" w:space="0" w:color="auto"/>
            </w:tcBorders>
            <w:shd w:val="clear" w:color="auto" w:fill="F2F2F2" w:themeFill="background1" w:themeFillShade="F2"/>
            <w:noWrap/>
            <w:hideMark/>
          </w:tcPr>
          <w:p w14:paraId="73250C71"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53.1</w:t>
            </w:r>
          </w:p>
        </w:tc>
        <w:tc>
          <w:tcPr>
            <w:tcW w:w="0" w:type="auto"/>
            <w:tcBorders>
              <w:top w:val="single" w:sz="4" w:space="0" w:color="auto"/>
              <w:bottom w:val="single" w:sz="4" w:space="0" w:color="auto"/>
            </w:tcBorders>
            <w:shd w:val="clear" w:color="auto" w:fill="F2F2F2" w:themeFill="background1" w:themeFillShade="F2"/>
            <w:noWrap/>
            <w:hideMark/>
          </w:tcPr>
          <w:p w14:paraId="6F5B2E2E"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52.0</w:t>
            </w:r>
          </w:p>
        </w:tc>
        <w:tc>
          <w:tcPr>
            <w:tcW w:w="0" w:type="auto"/>
            <w:tcBorders>
              <w:top w:val="single" w:sz="4" w:space="0" w:color="auto"/>
              <w:bottom w:val="single" w:sz="4" w:space="0" w:color="auto"/>
            </w:tcBorders>
            <w:shd w:val="clear" w:color="auto" w:fill="F2F2F2" w:themeFill="background1" w:themeFillShade="F2"/>
            <w:noWrap/>
            <w:hideMark/>
          </w:tcPr>
          <w:p w14:paraId="1807808B"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48.2</w:t>
            </w:r>
          </w:p>
        </w:tc>
        <w:tc>
          <w:tcPr>
            <w:tcW w:w="0" w:type="auto"/>
            <w:tcBorders>
              <w:top w:val="single" w:sz="4" w:space="0" w:color="auto"/>
              <w:bottom w:val="single" w:sz="4" w:space="0" w:color="auto"/>
            </w:tcBorders>
            <w:shd w:val="clear" w:color="auto" w:fill="F2F2F2" w:themeFill="background1" w:themeFillShade="F2"/>
            <w:noWrap/>
            <w:hideMark/>
          </w:tcPr>
          <w:p w14:paraId="72DB0246"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49.8</w:t>
            </w:r>
          </w:p>
        </w:tc>
        <w:tc>
          <w:tcPr>
            <w:tcW w:w="0" w:type="auto"/>
            <w:tcBorders>
              <w:top w:val="single" w:sz="4" w:space="0" w:color="auto"/>
              <w:bottom w:val="single" w:sz="4" w:space="0" w:color="auto"/>
            </w:tcBorders>
            <w:shd w:val="clear" w:color="auto" w:fill="F2F2F2" w:themeFill="background1" w:themeFillShade="F2"/>
            <w:noWrap/>
            <w:hideMark/>
          </w:tcPr>
          <w:p w14:paraId="56F336F5" w14:textId="77777777" w:rsidR="00D66210" w:rsidRPr="000324CE" w:rsidRDefault="00D66210" w:rsidP="000324CE">
            <w:pPr>
              <w:pStyle w:val="NoSpacing"/>
              <w:spacing w:before="0"/>
              <w:jc w:val="center"/>
              <w:rPr>
                <w:sz w:val="20"/>
                <w:szCs w:val="20"/>
                <w:lang w:eastAsia="en-GB"/>
              </w:rPr>
            </w:pPr>
            <w:r w:rsidRPr="000324CE">
              <w:rPr>
                <w:sz w:val="20"/>
                <w:szCs w:val="20"/>
                <w:lang w:eastAsia="en-GB"/>
              </w:rPr>
              <w:t>41.1</w:t>
            </w:r>
          </w:p>
        </w:tc>
      </w:tr>
    </w:tbl>
    <w:p w14:paraId="76421C0D" w14:textId="77777777" w:rsidR="00D66210" w:rsidRPr="000324CE" w:rsidRDefault="00D66210" w:rsidP="00D66210">
      <w:pPr>
        <w:jc w:val="right"/>
        <w:rPr>
          <w:sz w:val="16"/>
          <w:szCs w:val="16"/>
        </w:rPr>
      </w:pPr>
      <w:r w:rsidRPr="000324CE">
        <w:rPr>
          <w:sz w:val="16"/>
          <w:szCs w:val="16"/>
        </w:rPr>
        <w:tab/>
        <w:t>Percentages exclude ‘Don’t Knows’</w:t>
      </w:r>
    </w:p>
    <w:p w14:paraId="31DF55B6" w14:textId="51D0E97E" w:rsidR="00D66210" w:rsidRPr="00D852C0" w:rsidRDefault="00D66210" w:rsidP="00D66210">
      <w:r w:rsidRPr="00D852C0">
        <w:t xml:space="preserve">Across these three activities and times certain countries show themselves to have very weak levels of informal political. Prominent among them are states like Jordan and, particularly in the last two waves of the survey, Egypt: often 80% or more respondents claimed they would </w:t>
      </w:r>
      <w:r w:rsidRPr="00D852C0">
        <w:rPr>
          <w:i/>
        </w:rPr>
        <w:t>never</w:t>
      </w:r>
      <w:r w:rsidRPr="00D852C0">
        <w:t xml:space="preserve">, </w:t>
      </w:r>
      <w:r w:rsidRPr="00D852C0">
        <w:rPr>
          <w:i/>
        </w:rPr>
        <w:t xml:space="preserve">under any circumstances </w:t>
      </w:r>
      <w:r w:rsidRPr="00D852C0">
        <w:t xml:space="preserve">undertake that particular type of political action. Notably, both these countries have very </w:t>
      </w:r>
      <w:r w:rsidR="00795398">
        <w:t>recent authoritarian histories.</w:t>
      </w:r>
      <w:r w:rsidR="00EB7353">
        <w:t xml:space="preserve"> </w:t>
      </w:r>
      <w:r w:rsidRPr="00D852C0">
        <w:t>What is interesting about this is that large-scale civil unrest has occurred in Egypt (2010-ongoing) and Jordan (2011-ongoing</w:t>
      </w:r>
      <w:r w:rsidR="000A14C8">
        <w:t>, although at a much lower level</w:t>
      </w:r>
      <w:r w:rsidRPr="00D852C0">
        <w:t>).</w:t>
      </w:r>
      <w:r w:rsidR="00672BC7">
        <w:t xml:space="preserve"> T</w:t>
      </w:r>
      <w:r w:rsidRPr="00D852C0">
        <w:t>he results for Thailand, Vietnam, Indonesia and Malaysia (not shown as they were only available for two years</w:t>
      </w:r>
      <w:r w:rsidRPr="00A34AE3">
        <w:t xml:space="preserve"> </w:t>
      </w:r>
      <w:r w:rsidRPr="00D852C0">
        <w:t xml:space="preserve">or less) are also very low, even though there </w:t>
      </w:r>
      <w:r>
        <w:t>were</w:t>
      </w:r>
      <w:r w:rsidRPr="00D852C0">
        <w:t xml:space="preserve"> relatively widespread demonstrations and marches in all those countries around th</w:t>
      </w:r>
      <w:r w:rsidR="00795398">
        <w:t>e times the surveys were taken.</w:t>
      </w:r>
    </w:p>
    <w:p w14:paraId="5FE7F3B1" w14:textId="7BFD0011" w:rsidR="00D66210" w:rsidRPr="00D852C0" w:rsidRDefault="00D66210" w:rsidP="00D66210">
      <w:r w:rsidRPr="00D852C0">
        <w:t xml:space="preserve">However, increased levels of activity do not necessarily mean that percentages would go up – marches, even as large as those which occurred in Egypt, still contain very small numbers of protestors compared to the overall population. However, there could be an effect that in times of heightened political action by the public against repressive regimes, respondents in general are </w:t>
      </w:r>
      <w:r w:rsidRPr="00D852C0">
        <w:rPr>
          <w:i/>
        </w:rPr>
        <w:t>less</w:t>
      </w:r>
      <w:r w:rsidRPr="00D852C0">
        <w:t xml:space="preserve"> likely to admit they partake in such activities. This could be a wish to answer the survey question in a ‘socially-desirable’ way, or it could be a genuine fear and </w:t>
      </w:r>
      <w:r w:rsidR="00E75E1F">
        <w:t xml:space="preserve">a </w:t>
      </w:r>
      <w:r w:rsidRPr="00D852C0">
        <w:t>belief that they would not undertake (or admit to undertaking) these types of protests.</w:t>
      </w:r>
    </w:p>
    <w:p w14:paraId="607CBF91" w14:textId="77777777" w:rsidR="00D66210" w:rsidRPr="00E223A2" w:rsidRDefault="00D66210" w:rsidP="00D66A27">
      <w:pPr>
        <w:pStyle w:val="Heading2"/>
      </w:pPr>
      <w:bookmarkStart w:id="385" w:name="_Toc441069290"/>
      <w:bookmarkStart w:id="386" w:name="_Toc494034238"/>
      <w:r w:rsidRPr="00E223A2">
        <w:t>Informal Political Participation and Understandings of Democracy</w:t>
      </w:r>
      <w:bookmarkEnd w:id="385"/>
      <w:bookmarkEnd w:id="386"/>
    </w:p>
    <w:p w14:paraId="24BA0C5C" w14:textId="2D2C40D0" w:rsidR="00D66A27" w:rsidRDefault="00D66A27" w:rsidP="00D66A27">
      <w:bookmarkStart w:id="387" w:name="_Toc441069291"/>
      <w:r w:rsidRPr="006023C1">
        <w:rPr>
          <w:highlight w:val="yellow"/>
        </w:rPr>
        <w:t>Using multilevel logistic regression modelling this section now addresses the question, “What impact do citizen’s understandings of democracy have upon their likelihood of taking part in non-institutionalised forms of political participation?”.  As with Chapter 5, the models in this section are built up to examine each theory. In this case, understandings of democracy are added to the first model and then tested against the other models before being tested in a full model at the individual level, and then at the multilevel model the full model is tested with contextual variable individually. All models feature controls for age and gender. Model 1 examine the effects of the Compound and Authoritarian understandings. Model 2 adds other democratic attitudinal variables to check that the impact of these understandings is not simply part of perceived importance of democracy or whether democracy is seen as a good or bad system of government. These variables then form the foundations of models 3-8 which test the following at the individual level.: grievance theory (3); resource theory (4); social capital (5); cognitive engagement (6); religion (7); full model (8). Models 9-13 continue using the full model, but test the following contextual variables: control for country-level variance (9); level of development according to the HDI (10); freedom of the press (11); communist history (</w:t>
      </w:r>
      <w:r w:rsidRPr="000A1D84">
        <w:rPr>
          <w:highlight w:val="yellow"/>
        </w:rPr>
        <w:t xml:space="preserve">12); democratic history (13); income inequality (14); and, Freedom </w:t>
      </w:r>
      <w:r w:rsidR="00533454">
        <w:rPr>
          <w:highlight w:val="yellow"/>
        </w:rPr>
        <w:t>House ratings (15). In Figures 6.8</w:t>
      </w:r>
      <w:r w:rsidR="00FF0E2C">
        <w:rPr>
          <w:highlight w:val="yellow"/>
        </w:rPr>
        <w:t xml:space="preserve">, </w:t>
      </w:r>
      <w:r w:rsidR="00533454">
        <w:rPr>
          <w:highlight w:val="yellow"/>
        </w:rPr>
        <w:t>6.10</w:t>
      </w:r>
      <w:r w:rsidR="00FF0E2C">
        <w:rPr>
          <w:highlight w:val="yellow"/>
        </w:rPr>
        <w:t>, and 6.12</w:t>
      </w:r>
      <w:r w:rsidRPr="000A1D84">
        <w:rPr>
          <w:highlight w:val="yellow"/>
        </w:rPr>
        <w:t>, these numbers are linked to the letter for each political act: petitioning (P); boycotts (B); and demonstrating (D).</w:t>
      </w:r>
      <w:r>
        <w:t xml:space="preserve"> </w:t>
      </w:r>
    </w:p>
    <w:p w14:paraId="1078F586" w14:textId="5DE416CC" w:rsidR="00D66A27" w:rsidRDefault="00D66A27" w:rsidP="00D66A27">
      <w:r w:rsidRPr="000A1D84">
        <w:rPr>
          <w:highlight w:val="yellow"/>
        </w:rPr>
        <w:t>Before thi</w:t>
      </w:r>
      <w:r w:rsidR="00EB7353">
        <w:rPr>
          <w:highlight w:val="yellow"/>
        </w:rPr>
        <w:t>s analysis takes place, Figure 6.7</w:t>
      </w:r>
      <w:r w:rsidRPr="000A1D84">
        <w:rPr>
          <w:highlight w:val="yellow"/>
        </w:rPr>
        <w:t xml:space="preserve"> outlines null models for each political act at the single level and in a multilevel model. LR-tests are all significant demonstrating, that the reduction likelihood reduction between the models is worth examining the results with contextual controls.</w:t>
      </w:r>
      <w:r>
        <w:t xml:space="preserve"> </w:t>
      </w:r>
      <w:r w:rsidRPr="00F30CF0">
        <w:rPr>
          <w:highlight w:val="yellow"/>
        </w:rPr>
        <w:t xml:space="preserve">The models confirm the pattern seen above that boycotting is the least popular of the three activities. Furthermore, we can see in the change of constant </w:t>
      </w:r>
      <w:r>
        <w:rPr>
          <w:highlight w:val="yellow"/>
        </w:rPr>
        <w:t xml:space="preserve">from the single model to the MLM </w:t>
      </w:r>
      <w:r w:rsidRPr="00F30CF0">
        <w:rPr>
          <w:highlight w:val="yellow"/>
        </w:rPr>
        <w:t>that context has the most influence on petitioning in the dataset, suggesting this is the activity most strongly shaped by what country a respondent is from.</w:t>
      </w:r>
      <w:r>
        <w:t xml:space="preserve"> </w:t>
      </w:r>
    </w:p>
    <w:p w14:paraId="0B6FCFD4" w14:textId="61BCB2C1" w:rsidR="00D66A27" w:rsidRPr="00717D00" w:rsidRDefault="00EB7353" w:rsidP="00D66A27">
      <w:pPr>
        <w:rPr>
          <w:b/>
          <w:highlight w:val="yellow"/>
        </w:rPr>
      </w:pPr>
      <w:r w:rsidRPr="00717D00">
        <w:rPr>
          <w:rFonts w:cs="Segoe UI"/>
          <w:b/>
          <w:highlight w:val="yellow"/>
        </w:rPr>
        <w:t xml:space="preserve">Figure </w:t>
      </w:r>
      <w:r w:rsidRPr="00717D00">
        <w:rPr>
          <w:rFonts w:cs="Segoe UI"/>
          <w:b/>
          <w:highlight w:val="yellow"/>
        </w:rPr>
        <w:fldChar w:fldCharType="begin"/>
      </w:r>
      <w:r w:rsidRPr="00717D00">
        <w:rPr>
          <w:rFonts w:cs="Segoe UI"/>
          <w:b/>
          <w:highlight w:val="yellow"/>
        </w:rPr>
        <w:instrText xml:space="preserve"> STYLEREF 1 \s </w:instrText>
      </w:r>
      <w:r w:rsidRPr="00717D00">
        <w:rPr>
          <w:rFonts w:cs="Segoe UI"/>
          <w:b/>
          <w:highlight w:val="yellow"/>
        </w:rPr>
        <w:fldChar w:fldCharType="separate"/>
      </w:r>
      <w:r w:rsidRPr="00717D00">
        <w:rPr>
          <w:rFonts w:cs="Segoe UI"/>
          <w:b/>
          <w:noProof/>
          <w:highlight w:val="yellow"/>
        </w:rPr>
        <w:t>6</w:t>
      </w:r>
      <w:r w:rsidRPr="00717D00">
        <w:rPr>
          <w:rFonts w:cs="Segoe UI"/>
          <w:b/>
          <w:noProof/>
          <w:highlight w:val="yellow"/>
        </w:rPr>
        <w:fldChar w:fldCharType="end"/>
      </w:r>
      <w:r w:rsidRPr="00717D00">
        <w:rPr>
          <w:rFonts w:cs="Segoe UI"/>
          <w:b/>
          <w:highlight w:val="yellow"/>
        </w:rPr>
        <w:t>:</w:t>
      </w:r>
      <w:r w:rsidRPr="00717D00">
        <w:rPr>
          <w:rFonts w:cs="Segoe UI"/>
          <w:b/>
          <w:highlight w:val="yellow"/>
        </w:rPr>
        <w:fldChar w:fldCharType="begin"/>
      </w:r>
      <w:r w:rsidRPr="00717D00">
        <w:rPr>
          <w:rFonts w:cs="Segoe UI"/>
          <w:b/>
          <w:highlight w:val="yellow"/>
        </w:rPr>
        <w:instrText xml:space="preserve"> SEQ Figure \* ARABIC \s 1 </w:instrText>
      </w:r>
      <w:r w:rsidRPr="00717D00">
        <w:rPr>
          <w:rFonts w:cs="Segoe UI"/>
          <w:b/>
          <w:highlight w:val="yellow"/>
        </w:rPr>
        <w:fldChar w:fldCharType="separate"/>
      </w:r>
      <w:r w:rsidRPr="00717D00">
        <w:rPr>
          <w:rFonts w:cs="Segoe UI"/>
          <w:b/>
          <w:noProof/>
          <w:highlight w:val="yellow"/>
        </w:rPr>
        <w:t>7</w:t>
      </w:r>
      <w:r w:rsidRPr="00717D00">
        <w:rPr>
          <w:rFonts w:cs="Segoe UI"/>
          <w:b/>
          <w:noProof/>
          <w:highlight w:val="yellow"/>
        </w:rPr>
        <w:fldChar w:fldCharType="end"/>
      </w:r>
      <w:r w:rsidRPr="00717D00">
        <w:rPr>
          <w:rFonts w:cs="Segoe UI"/>
          <w:b/>
          <w:noProof/>
          <w:highlight w:val="yellow"/>
        </w:rPr>
        <w:t xml:space="preserve"> </w:t>
      </w:r>
      <w:r w:rsidR="00D66A27" w:rsidRPr="00717D00">
        <w:rPr>
          <w:b/>
          <w:highlight w:val="yellow"/>
        </w:rPr>
        <w:t>Null models (logit single-level and ML) for petitioning, boycotting and demonstrating</w:t>
      </w:r>
    </w:p>
    <w:tbl>
      <w:tblPr>
        <w:tblW w:w="9511" w:type="dxa"/>
        <w:tblLayout w:type="fixed"/>
        <w:tblLook w:val="0000" w:firstRow="0" w:lastRow="0" w:firstColumn="0" w:lastColumn="0" w:noHBand="0" w:noVBand="0"/>
      </w:tblPr>
      <w:tblGrid>
        <w:gridCol w:w="988"/>
        <w:gridCol w:w="1339"/>
        <w:gridCol w:w="1437"/>
        <w:gridCol w:w="1437"/>
        <w:gridCol w:w="1436"/>
        <w:gridCol w:w="1437"/>
        <w:gridCol w:w="1437"/>
      </w:tblGrid>
      <w:tr w:rsidR="00D66A27" w:rsidRPr="00CA5619" w14:paraId="184FD1B6" w14:textId="77777777" w:rsidTr="00533454">
        <w:trPr>
          <w:trHeight w:val="123"/>
        </w:trPr>
        <w:tc>
          <w:tcPr>
            <w:tcW w:w="988" w:type="dxa"/>
          </w:tcPr>
          <w:p w14:paraId="5B84A9B1" w14:textId="77777777" w:rsidR="00D66A27" w:rsidRPr="00CA5619" w:rsidRDefault="00D66A27" w:rsidP="002B0B69">
            <w:pPr>
              <w:widowControl w:val="0"/>
              <w:autoSpaceDE w:val="0"/>
              <w:autoSpaceDN w:val="0"/>
              <w:adjustRightInd w:val="0"/>
              <w:spacing w:before="0" w:line="240" w:lineRule="auto"/>
              <w:rPr>
                <w:rFonts w:cs="Segoe UI"/>
                <w:sz w:val="18"/>
                <w:szCs w:val="18"/>
                <w:highlight w:val="yellow"/>
                <w:lang w:val="en-US" w:eastAsia="en-GB"/>
              </w:rPr>
            </w:pPr>
            <w:bookmarkStart w:id="388" w:name="_Hlk494823139"/>
          </w:p>
        </w:tc>
        <w:tc>
          <w:tcPr>
            <w:tcW w:w="2776" w:type="dxa"/>
            <w:gridSpan w:val="2"/>
          </w:tcPr>
          <w:p w14:paraId="0B6ED58D" w14:textId="77777777" w:rsidR="00D66A27" w:rsidRPr="00CA5619" w:rsidRDefault="00D66A27" w:rsidP="002B0B69">
            <w:pPr>
              <w:widowControl w:val="0"/>
              <w:autoSpaceDE w:val="0"/>
              <w:autoSpaceDN w:val="0"/>
              <w:adjustRightInd w:val="0"/>
              <w:spacing w:before="0" w:line="240" w:lineRule="auto"/>
              <w:jc w:val="center"/>
              <w:rPr>
                <w:rFonts w:cs="Segoe UI"/>
                <w:b/>
                <w:sz w:val="18"/>
                <w:szCs w:val="18"/>
                <w:highlight w:val="yellow"/>
                <w:lang w:val="en-US" w:eastAsia="en-GB"/>
              </w:rPr>
            </w:pPr>
            <w:r w:rsidRPr="00CA5619">
              <w:rPr>
                <w:rFonts w:cs="Segoe UI"/>
                <w:b/>
                <w:sz w:val="18"/>
                <w:szCs w:val="18"/>
                <w:highlight w:val="yellow"/>
                <w:lang w:val="en-US" w:eastAsia="en-GB"/>
              </w:rPr>
              <w:t>Petition</w:t>
            </w:r>
          </w:p>
        </w:tc>
        <w:tc>
          <w:tcPr>
            <w:tcW w:w="2873" w:type="dxa"/>
            <w:gridSpan w:val="2"/>
          </w:tcPr>
          <w:p w14:paraId="36034B6E" w14:textId="77777777" w:rsidR="00D66A27" w:rsidRPr="00CA5619" w:rsidRDefault="00D66A27" w:rsidP="002B0B69">
            <w:pPr>
              <w:widowControl w:val="0"/>
              <w:autoSpaceDE w:val="0"/>
              <w:autoSpaceDN w:val="0"/>
              <w:adjustRightInd w:val="0"/>
              <w:spacing w:before="0" w:line="240" w:lineRule="auto"/>
              <w:jc w:val="center"/>
              <w:rPr>
                <w:rFonts w:cs="Segoe UI"/>
                <w:b/>
                <w:sz w:val="18"/>
                <w:szCs w:val="18"/>
                <w:highlight w:val="yellow"/>
                <w:lang w:val="en-US" w:eastAsia="en-GB"/>
              </w:rPr>
            </w:pPr>
            <w:r w:rsidRPr="00CA5619">
              <w:rPr>
                <w:rFonts w:cs="Segoe UI"/>
                <w:b/>
                <w:sz w:val="18"/>
                <w:szCs w:val="18"/>
                <w:highlight w:val="yellow"/>
                <w:lang w:val="en-US" w:eastAsia="en-GB"/>
              </w:rPr>
              <w:t>Boycott</w:t>
            </w:r>
          </w:p>
        </w:tc>
        <w:tc>
          <w:tcPr>
            <w:tcW w:w="2874" w:type="dxa"/>
            <w:gridSpan w:val="2"/>
          </w:tcPr>
          <w:p w14:paraId="37718032" w14:textId="77777777" w:rsidR="00D66A27" w:rsidRPr="00CA5619" w:rsidRDefault="00D66A27" w:rsidP="002B0B69">
            <w:pPr>
              <w:widowControl w:val="0"/>
              <w:autoSpaceDE w:val="0"/>
              <w:autoSpaceDN w:val="0"/>
              <w:adjustRightInd w:val="0"/>
              <w:spacing w:before="0" w:line="240" w:lineRule="auto"/>
              <w:jc w:val="center"/>
              <w:rPr>
                <w:rFonts w:cs="Segoe UI"/>
                <w:b/>
                <w:sz w:val="18"/>
                <w:szCs w:val="18"/>
                <w:highlight w:val="yellow"/>
                <w:lang w:val="en-US" w:eastAsia="en-GB"/>
              </w:rPr>
            </w:pPr>
            <w:r w:rsidRPr="00CA5619">
              <w:rPr>
                <w:rFonts w:cs="Segoe UI"/>
                <w:b/>
                <w:sz w:val="18"/>
                <w:szCs w:val="18"/>
                <w:highlight w:val="yellow"/>
                <w:lang w:val="en-US" w:eastAsia="en-GB"/>
              </w:rPr>
              <w:t>Demonstration</w:t>
            </w:r>
          </w:p>
        </w:tc>
      </w:tr>
      <w:tr w:rsidR="00D66A27" w:rsidRPr="00CA5619" w14:paraId="4F600E09" w14:textId="77777777" w:rsidTr="00533454">
        <w:trPr>
          <w:trHeight w:val="123"/>
        </w:trPr>
        <w:tc>
          <w:tcPr>
            <w:tcW w:w="988" w:type="dxa"/>
          </w:tcPr>
          <w:p w14:paraId="492CFAE6" w14:textId="77777777" w:rsidR="00D66A27" w:rsidRPr="00CA5619" w:rsidRDefault="00D66A27" w:rsidP="002B0B69">
            <w:pPr>
              <w:widowControl w:val="0"/>
              <w:autoSpaceDE w:val="0"/>
              <w:autoSpaceDN w:val="0"/>
              <w:adjustRightInd w:val="0"/>
              <w:spacing w:before="0" w:line="240" w:lineRule="auto"/>
              <w:rPr>
                <w:rFonts w:cs="Segoe UI"/>
                <w:sz w:val="18"/>
                <w:szCs w:val="18"/>
                <w:highlight w:val="yellow"/>
                <w:lang w:val="en-US" w:eastAsia="en-GB"/>
              </w:rPr>
            </w:pPr>
          </w:p>
        </w:tc>
        <w:tc>
          <w:tcPr>
            <w:tcW w:w="1339" w:type="dxa"/>
          </w:tcPr>
          <w:p w14:paraId="5DA223D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w:t>
            </w:r>
          </w:p>
        </w:tc>
        <w:tc>
          <w:tcPr>
            <w:tcW w:w="1437" w:type="dxa"/>
          </w:tcPr>
          <w:p w14:paraId="3045EA9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MLM</w:t>
            </w:r>
          </w:p>
        </w:tc>
        <w:tc>
          <w:tcPr>
            <w:tcW w:w="1437" w:type="dxa"/>
          </w:tcPr>
          <w:p w14:paraId="05456386"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w:t>
            </w:r>
          </w:p>
        </w:tc>
        <w:tc>
          <w:tcPr>
            <w:tcW w:w="1436" w:type="dxa"/>
          </w:tcPr>
          <w:p w14:paraId="5207B5CA"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MLM</w:t>
            </w:r>
          </w:p>
        </w:tc>
        <w:tc>
          <w:tcPr>
            <w:tcW w:w="1437" w:type="dxa"/>
          </w:tcPr>
          <w:p w14:paraId="0CD5E35F"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w:t>
            </w:r>
          </w:p>
        </w:tc>
        <w:tc>
          <w:tcPr>
            <w:tcW w:w="1437" w:type="dxa"/>
          </w:tcPr>
          <w:p w14:paraId="048076F3"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MLM</w:t>
            </w:r>
          </w:p>
        </w:tc>
      </w:tr>
      <w:tr w:rsidR="00D66A27" w:rsidRPr="00CA5619" w14:paraId="1C8E5845" w14:textId="77777777" w:rsidTr="00533454">
        <w:trPr>
          <w:trHeight w:val="123"/>
        </w:trPr>
        <w:tc>
          <w:tcPr>
            <w:tcW w:w="988" w:type="dxa"/>
            <w:tcBorders>
              <w:bottom w:val="single" w:sz="4" w:space="0" w:color="auto"/>
            </w:tcBorders>
          </w:tcPr>
          <w:p w14:paraId="33074D3B" w14:textId="77777777" w:rsidR="00D66A27" w:rsidRPr="00CA5619" w:rsidRDefault="00D66A27" w:rsidP="002B0B69">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Constant</w:t>
            </w:r>
          </w:p>
        </w:tc>
        <w:tc>
          <w:tcPr>
            <w:tcW w:w="1339" w:type="dxa"/>
            <w:tcBorders>
              <w:bottom w:val="single" w:sz="4" w:space="0" w:color="auto"/>
            </w:tcBorders>
          </w:tcPr>
          <w:p w14:paraId="3A2AA1BB"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0.49***</w:t>
            </w:r>
          </w:p>
          <w:p w14:paraId="108B5FD9"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1437" w:type="dxa"/>
            <w:tcBorders>
              <w:bottom w:val="single" w:sz="4" w:space="0" w:color="auto"/>
            </w:tcBorders>
          </w:tcPr>
          <w:p w14:paraId="4DE8C44C"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0.76***</w:t>
            </w:r>
          </w:p>
          <w:p w14:paraId="75BF87D9"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1437" w:type="dxa"/>
            <w:tcBorders>
              <w:bottom w:val="single" w:sz="4" w:space="0" w:color="auto"/>
            </w:tcBorders>
          </w:tcPr>
          <w:p w14:paraId="4FCB93C8"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p w14:paraId="4FF1348D"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1436" w:type="dxa"/>
            <w:tcBorders>
              <w:bottom w:val="single" w:sz="4" w:space="0" w:color="auto"/>
            </w:tcBorders>
          </w:tcPr>
          <w:p w14:paraId="7379D75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-0.32*</w:t>
            </w:r>
          </w:p>
          <w:p w14:paraId="244727CF"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1437" w:type="dxa"/>
            <w:tcBorders>
              <w:bottom w:val="single" w:sz="4" w:space="0" w:color="auto"/>
            </w:tcBorders>
          </w:tcPr>
          <w:p w14:paraId="58CEE5C6"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0.18***</w:t>
            </w:r>
          </w:p>
          <w:p w14:paraId="1451B1E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1437" w:type="dxa"/>
            <w:tcBorders>
              <w:bottom w:val="single" w:sz="4" w:space="0" w:color="auto"/>
            </w:tcBorders>
          </w:tcPr>
          <w:p w14:paraId="1D229DA6"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p w14:paraId="54069BA8"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r>
      <w:tr w:rsidR="00D66A27" w:rsidRPr="00CA5619" w14:paraId="6326A733" w14:textId="77777777" w:rsidTr="00533454">
        <w:trPr>
          <w:trHeight w:val="233"/>
        </w:trPr>
        <w:tc>
          <w:tcPr>
            <w:tcW w:w="988" w:type="dxa"/>
            <w:tcBorders>
              <w:top w:val="single" w:sz="4" w:space="0" w:color="auto"/>
            </w:tcBorders>
          </w:tcPr>
          <w:p w14:paraId="1BDD198C" w14:textId="77777777" w:rsidR="00D66A27" w:rsidRPr="00CA5619" w:rsidRDefault="00D66A27" w:rsidP="002B0B69">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i/>
                <w:iCs/>
                <w:sz w:val="18"/>
                <w:szCs w:val="18"/>
                <w:highlight w:val="yellow"/>
                <w:lang w:val="en-US" w:eastAsia="en-GB"/>
              </w:rPr>
              <w:t>N</w:t>
            </w:r>
          </w:p>
        </w:tc>
        <w:tc>
          <w:tcPr>
            <w:tcW w:w="1339" w:type="dxa"/>
            <w:tcBorders>
              <w:top w:val="single" w:sz="4" w:space="0" w:color="auto"/>
            </w:tcBorders>
          </w:tcPr>
          <w:p w14:paraId="0C29D878"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1437" w:type="dxa"/>
            <w:tcBorders>
              <w:top w:val="single" w:sz="4" w:space="0" w:color="auto"/>
            </w:tcBorders>
          </w:tcPr>
          <w:p w14:paraId="3C622772"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1437" w:type="dxa"/>
            <w:tcBorders>
              <w:top w:val="single" w:sz="4" w:space="0" w:color="auto"/>
            </w:tcBorders>
          </w:tcPr>
          <w:p w14:paraId="1C900E91"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1436" w:type="dxa"/>
            <w:tcBorders>
              <w:top w:val="single" w:sz="4" w:space="0" w:color="auto"/>
            </w:tcBorders>
          </w:tcPr>
          <w:p w14:paraId="5D8B9575"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1437" w:type="dxa"/>
            <w:tcBorders>
              <w:top w:val="single" w:sz="4" w:space="0" w:color="auto"/>
            </w:tcBorders>
          </w:tcPr>
          <w:p w14:paraId="4EF19FF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1437" w:type="dxa"/>
            <w:tcBorders>
              <w:top w:val="single" w:sz="4" w:space="0" w:color="auto"/>
            </w:tcBorders>
          </w:tcPr>
          <w:p w14:paraId="2692A73D"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r>
      <w:tr w:rsidR="00D66A27" w:rsidRPr="00CA5619" w14:paraId="6389D27A" w14:textId="77777777" w:rsidTr="00533454">
        <w:trPr>
          <w:trHeight w:val="233"/>
        </w:trPr>
        <w:tc>
          <w:tcPr>
            <w:tcW w:w="988" w:type="dxa"/>
          </w:tcPr>
          <w:p w14:paraId="5CE939C6" w14:textId="77777777" w:rsidR="00D66A27" w:rsidRPr="00CA5619" w:rsidRDefault="00D66A27" w:rsidP="002B0B69">
            <w:pPr>
              <w:widowControl w:val="0"/>
              <w:autoSpaceDE w:val="0"/>
              <w:autoSpaceDN w:val="0"/>
              <w:adjustRightInd w:val="0"/>
              <w:spacing w:before="0" w:line="240" w:lineRule="auto"/>
              <w:rPr>
                <w:rFonts w:cs="Segoe UI"/>
                <w:i/>
                <w:iCs/>
                <w:sz w:val="18"/>
                <w:szCs w:val="18"/>
                <w:highlight w:val="yellow"/>
                <w:lang w:val="en-US" w:eastAsia="en-GB"/>
              </w:rPr>
            </w:pPr>
            <w:r w:rsidRPr="00CA5619">
              <w:rPr>
                <w:rFonts w:cs="Segoe UI"/>
                <w:i/>
                <w:iCs/>
                <w:sz w:val="18"/>
                <w:szCs w:val="18"/>
                <w:highlight w:val="yellow"/>
                <w:lang w:val="en-US" w:eastAsia="en-GB"/>
              </w:rPr>
              <w:t>N country</w:t>
            </w:r>
          </w:p>
        </w:tc>
        <w:tc>
          <w:tcPr>
            <w:tcW w:w="1339" w:type="dxa"/>
          </w:tcPr>
          <w:p w14:paraId="7A5A507F"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1437" w:type="dxa"/>
          </w:tcPr>
          <w:p w14:paraId="75CF03BB"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1437" w:type="dxa"/>
          </w:tcPr>
          <w:p w14:paraId="21CF16D8"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1436" w:type="dxa"/>
          </w:tcPr>
          <w:p w14:paraId="20AC2454"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1437" w:type="dxa"/>
          </w:tcPr>
          <w:p w14:paraId="06FA656A"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1437" w:type="dxa"/>
          </w:tcPr>
          <w:p w14:paraId="4F113E24"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r>
      <w:tr w:rsidR="00D66A27" w:rsidRPr="00CA5619" w14:paraId="23EE776D" w14:textId="77777777" w:rsidTr="00533454">
        <w:trPr>
          <w:trHeight w:val="244"/>
        </w:trPr>
        <w:tc>
          <w:tcPr>
            <w:tcW w:w="988" w:type="dxa"/>
          </w:tcPr>
          <w:p w14:paraId="47BDEC75" w14:textId="77777777" w:rsidR="00D66A27" w:rsidRPr="00CA5619" w:rsidRDefault="00D66A27" w:rsidP="002B0B69">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Log lik.</w:t>
            </w:r>
          </w:p>
        </w:tc>
        <w:tc>
          <w:tcPr>
            <w:tcW w:w="1339" w:type="dxa"/>
          </w:tcPr>
          <w:p w14:paraId="5C251ABF"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-25230</w:t>
            </w:r>
          </w:p>
        </w:tc>
        <w:tc>
          <w:tcPr>
            <w:tcW w:w="1437" w:type="dxa"/>
          </w:tcPr>
          <w:p w14:paraId="167FEDDA"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-20363</w:t>
            </w:r>
          </w:p>
        </w:tc>
        <w:tc>
          <w:tcPr>
            <w:tcW w:w="1437" w:type="dxa"/>
          </w:tcPr>
          <w:p w14:paraId="44D47D3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-25944</w:t>
            </w:r>
          </w:p>
        </w:tc>
        <w:tc>
          <w:tcPr>
            <w:tcW w:w="1436" w:type="dxa"/>
          </w:tcPr>
          <w:p w14:paraId="26D4899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-22945</w:t>
            </w:r>
          </w:p>
        </w:tc>
        <w:tc>
          <w:tcPr>
            <w:tcW w:w="1437" w:type="dxa"/>
          </w:tcPr>
          <w:p w14:paraId="42AF1AD4"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-26238</w:t>
            </w:r>
          </w:p>
        </w:tc>
        <w:tc>
          <w:tcPr>
            <w:tcW w:w="1437" w:type="dxa"/>
          </w:tcPr>
          <w:p w14:paraId="52A520F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-23585</w:t>
            </w:r>
          </w:p>
        </w:tc>
      </w:tr>
      <w:tr w:rsidR="00D66A27" w:rsidRPr="00CA5619" w14:paraId="48FE31B1" w14:textId="77777777" w:rsidTr="00533454">
        <w:trPr>
          <w:trHeight w:val="244"/>
        </w:trPr>
        <w:tc>
          <w:tcPr>
            <w:tcW w:w="988" w:type="dxa"/>
            <w:tcBorders>
              <w:bottom w:val="single" w:sz="4" w:space="0" w:color="auto"/>
            </w:tcBorders>
          </w:tcPr>
          <w:p w14:paraId="0E686652" w14:textId="77777777" w:rsidR="00D66A27" w:rsidRPr="00CA5619" w:rsidRDefault="00D66A27" w:rsidP="002B0B69">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ICC</w:t>
            </w:r>
          </w:p>
        </w:tc>
        <w:tc>
          <w:tcPr>
            <w:tcW w:w="1339" w:type="dxa"/>
            <w:tcBorders>
              <w:bottom w:val="single" w:sz="4" w:space="0" w:color="auto"/>
            </w:tcBorders>
          </w:tcPr>
          <w:p w14:paraId="562A0379"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1437" w:type="dxa"/>
            <w:tcBorders>
              <w:bottom w:val="single" w:sz="4" w:space="0" w:color="auto"/>
            </w:tcBorders>
          </w:tcPr>
          <w:p w14:paraId="24D40ED4"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.322338</w:t>
            </w:r>
          </w:p>
        </w:tc>
        <w:tc>
          <w:tcPr>
            <w:tcW w:w="1437" w:type="dxa"/>
            <w:tcBorders>
              <w:bottom w:val="single" w:sz="4" w:space="0" w:color="auto"/>
            </w:tcBorders>
          </w:tcPr>
          <w:p w14:paraId="764994A2"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1436" w:type="dxa"/>
            <w:tcBorders>
              <w:bottom w:val="single" w:sz="4" w:space="0" w:color="auto"/>
            </w:tcBorders>
          </w:tcPr>
          <w:p w14:paraId="7FD7FED6"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.190479</w:t>
            </w:r>
          </w:p>
        </w:tc>
        <w:tc>
          <w:tcPr>
            <w:tcW w:w="1437" w:type="dxa"/>
            <w:tcBorders>
              <w:bottom w:val="single" w:sz="4" w:space="0" w:color="auto"/>
            </w:tcBorders>
          </w:tcPr>
          <w:p w14:paraId="1C585ED7"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1437" w:type="dxa"/>
            <w:tcBorders>
              <w:bottom w:val="single" w:sz="4" w:space="0" w:color="auto"/>
            </w:tcBorders>
          </w:tcPr>
          <w:p w14:paraId="053B24C4" w14:textId="77777777" w:rsidR="00D66A27" w:rsidRPr="00CA5619" w:rsidRDefault="00D66A27" w:rsidP="002B0B69">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.148232</w:t>
            </w:r>
          </w:p>
        </w:tc>
      </w:tr>
    </w:tbl>
    <w:bookmarkEnd w:id="388"/>
    <w:p w14:paraId="74A0347E" w14:textId="77777777" w:rsidR="00D66210" w:rsidRPr="00CA5619" w:rsidRDefault="00D66210" w:rsidP="00D66210">
      <w:pPr>
        <w:pStyle w:val="Heading3"/>
        <w:rPr>
          <w:highlight w:val="yellow"/>
        </w:rPr>
      </w:pPr>
      <w:r w:rsidRPr="00CA5619">
        <w:rPr>
          <w:highlight w:val="yellow"/>
        </w:rPr>
        <w:t>Petitioning</w:t>
      </w:r>
      <w:bookmarkEnd w:id="387"/>
    </w:p>
    <w:p w14:paraId="410AC168" w14:textId="4D283E90" w:rsidR="00D66210" w:rsidRPr="00CA5619" w:rsidRDefault="00D66210" w:rsidP="00D66210">
      <w:pPr>
        <w:rPr>
          <w:highlight w:val="yellow"/>
        </w:rPr>
      </w:pPr>
      <w:r w:rsidRPr="00CA5619">
        <w:rPr>
          <w:highlight w:val="yellow"/>
        </w:rPr>
        <w:t xml:space="preserve">We have seen from the previous section that almost 40% of citizens in developed countries claim to have completed a petition, compared to only 10% in developing countries. Around 30% would consider it </w:t>
      </w:r>
      <w:r w:rsidR="00150FD5" w:rsidRPr="00CA5619">
        <w:rPr>
          <w:highlight w:val="yellow"/>
        </w:rPr>
        <w:t>in both developed or developing countries,</w:t>
      </w:r>
      <w:r w:rsidRPr="00CA5619">
        <w:rPr>
          <w:highlight w:val="yellow"/>
        </w:rPr>
        <w:t xml:space="preserve"> yet as many as 60% of respondents from developing countries would </w:t>
      </w:r>
      <w:r w:rsidRPr="00CA5619">
        <w:rPr>
          <w:i/>
          <w:highlight w:val="yellow"/>
        </w:rPr>
        <w:t>never</w:t>
      </w:r>
      <w:r w:rsidRPr="00CA5619">
        <w:rPr>
          <w:highlight w:val="yellow"/>
        </w:rPr>
        <w:t xml:space="preserve"> sign a petition, twice as high as that for respondents in developed countries. The pattern over time is mixed, with no clear signal as to whether the activity has become generally more or less popular; it seemed to peak in the late 1990s and has been on the decline since, but this trend is only a tentative conclusion from limited data points.</w:t>
      </w:r>
    </w:p>
    <w:p w14:paraId="54AA8161" w14:textId="43238919" w:rsidR="00D66210" w:rsidRDefault="002F10FF" w:rsidP="00D66210">
      <w:pPr>
        <w:rPr>
          <w:highlight w:val="yellow"/>
        </w:rPr>
      </w:pPr>
      <w:r w:rsidRPr="00CA5619">
        <w:rPr>
          <w:highlight w:val="yellow"/>
        </w:rPr>
        <w:t xml:space="preserve">For the following analysis I focus on the 2005-2008 wave </w:t>
      </w:r>
      <w:r w:rsidR="00150FD5" w:rsidRPr="00CA5619">
        <w:rPr>
          <w:highlight w:val="yellow"/>
        </w:rPr>
        <w:t xml:space="preserve">of the WVS </w:t>
      </w:r>
      <w:r w:rsidRPr="00CA5619">
        <w:rPr>
          <w:highlight w:val="yellow"/>
        </w:rPr>
        <w:t xml:space="preserve">which is the </w:t>
      </w:r>
      <w:r w:rsidR="004833B0" w:rsidRPr="00CA5619">
        <w:rPr>
          <w:highlight w:val="yellow"/>
        </w:rPr>
        <w:t>survey</w:t>
      </w:r>
      <w:r w:rsidRPr="00CA5619">
        <w:rPr>
          <w:highlight w:val="yellow"/>
        </w:rPr>
        <w:t xml:space="preserve"> containing the battery on democratic characteristics, from where the two components were derived. </w:t>
      </w:r>
      <w:r w:rsidR="002B0B69" w:rsidRPr="00CA5619">
        <w:rPr>
          <w:highlight w:val="yellow"/>
        </w:rPr>
        <w:t xml:space="preserve">Across single and </w:t>
      </w:r>
      <w:r w:rsidR="00150FD5" w:rsidRPr="00CA5619">
        <w:rPr>
          <w:highlight w:val="yellow"/>
        </w:rPr>
        <w:t>multi-level logistic model</w:t>
      </w:r>
      <w:r w:rsidR="002B0B69" w:rsidRPr="00CA5619">
        <w:rPr>
          <w:highlight w:val="yellow"/>
        </w:rPr>
        <w:t>s</w:t>
      </w:r>
      <w:r w:rsidR="00150FD5" w:rsidRPr="00CA5619">
        <w:rPr>
          <w:highlight w:val="yellow"/>
        </w:rPr>
        <w:t>, F</w:t>
      </w:r>
      <w:r w:rsidR="00C30EA6">
        <w:rPr>
          <w:highlight w:val="yellow"/>
        </w:rPr>
        <w:t>igure 6.8</w:t>
      </w:r>
      <w:r w:rsidR="00D66210" w:rsidRPr="00CA5619">
        <w:rPr>
          <w:highlight w:val="yellow"/>
        </w:rPr>
        <w:t xml:space="preserve"> presents the </w:t>
      </w:r>
      <w:r w:rsidR="002B0B69" w:rsidRPr="00CA5619">
        <w:rPr>
          <w:highlight w:val="yellow"/>
        </w:rPr>
        <w:t>coefficients</w:t>
      </w:r>
      <w:r w:rsidR="00D66210" w:rsidRPr="00CA5619">
        <w:rPr>
          <w:highlight w:val="yellow"/>
        </w:rPr>
        <w:t xml:space="preserve"> for citizen</w:t>
      </w:r>
      <w:r w:rsidR="002B0B69" w:rsidRPr="00CA5619">
        <w:rPr>
          <w:highlight w:val="yellow"/>
        </w:rPr>
        <w:t>s</w:t>
      </w:r>
      <w:r w:rsidR="00D66210" w:rsidRPr="00CA5619">
        <w:rPr>
          <w:highlight w:val="yellow"/>
        </w:rPr>
        <w:t xml:space="preserve"> signing a petition. The model examines the impact of the compound and authoritarian understandings of democracy at the individual level, alongside general support for democracy, and grievance theory, resource theory, social capital, </w:t>
      </w:r>
      <w:r w:rsidR="00150FD5" w:rsidRPr="00CA5619">
        <w:rPr>
          <w:highlight w:val="yellow"/>
        </w:rPr>
        <w:t xml:space="preserve">cognitive engagement </w:t>
      </w:r>
      <w:r w:rsidR="00D66210" w:rsidRPr="00CA5619">
        <w:rPr>
          <w:highlight w:val="yellow"/>
        </w:rPr>
        <w:t>and religiosity. They also examine and control for the contextual level theories of modernization, socialization, inequality and culture.</w:t>
      </w:r>
      <w:r w:rsidR="002B0B69" w:rsidRPr="00CA5619">
        <w:rPr>
          <w:highlight w:val="yellow"/>
        </w:rPr>
        <w:t xml:space="preserve"> For petitioning, boycotting and demonstrating my principle interest is on the understandings of democracy variables.</w:t>
      </w:r>
      <w:r w:rsidR="00C6426E">
        <w:rPr>
          <w:highlight w:val="yellow"/>
        </w:rPr>
        <w:t xml:space="preserve"> Across the models we can see that the older and male respondents are more likely to say they have or would sign a petition.</w:t>
      </w:r>
    </w:p>
    <w:p w14:paraId="454F58D3" w14:textId="77777777" w:rsidR="00B17437" w:rsidRPr="00CA5619" w:rsidRDefault="00B17437" w:rsidP="00D66210">
      <w:pPr>
        <w:rPr>
          <w:highlight w:val="yellow"/>
        </w:rPr>
      </w:pPr>
    </w:p>
    <w:p w14:paraId="36833DD4" w14:textId="6EDCA450" w:rsidR="002B0B69" w:rsidRPr="00CA5619" w:rsidRDefault="002B0B69" w:rsidP="002B0B69">
      <w:pPr>
        <w:pStyle w:val="Heading4"/>
        <w:rPr>
          <w:highlight w:val="yellow"/>
        </w:rPr>
      </w:pPr>
      <w:r w:rsidRPr="00CA5619">
        <w:rPr>
          <w:highlight w:val="yellow"/>
        </w:rPr>
        <w:t xml:space="preserve">Understandings of Democracy </w:t>
      </w:r>
    </w:p>
    <w:p w14:paraId="03EC63F1" w14:textId="223D8B1A" w:rsidR="00911CBE" w:rsidRDefault="000A441E" w:rsidP="008E3900">
      <w:pPr>
        <w:spacing w:after="120"/>
        <w:rPr>
          <w:highlight w:val="yellow"/>
        </w:rPr>
      </w:pPr>
      <w:r w:rsidRPr="00CA5619">
        <w:rPr>
          <w:highlight w:val="yellow"/>
        </w:rPr>
        <w:t xml:space="preserve">As seen in Model P1 the two understandings of democracy have statistically significant effects on individuals’ chances of signing petitions in this basic model. The effect is also in the theorised direction; the more people buy into the compound understanding of democracy, the more likely they are to petition. In contrast, the more people buy into the authoritarian understanding, the less likely they are to petition, and this negative effect seems more powerful. Notably, when controlling for other attitudes towards democracy in Model </w:t>
      </w:r>
      <w:r w:rsidR="00260A8C" w:rsidRPr="00CA5619">
        <w:rPr>
          <w:highlight w:val="yellow"/>
        </w:rPr>
        <w:t>P</w:t>
      </w:r>
      <w:r w:rsidRPr="00CA5619">
        <w:rPr>
          <w:highlight w:val="yellow"/>
        </w:rPr>
        <w:t>2, we see the democratic conceptualisation variables hold their influence. In fact, they hold their significance when controlling for all other alternative theories. The lose a little influence when controlling for resource theory (P4) and religion (P7). The change in coefficients is expected following the results of Chapter 5 that education is an important predictor, as is religiosity (especially for the authoritarian understanding). In the full model (P8) whilst the effect of democratic understandings is diminished, it still consistently helps to predict participation in petitioning. This effect remains in the MLM models (P9-P15). The compound understanding holds up throughout, as does the authoritarian</w:t>
      </w:r>
      <w:r w:rsidR="00911CBE">
        <w:rPr>
          <w:highlight w:val="yellow"/>
        </w:rPr>
        <w:t xml:space="preserve"> understanding</w:t>
      </w:r>
      <w:r w:rsidRPr="00CA5619">
        <w:rPr>
          <w:highlight w:val="yellow"/>
        </w:rPr>
        <w:t>, although the coefficient for this understanding is somewhat reduced. This suggests that when controlling for country-level errors this large effect is diminished somewhat and most likely now concentrated in only certain contexts.</w:t>
      </w:r>
      <w:r w:rsidR="00911CBE">
        <w:rPr>
          <w:highlight w:val="yellow"/>
        </w:rPr>
        <w:t xml:space="preserve"> To ease interpretation of the results, the predictive margins for the compound and authoritarian </w:t>
      </w:r>
      <w:r w:rsidRPr="00CA5619">
        <w:rPr>
          <w:highlight w:val="yellow"/>
        </w:rPr>
        <w:t xml:space="preserve"> </w:t>
      </w:r>
      <w:r w:rsidR="00911CBE">
        <w:rPr>
          <w:highlight w:val="yellow"/>
        </w:rPr>
        <w:t>understandings of democracy are presented in Figure 6.9, produced for male and female respondents in Model P9, holding all other variables at their means.</w:t>
      </w:r>
    </w:p>
    <w:p w14:paraId="78264E10" w14:textId="527EC8FE" w:rsidR="008E3900" w:rsidRPr="00CA5619" w:rsidRDefault="00260A8C" w:rsidP="008E3900">
      <w:pPr>
        <w:spacing w:after="120"/>
        <w:rPr>
          <w:highlight w:val="yellow"/>
        </w:rPr>
      </w:pPr>
      <w:r w:rsidRPr="00CA5619">
        <w:rPr>
          <w:highlight w:val="yellow"/>
        </w:rPr>
        <w:t>These models demonstrate that understandings of democracy have an influence of political behaviour above other democratic attitudes (such as whether democracy is important) and when controlling for a wider range of alternative indicators including trust, income and education.</w:t>
      </w:r>
      <w:r w:rsidR="008E3900" w:rsidRPr="00CA5619">
        <w:rPr>
          <w:highlight w:val="yellow"/>
        </w:rPr>
        <w:t xml:space="preserve"> Therefore we have evidence to support and greatly expand </w:t>
      </w:r>
      <w:r w:rsidR="008E3900" w:rsidRPr="00CA5619">
        <w:rPr>
          <w:szCs w:val="24"/>
          <w:highlight w:val="yellow"/>
        </w:rPr>
        <w:fldChar w:fldCharType="begin" w:fldLock="1"/>
      </w:r>
      <w:r w:rsidR="001B407A" w:rsidRPr="00CA5619">
        <w:rPr>
          <w:szCs w:val="24"/>
          <w:highlight w:val="yellow"/>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and Christensen's (2014, p.251)", "plainTextFormattedCitation" : "(Bengtsson and Christensen, 2014)", "previouslyFormattedCitation" : "(Bengtsson and Christensen, 2014)" }, "properties" : { "noteIndex" : 0 }, "schema" : "https://github.com/citation-style-language/schema/raw/master/csl-citation.json" }</w:instrText>
      </w:r>
      <w:r w:rsidR="008E3900" w:rsidRPr="00CA5619">
        <w:rPr>
          <w:szCs w:val="24"/>
          <w:highlight w:val="yellow"/>
        </w:rPr>
        <w:fldChar w:fldCharType="separate"/>
      </w:r>
      <w:r w:rsidR="008E3900" w:rsidRPr="00CA5619">
        <w:rPr>
          <w:noProof/>
          <w:szCs w:val="24"/>
          <w:highlight w:val="yellow"/>
        </w:rPr>
        <w:t>Bengtsson and Christensen's (2014, p.251)</w:t>
      </w:r>
      <w:r w:rsidR="008E3900" w:rsidRPr="00CA5619">
        <w:rPr>
          <w:szCs w:val="24"/>
          <w:highlight w:val="yellow"/>
        </w:rPr>
        <w:fldChar w:fldCharType="end"/>
      </w:r>
      <w:r w:rsidR="008E3900" w:rsidRPr="00CA5619">
        <w:rPr>
          <w:highlight w:val="yellow"/>
        </w:rPr>
        <w:t xml:space="preserve"> findings concerning democratic conceptualisations in Finland, that different conceptions of democracy have substantial consequences and systematic effects on engagement in political activity. </w:t>
      </w:r>
    </w:p>
    <w:p w14:paraId="3D95F573" w14:textId="77777777" w:rsidR="00AD3745" w:rsidRPr="00CA5619" w:rsidRDefault="00AD3745" w:rsidP="00150FD5">
      <w:pPr>
        <w:rPr>
          <w:highlight w:val="yellow"/>
        </w:rPr>
        <w:sectPr w:rsidR="00AD3745" w:rsidRPr="00CA5619" w:rsidSect="0052597C">
          <w:pgSz w:w="11906" w:h="16838"/>
          <w:pgMar w:top="1440" w:right="1440" w:bottom="1440" w:left="1440" w:header="708" w:footer="708" w:gutter="357"/>
          <w:cols w:space="708"/>
          <w:docGrid w:linePitch="360"/>
        </w:sectPr>
      </w:pPr>
    </w:p>
    <w:p w14:paraId="46C06319" w14:textId="3EB1D0D0" w:rsidR="001C35E3" w:rsidRPr="00CA5619" w:rsidRDefault="00EB7353" w:rsidP="001C35E3">
      <w:pPr>
        <w:rPr>
          <w:b/>
          <w:highlight w:val="yellow"/>
        </w:rPr>
      </w:pPr>
      <w:r w:rsidRPr="00533454">
        <w:rPr>
          <w:rFonts w:cs="Segoe UI"/>
          <w:b/>
          <w:highlight w:val="yellow"/>
        </w:rPr>
        <w:t xml:space="preserve">Figure </w:t>
      </w:r>
      <w:r w:rsidRPr="00533454">
        <w:rPr>
          <w:rFonts w:cs="Segoe UI"/>
          <w:b/>
          <w:highlight w:val="yellow"/>
        </w:rPr>
        <w:fldChar w:fldCharType="begin"/>
      </w:r>
      <w:r w:rsidRPr="00533454">
        <w:rPr>
          <w:rFonts w:cs="Segoe UI"/>
          <w:b/>
          <w:highlight w:val="yellow"/>
        </w:rPr>
        <w:instrText xml:space="preserve"> STYLEREF 1 \s </w:instrText>
      </w:r>
      <w:r w:rsidRPr="00533454">
        <w:rPr>
          <w:rFonts w:cs="Segoe UI"/>
          <w:b/>
          <w:highlight w:val="yellow"/>
        </w:rPr>
        <w:fldChar w:fldCharType="separate"/>
      </w:r>
      <w:r w:rsidRPr="00533454">
        <w:rPr>
          <w:rFonts w:cs="Segoe UI"/>
          <w:b/>
          <w:noProof/>
          <w:highlight w:val="yellow"/>
        </w:rPr>
        <w:t>6</w:t>
      </w:r>
      <w:r w:rsidRPr="00533454">
        <w:rPr>
          <w:rFonts w:cs="Segoe UI"/>
          <w:b/>
          <w:noProof/>
          <w:highlight w:val="yellow"/>
        </w:rPr>
        <w:fldChar w:fldCharType="end"/>
      </w:r>
      <w:r w:rsidRPr="00533454">
        <w:rPr>
          <w:rFonts w:cs="Segoe UI"/>
          <w:b/>
          <w:highlight w:val="yellow"/>
        </w:rPr>
        <w:t>:</w:t>
      </w:r>
      <w:r w:rsidRPr="00533454">
        <w:rPr>
          <w:rFonts w:cs="Segoe UI"/>
          <w:b/>
          <w:highlight w:val="yellow"/>
        </w:rPr>
        <w:fldChar w:fldCharType="begin"/>
      </w:r>
      <w:r w:rsidRPr="00533454">
        <w:rPr>
          <w:rFonts w:cs="Segoe UI"/>
          <w:b/>
          <w:highlight w:val="yellow"/>
        </w:rPr>
        <w:instrText xml:space="preserve"> SEQ Figure \* ARABIC \s 1 </w:instrText>
      </w:r>
      <w:r w:rsidRPr="00533454">
        <w:rPr>
          <w:rFonts w:cs="Segoe UI"/>
          <w:b/>
          <w:highlight w:val="yellow"/>
        </w:rPr>
        <w:fldChar w:fldCharType="separate"/>
      </w:r>
      <w:r w:rsidRPr="00533454">
        <w:rPr>
          <w:rFonts w:cs="Segoe UI"/>
          <w:b/>
          <w:noProof/>
          <w:highlight w:val="yellow"/>
        </w:rPr>
        <w:t>8</w:t>
      </w:r>
      <w:r w:rsidRPr="00533454">
        <w:rPr>
          <w:rFonts w:cs="Segoe UI"/>
          <w:b/>
          <w:noProof/>
          <w:highlight w:val="yellow"/>
        </w:rPr>
        <w:fldChar w:fldCharType="end"/>
      </w:r>
      <w:r w:rsidR="00C30EA6">
        <w:rPr>
          <w:rFonts w:cs="Segoe UI"/>
          <w:noProof/>
        </w:rPr>
        <w:t xml:space="preserve"> </w:t>
      </w:r>
      <w:r w:rsidR="001C35E3" w:rsidRPr="00CA5619">
        <w:rPr>
          <w:b/>
          <w:highlight w:val="yellow"/>
        </w:rPr>
        <w:t>Logistic multilevel models, understandings of democracy and alternative theory influences on signing a petition</w:t>
      </w:r>
    </w:p>
    <w:tbl>
      <w:tblPr>
        <w:tblW w:w="15735" w:type="dxa"/>
        <w:tblLayout w:type="fixed"/>
        <w:tblLook w:val="04A0" w:firstRow="1" w:lastRow="0" w:firstColumn="1" w:lastColumn="0" w:noHBand="0" w:noVBand="1"/>
      </w:tblPr>
      <w:tblGrid>
        <w:gridCol w:w="1835"/>
        <w:gridCol w:w="856"/>
        <w:gridCol w:w="851"/>
        <w:gridCol w:w="852"/>
        <w:gridCol w:w="850"/>
        <w:gridCol w:w="851"/>
        <w:gridCol w:w="850"/>
        <w:gridCol w:w="851"/>
        <w:gridCol w:w="850"/>
        <w:gridCol w:w="992"/>
        <w:gridCol w:w="993"/>
        <w:gridCol w:w="850"/>
        <w:gridCol w:w="851"/>
        <w:gridCol w:w="850"/>
        <w:gridCol w:w="851"/>
        <w:gridCol w:w="851"/>
        <w:gridCol w:w="851"/>
      </w:tblGrid>
      <w:tr w:rsidR="001C35E3" w:rsidRPr="00CA5619" w14:paraId="39AC96F8" w14:textId="77777777" w:rsidTr="00FF0E2C">
        <w:trPr>
          <w:gridAfter w:val="1"/>
          <w:wAfter w:w="851" w:type="dxa"/>
          <w:trHeight w:val="144"/>
        </w:trPr>
        <w:tc>
          <w:tcPr>
            <w:tcW w:w="1835" w:type="dxa"/>
            <w:tcBorders>
              <w:bottom w:val="nil"/>
            </w:tcBorders>
          </w:tcPr>
          <w:p w14:paraId="5DA6944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bookmarkStart w:id="389" w:name="_Hlk492384773"/>
            <w:bookmarkStart w:id="390" w:name="_Hlk494823169"/>
          </w:p>
        </w:tc>
        <w:tc>
          <w:tcPr>
            <w:tcW w:w="6811" w:type="dxa"/>
            <w:gridSpan w:val="8"/>
            <w:tcBorders>
              <w:bottom w:val="nil"/>
              <w:right w:val="single" w:sz="4" w:space="0" w:color="auto"/>
            </w:tcBorders>
            <w:hideMark/>
          </w:tcPr>
          <w:p w14:paraId="5A92DAE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Single-Level Models</w:t>
            </w:r>
          </w:p>
        </w:tc>
        <w:tc>
          <w:tcPr>
            <w:tcW w:w="6238" w:type="dxa"/>
            <w:gridSpan w:val="7"/>
            <w:tcBorders>
              <w:left w:val="single" w:sz="4" w:space="0" w:color="auto"/>
              <w:bottom w:val="nil"/>
            </w:tcBorders>
            <w:hideMark/>
          </w:tcPr>
          <w:p w14:paraId="4EE4C6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MLM</w:t>
            </w:r>
          </w:p>
        </w:tc>
      </w:tr>
      <w:tr w:rsidR="001C35E3" w:rsidRPr="00CA5619" w14:paraId="7562309F" w14:textId="77777777" w:rsidTr="00FF0E2C">
        <w:trPr>
          <w:gridAfter w:val="1"/>
          <w:wAfter w:w="851" w:type="dxa"/>
          <w:trHeight w:val="144"/>
        </w:trPr>
        <w:tc>
          <w:tcPr>
            <w:tcW w:w="1835" w:type="dxa"/>
          </w:tcPr>
          <w:p w14:paraId="2D288DC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hideMark/>
          </w:tcPr>
          <w:p w14:paraId="07D3AB1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(P1)</w:t>
            </w:r>
          </w:p>
        </w:tc>
        <w:tc>
          <w:tcPr>
            <w:tcW w:w="851" w:type="dxa"/>
            <w:hideMark/>
          </w:tcPr>
          <w:p w14:paraId="5E565F4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(P2)</w:t>
            </w:r>
          </w:p>
        </w:tc>
        <w:tc>
          <w:tcPr>
            <w:tcW w:w="852" w:type="dxa"/>
            <w:hideMark/>
          </w:tcPr>
          <w:p w14:paraId="3290FD4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(P3)</w:t>
            </w:r>
          </w:p>
        </w:tc>
        <w:tc>
          <w:tcPr>
            <w:tcW w:w="850" w:type="dxa"/>
            <w:hideMark/>
          </w:tcPr>
          <w:p w14:paraId="7F52781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(P4)</w:t>
            </w:r>
          </w:p>
        </w:tc>
        <w:tc>
          <w:tcPr>
            <w:tcW w:w="851" w:type="dxa"/>
            <w:hideMark/>
          </w:tcPr>
          <w:p w14:paraId="19D70E7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(P5)</w:t>
            </w:r>
          </w:p>
        </w:tc>
        <w:tc>
          <w:tcPr>
            <w:tcW w:w="850" w:type="dxa"/>
            <w:hideMark/>
          </w:tcPr>
          <w:p w14:paraId="6A5380F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(P6)</w:t>
            </w:r>
          </w:p>
        </w:tc>
        <w:tc>
          <w:tcPr>
            <w:tcW w:w="851" w:type="dxa"/>
            <w:hideMark/>
          </w:tcPr>
          <w:p w14:paraId="208850D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(P7)</w:t>
            </w:r>
          </w:p>
        </w:tc>
        <w:tc>
          <w:tcPr>
            <w:tcW w:w="850" w:type="dxa"/>
            <w:tcBorders>
              <w:right w:val="single" w:sz="4" w:space="0" w:color="auto"/>
            </w:tcBorders>
            <w:hideMark/>
          </w:tcPr>
          <w:p w14:paraId="2892F7C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(P8)</w:t>
            </w:r>
          </w:p>
        </w:tc>
        <w:tc>
          <w:tcPr>
            <w:tcW w:w="992" w:type="dxa"/>
            <w:tcBorders>
              <w:left w:val="single" w:sz="4" w:space="0" w:color="auto"/>
            </w:tcBorders>
            <w:hideMark/>
          </w:tcPr>
          <w:p w14:paraId="2938E17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(P9)</w:t>
            </w:r>
          </w:p>
        </w:tc>
        <w:tc>
          <w:tcPr>
            <w:tcW w:w="993" w:type="dxa"/>
            <w:hideMark/>
          </w:tcPr>
          <w:p w14:paraId="062F61D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(P10)</w:t>
            </w:r>
          </w:p>
        </w:tc>
        <w:tc>
          <w:tcPr>
            <w:tcW w:w="850" w:type="dxa"/>
            <w:hideMark/>
          </w:tcPr>
          <w:p w14:paraId="62C9180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(P11)</w:t>
            </w:r>
          </w:p>
        </w:tc>
        <w:tc>
          <w:tcPr>
            <w:tcW w:w="851" w:type="dxa"/>
            <w:hideMark/>
          </w:tcPr>
          <w:p w14:paraId="57AB6A6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(P12)</w:t>
            </w:r>
          </w:p>
        </w:tc>
        <w:tc>
          <w:tcPr>
            <w:tcW w:w="850" w:type="dxa"/>
            <w:hideMark/>
          </w:tcPr>
          <w:p w14:paraId="661D010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(P13)</w:t>
            </w:r>
          </w:p>
        </w:tc>
        <w:tc>
          <w:tcPr>
            <w:tcW w:w="851" w:type="dxa"/>
            <w:hideMark/>
          </w:tcPr>
          <w:p w14:paraId="01BD31B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(P14)</w:t>
            </w:r>
          </w:p>
        </w:tc>
        <w:tc>
          <w:tcPr>
            <w:tcW w:w="851" w:type="dxa"/>
            <w:hideMark/>
          </w:tcPr>
          <w:p w14:paraId="522876C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(P15)</w:t>
            </w:r>
          </w:p>
        </w:tc>
      </w:tr>
      <w:tr w:rsidR="001C35E3" w:rsidRPr="00CA5619" w14:paraId="57C78C8E" w14:textId="77777777" w:rsidTr="00FF0E2C">
        <w:trPr>
          <w:gridAfter w:val="1"/>
          <w:wAfter w:w="851" w:type="dxa"/>
          <w:trHeight w:val="144"/>
        </w:trPr>
        <w:tc>
          <w:tcPr>
            <w:tcW w:w="1835" w:type="dxa"/>
            <w:tcBorders>
              <w:left w:val="nil"/>
              <w:bottom w:val="nil"/>
              <w:right w:val="nil"/>
            </w:tcBorders>
            <w:shd w:val="clear" w:color="auto" w:fill="F2F2F2" w:themeFill="background1" w:themeFillShade="F2"/>
            <w:hideMark/>
          </w:tcPr>
          <w:p w14:paraId="52F043A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Age</w:t>
            </w:r>
          </w:p>
        </w:tc>
        <w:tc>
          <w:tcPr>
            <w:tcW w:w="856" w:type="dxa"/>
            <w:tcBorders>
              <w:left w:val="nil"/>
              <w:bottom w:val="nil"/>
              <w:right w:val="nil"/>
            </w:tcBorders>
            <w:shd w:val="clear" w:color="auto" w:fill="F2F2F2" w:themeFill="background1" w:themeFillShade="F2"/>
            <w:hideMark/>
          </w:tcPr>
          <w:p w14:paraId="6660AC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left w:val="nil"/>
              <w:bottom w:val="nil"/>
              <w:right w:val="nil"/>
            </w:tcBorders>
            <w:shd w:val="clear" w:color="auto" w:fill="F2F2F2" w:themeFill="background1" w:themeFillShade="F2"/>
            <w:hideMark/>
          </w:tcPr>
          <w:p w14:paraId="25D97D1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2" w:type="dxa"/>
            <w:tcBorders>
              <w:left w:val="nil"/>
              <w:bottom w:val="nil"/>
              <w:right w:val="nil"/>
            </w:tcBorders>
            <w:shd w:val="clear" w:color="auto" w:fill="F2F2F2" w:themeFill="background1" w:themeFillShade="F2"/>
            <w:hideMark/>
          </w:tcPr>
          <w:p w14:paraId="23A1B08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left w:val="nil"/>
              <w:bottom w:val="nil"/>
              <w:right w:val="nil"/>
            </w:tcBorders>
            <w:shd w:val="clear" w:color="auto" w:fill="F2F2F2" w:themeFill="background1" w:themeFillShade="F2"/>
            <w:hideMark/>
          </w:tcPr>
          <w:p w14:paraId="0CFD1F1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left w:val="nil"/>
              <w:bottom w:val="nil"/>
              <w:right w:val="nil"/>
            </w:tcBorders>
            <w:shd w:val="clear" w:color="auto" w:fill="F2F2F2" w:themeFill="background1" w:themeFillShade="F2"/>
            <w:hideMark/>
          </w:tcPr>
          <w:p w14:paraId="659E10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left w:val="nil"/>
              <w:bottom w:val="nil"/>
              <w:right w:val="nil"/>
            </w:tcBorders>
            <w:shd w:val="clear" w:color="auto" w:fill="F2F2F2" w:themeFill="background1" w:themeFillShade="F2"/>
            <w:hideMark/>
          </w:tcPr>
          <w:p w14:paraId="7BE89DA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left w:val="nil"/>
              <w:bottom w:val="nil"/>
              <w:right w:val="nil"/>
            </w:tcBorders>
            <w:shd w:val="clear" w:color="auto" w:fill="F2F2F2" w:themeFill="background1" w:themeFillShade="F2"/>
            <w:hideMark/>
          </w:tcPr>
          <w:p w14:paraId="25F5062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left w:val="nil"/>
              <w:bottom w:val="nil"/>
              <w:right w:val="single" w:sz="4" w:space="0" w:color="auto"/>
            </w:tcBorders>
            <w:shd w:val="clear" w:color="auto" w:fill="F2F2F2" w:themeFill="background1" w:themeFillShade="F2"/>
            <w:hideMark/>
          </w:tcPr>
          <w:p w14:paraId="43F9009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bottom w:val="nil"/>
              <w:right w:val="nil"/>
            </w:tcBorders>
            <w:shd w:val="clear" w:color="auto" w:fill="F2F2F2" w:themeFill="background1" w:themeFillShade="F2"/>
            <w:hideMark/>
          </w:tcPr>
          <w:p w14:paraId="4297C00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left w:val="nil"/>
              <w:bottom w:val="nil"/>
              <w:right w:val="nil"/>
            </w:tcBorders>
            <w:shd w:val="clear" w:color="auto" w:fill="F2F2F2" w:themeFill="background1" w:themeFillShade="F2"/>
            <w:hideMark/>
          </w:tcPr>
          <w:p w14:paraId="52AF727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left w:val="nil"/>
              <w:bottom w:val="nil"/>
              <w:right w:val="nil"/>
            </w:tcBorders>
            <w:shd w:val="clear" w:color="auto" w:fill="F2F2F2" w:themeFill="background1" w:themeFillShade="F2"/>
            <w:hideMark/>
          </w:tcPr>
          <w:p w14:paraId="2FC7EE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left w:val="nil"/>
              <w:bottom w:val="nil"/>
              <w:right w:val="nil"/>
            </w:tcBorders>
            <w:shd w:val="clear" w:color="auto" w:fill="F2F2F2" w:themeFill="background1" w:themeFillShade="F2"/>
            <w:hideMark/>
          </w:tcPr>
          <w:p w14:paraId="242847F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left w:val="nil"/>
              <w:bottom w:val="nil"/>
              <w:right w:val="nil"/>
            </w:tcBorders>
            <w:shd w:val="clear" w:color="auto" w:fill="F2F2F2" w:themeFill="background1" w:themeFillShade="F2"/>
            <w:hideMark/>
          </w:tcPr>
          <w:p w14:paraId="385E73D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left w:val="nil"/>
              <w:bottom w:val="nil"/>
              <w:right w:val="nil"/>
            </w:tcBorders>
            <w:shd w:val="clear" w:color="auto" w:fill="F2F2F2" w:themeFill="background1" w:themeFillShade="F2"/>
            <w:hideMark/>
          </w:tcPr>
          <w:p w14:paraId="1A8F3BD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left w:val="nil"/>
              <w:bottom w:val="nil"/>
              <w:right w:val="nil"/>
            </w:tcBorders>
            <w:shd w:val="clear" w:color="auto" w:fill="F2F2F2" w:themeFill="background1" w:themeFillShade="F2"/>
            <w:hideMark/>
          </w:tcPr>
          <w:p w14:paraId="03F7E2E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1C35E3" w:rsidRPr="00CA5619" w14:paraId="3BED0379" w14:textId="77777777" w:rsidTr="00FF0E2C">
        <w:trPr>
          <w:gridAfter w:val="1"/>
          <w:wAfter w:w="851" w:type="dxa"/>
          <w:trHeight w:val="144"/>
        </w:trPr>
        <w:tc>
          <w:tcPr>
            <w:tcW w:w="1835" w:type="dxa"/>
            <w:shd w:val="clear" w:color="auto" w:fill="F2F2F2" w:themeFill="background1" w:themeFillShade="F2"/>
          </w:tcPr>
          <w:p w14:paraId="1D6813F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hideMark/>
          </w:tcPr>
          <w:p w14:paraId="3CD3495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0B1818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2" w:type="dxa"/>
            <w:shd w:val="clear" w:color="auto" w:fill="F2F2F2" w:themeFill="background1" w:themeFillShade="F2"/>
            <w:hideMark/>
          </w:tcPr>
          <w:p w14:paraId="04C3A3C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606E49C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021049C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45EA466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479AEC3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shd w:val="clear" w:color="auto" w:fill="F2F2F2" w:themeFill="background1" w:themeFillShade="F2"/>
            <w:hideMark/>
          </w:tcPr>
          <w:p w14:paraId="1D64662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2FAEAE4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5B6156D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404CC5D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5C4F16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612FA76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7C3575A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9EE743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42F3AF2E" w14:textId="77777777" w:rsidTr="00FF0E2C">
        <w:trPr>
          <w:gridAfter w:val="1"/>
          <w:wAfter w:w="851" w:type="dxa"/>
          <w:trHeight w:val="144"/>
        </w:trPr>
        <w:tc>
          <w:tcPr>
            <w:tcW w:w="1835" w:type="dxa"/>
            <w:shd w:val="clear" w:color="auto" w:fill="F2F2F2" w:themeFill="background1" w:themeFillShade="F2"/>
            <w:hideMark/>
          </w:tcPr>
          <w:p w14:paraId="0EAB1A3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Age-squared</w:t>
            </w:r>
          </w:p>
        </w:tc>
        <w:tc>
          <w:tcPr>
            <w:tcW w:w="856" w:type="dxa"/>
            <w:shd w:val="clear" w:color="auto" w:fill="F2F2F2" w:themeFill="background1" w:themeFillShade="F2"/>
            <w:hideMark/>
          </w:tcPr>
          <w:p w14:paraId="551980F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4E75DE3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2" w:type="dxa"/>
            <w:shd w:val="clear" w:color="auto" w:fill="F2F2F2" w:themeFill="background1" w:themeFillShade="F2"/>
            <w:hideMark/>
          </w:tcPr>
          <w:p w14:paraId="1ADAFD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5E4204C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5BE0B9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06CFED7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71D58B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shd w:val="clear" w:color="auto" w:fill="F2F2F2" w:themeFill="background1" w:themeFillShade="F2"/>
            <w:hideMark/>
          </w:tcPr>
          <w:p w14:paraId="285694B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1C93B58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69A6CFD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3F80F50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5144D9A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595F63F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3B89E0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3382FB6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4596CE4C" w14:textId="77777777" w:rsidTr="00FF0E2C">
        <w:trPr>
          <w:gridAfter w:val="1"/>
          <w:wAfter w:w="851" w:type="dxa"/>
          <w:trHeight w:val="144"/>
        </w:trPr>
        <w:tc>
          <w:tcPr>
            <w:tcW w:w="1835" w:type="dxa"/>
            <w:shd w:val="clear" w:color="auto" w:fill="F2F2F2" w:themeFill="background1" w:themeFillShade="F2"/>
          </w:tcPr>
          <w:p w14:paraId="19944ED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hideMark/>
          </w:tcPr>
          <w:p w14:paraId="69A1E48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02C9C9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2" w:type="dxa"/>
            <w:shd w:val="clear" w:color="auto" w:fill="F2F2F2" w:themeFill="background1" w:themeFillShade="F2"/>
            <w:hideMark/>
          </w:tcPr>
          <w:p w14:paraId="1244B40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70BC548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0403AEE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1C5A01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4404EC0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shd w:val="clear" w:color="auto" w:fill="F2F2F2" w:themeFill="background1" w:themeFillShade="F2"/>
            <w:hideMark/>
          </w:tcPr>
          <w:p w14:paraId="0BE04D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370AB3E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30A4241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240986A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C7ECD7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479E300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AA5E49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693F89D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673F296F" w14:textId="77777777" w:rsidTr="00FF0E2C">
        <w:trPr>
          <w:gridAfter w:val="1"/>
          <w:wAfter w:w="851" w:type="dxa"/>
          <w:trHeight w:val="144"/>
        </w:trPr>
        <w:tc>
          <w:tcPr>
            <w:tcW w:w="1835" w:type="dxa"/>
            <w:vMerge w:val="restart"/>
            <w:shd w:val="clear" w:color="auto" w:fill="F2F2F2" w:themeFill="background1" w:themeFillShade="F2"/>
            <w:hideMark/>
          </w:tcPr>
          <w:p w14:paraId="45751C5D"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sz w:val="18"/>
                <w:szCs w:val="18"/>
                <w:highlight w:val="yellow"/>
                <w:lang w:val="en-US" w:eastAsia="en-GB"/>
              </w:rPr>
              <w:t>Gender (Ref=</w:t>
            </w:r>
            <w:r w:rsidRPr="00CA5619">
              <w:rPr>
                <w:rFonts w:cs="Segoe UI"/>
                <w:i/>
                <w:sz w:val="18"/>
                <w:szCs w:val="18"/>
                <w:highlight w:val="yellow"/>
                <w:lang w:val="en-US" w:eastAsia="en-GB"/>
              </w:rPr>
              <w:t>Female)</w:t>
            </w:r>
          </w:p>
        </w:tc>
        <w:tc>
          <w:tcPr>
            <w:tcW w:w="856" w:type="dxa"/>
            <w:shd w:val="clear" w:color="auto" w:fill="F2F2F2" w:themeFill="background1" w:themeFillShade="F2"/>
            <w:hideMark/>
          </w:tcPr>
          <w:p w14:paraId="38CE050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52A4F22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2" w:type="dxa"/>
            <w:shd w:val="clear" w:color="auto" w:fill="F2F2F2" w:themeFill="background1" w:themeFillShade="F2"/>
            <w:hideMark/>
          </w:tcPr>
          <w:p w14:paraId="1CEABCF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shd w:val="clear" w:color="auto" w:fill="F2F2F2" w:themeFill="background1" w:themeFillShade="F2"/>
            <w:hideMark/>
          </w:tcPr>
          <w:p w14:paraId="7460917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shd w:val="clear" w:color="auto" w:fill="F2F2F2" w:themeFill="background1" w:themeFillShade="F2"/>
            <w:hideMark/>
          </w:tcPr>
          <w:p w14:paraId="37BA845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shd w:val="clear" w:color="auto" w:fill="F2F2F2" w:themeFill="background1" w:themeFillShade="F2"/>
            <w:hideMark/>
          </w:tcPr>
          <w:p w14:paraId="0973B0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3657848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right w:val="single" w:sz="4" w:space="0" w:color="auto"/>
            </w:tcBorders>
            <w:shd w:val="clear" w:color="auto" w:fill="F2F2F2" w:themeFill="background1" w:themeFillShade="F2"/>
            <w:hideMark/>
          </w:tcPr>
          <w:p w14:paraId="5685439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shd w:val="clear" w:color="auto" w:fill="F2F2F2" w:themeFill="background1" w:themeFillShade="F2"/>
            <w:hideMark/>
          </w:tcPr>
          <w:p w14:paraId="517E789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993" w:type="dxa"/>
            <w:shd w:val="clear" w:color="auto" w:fill="F2F2F2" w:themeFill="background1" w:themeFillShade="F2"/>
            <w:hideMark/>
          </w:tcPr>
          <w:p w14:paraId="7BE5A51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shd w:val="clear" w:color="auto" w:fill="F2F2F2" w:themeFill="background1" w:themeFillShade="F2"/>
            <w:hideMark/>
          </w:tcPr>
          <w:p w14:paraId="33FBCBA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5DBFE2F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shd w:val="clear" w:color="auto" w:fill="F2F2F2" w:themeFill="background1" w:themeFillShade="F2"/>
            <w:hideMark/>
          </w:tcPr>
          <w:p w14:paraId="2573D54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67CA0F0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4DAFAAF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r>
      <w:tr w:rsidR="001C35E3" w:rsidRPr="00CA5619" w14:paraId="07E06A4E" w14:textId="77777777" w:rsidTr="00FF0E2C">
        <w:trPr>
          <w:gridAfter w:val="1"/>
          <w:wAfter w:w="851" w:type="dxa"/>
          <w:trHeight w:val="144"/>
        </w:trPr>
        <w:tc>
          <w:tcPr>
            <w:tcW w:w="1835" w:type="dxa"/>
            <w:vMerge/>
            <w:vAlign w:val="center"/>
            <w:hideMark/>
          </w:tcPr>
          <w:p w14:paraId="7D2587BF" w14:textId="77777777" w:rsidR="001C35E3" w:rsidRPr="00CA5619" w:rsidRDefault="001C35E3">
            <w:pPr>
              <w:spacing w:before="0" w:line="256" w:lineRule="auto"/>
              <w:rPr>
                <w:rFonts w:cs="Segoe UI"/>
                <w:i/>
                <w:sz w:val="18"/>
                <w:szCs w:val="18"/>
                <w:highlight w:val="yellow"/>
                <w:lang w:val="en-US" w:eastAsia="en-GB"/>
              </w:rPr>
            </w:pPr>
          </w:p>
        </w:tc>
        <w:tc>
          <w:tcPr>
            <w:tcW w:w="856" w:type="dxa"/>
            <w:shd w:val="clear" w:color="auto" w:fill="F2F2F2" w:themeFill="background1" w:themeFillShade="F2"/>
            <w:hideMark/>
          </w:tcPr>
          <w:p w14:paraId="23D5B75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58E6DE9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2" w:type="dxa"/>
            <w:shd w:val="clear" w:color="auto" w:fill="F2F2F2" w:themeFill="background1" w:themeFillShade="F2"/>
            <w:hideMark/>
          </w:tcPr>
          <w:p w14:paraId="2BF729B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shd w:val="clear" w:color="auto" w:fill="F2F2F2" w:themeFill="background1" w:themeFillShade="F2"/>
            <w:hideMark/>
          </w:tcPr>
          <w:p w14:paraId="440834E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09E2A9E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shd w:val="clear" w:color="auto" w:fill="F2F2F2" w:themeFill="background1" w:themeFillShade="F2"/>
            <w:hideMark/>
          </w:tcPr>
          <w:p w14:paraId="579D0C4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3EEC3E2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right w:val="single" w:sz="4" w:space="0" w:color="auto"/>
            </w:tcBorders>
            <w:shd w:val="clear" w:color="auto" w:fill="F2F2F2" w:themeFill="background1" w:themeFillShade="F2"/>
            <w:hideMark/>
          </w:tcPr>
          <w:p w14:paraId="081959E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2" w:type="dxa"/>
            <w:tcBorders>
              <w:left w:val="single" w:sz="4" w:space="0" w:color="auto"/>
            </w:tcBorders>
            <w:shd w:val="clear" w:color="auto" w:fill="F2F2F2" w:themeFill="background1" w:themeFillShade="F2"/>
            <w:hideMark/>
          </w:tcPr>
          <w:p w14:paraId="4F99BBF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57CBF70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46D07F4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47B0191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49C0689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7578664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6F7B4D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07FB10AA" w14:textId="77777777" w:rsidTr="00FF0E2C">
        <w:trPr>
          <w:gridAfter w:val="1"/>
          <w:wAfter w:w="851" w:type="dxa"/>
          <w:trHeight w:val="144"/>
        </w:trPr>
        <w:tc>
          <w:tcPr>
            <w:tcW w:w="1835" w:type="dxa"/>
            <w:hideMark/>
          </w:tcPr>
          <w:p w14:paraId="475AE48A" w14:textId="77777777" w:rsidR="001C35E3" w:rsidRPr="00CA5619" w:rsidRDefault="001C35E3">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Democratic Understanding</w:t>
            </w:r>
          </w:p>
        </w:tc>
        <w:tc>
          <w:tcPr>
            <w:tcW w:w="856" w:type="dxa"/>
          </w:tcPr>
          <w:p w14:paraId="04FE507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B60850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30DCE53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552503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61DD052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771BB6E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D45BBC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774189B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284E571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60705DE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51CE6DF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75E2FF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736210C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429C503"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177B22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6F92267A" w14:textId="77777777" w:rsidTr="00FF0E2C">
        <w:trPr>
          <w:gridAfter w:val="1"/>
          <w:wAfter w:w="851" w:type="dxa"/>
          <w:trHeight w:val="144"/>
        </w:trPr>
        <w:tc>
          <w:tcPr>
            <w:tcW w:w="1835" w:type="dxa"/>
            <w:hideMark/>
          </w:tcPr>
          <w:p w14:paraId="45BAF298" w14:textId="6C179BAD"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Compound</w:t>
            </w:r>
            <w:r w:rsidR="000A441E" w:rsidRPr="00CA5619">
              <w:rPr>
                <w:rFonts w:cs="Segoe UI"/>
                <w:sz w:val="18"/>
                <w:szCs w:val="18"/>
                <w:highlight w:val="yellow"/>
                <w:lang w:val="en-US" w:eastAsia="en-GB"/>
              </w:rPr>
              <w:t xml:space="preserve"> (1-10)</w:t>
            </w:r>
          </w:p>
        </w:tc>
        <w:tc>
          <w:tcPr>
            <w:tcW w:w="856" w:type="dxa"/>
            <w:hideMark/>
          </w:tcPr>
          <w:p w14:paraId="2FF98AD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1" w:type="dxa"/>
            <w:hideMark/>
          </w:tcPr>
          <w:p w14:paraId="134FF08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2" w:type="dxa"/>
            <w:hideMark/>
          </w:tcPr>
          <w:p w14:paraId="7CCA90F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0228BA4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hideMark/>
          </w:tcPr>
          <w:p w14:paraId="6F7F58E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hideMark/>
          </w:tcPr>
          <w:p w14:paraId="0382CD0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4C010D3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tcBorders>
              <w:right w:val="single" w:sz="4" w:space="0" w:color="auto"/>
            </w:tcBorders>
            <w:hideMark/>
          </w:tcPr>
          <w:p w14:paraId="5F64D83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2" w:type="dxa"/>
            <w:tcBorders>
              <w:left w:val="single" w:sz="4" w:space="0" w:color="auto"/>
            </w:tcBorders>
            <w:hideMark/>
          </w:tcPr>
          <w:p w14:paraId="3AC86D2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993" w:type="dxa"/>
            <w:hideMark/>
          </w:tcPr>
          <w:p w14:paraId="36107E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hideMark/>
          </w:tcPr>
          <w:p w14:paraId="31E263C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hideMark/>
          </w:tcPr>
          <w:p w14:paraId="551A91A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hideMark/>
          </w:tcPr>
          <w:p w14:paraId="77535F2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hideMark/>
          </w:tcPr>
          <w:p w14:paraId="54765C0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hideMark/>
          </w:tcPr>
          <w:p w14:paraId="5BB5FC0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r>
      <w:tr w:rsidR="001C35E3" w:rsidRPr="00CA5619" w14:paraId="30BD477B" w14:textId="77777777" w:rsidTr="00FF0E2C">
        <w:trPr>
          <w:gridAfter w:val="1"/>
          <w:wAfter w:w="851" w:type="dxa"/>
          <w:trHeight w:val="144"/>
        </w:trPr>
        <w:tc>
          <w:tcPr>
            <w:tcW w:w="1835" w:type="dxa"/>
          </w:tcPr>
          <w:p w14:paraId="54DB0E4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hideMark/>
          </w:tcPr>
          <w:p w14:paraId="72BFB2A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3F3589F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2" w:type="dxa"/>
            <w:hideMark/>
          </w:tcPr>
          <w:p w14:paraId="03FB4FC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5B3161B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hideMark/>
          </w:tcPr>
          <w:p w14:paraId="107E4EB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589ECD3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5F34D30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hideMark/>
          </w:tcPr>
          <w:p w14:paraId="088FEDD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hideMark/>
          </w:tcPr>
          <w:p w14:paraId="14A4ED9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3" w:type="dxa"/>
            <w:hideMark/>
          </w:tcPr>
          <w:p w14:paraId="163C479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21938E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34DB11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532C64E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69286DF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4F0FEB2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4052B37A" w14:textId="77777777" w:rsidTr="00FF0E2C">
        <w:trPr>
          <w:gridAfter w:val="1"/>
          <w:wAfter w:w="851" w:type="dxa"/>
          <w:trHeight w:val="144"/>
        </w:trPr>
        <w:tc>
          <w:tcPr>
            <w:tcW w:w="1835" w:type="dxa"/>
            <w:hideMark/>
          </w:tcPr>
          <w:p w14:paraId="686C0D60" w14:textId="339AAF9F"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Authoritarian</w:t>
            </w:r>
            <w:r w:rsidR="000A441E" w:rsidRPr="00CA5619">
              <w:rPr>
                <w:rFonts w:cs="Segoe UI"/>
                <w:sz w:val="18"/>
                <w:szCs w:val="18"/>
                <w:highlight w:val="yellow"/>
                <w:lang w:val="en-US" w:eastAsia="en-GB"/>
              </w:rPr>
              <w:t xml:space="preserve"> (1-10)</w:t>
            </w:r>
          </w:p>
        </w:tc>
        <w:tc>
          <w:tcPr>
            <w:tcW w:w="856" w:type="dxa"/>
            <w:hideMark/>
          </w:tcPr>
          <w:p w14:paraId="144A17F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1" w:type="dxa"/>
            <w:hideMark/>
          </w:tcPr>
          <w:p w14:paraId="7985E40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2" w:type="dxa"/>
            <w:hideMark/>
          </w:tcPr>
          <w:p w14:paraId="208A9C9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0" w:type="dxa"/>
            <w:hideMark/>
          </w:tcPr>
          <w:p w14:paraId="00A62C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1" w:type="dxa"/>
            <w:hideMark/>
          </w:tcPr>
          <w:p w14:paraId="0218C17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-0.22***</w:t>
            </w:r>
          </w:p>
        </w:tc>
        <w:tc>
          <w:tcPr>
            <w:tcW w:w="850" w:type="dxa"/>
            <w:hideMark/>
          </w:tcPr>
          <w:p w14:paraId="0AC317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tc>
        <w:tc>
          <w:tcPr>
            <w:tcW w:w="851" w:type="dxa"/>
            <w:hideMark/>
          </w:tcPr>
          <w:p w14:paraId="7967699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0" w:type="dxa"/>
            <w:tcBorders>
              <w:right w:val="single" w:sz="4" w:space="0" w:color="auto"/>
            </w:tcBorders>
            <w:hideMark/>
          </w:tcPr>
          <w:p w14:paraId="0F4B542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992" w:type="dxa"/>
            <w:tcBorders>
              <w:left w:val="single" w:sz="4" w:space="0" w:color="auto"/>
            </w:tcBorders>
            <w:hideMark/>
          </w:tcPr>
          <w:p w14:paraId="57E8D5E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hideMark/>
          </w:tcPr>
          <w:p w14:paraId="1A62E86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hideMark/>
          </w:tcPr>
          <w:p w14:paraId="5F7B211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11B26A5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hideMark/>
          </w:tcPr>
          <w:p w14:paraId="04A681C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02CD273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1365B80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1C35E3" w:rsidRPr="00CA5619" w14:paraId="15343A4A" w14:textId="77777777" w:rsidTr="00FF0E2C">
        <w:trPr>
          <w:gridAfter w:val="1"/>
          <w:wAfter w:w="851" w:type="dxa"/>
          <w:trHeight w:val="144"/>
        </w:trPr>
        <w:tc>
          <w:tcPr>
            <w:tcW w:w="1835" w:type="dxa"/>
          </w:tcPr>
          <w:p w14:paraId="3FBC174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hideMark/>
          </w:tcPr>
          <w:p w14:paraId="2DD4DA7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59CE473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2" w:type="dxa"/>
            <w:hideMark/>
          </w:tcPr>
          <w:p w14:paraId="598E30F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3EF856F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582DB55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6C91F85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36F0C42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right w:val="single" w:sz="4" w:space="0" w:color="auto"/>
            </w:tcBorders>
            <w:hideMark/>
          </w:tcPr>
          <w:p w14:paraId="4DA1B59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4FC0BFF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3090691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2F1BE6A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5C6C6BF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4676874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4C313A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17A44D3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1D154706" w14:textId="77777777" w:rsidTr="00FF0E2C">
        <w:trPr>
          <w:gridAfter w:val="1"/>
          <w:wAfter w:w="851" w:type="dxa"/>
          <w:trHeight w:val="144"/>
        </w:trPr>
        <w:tc>
          <w:tcPr>
            <w:tcW w:w="1835" w:type="dxa"/>
            <w:hideMark/>
          </w:tcPr>
          <w:p w14:paraId="0FACD88A" w14:textId="7E08BA40"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Importance of democracy</w:t>
            </w:r>
            <w:r w:rsidR="000A441E" w:rsidRPr="00CA5619">
              <w:rPr>
                <w:rFonts w:cs="Segoe UI"/>
                <w:sz w:val="18"/>
                <w:szCs w:val="18"/>
                <w:highlight w:val="yellow"/>
                <w:lang w:val="en-US" w:eastAsia="en-GB"/>
              </w:rPr>
              <w:t xml:space="preserve"> (1-10)</w:t>
            </w:r>
          </w:p>
        </w:tc>
        <w:tc>
          <w:tcPr>
            <w:tcW w:w="856" w:type="dxa"/>
          </w:tcPr>
          <w:p w14:paraId="74FBEDB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7FDA64A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78556F3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2" w:type="dxa"/>
            <w:hideMark/>
          </w:tcPr>
          <w:p w14:paraId="009811C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64EFE5A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624AEF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6FD3A62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59AAC3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39CCB54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7D53710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0525277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7D68B48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34E3BD1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right w:val="single" w:sz="4" w:space="0" w:color="auto"/>
            </w:tcBorders>
            <w:hideMark/>
          </w:tcPr>
          <w:p w14:paraId="1FDA385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11AFDCF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22BC992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384CCB4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751E652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2A1AD87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62EF24A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0B5EB35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4B13478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3DAB087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6570869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28E7FBA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66AE740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4DA7525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70ECD3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7DE3894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09E6282B" w14:textId="77777777" w:rsidTr="00FF0E2C">
        <w:trPr>
          <w:gridAfter w:val="1"/>
          <w:wAfter w:w="851" w:type="dxa"/>
          <w:trHeight w:val="144"/>
        </w:trPr>
        <w:tc>
          <w:tcPr>
            <w:tcW w:w="1835" w:type="dxa"/>
            <w:hideMark/>
          </w:tcPr>
          <w:p w14:paraId="545284E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V/Good System of Democracy (Ref =</w:t>
            </w:r>
            <w:r w:rsidRPr="00CA5619">
              <w:rPr>
                <w:rFonts w:cs="Segoe UI"/>
                <w:i/>
                <w:sz w:val="18"/>
                <w:szCs w:val="18"/>
                <w:highlight w:val="yellow"/>
                <w:lang w:val="en-US" w:eastAsia="en-GB"/>
              </w:rPr>
              <w:t xml:space="preserve"> V/Bad</w:t>
            </w:r>
            <w:r w:rsidRPr="00CA5619">
              <w:rPr>
                <w:rFonts w:cs="Segoe UI"/>
                <w:sz w:val="18"/>
                <w:szCs w:val="18"/>
                <w:highlight w:val="yellow"/>
                <w:lang w:val="en-US" w:eastAsia="en-GB"/>
              </w:rPr>
              <w:t>)</w:t>
            </w:r>
          </w:p>
        </w:tc>
        <w:tc>
          <w:tcPr>
            <w:tcW w:w="856" w:type="dxa"/>
          </w:tcPr>
          <w:p w14:paraId="7CC05B1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7A7379C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3B132A2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2" w:type="dxa"/>
            <w:hideMark/>
          </w:tcPr>
          <w:p w14:paraId="6944B47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0BCC301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335CD92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0C03E3B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0C42E96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7E01B2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221DF97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72F800D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2F4594F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1B71C06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right w:val="single" w:sz="4" w:space="0" w:color="auto"/>
            </w:tcBorders>
            <w:hideMark/>
          </w:tcPr>
          <w:p w14:paraId="75EEC0A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p w14:paraId="636197F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left w:val="single" w:sz="4" w:space="0" w:color="auto"/>
            </w:tcBorders>
            <w:hideMark/>
          </w:tcPr>
          <w:p w14:paraId="320FBBB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p w14:paraId="20A1454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hideMark/>
          </w:tcPr>
          <w:p w14:paraId="65EBA0E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p w14:paraId="1B890EF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7410116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p w14:paraId="2778063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429434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p w14:paraId="4AC1BE2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05A8BBC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p w14:paraId="3537AF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34652EF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p w14:paraId="28C80DC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1DC566C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p w14:paraId="3904D82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0B41D0D6" w14:textId="77777777" w:rsidTr="00FF0E2C">
        <w:trPr>
          <w:gridAfter w:val="1"/>
          <w:wAfter w:w="851" w:type="dxa"/>
          <w:trHeight w:val="144"/>
        </w:trPr>
        <w:tc>
          <w:tcPr>
            <w:tcW w:w="1835" w:type="dxa"/>
            <w:shd w:val="clear" w:color="auto" w:fill="F2F2F2" w:themeFill="background1" w:themeFillShade="F2"/>
            <w:hideMark/>
          </w:tcPr>
          <w:p w14:paraId="5D9FA9B9" w14:textId="77777777" w:rsidR="001C35E3" w:rsidRPr="00CA5619" w:rsidRDefault="001C35E3">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Grievance Theory</w:t>
            </w:r>
          </w:p>
        </w:tc>
        <w:tc>
          <w:tcPr>
            <w:tcW w:w="856" w:type="dxa"/>
            <w:shd w:val="clear" w:color="auto" w:fill="F2F2F2" w:themeFill="background1" w:themeFillShade="F2"/>
          </w:tcPr>
          <w:p w14:paraId="513F0F9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B454D6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2CB80BF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BAFD39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354AE3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2ACE2A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D7F021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7C812B9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0273036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shd w:val="clear" w:color="auto" w:fill="F2F2F2" w:themeFill="background1" w:themeFillShade="F2"/>
          </w:tcPr>
          <w:p w14:paraId="1156201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01B045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782DF4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2BCF79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6744B2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674007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4357ADF3" w14:textId="77777777" w:rsidTr="00FF0E2C">
        <w:trPr>
          <w:gridAfter w:val="1"/>
          <w:wAfter w:w="851" w:type="dxa"/>
          <w:trHeight w:val="144"/>
        </w:trPr>
        <w:tc>
          <w:tcPr>
            <w:tcW w:w="1835" w:type="dxa"/>
            <w:shd w:val="clear" w:color="auto" w:fill="F2F2F2" w:themeFill="background1" w:themeFillShade="F2"/>
            <w:hideMark/>
          </w:tcPr>
          <w:p w14:paraId="76F556C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Satisfaction income (1-10)</w:t>
            </w:r>
          </w:p>
        </w:tc>
        <w:tc>
          <w:tcPr>
            <w:tcW w:w="856" w:type="dxa"/>
            <w:shd w:val="clear" w:color="auto" w:fill="F2F2F2" w:themeFill="background1" w:themeFillShade="F2"/>
          </w:tcPr>
          <w:p w14:paraId="3D0F744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4ED7DA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hideMark/>
          </w:tcPr>
          <w:p w14:paraId="75F919D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70607E0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tcPr>
          <w:p w14:paraId="40D0C72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475554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4552F0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2FAF0A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3FEECB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4701B40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276387A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057936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shd w:val="clear" w:color="auto" w:fill="F2F2F2" w:themeFill="background1" w:themeFillShade="F2"/>
            <w:hideMark/>
          </w:tcPr>
          <w:p w14:paraId="2ABE43F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604300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0577F6B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663F87E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2E4D1A6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EF9F24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35D13F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77DEEF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7544341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48E69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7682D61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45CB35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30AC7B66" w14:textId="77777777" w:rsidTr="00FF0E2C">
        <w:trPr>
          <w:gridAfter w:val="1"/>
          <w:wAfter w:w="851" w:type="dxa"/>
          <w:trHeight w:val="144"/>
        </w:trPr>
        <w:tc>
          <w:tcPr>
            <w:tcW w:w="1835" w:type="dxa"/>
            <w:shd w:val="clear" w:color="auto" w:fill="F2F2F2" w:themeFill="background1" w:themeFillShade="F2"/>
            <w:hideMark/>
          </w:tcPr>
          <w:p w14:paraId="15B90B5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Income (1-10)</w:t>
            </w:r>
          </w:p>
        </w:tc>
        <w:tc>
          <w:tcPr>
            <w:tcW w:w="856" w:type="dxa"/>
            <w:shd w:val="clear" w:color="auto" w:fill="F2F2F2" w:themeFill="background1" w:themeFillShade="F2"/>
          </w:tcPr>
          <w:p w14:paraId="76F5983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6DD875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hideMark/>
          </w:tcPr>
          <w:p w14:paraId="3B9DFD2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3704C3B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tcPr>
          <w:p w14:paraId="4CD600F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8EF5B9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198BC1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B74A63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45190FA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6D7A4FC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0852BA5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68C4696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520CC30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4EA1B96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2D51AB0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311B483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7EAE5EE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027C174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6D965B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3C3F6EB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68878A3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32CF60F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58C7A18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7D8D4C1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473CCA87" w14:textId="77777777" w:rsidTr="00FF0E2C">
        <w:trPr>
          <w:gridAfter w:val="1"/>
          <w:wAfter w:w="851" w:type="dxa"/>
          <w:trHeight w:val="144"/>
        </w:trPr>
        <w:tc>
          <w:tcPr>
            <w:tcW w:w="2691" w:type="dxa"/>
            <w:gridSpan w:val="2"/>
            <w:shd w:val="clear" w:color="auto" w:fill="F2F2F2" w:themeFill="background1" w:themeFillShade="F2"/>
            <w:hideMark/>
          </w:tcPr>
          <w:p w14:paraId="6406D3B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Satisfaction x Income</w:t>
            </w:r>
          </w:p>
        </w:tc>
        <w:tc>
          <w:tcPr>
            <w:tcW w:w="851" w:type="dxa"/>
            <w:shd w:val="clear" w:color="auto" w:fill="F2F2F2" w:themeFill="background1" w:themeFillShade="F2"/>
          </w:tcPr>
          <w:p w14:paraId="74F40CC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hideMark/>
          </w:tcPr>
          <w:p w14:paraId="519A580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p w14:paraId="2930C20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tcPr>
          <w:p w14:paraId="4E8FDE6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05321A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03EEB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8DE1DB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5C26D9D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980E44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40C24E5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79440B3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426F0BE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9279AE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3F6EFD9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200369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3E05EA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0400FC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34E18F1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C3BFC03"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343FECF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371719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0220068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-0.01***</w:t>
            </w:r>
          </w:p>
          <w:p w14:paraId="21A80E6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(0.00)</w:t>
            </w:r>
          </w:p>
        </w:tc>
      </w:tr>
      <w:tr w:rsidR="001C35E3" w:rsidRPr="00CA5619" w14:paraId="7F0D8777" w14:textId="77777777" w:rsidTr="00FF0E2C">
        <w:trPr>
          <w:gridAfter w:val="1"/>
          <w:wAfter w:w="851" w:type="dxa"/>
          <w:trHeight w:val="144"/>
        </w:trPr>
        <w:tc>
          <w:tcPr>
            <w:tcW w:w="1835" w:type="dxa"/>
            <w:hideMark/>
          </w:tcPr>
          <w:p w14:paraId="0232705E" w14:textId="77777777" w:rsidR="001C35E3" w:rsidRPr="00CA5619" w:rsidRDefault="001C35E3">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Resource Theory</w:t>
            </w:r>
          </w:p>
        </w:tc>
        <w:tc>
          <w:tcPr>
            <w:tcW w:w="856" w:type="dxa"/>
          </w:tcPr>
          <w:p w14:paraId="640D790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3E8C1D5"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4360F36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7965926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8AE3BC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5F39254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E57EDA9"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7E453033"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3F57237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0CF9622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56365F2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EED733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7669340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CFEF6B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C4ADD03"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4854B1E2" w14:textId="77777777" w:rsidTr="00FF0E2C">
        <w:trPr>
          <w:gridAfter w:val="1"/>
          <w:wAfter w:w="851" w:type="dxa"/>
          <w:trHeight w:val="144"/>
        </w:trPr>
        <w:tc>
          <w:tcPr>
            <w:tcW w:w="2691" w:type="dxa"/>
            <w:gridSpan w:val="2"/>
            <w:hideMark/>
          </w:tcPr>
          <w:p w14:paraId="4512D61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Education (Ref=</w:t>
            </w:r>
            <w:r w:rsidRPr="00CA5619">
              <w:rPr>
                <w:rFonts w:cs="Segoe UI"/>
                <w:i/>
                <w:sz w:val="18"/>
                <w:szCs w:val="18"/>
                <w:highlight w:val="yellow"/>
                <w:lang w:val="en-US" w:eastAsia="en-GB"/>
              </w:rPr>
              <w:t>Lower</w:t>
            </w:r>
            <w:r w:rsidRPr="00CA5619">
              <w:rPr>
                <w:rFonts w:cs="Segoe UI"/>
                <w:sz w:val="18"/>
                <w:szCs w:val="18"/>
                <w:highlight w:val="yellow"/>
                <w:lang w:val="en-US" w:eastAsia="en-GB"/>
              </w:rPr>
              <w:t>)</w:t>
            </w:r>
          </w:p>
        </w:tc>
        <w:tc>
          <w:tcPr>
            <w:tcW w:w="851" w:type="dxa"/>
          </w:tcPr>
          <w:p w14:paraId="7EAC25E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D3781F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58283A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B02699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69A060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DE6D0A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5AE0604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6CDA5F0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107D7F1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3980871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2CA737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BBD53D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946E36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F8EE7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5326E7B9" w14:textId="77777777" w:rsidTr="00FF0E2C">
        <w:trPr>
          <w:gridAfter w:val="1"/>
          <w:wAfter w:w="851" w:type="dxa"/>
          <w:trHeight w:val="144"/>
        </w:trPr>
        <w:tc>
          <w:tcPr>
            <w:tcW w:w="1835" w:type="dxa"/>
            <w:hideMark/>
          </w:tcPr>
          <w:p w14:paraId="7438F96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i/>
                <w:sz w:val="18"/>
                <w:szCs w:val="18"/>
                <w:highlight w:val="yellow"/>
                <w:lang w:val="en-US" w:eastAsia="en-GB"/>
              </w:rPr>
              <w:t>Middle</w:t>
            </w:r>
          </w:p>
        </w:tc>
        <w:tc>
          <w:tcPr>
            <w:tcW w:w="856" w:type="dxa"/>
          </w:tcPr>
          <w:p w14:paraId="48C4B72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DB2A7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9E15D1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25BCBFA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c>
          <w:tcPr>
            <w:tcW w:w="851" w:type="dxa"/>
          </w:tcPr>
          <w:p w14:paraId="551044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C21BB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535EE0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60F8FB4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0.27***</w:t>
            </w:r>
          </w:p>
        </w:tc>
        <w:tc>
          <w:tcPr>
            <w:tcW w:w="992" w:type="dxa"/>
            <w:tcBorders>
              <w:left w:val="single" w:sz="4" w:space="0" w:color="auto"/>
            </w:tcBorders>
            <w:hideMark/>
          </w:tcPr>
          <w:p w14:paraId="4ACC94E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993" w:type="dxa"/>
            <w:hideMark/>
          </w:tcPr>
          <w:p w14:paraId="25785D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0" w:type="dxa"/>
            <w:hideMark/>
          </w:tcPr>
          <w:p w14:paraId="15A892B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1" w:type="dxa"/>
            <w:hideMark/>
          </w:tcPr>
          <w:p w14:paraId="7F11DA7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850" w:type="dxa"/>
            <w:hideMark/>
          </w:tcPr>
          <w:p w14:paraId="6AF7BCF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851" w:type="dxa"/>
            <w:hideMark/>
          </w:tcPr>
          <w:p w14:paraId="3D19E5C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851" w:type="dxa"/>
            <w:hideMark/>
          </w:tcPr>
          <w:p w14:paraId="259152E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r>
      <w:tr w:rsidR="001C35E3" w:rsidRPr="00CA5619" w14:paraId="2DAF81FC" w14:textId="77777777" w:rsidTr="00FF0E2C">
        <w:trPr>
          <w:gridAfter w:val="1"/>
          <w:wAfter w:w="851" w:type="dxa"/>
          <w:trHeight w:val="144"/>
        </w:trPr>
        <w:tc>
          <w:tcPr>
            <w:tcW w:w="1835" w:type="dxa"/>
          </w:tcPr>
          <w:p w14:paraId="169482B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5A669C0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D7C05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9EC7E6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50BA33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Pr>
          <w:p w14:paraId="1251AA5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1FFA0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6D019A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1873D17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hideMark/>
          </w:tcPr>
          <w:p w14:paraId="2E36860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hideMark/>
          </w:tcPr>
          <w:p w14:paraId="7CBFF02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hideMark/>
          </w:tcPr>
          <w:p w14:paraId="6A6C60C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hideMark/>
          </w:tcPr>
          <w:p w14:paraId="5AC8B7A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hideMark/>
          </w:tcPr>
          <w:p w14:paraId="6139B4C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hideMark/>
          </w:tcPr>
          <w:p w14:paraId="7DD99BA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hideMark/>
          </w:tcPr>
          <w:p w14:paraId="2035093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1C35E3" w:rsidRPr="00CA5619" w14:paraId="4183C183" w14:textId="77777777" w:rsidTr="00FF0E2C">
        <w:trPr>
          <w:gridAfter w:val="1"/>
          <w:wAfter w:w="851" w:type="dxa"/>
          <w:trHeight w:val="144"/>
        </w:trPr>
        <w:tc>
          <w:tcPr>
            <w:tcW w:w="1835" w:type="dxa"/>
            <w:hideMark/>
          </w:tcPr>
          <w:p w14:paraId="411A75D1"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Higher</w:t>
            </w:r>
          </w:p>
        </w:tc>
        <w:tc>
          <w:tcPr>
            <w:tcW w:w="856" w:type="dxa"/>
          </w:tcPr>
          <w:p w14:paraId="2F26A18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80F804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5B8DB2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1FBCBD1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0.97***</w:t>
            </w:r>
          </w:p>
        </w:tc>
        <w:tc>
          <w:tcPr>
            <w:tcW w:w="851" w:type="dxa"/>
          </w:tcPr>
          <w:p w14:paraId="26AEE53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E9D0C6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9F0E06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78DE5A6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0.58***</w:t>
            </w:r>
          </w:p>
        </w:tc>
        <w:tc>
          <w:tcPr>
            <w:tcW w:w="992" w:type="dxa"/>
            <w:tcBorders>
              <w:left w:val="single" w:sz="4" w:space="0" w:color="auto"/>
            </w:tcBorders>
            <w:hideMark/>
          </w:tcPr>
          <w:p w14:paraId="053E68E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c>
          <w:tcPr>
            <w:tcW w:w="993" w:type="dxa"/>
            <w:hideMark/>
          </w:tcPr>
          <w:p w14:paraId="464C01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c>
          <w:tcPr>
            <w:tcW w:w="850" w:type="dxa"/>
            <w:hideMark/>
          </w:tcPr>
          <w:p w14:paraId="6CDD78F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c>
          <w:tcPr>
            <w:tcW w:w="851" w:type="dxa"/>
            <w:hideMark/>
          </w:tcPr>
          <w:p w14:paraId="0776ABA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c>
          <w:tcPr>
            <w:tcW w:w="850" w:type="dxa"/>
            <w:hideMark/>
          </w:tcPr>
          <w:p w14:paraId="6EA4966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c>
          <w:tcPr>
            <w:tcW w:w="851" w:type="dxa"/>
            <w:hideMark/>
          </w:tcPr>
          <w:p w14:paraId="3B2B2B7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c>
          <w:tcPr>
            <w:tcW w:w="851" w:type="dxa"/>
            <w:hideMark/>
          </w:tcPr>
          <w:p w14:paraId="022E33B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r>
      <w:tr w:rsidR="001C35E3" w:rsidRPr="00CA5619" w14:paraId="2B4FF709" w14:textId="77777777" w:rsidTr="00FF0E2C">
        <w:trPr>
          <w:gridAfter w:val="1"/>
          <w:wAfter w:w="851" w:type="dxa"/>
          <w:trHeight w:val="144"/>
        </w:trPr>
        <w:tc>
          <w:tcPr>
            <w:tcW w:w="1835" w:type="dxa"/>
          </w:tcPr>
          <w:p w14:paraId="76A38EF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7BB16CE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0ACCB6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6003889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029B7A0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Pr>
          <w:p w14:paraId="21A4ED0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F251B6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D9824D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30C931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left w:val="single" w:sz="4" w:space="0" w:color="auto"/>
            </w:tcBorders>
            <w:hideMark/>
          </w:tcPr>
          <w:p w14:paraId="31896BE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hideMark/>
          </w:tcPr>
          <w:p w14:paraId="7FFE621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hideMark/>
          </w:tcPr>
          <w:p w14:paraId="5D0654B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56ECBF3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hideMark/>
          </w:tcPr>
          <w:p w14:paraId="5371109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3396B97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3854E1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1C35E3" w:rsidRPr="00CA5619" w14:paraId="2BF34CCB" w14:textId="77777777" w:rsidTr="00FF0E2C">
        <w:trPr>
          <w:gridAfter w:val="1"/>
          <w:wAfter w:w="851" w:type="dxa"/>
          <w:trHeight w:val="144"/>
        </w:trPr>
        <w:tc>
          <w:tcPr>
            <w:tcW w:w="1835" w:type="dxa"/>
            <w:hideMark/>
          </w:tcPr>
          <w:p w14:paraId="35C4CCC4" w14:textId="3D06E1CC"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Control in life</w:t>
            </w:r>
            <w:r w:rsidR="000A441E" w:rsidRPr="00CA5619">
              <w:rPr>
                <w:rFonts w:cs="Segoe UI"/>
                <w:sz w:val="18"/>
                <w:szCs w:val="18"/>
                <w:highlight w:val="yellow"/>
                <w:lang w:val="en-US" w:eastAsia="en-GB"/>
              </w:rPr>
              <w:t xml:space="preserve"> (1-10)</w:t>
            </w:r>
          </w:p>
        </w:tc>
        <w:tc>
          <w:tcPr>
            <w:tcW w:w="856" w:type="dxa"/>
          </w:tcPr>
          <w:p w14:paraId="59F0536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3BC1B8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127857E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2DD1986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Pr>
          <w:p w14:paraId="5CD1876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D456E2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B9F132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40AD87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5C2F0BB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13E090B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291DA42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712EA7C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25E69D8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1B36658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10E13D2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78666CE2" w14:textId="77777777" w:rsidTr="00FF0E2C">
        <w:trPr>
          <w:gridAfter w:val="1"/>
          <w:wAfter w:w="851" w:type="dxa"/>
          <w:trHeight w:val="144"/>
        </w:trPr>
        <w:tc>
          <w:tcPr>
            <w:tcW w:w="1835" w:type="dxa"/>
          </w:tcPr>
          <w:p w14:paraId="2FD5E2D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3B6CE6F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BE571C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C4B26F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3A23216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70C6664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64EB2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423748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2F3B361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0D95F2C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4C8FBCD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414D852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55FA610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0169B31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4F08803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142C09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035C634A" w14:textId="77777777" w:rsidTr="00FF0E2C">
        <w:trPr>
          <w:gridAfter w:val="1"/>
          <w:wAfter w:w="851" w:type="dxa"/>
          <w:trHeight w:val="144"/>
        </w:trPr>
        <w:tc>
          <w:tcPr>
            <w:tcW w:w="1835" w:type="dxa"/>
            <w:shd w:val="clear" w:color="auto" w:fill="F2F2F2" w:themeFill="background1" w:themeFillShade="F2"/>
            <w:hideMark/>
          </w:tcPr>
          <w:p w14:paraId="0C6C01A8" w14:textId="77777777" w:rsidR="001C35E3" w:rsidRPr="00CA5619" w:rsidRDefault="001C35E3">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Social Capital</w:t>
            </w:r>
          </w:p>
        </w:tc>
        <w:tc>
          <w:tcPr>
            <w:tcW w:w="856" w:type="dxa"/>
            <w:shd w:val="clear" w:color="auto" w:fill="F2F2F2" w:themeFill="background1" w:themeFillShade="F2"/>
          </w:tcPr>
          <w:p w14:paraId="26883EB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3DA73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7E9A70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5CF026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19B49B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D688CD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EF0AC8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5218E5A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202F339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shd w:val="clear" w:color="auto" w:fill="F2F2F2" w:themeFill="background1" w:themeFillShade="F2"/>
          </w:tcPr>
          <w:p w14:paraId="4DDB5F0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3DA7A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F8EAF6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FEBB0C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FEA6CA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F574E1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7F180577" w14:textId="77777777" w:rsidTr="00FF0E2C">
        <w:trPr>
          <w:gridAfter w:val="1"/>
          <w:wAfter w:w="851" w:type="dxa"/>
          <w:trHeight w:val="144"/>
        </w:trPr>
        <w:tc>
          <w:tcPr>
            <w:tcW w:w="2691" w:type="dxa"/>
            <w:gridSpan w:val="2"/>
            <w:shd w:val="clear" w:color="auto" w:fill="F2F2F2" w:themeFill="background1" w:themeFillShade="F2"/>
            <w:hideMark/>
          </w:tcPr>
          <w:p w14:paraId="0A59BC9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Group membership </w:t>
            </w:r>
          </w:p>
          <w:p w14:paraId="2FA3C05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(Ref= </w:t>
            </w:r>
            <w:r w:rsidRPr="00CA5619">
              <w:rPr>
                <w:rFonts w:cs="Segoe UI"/>
                <w:i/>
                <w:sz w:val="18"/>
                <w:szCs w:val="18"/>
                <w:highlight w:val="yellow"/>
                <w:lang w:val="en-US" w:eastAsia="en-GB"/>
              </w:rPr>
              <w:t>None</w:t>
            </w:r>
            <w:r w:rsidRPr="00CA5619">
              <w:rPr>
                <w:rFonts w:cs="Segoe UI"/>
                <w:sz w:val="18"/>
                <w:szCs w:val="18"/>
                <w:highlight w:val="yellow"/>
                <w:lang w:val="en-US" w:eastAsia="en-GB"/>
              </w:rPr>
              <w:t>)</w:t>
            </w:r>
          </w:p>
        </w:tc>
        <w:tc>
          <w:tcPr>
            <w:tcW w:w="851" w:type="dxa"/>
            <w:shd w:val="clear" w:color="auto" w:fill="F2F2F2" w:themeFill="background1" w:themeFillShade="F2"/>
          </w:tcPr>
          <w:p w14:paraId="3817D11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shd w:val="clear" w:color="auto" w:fill="F2F2F2" w:themeFill="background1" w:themeFillShade="F2"/>
          </w:tcPr>
          <w:p w14:paraId="04BDD56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01B1573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0B6ACD2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1B4DA059"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0C0D49D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74D7A88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1069CB5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shd w:val="clear" w:color="auto" w:fill="F2F2F2" w:themeFill="background1" w:themeFillShade="F2"/>
          </w:tcPr>
          <w:p w14:paraId="45AB1EA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50C4AAA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23D4111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19A0E80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4CF1A59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6D69636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3CDBAC68" w14:textId="77777777" w:rsidTr="00FF0E2C">
        <w:trPr>
          <w:gridAfter w:val="1"/>
          <w:wAfter w:w="851" w:type="dxa"/>
          <w:trHeight w:val="144"/>
        </w:trPr>
        <w:tc>
          <w:tcPr>
            <w:tcW w:w="1835" w:type="dxa"/>
            <w:shd w:val="clear" w:color="auto" w:fill="F2F2F2" w:themeFill="background1" w:themeFillShade="F2"/>
            <w:hideMark/>
          </w:tcPr>
          <w:p w14:paraId="5796A156"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One</w:t>
            </w:r>
          </w:p>
        </w:tc>
        <w:tc>
          <w:tcPr>
            <w:tcW w:w="856" w:type="dxa"/>
            <w:shd w:val="clear" w:color="auto" w:fill="F2F2F2" w:themeFill="background1" w:themeFillShade="F2"/>
          </w:tcPr>
          <w:p w14:paraId="48B84AD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11CEC5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2DA34FD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D3BF36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2FF69F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0.60***</w:t>
            </w:r>
          </w:p>
        </w:tc>
        <w:tc>
          <w:tcPr>
            <w:tcW w:w="850" w:type="dxa"/>
            <w:shd w:val="clear" w:color="auto" w:fill="F2F2F2" w:themeFill="background1" w:themeFillShade="F2"/>
          </w:tcPr>
          <w:p w14:paraId="2351B19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015C6C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2E7724C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0.39***</w:t>
            </w:r>
          </w:p>
        </w:tc>
        <w:tc>
          <w:tcPr>
            <w:tcW w:w="992" w:type="dxa"/>
            <w:tcBorders>
              <w:left w:val="single" w:sz="4" w:space="0" w:color="auto"/>
            </w:tcBorders>
            <w:shd w:val="clear" w:color="auto" w:fill="F2F2F2" w:themeFill="background1" w:themeFillShade="F2"/>
            <w:hideMark/>
          </w:tcPr>
          <w:p w14:paraId="2BCB668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c>
          <w:tcPr>
            <w:tcW w:w="993" w:type="dxa"/>
            <w:shd w:val="clear" w:color="auto" w:fill="F2F2F2" w:themeFill="background1" w:themeFillShade="F2"/>
            <w:hideMark/>
          </w:tcPr>
          <w:p w14:paraId="3529EAC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c>
          <w:tcPr>
            <w:tcW w:w="850" w:type="dxa"/>
            <w:shd w:val="clear" w:color="auto" w:fill="F2F2F2" w:themeFill="background1" w:themeFillShade="F2"/>
            <w:hideMark/>
          </w:tcPr>
          <w:p w14:paraId="242130B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c>
          <w:tcPr>
            <w:tcW w:w="851" w:type="dxa"/>
            <w:shd w:val="clear" w:color="auto" w:fill="F2F2F2" w:themeFill="background1" w:themeFillShade="F2"/>
            <w:hideMark/>
          </w:tcPr>
          <w:p w14:paraId="28575E9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c>
          <w:tcPr>
            <w:tcW w:w="850" w:type="dxa"/>
            <w:shd w:val="clear" w:color="auto" w:fill="F2F2F2" w:themeFill="background1" w:themeFillShade="F2"/>
            <w:hideMark/>
          </w:tcPr>
          <w:p w14:paraId="3AD556F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c>
          <w:tcPr>
            <w:tcW w:w="851" w:type="dxa"/>
            <w:shd w:val="clear" w:color="auto" w:fill="F2F2F2" w:themeFill="background1" w:themeFillShade="F2"/>
            <w:hideMark/>
          </w:tcPr>
          <w:p w14:paraId="257743B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c>
          <w:tcPr>
            <w:tcW w:w="851" w:type="dxa"/>
            <w:shd w:val="clear" w:color="auto" w:fill="F2F2F2" w:themeFill="background1" w:themeFillShade="F2"/>
            <w:hideMark/>
          </w:tcPr>
          <w:p w14:paraId="6B6C829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r>
      <w:tr w:rsidR="001C35E3" w:rsidRPr="00CA5619" w14:paraId="7FC671FB" w14:textId="77777777" w:rsidTr="00FF0E2C">
        <w:trPr>
          <w:gridAfter w:val="1"/>
          <w:wAfter w:w="851" w:type="dxa"/>
          <w:trHeight w:val="144"/>
        </w:trPr>
        <w:tc>
          <w:tcPr>
            <w:tcW w:w="1835" w:type="dxa"/>
            <w:shd w:val="clear" w:color="auto" w:fill="F2F2F2" w:themeFill="background1" w:themeFillShade="F2"/>
          </w:tcPr>
          <w:p w14:paraId="5271F6D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7918310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01DFB5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093F0C3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2C3B5B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391F791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tcPr>
          <w:p w14:paraId="0774222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D4EBC4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209A040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shd w:val="clear" w:color="auto" w:fill="F2F2F2" w:themeFill="background1" w:themeFillShade="F2"/>
            <w:hideMark/>
          </w:tcPr>
          <w:p w14:paraId="4F9858C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shd w:val="clear" w:color="auto" w:fill="F2F2F2" w:themeFill="background1" w:themeFillShade="F2"/>
            <w:hideMark/>
          </w:tcPr>
          <w:p w14:paraId="2292AFE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7072C9B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7EB1766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7918303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2FFFD13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04099C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1C35E3" w:rsidRPr="00CA5619" w14:paraId="1ECF3F5B" w14:textId="77777777" w:rsidTr="00FF0E2C">
        <w:trPr>
          <w:gridAfter w:val="1"/>
          <w:wAfter w:w="851" w:type="dxa"/>
          <w:trHeight w:val="144"/>
        </w:trPr>
        <w:tc>
          <w:tcPr>
            <w:tcW w:w="1835" w:type="dxa"/>
            <w:shd w:val="clear" w:color="auto" w:fill="F2F2F2" w:themeFill="background1" w:themeFillShade="F2"/>
            <w:hideMark/>
          </w:tcPr>
          <w:p w14:paraId="7B0F97F3"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Two or more</w:t>
            </w:r>
          </w:p>
        </w:tc>
        <w:tc>
          <w:tcPr>
            <w:tcW w:w="856" w:type="dxa"/>
            <w:shd w:val="clear" w:color="auto" w:fill="F2F2F2" w:themeFill="background1" w:themeFillShade="F2"/>
          </w:tcPr>
          <w:p w14:paraId="2045498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D228A7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1261F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E9003D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35F0433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0.86***</w:t>
            </w:r>
          </w:p>
        </w:tc>
        <w:tc>
          <w:tcPr>
            <w:tcW w:w="850" w:type="dxa"/>
            <w:shd w:val="clear" w:color="auto" w:fill="F2F2F2" w:themeFill="background1" w:themeFillShade="F2"/>
          </w:tcPr>
          <w:p w14:paraId="5D5090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6B88C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20F30F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0.54***</w:t>
            </w:r>
          </w:p>
        </w:tc>
        <w:tc>
          <w:tcPr>
            <w:tcW w:w="992" w:type="dxa"/>
            <w:tcBorders>
              <w:left w:val="single" w:sz="4" w:space="0" w:color="auto"/>
            </w:tcBorders>
            <w:shd w:val="clear" w:color="auto" w:fill="F2F2F2" w:themeFill="background1" w:themeFillShade="F2"/>
            <w:hideMark/>
          </w:tcPr>
          <w:p w14:paraId="27A664D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0.46***</w:t>
            </w:r>
          </w:p>
        </w:tc>
        <w:tc>
          <w:tcPr>
            <w:tcW w:w="993" w:type="dxa"/>
            <w:shd w:val="clear" w:color="auto" w:fill="F2F2F2" w:themeFill="background1" w:themeFillShade="F2"/>
            <w:hideMark/>
          </w:tcPr>
          <w:p w14:paraId="3578311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0.47***</w:t>
            </w:r>
          </w:p>
        </w:tc>
        <w:tc>
          <w:tcPr>
            <w:tcW w:w="850" w:type="dxa"/>
            <w:shd w:val="clear" w:color="auto" w:fill="F2F2F2" w:themeFill="background1" w:themeFillShade="F2"/>
            <w:hideMark/>
          </w:tcPr>
          <w:p w14:paraId="5EFF87F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0.47***</w:t>
            </w:r>
          </w:p>
        </w:tc>
        <w:tc>
          <w:tcPr>
            <w:tcW w:w="851" w:type="dxa"/>
            <w:shd w:val="clear" w:color="auto" w:fill="F2F2F2" w:themeFill="background1" w:themeFillShade="F2"/>
            <w:hideMark/>
          </w:tcPr>
          <w:p w14:paraId="0C109F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0.46***</w:t>
            </w:r>
          </w:p>
        </w:tc>
        <w:tc>
          <w:tcPr>
            <w:tcW w:w="850" w:type="dxa"/>
            <w:shd w:val="clear" w:color="auto" w:fill="F2F2F2" w:themeFill="background1" w:themeFillShade="F2"/>
            <w:hideMark/>
          </w:tcPr>
          <w:p w14:paraId="74C29F0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0.46***</w:t>
            </w:r>
          </w:p>
        </w:tc>
        <w:tc>
          <w:tcPr>
            <w:tcW w:w="851" w:type="dxa"/>
            <w:shd w:val="clear" w:color="auto" w:fill="F2F2F2" w:themeFill="background1" w:themeFillShade="F2"/>
            <w:hideMark/>
          </w:tcPr>
          <w:p w14:paraId="695BA09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0.46***</w:t>
            </w:r>
          </w:p>
        </w:tc>
        <w:tc>
          <w:tcPr>
            <w:tcW w:w="851" w:type="dxa"/>
            <w:shd w:val="clear" w:color="auto" w:fill="F2F2F2" w:themeFill="background1" w:themeFillShade="F2"/>
            <w:hideMark/>
          </w:tcPr>
          <w:p w14:paraId="7B2D958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0.46***</w:t>
            </w:r>
          </w:p>
        </w:tc>
      </w:tr>
      <w:tr w:rsidR="001C35E3" w:rsidRPr="00CA5619" w14:paraId="547F3541" w14:textId="77777777" w:rsidTr="00FF0E2C">
        <w:trPr>
          <w:gridAfter w:val="1"/>
          <w:wAfter w:w="851" w:type="dxa"/>
          <w:trHeight w:val="144"/>
        </w:trPr>
        <w:tc>
          <w:tcPr>
            <w:tcW w:w="1835" w:type="dxa"/>
            <w:shd w:val="clear" w:color="auto" w:fill="F2F2F2" w:themeFill="background1" w:themeFillShade="F2"/>
          </w:tcPr>
          <w:p w14:paraId="0FBE46B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11ABF7A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D49AB3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E3986F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FFB777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4D23D4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tcPr>
          <w:p w14:paraId="729711C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8930F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2CB7880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shd w:val="clear" w:color="auto" w:fill="F2F2F2" w:themeFill="background1" w:themeFillShade="F2"/>
            <w:hideMark/>
          </w:tcPr>
          <w:p w14:paraId="17E9583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shd w:val="clear" w:color="auto" w:fill="F2F2F2" w:themeFill="background1" w:themeFillShade="F2"/>
            <w:hideMark/>
          </w:tcPr>
          <w:p w14:paraId="6DEB201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shd w:val="clear" w:color="auto" w:fill="F2F2F2" w:themeFill="background1" w:themeFillShade="F2"/>
            <w:hideMark/>
          </w:tcPr>
          <w:p w14:paraId="703BA6F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3B82296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shd w:val="clear" w:color="auto" w:fill="F2F2F2" w:themeFill="background1" w:themeFillShade="F2"/>
            <w:hideMark/>
          </w:tcPr>
          <w:p w14:paraId="0B7C1BA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333CD1F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3F4EFE5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1C35E3" w:rsidRPr="00CA5619" w14:paraId="0A01406A" w14:textId="77777777" w:rsidTr="00FF0E2C">
        <w:trPr>
          <w:gridAfter w:val="1"/>
          <w:wAfter w:w="851" w:type="dxa"/>
          <w:trHeight w:val="144"/>
        </w:trPr>
        <w:tc>
          <w:tcPr>
            <w:tcW w:w="1835" w:type="dxa"/>
            <w:shd w:val="clear" w:color="auto" w:fill="F2F2F2" w:themeFill="background1" w:themeFillShade="F2"/>
            <w:hideMark/>
          </w:tcPr>
          <w:p w14:paraId="2F2AD18F" w14:textId="77777777" w:rsidR="001C35E3" w:rsidRPr="00CA5619" w:rsidRDefault="001C35E3">
            <w:pPr>
              <w:widowControl w:val="0"/>
              <w:autoSpaceDE w:val="0"/>
              <w:autoSpaceDN w:val="0"/>
              <w:adjustRightInd w:val="0"/>
              <w:spacing w:before="0" w:line="240" w:lineRule="auto"/>
              <w:rPr>
                <w:rFonts w:cs="Segoe UI"/>
                <w:sz w:val="18"/>
                <w:szCs w:val="18"/>
                <w:highlight w:val="yellow"/>
                <w:u w:val="single"/>
                <w:lang w:val="en-US" w:eastAsia="en-GB"/>
              </w:rPr>
            </w:pPr>
            <w:r w:rsidRPr="00CA5619">
              <w:rPr>
                <w:rFonts w:cs="Segoe UI"/>
                <w:sz w:val="18"/>
                <w:szCs w:val="18"/>
                <w:highlight w:val="yellow"/>
                <w:lang w:val="en-US" w:eastAsia="en-GB"/>
              </w:rPr>
              <w:t xml:space="preserve">Trust (Ref = </w:t>
            </w:r>
            <w:r w:rsidRPr="00CA5619">
              <w:rPr>
                <w:rFonts w:cs="Segoe UI"/>
                <w:i/>
                <w:sz w:val="18"/>
                <w:szCs w:val="18"/>
                <w:highlight w:val="yellow"/>
                <w:lang w:val="en-US" w:eastAsia="en-GB"/>
              </w:rPr>
              <w:t>Can’t be trusted</w:t>
            </w:r>
            <w:r w:rsidRPr="00CA5619">
              <w:rPr>
                <w:rFonts w:cs="Segoe UI"/>
                <w:sz w:val="18"/>
                <w:szCs w:val="18"/>
                <w:highlight w:val="yellow"/>
                <w:lang w:val="en-US" w:eastAsia="en-GB"/>
              </w:rPr>
              <w:t>)</w:t>
            </w:r>
          </w:p>
        </w:tc>
        <w:tc>
          <w:tcPr>
            <w:tcW w:w="856" w:type="dxa"/>
            <w:shd w:val="clear" w:color="auto" w:fill="F2F2F2" w:themeFill="background1" w:themeFillShade="F2"/>
          </w:tcPr>
          <w:p w14:paraId="18B637B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184160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634D433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6184B7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0D137D0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p w14:paraId="3FAF5D5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tcPr>
          <w:p w14:paraId="459D95F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9902FF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3B8D699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3B1831D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2A3D3EE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0AA3F5E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shd w:val="clear" w:color="auto" w:fill="F2F2F2" w:themeFill="background1" w:themeFillShade="F2"/>
            <w:hideMark/>
          </w:tcPr>
          <w:p w14:paraId="4F1E20D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51DDFA1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4BCF5FF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6DA0DE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4F78F3B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6E2B6FE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1370CD6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6983E1C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037933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5BAA8C4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38D3F76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36C6F71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1C35E3" w:rsidRPr="00CA5619" w14:paraId="44E8782C" w14:textId="77777777" w:rsidTr="00FF0E2C">
        <w:trPr>
          <w:gridAfter w:val="1"/>
          <w:wAfter w:w="851" w:type="dxa"/>
          <w:trHeight w:val="144"/>
        </w:trPr>
        <w:tc>
          <w:tcPr>
            <w:tcW w:w="1835" w:type="dxa"/>
            <w:shd w:val="clear" w:color="auto" w:fill="F2F2F2" w:themeFill="background1" w:themeFillShade="F2"/>
            <w:hideMark/>
          </w:tcPr>
          <w:p w14:paraId="6D10D1E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Institutional Trust (1-10)</w:t>
            </w:r>
          </w:p>
        </w:tc>
        <w:tc>
          <w:tcPr>
            <w:tcW w:w="856" w:type="dxa"/>
            <w:shd w:val="clear" w:color="auto" w:fill="F2F2F2" w:themeFill="background1" w:themeFillShade="F2"/>
          </w:tcPr>
          <w:p w14:paraId="3952BD3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63145A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1B495E9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8BDF78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ACD025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05E025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tcPr>
          <w:p w14:paraId="030C053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F317ED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28DB4F0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007493F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135C65D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5ABA873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shd w:val="clear" w:color="auto" w:fill="F2F2F2" w:themeFill="background1" w:themeFillShade="F2"/>
            <w:hideMark/>
          </w:tcPr>
          <w:p w14:paraId="40E17C1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256173B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26A1F22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2DD389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274ECA5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14B559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0C35758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79EBAE2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61864CF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78437E5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50539F6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331843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445525F5" w14:textId="77777777" w:rsidTr="00FF0E2C">
        <w:trPr>
          <w:trHeight w:val="144"/>
        </w:trPr>
        <w:tc>
          <w:tcPr>
            <w:tcW w:w="2691" w:type="dxa"/>
            <w:gridSpan w:val="2"/>
            <w:hideMark/>
          </w:tcPr>
          <w:p w14:paraId="2556F84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b/>
                <w:sz w:val="18"/>
                <w:szCs w:val="18"/>
                <w:highlight w:val="yellow"/>
                <w:lang w:val="en-US" w:eastAsia="en-GB"/>
              </w:rPr>
              <w:t>Cognitive Engagement</w:t>
            </w:r>
          </w:p>
        </w:tc>
        <w:tc>
          <w:tcPr>
            <w:tcW w:w="851" w:type="dxa"/>
          </w:tcPr>
          <w:p w14:paraId="1480139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107C402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09B4F54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E325C9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6D17D93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6F5C9B5"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5E4808C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0C85CD4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0421EB5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44E902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4FCBAF9"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1E9DD30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7B47A3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1C2952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0E10A4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1D1AC539" w14:textId="77777777" w:rsidTr="00FF0E2C">
        <w:trPr>
          <w:trHeight w:val="144"/>
        </w:trPr>
        <w:tc>
          <w:tcPr>
            <w:tcW w:w="2691" w:type="dxa"/>
            <w:gridSpan w:val="2"/>
            <w:hideMark/>
          </w:tcPr>
          <w:p w14:paraId="119DF6C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Political Interest (1-10)</w:t>
            </w:r>
          </w:p>
        </w:tc>
        <w:tc>
          <w:tcPr>
            <w:tcW w:w="851" w:type="dxa"/>
          </w:tcPr>
          <w:p w14:paraId="7410204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9B33FA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5C9DA6E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718154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61F605B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tcPr>
          <w:p w14:paraId="3645EFA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3408DAE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992" w:type="dxa"/>
            <w:tcBorders>
              <w:left w:val="single" w:sz="4" w:space="0" w:color="auto"/>
            </w:tcBorders>
            <w:hideMark/>
          </w:tcPr>
          <w:p w14:paraId="52C1961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993" w:type="dxa"/>
            <w:hideMark/>
          </w:tcPr>
          <w:p w14:paraId="67A804F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0" w:type="dxa"/>
            <w:hideMark/>
          </w:tcPr>
          <w:p w14:paraId="33D24C7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1" w:type="dxa"/>
            <w:hideMark/>
          </w:tcPr>
          <w:p w14:paraId="25CB82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0" w:type="dxa"/>
            <w:hideMark/>
          </w:tcPr>
          <w:p w14:paraId="0B56DD8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1" w:type="dxa"/>
            <w:hideMark/>
          </w:tcPr>
          <w:p w14:paraId="1E7E10D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1" w:type="dxa"/>
            <w:hideMark/>
          </w:tcPr>
          <w:p w14:paraId="6557C3F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1" w:type="dxa"/>
          </w:tcPr>
          <w:p w14:paraId="7304E03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1FEC6A84" w14:textId="77777777" w:rsidTr="00FF0E2C">
        <w:trPr>
          <w:gridAfter w:val="1"/>
          <w:wAfter w:w="851" w:type="dxa"/>
          <w:trHeight w:val="144"/>
        </w:trPr>
        <w:tc>
          <w:tcPr>
            <w:tcW w:w="1835" w:type="dxa"/>
          </w:tcPr>
          <w:p w14:paraId="270CDF5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33E1F3D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E53442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5B6AAB5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63B14C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398BB4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5556953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Pr>
          <w:p w14:paraId="75A694A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12A19D5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5D1CED6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39CBDB5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5CA9589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67B7779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047479B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036DED0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B2AB19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432A51B0" w14:textId="77777777" w:rsidTr="00FF0E2C">
        <w:trPr>
          <w:trHeight w:val="144"/>
        </w:trPr>
        <w:tc>
          <w:tcPr>
            <w:tcW w:w="2691" w:type="dxa"/>
            <w:gridSpan w:val="2"/>
            <w:hideMark/>
          </w:tcPr>
          <w:p w14:paraId="4BBF104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Media Use (Ref=</w:t>
            </w:r>
            <w:r w:rsidRPr="00CA5619">
              <w:rPr>
                <w:rFonts w:cs="Segoe UI"/>
                <w:i/>
                <w:sz w:val="18"/>
                <w:szCs w:val="18"/>
                <w:highlight w:val="yellow"/>
                <w:lang w:val="en-US" w:eastAsia="en-GB"/>
              </w:rPr>
              <w:t>None</w:t>
            </w:r>
            <w:r w:rsidRPr="00CA5619">
              <w:rPr>
                <w:rFonts w:cs="Segoe UI"/>
                <w:sz w:val="18"/>
                <w:szCs w:val="18"/>
                <w:highlight w:val="yellow"/>
                <w:lang w:val="en-US" w:eastAsia="en-GB"/>
              </w:rPr>
              <w:t>)</w:t>
            </w:r>
          </w:p>
        </w:tc>
        <w:tc>
          <w:tcPr>
            <w:tcW w:w="851" w:type="dxa"/>
          </w:tcPr>
          <w:p w14:paraId="7BE1960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1845FAB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FAF11E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A4F585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0FDA22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D429F1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3FDEF96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68136E9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4C856B5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3573F16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C01B00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7C9BBD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13786F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A41682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A448EE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6B05BEBB" w14:textId="77777777" w:rsidTr="00FF0E2C">
        <w:trPr>
          <w:gridAfter w:val="1"/>
          <w:wAfter w:w="851" w:type="dxa"/>
          <w:trHeight w:val="144"/>
        </w:trPr>
        <w:tc>
          <w:tcPr>
            <w:tcW w:w="1835" w:type="dxa"/>
            <w:hideMark/>
          </w:tcPr>
          <w:p w14:paraId="498CA1C2"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1-4 Sources</w:t>
            </w:r>
          </w:p>
        </w:tc>
        <w:tc>
          <w:tcPr>
            <w:tcW w:w="856" w:type="dxa"/>
          </w:tcPr>
          <w:p w14:paraId="33265AA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16FB37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1543F7E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B8A2A7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E8AFC8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2505B76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0.38**</w:t>
            </w:r>
          </w:p>
          <w:p w14:paraId="6759E2C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tcPr>
          <w:p w14:paraId="7E5CD50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4A64B83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p w14:paraId="14FB236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left w:val="single" w:sz="4" w:space="0" w:color="auto"/>
            </w:tcBorders>
            <w:hideMark/>
          </w:tcPr>
          <w:p w14:paraId="018A7DC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0.39***</w:t>
            </w:r>
          </w:p>
          <w:p w14:paraId="39077D0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hideMark/>
          </w:tcPr>
          <w:p w14:paraId="6F54518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0.38***</w:t>
            </w:r>
          </w:p>
          <w:p w14:paraId="10C99BF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217205D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0.39***</w:t>
            </w:r>
          </w:p>
          <w:p w14:paraId="2E57B7A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762DE06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0.39***</w:t>
            </w:r>
          </w:p>
          <w:p w14:paraId="5907B6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17F029F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0.38***</w:t>
            </w:r>
          </w:p>
          <w:p w14:paraId="73875CD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2B01C26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0.38***</w:t>
            </w:r>
          </w:p>
          <w:p w14:paraId="7D8CC8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1CF309D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0.38***</w:t>
            </w:r>
          </w:p>
          <w:p w14:paraId="32CC848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1C35E3" w:rsidRPr="00CA5619" w14:paraId="3908E7E0" w14:textId="77777777" w:rsidTr="00FF0E2C">
        <w:trPr>
          <w:gridAfter w:val="1"/>
          <w:wAfter w:w="851" w:type="dxa"/>
          <w:trHeight w:val="144"/>
        </w:trPr>
        <w:tc>
          <w:tcPr>
            <w:tcW w:w="1835" w:type="dxa"/>
            <w:hideMark/>
          </w:tcPr>
          <w:p w14:paraId="5672FDE6"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 xml:space="preserve">5+ Sources </w:t>
            </w:r>
          </w:p>
        </w:tc>
        <w:tc>
          <w:tcPr>
            <w:tcW w:w="856" w:type="dxa"/>
          </w:tcPr>
          <w:p w14:paraId="1483450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AFC340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863B3A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3EFC45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04D148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381A4D4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1.04***</w:t>
            </w:r>
          </w:p>
        </w:tc>
        <w:tc>
          <w:tcPr>
            <w:tcW w:w="851" w:type="dxa"/>
          </w:tcPr>
          <w:p w14:paraId="641441E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783177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0.66***</w:t>
            </w:r>
          </w:p>
        </w:tc>
        <w:tc>
          <w:tcPr>
            <w:tcW w:w="992" w:type="dxa"/>
            <w:tcBorders>
              <w:left w:val="single" w:sz="4" w:space="0" w:color="auto"/>
            </w:tcBorders>
            <w:hideMark/>
          </w:tcPr>
          <w:p w14:paraId="1CC87D7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0.56***</w:t>
            </w:r>
          </w:p>
        </w:tc>
        <w:tc>
          <w:tcPr>
            <w:tcW w:w="993" w:type="dxa"/>
            <w:hideMark/>
          </w:tcPr>
          <w:p w14:paraId="5281130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0.55***</w:t>
            </w:r>
          </w:p>
        </w:tc>
        <w:tc>
          <w:tcPr>
            <w:tcW w:w="850" w:type="dxa"/>
            <w:hideMark/>
          </w:tcPr>
          <w:p w14:paraId="3CC37EC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0.55***</w:t>
            </w:r>
          </w:p>
        </w:tc>
        <w:tc>
          <w:tcPr>
            <w:tcW w:w="851" w:type="dxa"/>
            <w:hideMark/>
          </w:tcPr>
          <w:p w14:paraId="32E3A1F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0.56***</w:t>
            </w:r>
          </w:p>
        </w:tc>
        <w:tc>
          <w:tcPr>
            <w:tcW w:w="850" w:type="dxa"/>
            <w:hideMark/>
          </w:tcPr>
          <w:p w14:paraId="61C8418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0.55***</w:t>
            </w:r>
          </w:p>
        </w:tc>
        <w:tc>
          <w:tcPr>
            <w:tcW w:w="851" w:type="dxa"/>
            <w:hideMark/>
          </w:tcPr>
          <w:p w14:paraId="5A8629D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0.55***</w:t>
            </w:r>
          </w:p>
        </w:tc>
        <w:tc>
          <w:tcPr>
            <w:tcW w:w="851" w:type="dxa"/>
            <w:hideMark/>
          </w:tcPr>
          <w:p w14:paraId="67FEE7A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0.55***</w:t>
            </w:r>
          </w:p>
        </w:tc>
      </w:tr>
      <w:tr w:rsidR="001C35E3" w:rsidRPr="00CA5619" w14:paraId="3C2AB1B2" w14:textId="77777777" w:rsidTr="00FF0E2C">
        <w:trPr>
          <w:gridAfter w:val="1"/>
          <w:wAfter w:w="851" w:type="dxa"/>
          <w:trHeight w:val="144"/>
        </w:trPr>
        <w:tc>
          <w:tcPr>
            <w:tcW w:w="1835" w:type="dxa"/>
          </w:tcPr>
          <w:p w14:paraId="25B454C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1225B0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AE1FD2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5AB8EED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3AED69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56B32B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5C84E0A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tcPr>
          <w:p w14:paraId="70AC636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206D56D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left w:val="single" w:sz="4" w:space="0" w:color="auto"/>
            </w:tcBorders>
            <w:hideMark/>
          </w:tcPr>
          <w:p w14:paraId="1DA9E8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hideMark/>
          </w:tcPr>
          <w:p w14:paraId="1A49414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075A254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2854B82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5529CC8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3F98CD8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6412B15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1C35E3" w:rsidRPr="00CA5619" w14:paraId="2F69387E" w14:textId="77777777" w:rsidTr="00FF0E2C">
        <w:trPr>
          <w:gridAfter w:val="1"/>
          <w:wAfter w:w="851" w:type="dxa"/>
          <w:trHeight w:val="144"/>
        </w:trPr>
        <w:tc>
          <w:tcPr>
            <w:tcW w:w="1835" w:type="dxa"/>
            <w:shd w:val="clear" w:color="auto" w:fill="F2F2F2" w:themeFill="background1" w:themeFillShade="F2"/>
            <w:hideMark/>
          </w:tcPr>
          <w:p w14:paraId="4CEFD800" w14:textId="77777777" w:rsidR="001C35E3" w:rsidRPr="00CA5619" w:rsidRDefault="001C35E3">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 xml:space="preserve">Religion </w:t>
            </w:r>
          </w:p>
        </w:tc>
        <w:tc>
          <w:tcPr>
            <w:tcW w:w="856" w:type="dxa"/>
            <w:shd w:val="clear" w:color="auto" w:fill="F2F2F2" w:themeFill="background1" w:themeFillShade="F2"/>
          </w:tcPr>
          <w:p w14:paraId="283E45C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7807AB9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shd w:val="clear" w:color="auto" w:fill="F2F2F2" w:themeFill="background1" w:themeFillShade="F2"/>
          </w:tcPr>
          <w:p w14:paraId="594EF149"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448B5C2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315B2DD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11F9891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2D0DDD6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07F27C6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7C9C1F2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shd w:val="clear" w:color="auto" w:fill="F2F2F2" w:themeFill="background1" w:themeFillShade="F2"/>
          </w:tcPr>
          <w:p w14:paraId="0C655A1E"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273EF71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359AA83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093424E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3079042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2DA1B353"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57F3FB27" w14:textId="77777777" w:rsidTr="00FF0E2C">
        <w:trPr>
          <w:gridAfter w:val="1"/>
          <w:wAfter w:w="851" w:type="dxa"/>
          <w:trHeight w:val="144"/>
        </w:trPr>
        <w:tc>
          <w:tcPr>
            <w:tcW w:w="1835" w:type="dxa"/>
            <w:shd w:val="clear" w:color="auto" w:fill="F2F2F2" w:themeFill="background1" w:themeFillShade="F2"/>
            <w:hideMark/>
          </w:tcPr>
          <w:p w14:paraId="72A8FC3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Religiosity (1-10) </w:t>
            </w:r>
          </w:p>
        </w:tc>
        <w:tc>
          <w:tcPr>
            <w:tcW w:w="856" w:type="dxa"/>
            <w:shd w:val="clear" w:color="auto" w:fill="F2F2F2" w:themeFill="background1" w:themeFillShade="F2"/>
          </w:tcPr>
          <w:p w14:paraId="57E1680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D61CE6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2C38462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5E7D5A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9FD3EB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35AD4E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7EA6A27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tcBorders>
              <w:right w:val="single" w:sz="4" w:space="0" w:color="auto"/>
            </w:tcBorders>
            <w:shd w:val="clear" w:color="auto" w:fill="F2F2F2" w:themeFill="background1" w:themeFillShade="F2"/>
            <w:hideMark/>
          </w:tcPr>
          <w:p w14:paraId="59B4B04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left w:val="single" w:sz="4" w:space="0" w:color="auto"/>
            </w:tcBorders>
            <w:shd w:val="clear" w:color="auto" w:fill="F2F2F2" w:themeFill="background1" w:themeFillShade="F2"/>
            <w:hideMark/>
          </w:tcPr>
          <w:p w14:paraId="03DBCBB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shd w:val="clear" w:color="auto" w:fill="F2F2F2" w:themeFill="background1" w:themeFillShade="F2"/>
            <w:hideMark/>
          </w:tcPr>
          <w:p w14:paraId="22240F1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shd w:val="clear" w:color="auto" w:fill="F2F2F2" w:themeFill="background1" w:themeFillShade="F2"/>
            <w:hideMark/>
          </w:tcPr>
          <w:p w14:paraId="5C63C1B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7A0C6E7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shd w:val="clear" w:color="auto" w:fill="F2F2F2" w:themeFill="background1" w:themeFillShade="F2"/>
            <w:hideMark/>
          </w:tcPr>
          <w:p w14:paraId="49F5A5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6FD7AE8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404FFE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1C35E3" w:rsidRPr="00CA5619" w14:paraId="01F7FD10" w14:textId="77777777" w:rsidTr="00FF0E2C">
        <w:trPr>
          <w:gridAfter w:val="1"/>
          <w:wAfter w:w="851" w:type="dxa"/>
          <w:trHeight w:val="144"/>
        </w:trPr>
        <w:tc>
          <w:tcPr>
            <w:tcW w:w="1835" w:type="dxa"/>
            <w:shd w:val="clear" w:color="auto" w:fill="F2F2F2" w:themeFill="background1" w:themeFillShade="F2"/>
          </w:tcPr>
          <w:p w14:paraId="45F6E953"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2C61ED0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3CF9B4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0E85F72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467314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5DABE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3C9F29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256C3B0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right w:val="single" w:sz="4" w:space="0" w:color="auto"/>
            </w:tcBorders>
            <w:shd w:val="clear" w:color="auto" w:fill="F2F2F2" w:themeFill="background1" w:themeFillShade="F2"/>
            <w:hideMark/>
          </w:tcPr>
          <w:p w14:paraId="44219A5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5829EB4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shd w:val="clear" w:color="auto" w:fill="F2F2F2" w:themeFill="background1" w:themeFillShade="F2"/>
            <w:hideMark/>
          </w:tcPr>
          <w:p w14:paraId="5B347C3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078EB11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082B6D2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05086A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2EF08CE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5D5ADDB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1C35E3" w:rsidRPr="00CA5619" w14:paraId="343183C2" w14:textId="77777777" w:rsidTr="00FF0E2C">
        <w:trPr>
          <w:trHeight w:val="144"/>
        </w:trPr>
        <w:tc>
          <w:tcPr>
            <w:tcW w:w="2691" w:type="dxa"/>
            <w:gridSpan w:val="2"/>
            <w:shd w:val="clear" w:color="auto" w:fill="F2F2F2" w:themeFill="background1" w:themeFillShade="F2"/>
            <w:hideMark/>
          </w:tcPr>
          <w:p w14:paraId="21B40AE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eastAsia="en-GB"/>
              </w:rPr>
              <w:t>Religion (Ref=</w:t>
            </w:r>
            <w:r w:rsidRPr="00CA5619">
              <w:rPr>
                <w:rFonts w:cs="Segoe UI"/>
                <w:i/>
                <w:sz w:val="18"/>
                <w:szCs w:val="18"/>
                <w:highlight w:val="yellow"/>
                <w:lang w:eastAsia="en-GB"/>
              </w:rPr>
              <w:t>Non-affiliated</w:t>
            </w:r>
            <w:r w:rsidRPr="00CA5619">
              <w:rPr>
                <w:rFonts w:cs="Segoe UI"/>
                <w:sz w:val="18"/>
                <w:szCs w:val="18"/>
                <w:highlight w:val="yellow"/>
                <w:lang w:eastAsia="en-GB"/>
              </w:rPr>
              <w:t>)</w:t>
            </w:r>
          </w:p>
        </w:tc>
        <w:tc>
          <w:tcPr>
            <w:tcW w:w="851" w:type="dxa"/>
            <w:shd w:val="clear" w:color="auto" w:fill="F2F2F2" w:themeFill="background1" w:themeFillShade="F2"/>
          </w:tcPr>
          <w:p w14:paraId="131333B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62B2A36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A3396A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827AEF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570A81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DECD96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225C87C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52D29F5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shd w:val="clear" w:color="auto" w:fill="F2F2F2" w:themeFill="background1" w:themeFillShade="F2"/>
          </w:tcPr>
          <w:p w14:paraId="7537743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B734BB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12D43A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088A40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50A46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63C131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9B65D9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006E17B1" w14:textId="77777777" w:rsidTr="00FF0E2C">
        <w:trPr>
          <w:gridAfter w:val="1"/>
          <w:wAfter w:w="851" w:type="dxa"/>
          <w:trHeight w:val="144"/>
        </w:trPr>
        <w:tc>
          <w:tcPr>
            <w:tcW w:w="1835" w:type="dxa"/>
            <w:shd w:val="clear" w:color="auto" w:fill="F2F2F2" w:themeFill="background1" w:themeFillShade="F2"/>
            <w:hideMark/>
          </w:tcPr>
          <w:p w14:paraId="6A9886C3"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Catholic</w:t>
            </w:r>
          </w:p>
        </w:tc>
        <w:tc>
          <w:tcPr>
            <w:tcW w:w="856" w:type="dxa"/>
            <w:shd w:val="clear" w:color="auto" w:fill="F2F2F2" w:themeFill="background1" w:themeFillShade="F2"/>
          </w:tcPr>
          <w:p w14:paraId="7876C62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F9C7B7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31387D9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F36ADB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FB4527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3CBEC5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1372C1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tcBorders>
              <w:right w:val="single" w:sz="4" w:space="0" w:color="auto"/>
            </w:tcBorders>
            <w:shd w:val="clear" w:color="auto" w:fill="F2F2F2" w:themeFill="background1" w:themeFillShade="F2"/>
            <w:hideMark/>
          </w:tcPr>
          <w:p w14:paraId="4CA3175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992" w:type="dxa"/>
            <w:tcBorders>
              <w:left w:val="single" w:sz="4" w:space="0" w:color="auto"/>
            </w:tcBorders>
            <w:shd w:val="clear" w:color="auto" w:fill="F2F2F2" w:themeFill="background1" w:themeFillShade="F2"/>
            <w:hideMark/>
          </w:tcPr>
          <w:p w14:paraId="27C34C2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3" w:type="dxa"/>
            <w:shd w:val="clear" w:color="auto" w:fill="F2F2F2" w:themeFill="background1" w:themeFillShade="F2"/>
            <w:hideMark/>
          </w:tcPr>
          <w:p w14:paraId="0A4D756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shd w:val="clear" w:color="auto" w:fill="F2F2F2" w:themeFill="background1" w:themeFillShade="F2"/>
            <w:hideMark/>
          </w:tcPr>
          <w:p w14:paraId="589E70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5149D8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shd w:val="clear" w:color="auto" w:fill="F2F2F2" w:themeFill="background1" w:themeFillShade="F2"/>
            <w:hideMark/>
          </w:tcPr>
          <w:p w14:paraId="19141C4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338E506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75B01DA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r>
      <w:tr w:rsidR="001C35E3" w:rsidRPr="00CA5619" w14:paraId="711B7D8B" w14:textId="77777777" w:rsidTr="00FF0E2C">
        <w:trPr>
          <w:gridAfter w:val="1"/>
          <w:wAfter w:w="851" w:type="dxa"/>
          <w:trHeight w:val="144"/>
        </w:trPr>
        <w:tc>
          <w:tcPr>
            <w:tcW w:w="1835" w:type="dxa"/>
            <w:shd w:val="clear" w:color="auto" w:fill="F2F2F2" w:themeFill="background1" w:themeFillShade="F2"/>
          </w:tcPr>
          <w:p w14:paraId="1A8F7F33"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0E0F8D3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5A933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471A9D3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30F0A1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303A75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E37A64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47F293F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right w:val="single" w:sz="4" w:space="0" w:color="auto"/>
            </w:tcBorders>
            <w:shd w:val="clear" w:color="auto" w:fill="F2F2F2" w:themeFill="background1" w:themeFillShade="F2"/>
            <w:hideMark/>
          </w:tcPr>
          <w:p w14:paraId="4023179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1D4DB44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3" w:type="dxa"/>
            <w:shd w:val="clear" w:color="auto" w:fill="F2F2F2" w:themeFill="background1" w:themeFillShade="F2"/>
            <w:hideMark/>
          </w:tcPr>
          <w:p w14:paraId="490AFF1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shd w:val="clear" w:color="auto" w:fill="F2F2F2" w:themeFill="background1" w:themeFillShade="F2"/>
            <w:hideMark/>
          </w:tcPr>
          <w:p w14:paraId="45E9A8C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2FFD427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shd w:val="clear" w:color="auto" w:fill="F2F2F2" w:themeFill="background1" w:themeFillShade="F2"/>
            <w:hideMark/>
          </w:tcPr>
          <w:p w14:paraId="21ECD84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1632FDD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3D4091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r>
      <w:tr w:rsidR="001C35E3" w:rsidRPr="00CA5619" w14:paraId="371488EE" w14:textId="77777777" w:rsidTr="00FF0E2C">
        <w:trPr>
          <w:gridAfter w:val="1"/>
          <w:wAfter w:w="851" w:type="dxa"/>
          <w:trHeight w:val="144"/>
        </w:trPr>
        <w:tc>
          <w:tcPr>
            <w:tcW w:w="1835" w:type="dxa"/>
            <w:shd w:val="clear" w:color="auto" w:fill="F2F2F2" w:themeFill="background1" w:themeFillShade="F2"/>
            <w:hideMark/>
          </w:tcPr>
          <w:p w14:paraId="46AC42B8"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Protestant</w:t>
            </w:r>
          </w:p>
        </w:tc>
        <w:tc>
          <w:tcPr>
            <w:tcW w:w="856" w:type="dxa"/>
            <w:shd w:val="clear" w:color="auto" w:fill="F2F2F2" w:themeFill="background1" w:themeFillShade="F2"/>
          </w:tcPr>
          <w:p w14:paraId="5988652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09E9BD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3FCD197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A56B0F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ACFB9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E004EE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6CDF3C3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tcBorders>
              <w:right w:val="single" w:sz="4" w:space="0" w:color="auto"/>
            </w:tcBorders>
            <w:shd w:val="clear" w:color="auto" w:fill="F2F2F2" w:themeFill="background1" w:themeFillShade="F2"/>
            <w:hideMark/>
          </w:tcPr>
          <w:p w14:paraId="4B17186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2" w:type="dxa"/>
            <w:tcBorders>
              <w:left w:val="single" w:sz="4" w:space="0" w:color="auto"/>
            </w:tcBorders>
            <w:shd w:val="clear" w:color="auto" w:fill="F2F2F2" w:themeFill="background1" w:themeFillShade="F2"/>
            <w:hideMark/>
          </w:tcPr>
          <w:p w14:paraId="500EEC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shd w:val="clear" w:color="auto" w:fill="F2F2F2" w:themeFill="background1" w:themeFillShade="F2"/>
            <w:hideMark/>
          </w:tcPr>
          <w:p w14:paraId="6792B06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01854B9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71B184D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42432E8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265C325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3A03991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1C35E3" w:rsidRPr="00CA5619" w14:paraId="51E1B977" w14:textId="77777777" w:rsidTr="00FF0E2C">
        <w:trPr>
          <w:gridAfter w:val="1"/>
          <w:wAfter w:w="851" w:type="dxa"/>
          <w:trHeight w:val="144"/>
        </w:trPr>
        <w:tc>
          <w:tcPr>
            <w:tcW w:w="1835" w:type="dxa"/>
            <w:shd w:val="clear" w:color="auto" w:fill="F2F2F2" w:themeFill="background1" w:themeFillShade="F2"/>
          </w:tcPr>
          <w:p w14:paraId="29D5E52F"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0DC603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091A2B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6E1C3DD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C7D488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D537BB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6BE092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4372DA3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right w:val="single" w:sz="4" w:space="0" w:color="auto"/>
            </w:tcBorders>
            <w:shd w:val="clear" w:color="auto" w:fill="F2F2F2" w:themeFill="background1" w:themeFillShade="F2"/>
            <w:hideMark/>
          </w:tcPr>
          <w:p w14:paraId="2829514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54201B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3" w:type="dxa"/>
            <w:shd w:val="clear" w:color="auto" w:fill="F2F2F2" w:themeFill="background1" w:themeFillShade="F2"/>
            <w:hideMark/>
          </w:tcPr>
          <w:p w14:paraId="6EDC856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shd w:val="clear" w:color="auto" w:fill="F2F2F2" w:themeFill="background1" w:themeFillShade="F2"/>
            <w:hideMark/>
          </w:tcPr>
          <w:p w14:paraId="1CF78C2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5FC7864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shd w:val="clear" w:color="auto" w:fill="F2F2F2" w:themeFill="background1" w:themeFillShade="F2"/>
            <w:hideMark/>
          </w:tcPr>
          <w:p w14:paraId="04767BA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5071874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2E60C7E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r>
      <w:tr w:rsidR="001C35E3" w:rsidRPr="00CA5619" w14:paraId="3CB703FE" w14:textId="77777777" w:rsidTr="00FF0E2C">
        <w:trPr>
          <w:gridAfter w:val="1"/>
          <w:wAfter w:w="851" w:type="dxa"/>
          <w:trHeight w:val="144"/>
        </w:trPr>
        <w:tc>
          <w:tcPr>
            <w:tcW w:w="1835" w:type="dxa"/>
            <w:shd w:val="clear" w:color="auto" w:fill="F2F2F2" w:themeFill="background1" w:themeFillShade="F2"/>
            <w:hideMark/>
          </w:tcPr>
          <w:p w14:paraId="5B94EE2F"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Muslim</w:t>
            </w:r>
          </w:p>
        </w:tc>
        <w:tc>
          <w:tcPr>
            <w:tcW w:w="856" w:type="dxa"/>
            <w:shd w:val="clear" w:color="auto" w:fill="F2F2F2" w:themeFill="background1" w:themeFillShade="F2"/>
          </w:tcPr>
          <w:p w14:paraId="7B8266C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4ACC03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02580B5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6B7523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1D99A0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3F759D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33EBDC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-0.89***</w:t>
            </w:r>
          </w:p>
        </w:tc>
        <w:tc>
          <w:tcPr>
            <w:tcW w:w="850" w:type="dxa"/>
            <w:tcBorders>
              <w:right w:val="single" w:sz="4" w:space="0" w:color="auto"/>
            </w:tcBorders>
            <w:shd w:val="clear" w:color="auto" w:fill="F2F2F2" w:themeFill="background1" w:themeFillShade="F2"/>
            <w:hideMark/>
          </w:tcPr>
          <w:p w14:paraId="2903ADB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-0.70***</w:t>
            </w:r>
          </w:p>
        </w:tc>
        <w:tc>
          <w:tcPr>
            <w:tcW w:w="992" w:type="dxa"/>
            <w:tcBorders>
              <w:left w:val="single" w:sz="4" w:space="0" w:color="auto"/>
            </w:tcBorders>
            <w:shd w:val="clear" w:color="auto" w:fill="F2F2F2" w:themeFill="background1" w:themeFillShade="F2"/>
            <w:hideMark/>
          </w:tcPr>
          <w:p w14:paraId="0D2B722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993" w:type="dxa"/>
            <w:shd w:val="clear" w:color="auto" w:fill="F2F2F2" w:themeFill="background1" w:themeFillShade="F2"/>
            <w:hideMark/>
          </w:tcPr>
          <w:p w14:paraId="56C7695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shd w:val="clear" w:color="auto" w:fill="F2F2F2" w:themeFill="background1" w:themeFillShade="F2"/>
            <w:hideMark/>
          </w:tcPr>
          <w:p w14:paraId="3B20C4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732FE39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shd w:val="clear" w:color="auto" w:fill="F2F2F2" w:themeFill="background1" w:themeFillShade="F2"/>
            <w:hideMark/>
          </w:tcPr>
          <w:p w14:paraId="0F3BA8E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7ECB2F2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53DC124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r>
      <w:tr w:rsidR="001C35E3" w:rsidRPr="00CA5619" w14:paraId="7BAF40B0" w14:textId="77777777" w:rsidTr="00FF0E2C">
        <w:trPr>
          <w:gridAfter w:val="1"/>
          <w:wAfter w:w="851" w:type="dxa"/>
          <w:trHeight w:val="144"/>
        </w:trPr>
        <w:tc>
          <w:tcPr>
            <w:tcW w:w="1835" w:type="dxa"/>
            <w:shd w:val="clear" w:color="auto" w:fill="F2F2F2" w:themeFill="background1" w:themeFillShade="F2"/>
          </w:tcPr>
          <w:p w14:paraId="5420EFF4"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0EA244D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2371CB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17542AB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2F83AE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7F7864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DE7490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3CE884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right w:val="single" w:sz="4" w:space="0" w:color="auto"/>
            </w:tcBorders>
            <w:shd w:val="clear" w:color="auto" w:fill="F2F2F2" w:themeFill="background1" w:themeFillShade="F2"/>
            <w:hideMark/>
          </w:tcPr>
          <w:p w14:paraId="3F3C8E3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1128754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shd w:val="clear" w:color="auto" w:fill="F2F2F2" w:themeFill="background1" w:themeFillShade="F2"/>
            <w:hideMark/>
          </w:tcPr>
          <w:p w14:paraId="5826E49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671CC54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55CA279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475E898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10CFC60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0DEDED2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1C35E3" w:rsidRPr="00CA5619" w14:paraId="65569DC8" w14:textId="77777777" w:rsidTr="00FF0E2C">
        <w:trPr>
          <w:gridAfter w:val="1"/>
          <w:wAfter w:w="851" w:type="dxa"/>
          <w:trHeight w:val="144"/>
        </w:trPr>
        <w:tc>
          <w:tcPr>
            <w:tcW w:w="1835" w:type="dxa"/>
            <w:shd w:val="clear" w:color="auto" w:fill="F2F2F2" w:themeFill="background1" w:themeFillShade="F2"/>
            <w:hideMark/>
          </w:tcPr>
          <w:p w14:paraId="0D518C23"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Orthodox</w:t>
            </w:r>
          </w:p>
        </w:tc>
        <w:tc>
          <w:tcPr>
            <w:tcW w:w="856" w:type="dxa"/>
            <w:shd w:val="clear" w:color="auto" w:fill="F2F2F2" w:themeFill="background1" w:themeFillShade="F2"/>
          </w:tcPr>
          <w:p w14:paraId="0C79D94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9916C5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1AF5D62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425E89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D57DE5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EF882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2EB411E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-0.87***</w:t>
            </w:r>
          </w:p>
        </w:tc>
        <w:tc>
          <w:tcPr>
            <w:tcW w:w="850" w:type="dxa"/>
            <w:tcBorders>
              <w:right w:val="single" w:sz="4" w:space="0" w:color="auto"/>
            </w:tcBorders>
            <w:shd w:val="clear" w:color="auto" w:fill="F2F2F2" w:themeFill="background1" w:themeFillShade="F2"/>
            <w:hideMark/>
          </w:tcPr>
          <w:p w14:paraId="4D1F2F0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-0.81***</w:t>
            </w:r>
          </w:p>
        </w:tc>
        <w:tc>
          <w:tcPr>
            <w:tcW w:w="992" w:type="dxa"/>
            <w:tcBorders>
              <w:left w:val="single" w:sz="4" w:space="0" w:color="auto"/>
            </w:tcBorders>
            <w:shd w:val="clear" w:color="auto" w:fill="F2F2F2" w:themeFill="background1" w:themeFillShade="F2"/>
            <w:hideMark/>
          </w:tcPr>
          <w:p w14:paraId="405CA35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993" w:type="dxa"/>
            <w:shd w:val="clear" w:color="auto" w:fill="F2F2F2" w:themeFill="background1" w:themeFillShade="F2"/>
            <w:hideMark/>
          </w:tcPr>
          <w:p w14:paraId="3CF250F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0" w:type="dxa"/>
            <w:shd w:val="clear" w:color="auto" w:fill="F2F2F2" w:themeFill="background1" w:themeFillShade="F2"/>
            <w:hideMark/>
          </w:tcPr>
          <w:p w14:paraId="3718D4D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1" w:type="dxa"/>
            <w:shd w:val="clear" w:color="auto" w:fill="F2F2F2" w:themeFill="background1" w:themeFillShade="F2"/>
            <w:hideMark/>
          </w:tcPr>
          <w:p w14:paraId="4EAA366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0" w:type="dxa"/>
            <w:shd w:val="clear" w:color="auto" w:fill="F2F2F2" w:themeFill="background1" w:themeFillShade="F2"/>
            <w:hideMark/>
          </w:tcPr>
          <w:p w14:paraId="72F55E9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1" w:type="dxa"/>
            <w:shd w:val="clear" w:color="auto" w:fill="F2F2F2" w:themeFill="background1" w:themeFillShade="F2"/>
            <w:hideMark/>
          </w:tcPr>
          <w:p w14:paraId="4A3A8C8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1" w:type="dxa"/>
            <w:shd w:val="clear" w:color="auto" w:fill="F2F2F2" w:themeFill="background1" w:themeFillShade="F2"/>
            <w:hideMark/>
          </w:tcPr>
          <w:p w14:paraId="432E614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r>
      <w:tr w:rsidR="001C35E3" w:rsidRPr="00CA5619" w14:paraId="66214A73" w14:textId="77777777" w:rsidTr="00FF0E2C">
        <w:trPr>
          <w:gridAfter w:val="1"/>
          <w:wAfter w:w="851" w:type="dxa"/>
          <w:trHeight w:val="144"/>
        </w:trPr>
        <w:tc>
          <w:tcPr>
            <w:tcW w:w="1835" w:type="dxa"/>
            <w:shd w:val="clear" w:color="auto" w:fill="F2F2F2" w:themeFill="background1" w:themeFillShade="F2"/>
          </w:tcPr>
          <w:p w14:paraId="46EFFC50"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7FAF702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86ED2B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1E95F5F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A09F5D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B2A507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15EBB9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3A4EF37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right w:val="single" w:sz="4" w:space="0" w:color="auto"/>
            </w:tcBorders>
            <w:shd w:val="clear" w:color="auto" w:fill="F2F2F2" w:themeFill="background1" w:themeFillShade="F2"/>
            <w:hideMark/>
          </w:tcPr>
          <w:p w14:paraId="01DEAF6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56FC3C2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shd w:val="clear" w:color="auto" w:fill="F2F2F2" w:themeFill="background1" w:themeFillShade="F2"/>
            <w:hideMark/>
          </w:tcPr>
          <w:p w14:paraId="259CFC1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1280C1C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709594B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3577835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44F60CC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2E53F66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1C35E3" w:rsidRPr="00CA5619" w14:paraId="016E393F" w14:textId="77777777" w:rsidTr="00FF0E2C">
        <w:trPr>
          <w:gridAfter w:val="1"/>
          <w:wAfter w:w="851" w:type="dxa"/>
          <w:trHeight w:val="144"/>
        </w:trPr>
        <w:tc>
          <w:tcPr>
            <w:tcW w:w="1835" w:type="dxa"/>
            <w:shd w:val="clear" w:color="auto" w:fill="F2F2F2" w:themeFill="background1" w:themeFillShade="F2"/>
            <w:hideMark/>
          </w:tcPr>
          <w:p w14:paraId="263206FB"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Buddhist</w:t>
            </w:r>
          </w:p>
        </w:tc>
        <w:tc>
          <w:tcPr>
            <w:tcW w:w="856" w:type="dxa"/>
            <w:shd w:val="clear" w:color="auto" w:fill="F2F2F2" w:themeFill="background1" w:themeFillShade="F2"/>
          </w:tcPr>
          <w:p w14:paraId="68427F8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A24698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41F0BB4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B4C7F5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0BDCE1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C98765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2000B89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-1.50***</w:t>
            </w:r>
          </w:p>
        </w:tc>
        <w:tc>
          <w:tcPr>
            <w:tcW w:w="850" w:type="dxa"/>
            <w:tcBorders>
              <w:right w:val="single" w:sz="4" w:space="0" w:color="auto"/>
            </w:tcBorders>
            <w:shd w:val="clear" w:color="auto" w:fill="F2F2F2" w:themeFill="background1" w:themeFillShade="F2"/>
            <w:hideMark/>
          </w:tcPr>
          <w:p w14:paraId="56B6D35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-1.60***</w:t>
            </w:r>
          </w:p>
        </w:tc>
        <w:tc>
          <w:tcPr>
            <w:tcW w:w="992" w:type="dxa"/>
            <w:tcBorders>
              <w:left w:val="single" w:sz="4" w:space="0" w:color="auto"/>
            </w:tcBorders>
            <w:shd w:val="clear" w:color="auto" w:fill="F2F2F2" w:themeFill="background1" w:themeFillShade="F2"/>
            <w:hideMark/>
          </w:tcPr>
          <w:p w14:paraId="3ED6CA4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shd w:val="clear" w:color="auto" w:fill="F2F2F2" w:themeFill="background1" w:themeFillShade="F2"/>
            <w:hideMark/>
          </w:tcPr>
          <w:p w14:paraId="511B1AE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shd w:val="clear" w:color="auto" w:fill="F2F2F2" w:themeFill="background1" w:themeFillShade="F2"/>
            <w:hideMark/>
          </w:tcPr>
          <w:p w14:paraId="17E3D53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1A77EC9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shd w:val="clear" w:color="auto" w:fill="F2F2F2" w:themeFill="background1" w:themeFillShade="F2"/>
            <w:hideMark/>
          </w:tcPr>
          <w:p w14:paraId="05BBFA2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177884D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058CB0F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1C35E3" w:rsidRPr="00CA5619" w14:paraId="032FD96F" w14:textId="77777777" w:rsidTr="00FF0E2C">
        <w:trPr>
          <w:gridAfter w:val="1"/>
          <w:wAfter w:w="851" w:type="dxa"/>
          <w:trHeight w:val="144"/>
        </w:trPr>
        <w:tc>
          <w:tcPr>
            <w:tcW w:w="1835" w:type="dxa"/>
            <w:shd w:val="clear" w:color="auto" w:fill="F2F2F2" w:themeFill="background1" w:themeFillShade="F2"/>
          </w:tcPr>
          <w:p w14:paraId="7C96D1DE"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40FE236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0A08E5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A827A3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A97C10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AD5586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5AE257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74E108B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right w:val="single" w:sz="4" w:space="0" w:color="auto"/>
            </w:tcBorders>
            <w:shd w:val="clear" w:color="auto" w:fill="F2F2F2" w:themeFill="background1" w:themeFillShade="F2"/>
            <w:hideMark/>
          </w:tcPr>
          <w:p w14:paraId="781872A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2" w:type="dxa"/>
            <w:tcBorders>
              <w:left w:val="single" w:sz="4" w:space="0" w:color="auto"/>
            </w:tcBorders>
            <w:shd w:val="clear" w:color="auto" w:fill="F2F2F2" w:themeFill="background1" w:themeFillShade="F2"/>
            <w:hideMark/>
          </w:tcPr>
          <w:p w14:paraId="5CF35B9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shd w:val="clear" w:color="auto" w:fill="F2F2F2" w:themeFill="background1" w:themeFillShade="F2"/>
            <w:hideMark/>
          </w:tcPr>
          <w:p w14:paraId="7F0D917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469335E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188718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11C050E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19ECA92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2722F5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1C35E3" w:rsidRPr="00CA5619" w14:paraId="626DF830" w14:textId="77777777" w:rsidTr="00FF0E2C">
        <w:trPr>
          <w:gridAfter w:val="1"/>
          <w:wAfter w:w="851" w:type="dxa"/>
          <w:trHeight w:val="144"/>
        </w:trPr>
        <w:tc>
          <w:tcPr>
            <w:tcW w:w="1835" w:type="dxa"/>
            <w:shd w:val="clear" w:color="auto" w:fill="F2F2F2" w:themeFill="background1" w:themeFillShade="F2"/>
            <w:hideMark/>
          </w:tcPr>
          <w:p w14:paraId="5DB52CD2"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Hindu</w:t>
            </w:r>
          </w:p>
        </w:tc>
        <w:tc>
          <w:tcPr>
            <w:tcW w:w="856" w:type="dxa"/>
            <w:shd w:val="clear" w:color="auto" w:fill="F2F2F2" w:themeFill="background1" w:themeFillShade="F2"/>
          </w:tcPr>
          <w:p w14:paraId="0A8568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B0CC2E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739D27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EFC6E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5265D9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BE130A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914B62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-0.37***</w:t>
            </w:r>
          </w:p>
        </w:tc>
        <w:tc>
          <w:tcPr>
            <w:tcW w:w="850" w:type="dxa"/>
            <w:tcBorders>
              <w:right w:val="single" w:sz="4" w:space="0" w:color="auto"/>
            </w:tcBorders>
            <w:shd w:val="clear" w:color="auto" w:fill="F2F2F2" w:themeFill="background1" w:themeFillShade="F2"/>
            <w:hideMark/>
          </w:tcPr>
          <w:p w14:paraId="0A9E0D6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-0.28***</w:t>
            </w:r>
          </w:p>
        </w:tc>
        <w:tc>
          <w:tcPr>
            <w:tcW w:w="992" w:type="dxa"/>
            <w:tcBorders>
              <w:left w:val="single" w:sz="4" w:space="0" w:color="auto"/>
            </w:tcBorders>
            <w:shd w:val="clear" w:color="auto" w:fill="F2F2F2" w:themeFill="background1" w:themeFillShade="F2"/>
            <w:hideMark/>
          </w:tcPr>
          <w:p w14:paraId="6C750A9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993" w:type="dxa"/>
            <w:shd w:val="clear" w:color="auto" w:fill="F2F2F2" w:themeFill="background1" w:themeFillShade="F2"/>
            <w:hideMark/>
          </w:tcPr>
          <w:p w14:paraId="6123814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shd w:val="clear" w:color="auto" w:fill="F2F2F2" w:themeFill="background1" w:themeFillShade="F2"/>
            <w:hideMark/>
          </w:tcPr>
          <w:p w14:paraId="2A23F6A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40B97D4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shd w:val="clear" w:color="auto" w:fill="F2F2F2" w:themeFill="background1" w:themeFillShade="F2"/>
            <w:hideMark/>
          </w:tcPr>
          <w:p w14:paraId="2707806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65D6D6E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7E00093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r>
      <w:tr w:rsidR="001C35E3" w:rsidRPr="00CA5619" w14:paraId="3FBCFA66" w14:textId="77777777" w:rsidTr="00FF0E2C">
        <w:trPr>
          <w:gridAfter w:val="1"/>
          <w:wAfter w:w="851" w:type="dxa"/>
          <w:trHeight w:val="144"/>
        </w:trPr>
        <w:tc>
          <w:tcPr>
            <w:tcW w:w="1835" w:type="dxa"/>
            <w:shd w:val="clear" w:color="auto" w:fill="F2F2F2" w:themeFill="background1" w:themeFillShade="F2"/>
          </w:tcPr>
          <w:p w14:paraId="2FD743A6"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704AF49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6965B6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13CBBA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1F7FBF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189133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2B2BD1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E0DA16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right w:val="single" w:sz="4" w:space="0" w:color="auto"/>
            </w:tcBorders>
            <w:shd w:val="clear" w:color="auto" w:fill="F2F2F2" w:themeFill="background1" w:themeFillShade="F2"/>
            <w:hideMark/>
          </w:tcPr>
          <w:p w14:paraId="4BF4E7A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w:t>
            </w:r>
          </w:p>
        </w:tc>
        <w:tc>
          <w:tcPr>
            <w:tcW w:w="992" w:type="dxa"/>
            <w:tcBorders>
              <w:left w:val="single" w:sz="4" w:space="0" w:color="auto"/>
            </w:tcBorders>
            <w:shd w:val="clear" w:color="auto" w:fill="F2F2F2" w:themeFill="background1" w:themeFillShade="F2"/>
            <w:hideMark/>
          </w:tcPr>
          <w:p w14:paraId="0D6783E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993" w:type="dxa"/>
            <w:shd w:val="clear" w:color="auto" w:fill="F2F2F2" w:themeFill="background1" w:themeFillShade="F2"/>
            <w:hideMark/>
          </w:tcPr>
          <w:p w14:paraId="573B078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shd w:val="clear" w:color="auto" w:fill="F2F2F2" w:themeFill="background1" w:themeFillShade="F2"/>
            <w:hideMark/>
          </w:tcPr>
          <w:p w14:paraId="0E9CE0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1" w:type="dxa"/>
            <w:shd w:val="clear" w:color="auto" w:fill="F2F2F2" w:themeFill="background1" w:themeFillShade="F2"/>
            <w:hideMark/>
          </w:tcPr>
          <w:p w14:paraId="335C434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shd w:val="clear" w:color="auto" w:fill="F2F2F2" w:themeFill="background1" w:themeFillShade="F2"/>
            <w:hideMark/>
          </w:tcPr>
          <w:p w14:paraId="758E7D1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1" w:type="dxa"/>
            <w:shd w:val="clear" w:color="auto" w:fill="F2F2F2" w:themeFill="background1" w:themeFillShade="F2"/>
            <w:hideMark/>
          </w:tcPr>
          <w:p w14:paraId="7660F9C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1" w:type="dxa"/>
            <w:shd w:val="clear" w:color="auto" w:fill="F2F2F2" w:themeFill="background1" w:themeFillShade="F2"/>
            <w:hideMark/>
          </w:tcPr>
          <w:p w14:paraId="015BF46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r>
      <w:tr w:rsidR="001C35E3" w:rsidRPr="00CA5619" w14:paraId="576AA764" w14:textId="77777777" w:rsidTr="00FF0E2C">
        <w:trPr>
          <w:gridAfter w:val="1"/>
          <w:wAfter w:w="851" w:type="dxa"/>
          <w:trHeight w:val="144"/>
        </w:trPr>
        <w:tc>
          <w:tcPr>
            <w:tcW w:w="1835" w:type="dxa"/>
            <w:shd w:val="clear" w:color="auto" w:fill="F2F2F2" w:themeFill="background1" w:themeFillShade="F2"/>
            <w:hideMark/>
          </w:tcPr>
          <w:p w14:paraId="4FDEFE1C"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Other</w:t>
            </w:r>
          </w:p>
        </w:tc>
        <w:tc>
          <w:tcPr>
            <w:tcW w:w="856" w:type="dxa"/>
            <w:shd w:val="clear" w:color="auto" w:fill="F2F2F2" w:themeFill="background1" w:themeFillShade="F2"/>
          </w:tcPr>
          <w:p w14:paraId="38C7626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417927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2759BE4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8E5CA1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285B5F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EA2524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743BDC5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shd w:val="clear" w:color="auto" w:fill="F2F2F2" w:themeFill="background1" w:themeFillShade="F2"/>
            <w:hideMark/>
          </w:tcPr>
          <w:p w14:paraId="3781C2D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2" w:type="dxa"/>
            <w:tcBorders>
              <w:left w:val="single" w:sz="4" w:space="0" w:color="auto"/>
            </w:tcBorders>
            <w:shd w:val="clear" w:color="auto" w:fill="F2F2F2" w:themeFill="background1" w:themeFillShade="F2"/>
            <w:hideMark/>
          </w:tcPr>
          <w:p w14:paraId="081B76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993" w:type="dxa"/>
            <w:shd w:val="clear" w:color="auto" w:fill="F2F2F2" w:themeFill="background1" w:themeFillShade="F2"/>
            <w:hideMark/>
          </w:tcPr>
          <w:p w14:paraId="208EF42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shd w:val="clear" w:color="auto" w:fill="F2F2F2" w:themeFill="background1" w:themeFillShade="F2"/>
            <w:hideMark/>
          </w:tcPr>
          <w:p w14:paraId="2738554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1" w:type="dxa"/>
            <w:shd w:val="clear" w:color="auto" w:fill="F2F2F2" w:themeFill="background1" w:themeFillShade="F2"/>
            <w:hideMark/>
          </w:tcPr>
          <w:p w14:paraId="372D577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shd w:val="clear" w:color="auto" w:fill="F2F2F2" w:themeFill="background1" w:themeFillShade="F2"/>
            <w:hideMark/>
          </w:tcPr>
          <w:p w14:paraId="6181710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1" w:type="dxa"/>
            <w:shd w:val="clear" w:color="auto" w:fill="F2F2F2" w:themeFill="background1" w:themeFillShade="F2"/>
            <w:hideMark/>
          </w:tcPr>
          <w:p w14:paraId="3DDA22F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1" w:type="dxa"/>
            <w:shd w:val="clear" w:color="auto" w:fill="F2F2F2" w:themeFill="background1" w:themeFillShade="F2"/>
            <w:hideMark/>
          </w:tcPr>
          <w:p w14:paraId="747C162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r>
      <w:tr w:rsidR="001C35E3" w:rsidRPr="00CA5619" w14:paraId="3F2CF30D" w14:textId="77777777" w:rsidTr="00FF0E2C">
        <w:trPr>
          <w:gridAfter w:val="1"/>
          <w:wAfter w:w="851" w:type="dxa"/>
          <w:trHeight w:val="144"/>
        </w:trPr>
        <w:tc>
          <w:tcPr>
            <w:tcW w:w="1835" w:type="dxa"/>
            <w:shd w:val="clear" w:color="auto" w:fill="F2F2F2" w:themeFill="background1" w:themeFillShade="F2"/>
          </w:tcPr>
          <w:p w14:paraId="31A47D4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0E66A70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322345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223E0EE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1CE509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2F786A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CF68D6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699BEAE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right w:val="single" w:sz="4" w:space="0" w:color="auto"/>
            </w:tcBorders>
            <w:shd w:val="clear" w:color="auto" w:fill="F2F2F2" w:themeFill="background1" w:themeFillShade="F2"/>
            <w:hideMark/>
          </w:tcPr>
          <w:p w14:paraId="1D909AF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4F9665F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3" w:type="dxa"/>
            <w:shd w:val="clear" w:color="auto" w:fill="F2F2F2" w:themeFill="background1" w:themeFillShade="F2"/>
            <w:hideMark/>
          </w:tcPr>
          <w:p w14:paraId="57D2022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shd w:val="clear" w:color="auto" w:fill="F2F2F2" w:themeFill="background1" w:themeFillShade="F2"/>
            <w:hideMark/>
          </w:tcPr>
          <w:p w14:paraId="2EA97B1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36E3206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shd w:val="clear" w:color="auto" w:fill="F2F2F2" w:themeFill="background1" w:themeFillShade="F2"/>
            <w:hideMark/>
          </w:tcPr>
          <w:p w14:paraId="425EF87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506EE06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shd w:val="clear" w:color="auto" w:fill="F2F2F2" w:themeFill="background1" w:themeFillShade="F2"/>
            <w:hideMark/>
          </w:tcPr>
          <w:p w14:paraId="48A3638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r>
      <w:tr w:rsidR="001C35E3" w:rsidRPr="00CA5619" w14:paraId="7A13A256" w14:textId="77777777" w:rsidTr="00FF0E2C">
        <w:trPr>
          <w:gridAfter w:val="1"/>
          <w:wAfter w:w="851" w:type="dxa"/>
          <w:trHeight w:val="144"/>
        </w:trPr>
        <w:tc>
          <w:tcPr>
            <w:tcW w:w="2691" w:type="dxa"/>
            <w:gridSpan w:val="2"/>
            <w:hideMark/>
          </w:tcPr>
          <w:p w14:paraId="3A75137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b/>
                <w:sz w:val="18"/>
                <w:szCs w:val="18"/>
                <w:highlight w:val="yellow"/>
                <w:lang w:val="en-US" w:eastAsia="en-GB"/>
              </w:rPr>
              <w:t>Country-level Effects</w:t>
            </w:r>
          </w:p>
        </w:tc>
        <w:tc>
          <w:tcPr>
            <w:tcW w:w="851" w:type="dxa"/>
          </w:tcPr>
          <w:p w14:paraId="38796D1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255BCF0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E22CD3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8275FE5"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09968E6A"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6FE2312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53848B4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1EE0AC4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2C3D7563"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CCD11C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230160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39CAB5E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0B06BC1"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B229DF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3C0F6782" w14:textId="77777777" w:rsidTr="00FF0E2C">
        <w:trPr>
          <w:gridAfter w:val="1"/>
          <w:wAfter w:w="851" w:type="dxa"/>
          <w:trHeight w:val="144"/>
        </w:trPr>
        <w:tc>
          <w:tcPr>
            <w:tcW w:w="1835" w:type="dxa"/>
            <w:hideMark/>
          </w:tcPr>
          <w:p w14:paraId="5E47BCB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HDI (0-100)</w:t>
            </w:r>
          </w:p>
        </w:tc>
        <w:tc>
          <w:tcPr>
            <w:tcW w:w="856" w:type="dxa"/>
          </w:tcPr>
          <w:p w14:paraId="011ED17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656325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3D646B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E62C8C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EBD85F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7CA680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B046BB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73A6242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47C5B4A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hideMark/>
          </w:tcPr>
          <w:p w14:paraId="06AF2A7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08FD67A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Pr>
          <w:p w14:paraId="7C7F647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E3EE6E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E2DF1E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3A71D8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D24139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6A81813B" w14:textId="77777777" w:rsidTr="00FF0E2C">
        <w:trPr>
          <w:gridAfter w:val="1"/>
          <w:wAfter w:w="851" w:type="dxa"/>
          <w:trHeight w:val="144"/>
        </w:trPr>
        <w:tc>
          <w:tcPr>
            <w:tcW w:w="2691" w:type="dxa"/>
            <w:gridSpan w:val="2"/>
            <w:hideMark/>
          </w:tcPr>
          <w:p w14:paraId="3602CB2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Press Freedom (0-100</w:t>
            </w:r>
          </w:p>
        </w:tc>
        <w:tc>
          <w:tcPr>
            <w:tcW w:w="851" w:type="dxa"/>
          </w:tcPr>
          <w:p w14:paraId="24388AB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82E1F0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C69A1F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B76763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AA0EEE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AF9B0C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47FF266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2271C13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010D6B5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7ADBA9B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580ACBC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3137EE0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9B260F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B3FFF2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12CB0A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50BCF7E0" w14:textId="77777777" w:rsidTr="00FF0E2C">
        <w:trPr>
          <w:gridAfter w:val="1"/>
          <w:wAfter w:w="851" w:type="dxa"/>
          <w:trHeight w:val="144"/>
        </w:trPr>
        <w:tc>
          <w:tcPr>
            <w:tcW w:w="2691" w:type="dxa"/>
            <w:gridSpan w:val="2"/>
            <w:hideMark/>
          </w:tcPr>
          <w:p w14:paraId="0547A5B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Communist (Ref=</w:t>
            </w:r>
            <w:r w:rsidRPr="00CA5619">
              <w:rPr>
                <w:rFonts w:cs="Segoe UI"/>
                <w:i/>
                <w:sz w:val="18"/>
                <w:szCs w:val="18"/>
                <w:highlight w:val="yellow"/>
                <w:lang w:val="en-US" w:eastAsia="en-GB"/>
              </w:rPr>
              <w:t>Not</w:t>
            </w:r>
            <w:r w:rsidRPr="00CA5619">
              <w:rPr>
                <w:rFonts w:cs="Segoe UI"/>
                <w:sz w:val="18"/>
                <w:szCs w:val="18"/>
                <w:highlight w:val="yellow"/>
                <w:lang w:val="en-US" w:eastAsia="en-GB"/>
              </w:rPr>
              <w:t>)</w:t>
            </w:r>
          </w:p>
        </w:tc>
        <w:tc>
          <w:tcPr>
            <w:tcW w:w="851" w:type="dxa"/>
          </w:tcPr>
          <w:p w14:paraId="28AD9CA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75E679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BB9C26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064F25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BB1E18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225BD6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7CE0E01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5A01452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7DC774B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7D642A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21C7484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-1.52***</w:t>
            </w:r>
          </w:p>
          <w:p w14:paraId="752B7B5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tc>
        <w:tc>
          <w:tcPr>
            <w:tcW w:w="850" w:type="dxa"/>
          </w:tcPr>
          <w:p w14:paraId="2027AC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D0C84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440B06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5ECF5719" w14:textId="77777777" w:rsidTr="00FF0E2C">
        <w:trPr>
          <w:gridAfter w:val="1"/>
          <w:wAfter w:w="851" w:type="dxa"/>
          <w:trHeight w:val="144"/>
        </w:trPr>
        <w:tc>
          <w:tcPr>
            <w:tcW w:w="2691" w:type="dxa"/>
            <w:gridSpan w:val="2"/>
            <w:hideMark/>
          </w:tcPr>
          <w:p w14:paraId="7C7E21A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Democratic History (0-100)</w:t>
            </w:r>
          </w:p>
        </w:tc>
        <w:tc>
          <w:tcPr>
            <w:tcW w:w="851" w:type="dxa"/>
          </w:tcPr>
          <w:p w14:paraId="0DDD858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658EDC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CA7B62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904BAF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58618D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473819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4E3E579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48B3135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18FB035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0BC2D0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E1801C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7A098EA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5BB288A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6B30CBA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A028C5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19817D5C" w14:textId="77777777" w:rsidTr="00FF0E2C">
        <w:trPr>
          <w:gridAfter w:val="1"/>
          <w:wAfter w:w="851" w:type="dxa"/>
          <w:trHeight w:val="165"/>
        </w:trPr>
        <w:tc>
          <w:tcPr>
            <w:tcW w:w="2691" w:type="dxa"/>
            <w:gridSpan w:val="2"/>
            <w:hideMark/>
          </w:tcPr>
          <w:p w14:paraId="534D445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Inequality (GINI) (0-100)</w:t>
            </w:r>
          </w:p>
        </w:tc>
        <w:tc>
          <w:tcPr>
            <w:tcW w:w="851" w:type="dxa"/>
          </w:tcPr>
          <w:p w14:paraId="56433A1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6C18233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50C3B9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157E44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53DC72F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B3285F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6C49CBE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661FB30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6924259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AC2794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1B382D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5EAE669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63A280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6C26CB90"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Pr>
          <w:p w14:paraId="275C42F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7364C2DE" w14:textId="77777777" w:rsidTr="00FF0E2C">
        <w:trPr>
          <w:gridAfter w:val="1"/>
          <w:wAfter w:w="851" w:type="dxa"/>
          <w:trHeight w:val="144"/>
        </w:trPr>
        <w:tc>
          <w:tcPr>
            <w:tcW w:w="2691" w:type="dxa"/>
            <w:gridSpan w:val="2"/>
            <w:hideMark/>
          </w:tcPr>
          <w:p w14:paraId="17B2E96C"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Freedom House (Ref=</w:t>
            </w:r>
            <w:r w:rsidRPr="00CA5619">
              <w:rPr>
                <w:rFonts w:cs="Segoe UI"/>
                <w:i/>
                <w:sz w:val="18"/>
                <w:szCs w:val="18"/>
                <w:highlight w:val="yellow"/>
                <w:lang w:val="en-US" w:eastAsia="en-GB"/>
              </w:rPr>
              <w:t>Free</w:t>
            </w:r>
            <w:r w:rsidRPr="00CA5619">
              <w:rPr>
                <w:rFonts w:cs="Segoe UI"/>
                <w:sz w:val="18"/>
                <w:szCs w:val="18"/>
                <w:highlight w:val="yellow"/>
                <w:lang w:val="en-US" w:eastAsia="en-GB"/>
              </w:rPr>
              <w:t>)</w:t>
            </w:r>
          </w:p>
        </w:tc>
        <w:tc>
          <w:tcPr>
            <w:tcW w:w="851" w:type="dxa"/>
          </w:tcPr>
          <w:p w14:paraId="45B1942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488D4D52"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6FDC229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6B2913D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1E9FBB0"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86962C9"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6DFF764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7C6AA4DD"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2243AF5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19AA7C9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C7A7A7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1B9A16B"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9724C75"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0EBDC08"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r>
      <w:tr w:rsidR="001C35E3" w:rsidRPr="00CA5619" w14:paraId="6233BA2C" w14:textId="77777777" w:rsidTr="00FF0E2C">
        <w:trPr>
          <w:gridAfter w:val="1"/>
          <w:wAfter w:w="851" w:type="dxa"/>
          <w:trHeight w:val="144"/>
        </w:trPr>
        <w:tc>
          <w:tcPr>
            <w:tcW w:w="1835" w:type="dxa"/>
            <w:hideMark/>
          </w:tcPr>
          <w:p w14:paraId="7B94C60B"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Partly Free</w:t>
            </w:r>
          </w:p>
        </w:tc>
        <w:tc>
          <w:tcPr>
            <w:tcW w:w="856" w:type="dxa"/>
          </w:tcPr>
          <w:p w14:paraId="157E821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150999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7C20563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F99916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16C8A5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C03142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D29D8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6964159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3F9D59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1285826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6E7C93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51EEDC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E94472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97B746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602E1C5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-1.21**</w:t>
            </w:r>
          </w:p>
          <w:p w14:paraId="6403006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(0.39)</w:t>
            </w:r>
          </w:p>
        </w:tc>
      </w:tr>
      <w:tr w:rsidR="001C35E3" w:rsidRPr="00CA5619" w14:paraId="0B7803CF" w14:textId="77777777" w:rsidTr="00FF0E2C">
        <w:trPr>
          <w:gridAfter w:val="1"/>
          <w:wAfter w:w="851" w:type="dxa"/>
          <w:trHeight w:val="144"/>
        </w:trPr>
        <w:tc>
          <w:tcPr>
            <w:tcW w:w="1835" w:type="dxa"/>
            <w:hideMark/>
          </w:tcPr>
          <w:p w14:paraId="757A17C0" w14:textId="77777777" w:rsidR="001C35E3" w:rsidRPr="00CA5619" w:rsidRDefault="001C35E3">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Not Free</w:t>
            </w:r>
          </w:p>
        </w:tc>
        <w:tc>
          <w:tcPr>
            <w:tcW w:w="856" w:type="dxa"/>
          </w:tcPr>
          <w:p w14:paraId="67EE24E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60B5B7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6CC07CA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F7B1B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0CBF88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C0A60C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530B22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782F4A8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494BC88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7B58E3F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C2F784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4259F3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25B05D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8FC97D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1D59376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-2.12***</w:t>
            </w:r>
          </w:p>
          <w:p w14:paraId="02AEEAF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(0.61)</w:t>
            </w:r>
          </w:p>
        </w:tc>
      </w:tr>
      <w:tr w:rsidR="001C35E3" w:rsidRPr="00CA5619" w14:paraId="22E1B51E" w14:textId="77777777" w:rsidTr="00FF0E2C">
        <w:trPr>
          <w:gridAfter w:val="1"/>
          <w:wAfter w:w="851" w:type="dxa"/>
          <w:trHeight w:val="144"/>
        </w:trPr>
        <w:tc>
          <w:tcPr>
            <w:tcW w:w="1835" w:type="dxa"/>
          </w:tcPr>
          <w:p w14:paraId="1636D107"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4FFDC62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5A8E30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4B1BA0D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DF67BF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3FEE2C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4501A0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0028D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5CFA577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0AFB2BE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60D0206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B78B17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03D011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F5FA78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3AB77A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41B358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p>
        </w:tc>
      </w:tr>
      <w:tr w:rsidR="001C35E3" w:rsidRPr="00CA5619" w14:paraId="303FDC66" w14:textId="77777777" w:rsidTr="00FF0E2C">
        <w:trPr>
          <w:gridAfter w:val="1"/>
          <w:wAfter w:w="851" w:type="dxa"/>
          <w:trHeight w:val="272"/>
        </w:trPr>
        <w:tc>
          <w:tcPr>
            <w:tcW w:w="1835" w:type="dxa"/>
            <w:tcBorders>
              <w:top w:val="single" w:sz="4" w:space="0" w:color="auto"/>
              <w:left w:val="nil"/>
              <w:bottom w:val="nil"/>
              <w:right w:val="nil"/>
            </w:tcBorders>
            <w:hideMark/>
          </w:tcPr>
          <w:p w14:paraId="47EE0C66"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i/>
                <w:iCs/>
                <w:sz w:val="18"/>
                <w:szCs w:val="18"/>
                <w:highlight w:val="yellow"/>
                <w:lang w:val="en-US" w:eastAsia="en-GB"/>
              </w:rPr>
              <w:t>N</w:t>
            </w:r>
          </w:p>
        </w:tc>
        <w:tc>
          <w:tcPr>
            <w:tcW w:w="856" w:type="dxa"/>
            <w:tcBorders>
              <w:top w:val="single" w:sz="4" w:space="0" w:color="auto"/>
              <w:left w:val="nil"/>
              <w:bottom w:val="nil"/>
              <w:right w:val="nil"/>
            </w:tcBorders>
            <w:hideMark/>
          </w:tcPr>
          <w:p w14:paraId="125E905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50D4AAB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2" w:type="dxa"/>
            <w:tcBorders>
              <w:top w:val="single" w:sz="4" w:space="0" w:color="auto"/>
              <w:left w:val="nil"/>
              <w:bottom w:val="nil"/>
              <w:right w:val="nil"/>
            </w:tcBorders>
            <w:hideMark/>
          </w:tcPr>
          <w:p w14:paraId="09A6A03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585C9D5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740C0FA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0DC0803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2D0360A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single" w:sz="4" w:space="0" w:color="auto"/>
            </w:tcBorders>
            <w:hideMark/>
          </w:tcPr>
          <w:p w14:paraId="75A0842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992" w:type="dxa"/>
            <w:tcBorders>
              <w:top w:val="single" w:sz="4" w:space="0" w:color="auto"/>
              <w:left w:val="single" w:sz="4" w:space="0" w:color="auto"/>
              <w:bottom w:val="nil"/>
              <w:right w:val="nil"/>
            </w:tcBorders>
            <w:hideMark/>
          </w:tcPr>
          <w:p w14:paraId="29FA5B3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993" w:type="dxa"/>
            <w:tcBorders>
              <w:top w:val="single" w:sz="4" w:space="0" w:color="auto"/>
              <w:left w:val="nil"/>
              <w:bottom w:val="nil"/>
              <w:right w:val="nil"/>
            </w:tcBorders>
            <w:hideMark/>
          </w:tcPr>
          <w:p w14:paraId="048AAD8B"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57306F6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782FC92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5C455A4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6BA51FB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38BFC6F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r>
      <w:tr w:rsidR="001C35E3" w:rsidRPr="00CA5619" w14:paraId="2896FD77" w14:textId="77777777" w:rsidTr="00FF0E2C">
        <w:trPr>
          <w:gridAfter w:val="1"/>
          <w:wAfter w:w="851" w:type="dxa"/>
          <w:trHeight w:val="272"/>
        </w:trPr>
        <w:tc>
          <w:tcPr>
            <w:tcW w:w="1835" w:type="dxa"/>
            <w:tcBorders>
              <w:top w:val="single" w:sz="4" w:space="0" w:color="auto"/>
              <w:left w:val="nil"/>
              <w:bottom w:val="nil"/>
              <w:right w:val="nil"/>
            </w:tcBorders>
            <w:hideMark/>
          </w:tcPr>
          <w:p w14:paraId="1CF70E86" w14:textId="77777777" w:rsidR="001C35E3" w:rsidRPr="00CA5619" w:rsidRDefault="001C35E3">
            <w:pPr>
              <w:widowControl w:val="0"/>
              <w:autoSpaceDE w:val="0"/>
              <w:autoSpaceDN w:val="0"/>
              <w:adjustRightInd w:val="0"/>
              <w:spacing w:before="0" w:line="240" w:lineRule="auto"/>
              <w:rPr>
                <w:rFonts w:cs="Segoe UI"/>
                <w:i/>
                <w:iCs/>
                <w:sz w:val="18"/>
                <w:szCs w:val="18"/>
                <w:highlight w:val="yellow"/>
                <w:lang w:val="en-US" w:eastAsia="en-GB"/>
              </w:rPr>
            </w:pPr>
            <w:r w:rsidRPr="00CA5619">
              <w:rPr>
                <w:rFonts w:cs="Segoe UI"/>
                <w:i/>
                <w:iCs/>
                <w:sz w:val="18"/>
                <w:szCs w:val="18"/>
                <w:highlight w:val="yellow"/>
                <w:lang w:val="en-US" w:eastAsia="en-GB"/>
              </w:rPr>
              <w:t>N country</w:t>
            </w:r>
          </w:p>
        </w:tc>
        <w:tc>
          <w:tcPr>
            <w:tcW w:w="856" w:type="dxa"/>
            <w:tcBorders>
              <w:top w:val="single" w:sz="4" w:space="0" w:color="auto"/>
              <w:left w:val="nil"/>
              <w:bottom w:val="nil"/>
              <w:right w:val="nil"/>
            </w:tcBorders>
            <w:hideMark/>
          </w:tcPr>
          <w:p w14:paraId="4CF4D98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hideMark/>
          </w:tcPr>
          <w:p w14:paraId="68493E3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2" w:type="dxa"/>
            <w:tcBorders>
              <w:top w:val="single" w:sz="4" w:space="0" w:color="auto"/>
              <w:left w:val="nil"/>
              <w:bottom w:val="nil"/>
              <w:right w:val="nil"/>
            </w:tcBorders>
            <w:hideMark/>
          </w:tcPr>
          <w:p w14:paraId="5CE4DD0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nil"/>
            </w:tcBorders>
            <w:hideMark/>
          </w:tcPr>
          <w:p w14:paraId="530165C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hideMark/>
          </w:tcPr>
          <w:p w14:paraId="77AB9C7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nil"/>
            </w:tcBorders>
            <w:hideMark/>
          </w:tcPr>
          <w:p w14:paraId="0D9ECBD7"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hideMark/>
          </w:tcPr>
          <w:p w14:paraId="1FFEB09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single" w:sz="4" w:space="0" w:color="auto"/>
            </w:tcBorders>
            <w:hideMark/>
          </w:tcPr>
          <w:p w14:paraId="08C8DD7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992" w:type="dxa"/>
            <w:tcBorders>
              <w:top w:val="single" w:sz="4" w:space="0" w:color="auto"/>
              <w:left w:val="single" w:sz="4" w:space="0" w:color="auto"/>
              <w:bottom w:val="nil"/>
              <w:right w:val="nil"/>
            </w:tcBorders>
            <w:hideMark/>
          </w:tcPr>
          <w:p w14:paraId="1CE4941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993" w:type="dxa"/>
            <w:tcBorders>
              <w:top w:val="single" w:sz="4" w:space="0" w:color="auto"/>
              <w:left w:val="nil"/>
              <w:bottom w:val="nil"/>
              <w:right w:val="nil"/>
            </w:tcBorders>
            <w:hideMark/>
          </w:tcPr>
          <w:p w14:paraId="081308B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0" w:type="dxa"/>
            <w:tcBorders>
              <w:top w:val="single" w:sz="4" w:space="0" w:color="auto"/>
              <w:left w:val="nil"/>
              <w:bottom w:val="nil"/>
              <w:right w:val="nil"/>
            </w:tcBorders>
            <w:hideMark/>
          </w:tcPr>
          <w:p w14:paraId="5D42D2D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hideMark/>
          </w:tcPr>
          <w:p w14:paraId="67A0357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0" w:type="dxa"/>
            <w:tcBorders>
              <w:top w:val="single" w:sz="4" w:space="0" w:color="auto"/>
              <w:left w:val="nil"/>
              <w:bottom w:val="nil"/>
              <w:right w:val="nil"/>
            </w:tcBorders>
            <w:hideMark/>
          </w:tcPr>
          <w:p w14:paraId="082FCD2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hideMark/>
          </w:tcPr>
          <w:p w14:paraId="2CDE307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hideMark/>
          </w:tcPr>
          <w:p w14:paraId="62F693F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r>
      <w:tr w:rsidR="008226A2" w:rsidRPr="00CA5619" w14:paraId="27568947" w14:textId="77777777" w:rsidTr="00B17437">
        <w:trPr>
          <w:gridAfter w:val="1"/>
          <w:wAfter w:w="846" w:type="dxa"/>
          <w:trHeight w:val="272"/>
        </w:trPr>
        <w:tc>
          <w:tcPr>
            <w:tcW w:w="1835" w:type="dxa"/>
            <w:tcBorders>
              <w:top w:val="single" w:sz="4" w:space="0" w:color="auto"/>
              <w:left w:val="nil"/>
              <w:bottom w:val="nil"/>
              <w:right w:val="nil"/>
            </w:tcBorders>
            <w:hideMark/>
          </w:tcPr>
          <w:p w14:paraId="5BD8C013" w14:textId="77777777" w:rsidR="008226A2" w:rsidRPr="00CA5619" w:rsidRDefault="008226A2" w:rsidP="00B17437">
            <w:pPr>
              <w:widowControl w:val="0"/>
              <w:autoSpaceDE w:val="0"/>
              <w:autoSpaceDN w:val="0"/>
              <w:adjustRightInd w:val="0"/>
              <w:spacing w:line="240" w:lineRule="auto"/>
              <w:rPr>
                <w:rFonts w:cs="Segoe UI"/>
                <w:iCs/>
                <w:sz w:val="18"/>
                <w:szCs w:val="18"/>
                <w:highlight w:val="yellow"/>
                <w:lang w:val="en-US" w:eastAsia="en-GB"/>
              </w:rPr>
            </w:pPr>
            <w:r w:rsidRPr="00CA5619">
              <w:rPr>
                <w:rFonts w:cs="Segoe UI"/>
                <w:iCs/>
                <w:sz w:val="18"/>
                <w:szCs w:val="18"/>
                <w:highlight w:val="yellow"/>
                <w:lang w:val="en-US" w:eastAsia="en-GB"/>
              </w:rPr>
              <w:t>AIC</w:t>
            </w:r>
          </w:p>
        </w:tc>
        <w:tc>
          <w:tcPr>
            <w:tcW w:w="856" w:type="dxa"/>
            <w:tcBorders>
              <w:top w:val="single" w:sz="4" w:space="0" w:color="auto"/>
              <w:left w:val="nil"/>
              <w:bottom w:val="nil"/>
              <w:right w:val="nil"/>
            </w:tcBorders>
            <w:hideMark/>
          </w:tcPr>
          <w:p w14:paraId="254D7B6F"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47881</w:t>
            </w:r>
          </w:p>
        </w:tc>
        <w:tc>
          <w:tcPr>
            <w:tcW w:w="851" w:type="dxa"/>
            <w:tcBorders>
              <w:top w:val="single" w:sz="4" w:space="0" w:color="auto"/>
              <w:left w:val="nil"/>
              <w:bottom w:val="nil"/>
              <w:right w:val="nil"/>
            </w:tcBorders>
            <w:hideMark/>
          </w:tcPr>
          <w:p w14:paraId="288525B2"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47760</w:t>
            </w:r>
          </w:p>
        </w:tc>
        <w:tc>
          <w:tcPr>
            <w:tcW w:w="852" w:type="dxa"/>
            <w:tcBorders>
              <w:top w:val="single" w:sz="4" w:space="0" w:color="auto"/>
              <w:left w:val="nil"/>
              <w:bottom w:val="nil"/>
              <w:right w:val="nil"/>
            </w:tcBorders>
            <w:hideMark/>
          </w:tcPr>
          <w:p w14:paraId="1703E560"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47611</w:t>
            </w:r>
          </w:p>
        </w:tc>
        <w:tc>
          <w:tcPr>
            <w:tcW w:w="850" w:type="dxa"/>
            <w:tcBorders>
              <w:top w:val="single" w:sz="4" w:space="0" w:color="auto"/>
              <w:left w:val="nil"/>
              <w:bottom w:val="nil"/>
              <w:right w:val="nil"/>
            </w:tcBorders>
            <w:hideMark/>
          </w:tcPr>
          <w:p w14:paraId="0B8340D6"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46818</w:t>
            </w:r>
          </w:p>
        </w:tc>
        <w:tc>
          <w:tcPr>
            <w:tcW w:w="851" w:type="dxa"/>
            <w:tcBorders>
              <w:top w:val="single" w:sz="4" w:space="0" w:color="auto"/>
              <w:left w:val="nil"/>
              <w:bottom w:val="nil"/>
              <w:right w:val="nil"/>
            </w:tcBorders>
            <w:hideMark/>
          </w:tcPr>
          <w:p w14:paraId="455B049E"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46550</w:t>
            </w:r>
          </w:p>
        </w:tc>
        <w:tc>
          <w:tcPr>
            <w:tcW w:w="850" w:type="dxa"/>
            <w:tcBorders>
              <w:top w:val="single" w:sz="4" w:space="0" w:color="auto"/>
              <w:left w:val="nil"/>
              <w:bottom w:val="nil"/>
              <w:right w:val="nil"/>
            </w:tcBorders>
            <w:hideMark/>
          </w:tcPr>
          <w:p w14:paraId="4FCD080D"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46020</w:t>
            </w:r>
          </w:p>
        </w:tc>
        <w:tc>
          <w:tcPr>
            <w:tcW w:w="851" w:type="dxa"/>
            <w:tcBorders>
              <w:top w:val="single" w:sz="4" w:space="0" w:color="auto"/>
              <w:left w:val="nil"/>
              <w:bottom w:val="nil"/>
              <w:right w:val="nil"/>
            </w:tcBorders>
            <w:hideMark/>
          </w:tcPr>
          <w:p w14:paraId="07BAAEB9"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45196</w:t>
            </w:r>
          </w:p>
        </w:tc>
        <w:tc>
          <w:tcPr>
            <w:tcW w:w="850" w:type="dxa"/>
            <w:tcBorders>
              <w:top w:val="single" w:sz="4" w:space="0" w:color="auto"/>
              <w:left w:val="nil"/>
              <w:bottom w:val="nil"/>
              <w:right w:val="nil"/>
            </w:tcBorders>
            <w:hideMark/>
          </w:tcPr>
          <w:p w14:paraId="1FCD9413"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42834</w:t>
            </w:r>
          </w:p>
        </w:tc>
        <w:tc>
          <w:tcPr>
            <w:tcW w:w="992" w:type="dxa"/>
            <w:tcBorders>
              <w:top w:val="single" w:sz="4" w:space="0" w:color="auto"/>
              <w:left w:val="nil"/>
              <w:bottom w:val="nil"/>
              <w:right w:val="nil"/>
            </w:tcBorders>
            <w:hideMark/>
          </w:tcPr>
          <w:p w14:paraId="2CB65E77"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37801</w:t>
            </w:r>
          </w:p>
        </w:tc>
        <w:tc>
          <w:tcPr>
            <w:tcW w:w="993" w:type="dxa"/>
            <w:tcBorders>
              <w:top w:val="single" w:sz="4" w:space="0" w:color="auto"/>
              <w:left w:val="nil"/>
              <w:bottom w:val="nil"/>
              <w:right w:val="nil"/>
            </w:tcBorders>
            <w:hideMark/>
          </w:tcPr>
          <w:p w14:paraId="6B52D298"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37792</w:t>
            </w:r>
          </w:p>
        </w:tc>
        <w:tc>
          <w:tcPr>
            <w:tcW w:w="850" w:type="dxa"/>
            <w:tcBorders>
              <w:top w:val="single" w:sz="4" w:space="0" w:color="auto"/>
              <w:left w:val="nil"/>
              <w:bottom w:val="nil"/>
              <w:right w:val="nil"/>
            </w:tcBorders>
            <w:hideMark/>
          </w:tcPr>
          <w:p w14:paraId="6366097A"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37779</w:t>
            </w:r>
          </w:p>
        </w:tc>
        <w:tc>
          <w:tcPr>
            <w:tcW w:w="851" w:type="dxa"/>
            <w:tcBorders>
              <w:top w:val="single" w:sz="4" w:space="0" w:color="auto"/>
              <w:left w:val="nil"/>
              <w:bottom w:val="nil"/>
              <w:right w:val="nil"/>
            </w:tcBorders>
            <w:hideMark/>
          </w:tcPr>
          <w:p w14:paraId="5C867BB0"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37793</w:t>
            </w:r>
          </w:p>
        </w:tc>
        <w:tc>
          <w:tcPr>
            <w:tcW w:w="850" w:type="dxa"/>
            <w:tcBorders>
              <w:top w:val="single" w:sz="4" w:space="0" w:color="auto"/>
              <w:left w:val="nil"/>
              <w:bottom w:val="nil"/>
              <w:right w:val="nil"/>
            </w:tcBorders>
            <w:hideMark/>
          </w:tcPr>
          <w:p w14:paraId="2E43FE22"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37768</w:t>
            </w:r>
          </w:p>
        </w:tc>
        <w:tc>
          <w:tcPr>
            <w:tcW w:w="851" w:type="dxa"/>
            <w:tcBorders>
              <w:top w:val="single" w:sz="4" w:space="0" w:color="auto"/>
              <w:left w:val="nil"/>
              <w:bottom w:val="nil"/>
              <w:right w:val="nil"/>
            </w:tcBorders>
            <w:hideMark/>
          </w:tcPr>
          <w:p w14:paraId="0179271C"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37800</w:t>
            </w:r>
          </w:p>
        </w:tc>
        <w:tc>
          <w:tcPr>
            <w:tcW w:w="851" w:type="dxa"/>
            <w:tcBorders>
              <w:top w:val="single" w:sz="4" w:space="0" w:color="auto"/>
              <w:left w:val="nil"/>
              <w:bottom w:val="nil"/>
              <w:right w:val="nil"/>
            </w:tcBorders>
            <w:hideMark/>
          </w:tcPr>
          <w:p w14:paraId="1FDE1EF6"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37789</w:t>
            </w:r>
          </w:p>
        </w:tc>
      </w:tr>
      <w:tr w:rsidR="008226A2" w:rsidRPr="00CA5619" w14:paraId="1420F887" w14:textId="77777777" w:rsidTr="00B17437">
        <w:trPr>
          <w:gridAfter w:val="1"/>
          <w:wAfter w:w="846" w:type="dxa"/>
          <w:trHeight w:val="272"/>
        </w:trPr>
        <w:tc>
          <w:tcPr>
            <w:tcW w:w="1835" w:type="dxa"/>
            <w:tcBorders>
              <w:top w:val="single" w:sz="4" w:space="0" w:color="auto"/>
              <w:left w:val="nil"/>
              <w:bottom w:val="nil"/>
              <w:right w:val="nil"/>
            </w:tcBorders>
            <w:hideMark/>
          </w:tcPr>
          <w:p w14:paraId="3DDD39D4" w14:textId="77777777" w:rsidR="008226A2" w:rsidRPr="00CA5619" w:rsidRDefault="008226A2" w:rsidP="00B17437">
            <w:pPr>
              <w:widowControl w:val="0"/>
              <w:autoSpaceDE w:val="0"/>
              <w:autoSpaceDN w:val="0"/>
              <w:adjustRightInd w:val="0"/>
              <w:spacing w:line="240" w:lineRule="auto"/>
              <w:rPr>
                <w:rFonts w:cs="Segoe UI"/>
                <w:iCs/>
                <w:sz w:val="18"/>
                <w:szCs w:val="18"/>
                <w:highlight w:val="yellow"/>
                <w:lang w:val="en-US" w:eastAsia="en-GB"/>
              </w:rPr>
            </w:pPr>
            <w:r w:rsidRPr="00CA5619">
              <w:rPr>
                <w:rFonts w:cs="Segoe UI"/>
                <w:iCs/>
                <w:sz w:val="18"/>
                <w:szCs w:val="18"/>
                <w:highlight w:val="yellow"/>
                <w:lang w:val="en-US" w:eastAsia="en-GB"/>
              </w:rPr>
              <w:t>BIC</w:t>
            </w:r>
          </w:p>
        </w:tc>
        <w:tc>
          <w:tcPr>
            <w:tcW w:w="856" w:type="dxa"/>
            <w:tcBorders>
              <w:top w:val="single" w:sz="4" w:space="0" w:color="auto"/>
              <w:left w:val="nil"/>
              <w:bottom w:val="nil"/>
              <w:right w:val="nil"/>
            </w:tcBorders>
            <w:hideMark/>
          </w:tcPr>
          <w:p w14:paraId="6B0051B8"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47932</w:t>
            </w:r>
          </w:p>
        </w:tc>
        <w:tc>
          <w:tcPr>
            <w:tcW w:w="851" w:type="dxa"/>
            <w:tcBorders>
              <w:top w:val="single" w:sz="4" w:space="0" w:color="auto"/>
              <w:left w:val="nil"/>
              <w:bottom w:val="nil"/>
              <w:right w:val="nil"/>
            </w:tcBorders>
            <w:hideMark/>
          </w:tcPr>
          <w:p w14:paraId="064BDDF5"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47828</w:t>
            </w:r>
          </w:p>
        </w:tc>
        <w:tc>
          <w:tcPr>
            <w:tcW w:w="852" w:type="dxa"/>
            <w:tcBorders>
              <w:top w:val="single" w:sz="4" w:space="0" w:color="auto"/>
              <w:left w:val="nil"/>
              <w:bottom w:val="nil"/>
              <w:right w:val="nil"/>
            </w:tcBorders>
            <w:hideMark/>
          </w:tcPr>
          <w:p w14:paraId="278EB8E0"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47705</w:t>
            </w:r>
          </w:p>
        </w:tc>
        <w:tc>
          <w:tcPr>
            <w:tcW w:w="850" w:type="dxa"/>
            <w:tcBorders>
              <w:top w:val="single" w:sz="4" w:space="0" w:color="auto"/>
              <w:left w:val="nil"/>
              <w:bottom w:val="nil"/>
              <w:right w:val="nil"/>
            </w:tcBorders>
            <w:hideMark/>
          </w:tcPr>
          <w:p w14:paraId="29573E0C"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46912</w:t>
            </w:r>
          </w:p>
        </w:tc>
        <w:tc>
          <w:tcPr>
            <w:tcW w:w="851" w:type="dxa"/>
            <w:tcBorders>
              <w:top w:val="single" w:sz="4" w:space="0" w:color="auto"/>
              <w:left w:val="nil"/>
              <w:bottom w:val="nil"/>
              <w:right w:val="nil"/>
            </w:tcBorders>
            <w:hideMark/>
          </w:tcPr>
          <w:p w14:paraId="12F40F94"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46652</w:t>
            </w:r>
          </w:p>
        </w:tc>
        <w:tc>
          <w:tcPr>
            <w:tcW w:w="850" w:type="dxa"/>
            <w:tcBorders>
              <w:top w:val="single" w:sz="4" w:space="0" w:color="auto"/>
              <w:left w:val="nil"/>
              <w:bottom w:val="nil"/>
              <w:right w:val="nil"/>
            </w:tcBorders>
            <w:hideMark/>
          </w:tcPr>
          <w:p w14:paraId="3806639A"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46114</w:t>
            </w:r>
          </w:p>
        </w:tc>
        <w:tc>
          <w:tcPr>
            <w:tcW w:w="851" w:type="dxa"/>
            <w:tcBorders>
              <w:top w:val="single" w:sz="4" w:space="0" w:color="auto"/>
              <w:left w:val="nil"/>
              <w:bottom w:val="nil"/>
              <w:right w:val="nil"/>
            </w:tcBorders>
            <w:hideMark/>
          </w:tcPr>
          <w:p w14:paraId="6827E5AE"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45333</w:t>
            </w:r>
          </w:p>
        </w:tc>
        <w:tc>
          <w:tcPr>
            <w:tcW w:w="850" w:type="dxa"/>
            <w:tcBorders>
              <w:top w:val="single" w:sz="4" w:space="0" w:color="auto"/>
              <w:left w:val="nil"/>
              <w:bottom w:val="nil"/>
              <w:right w:val="nil"/>
            </w:tcBorders>
            <w:hideMark/>
          </w:tcPr>
          <w:p w14:paraId="5DA34323"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43082</w:t>
            </w:r>
          </w:p>
        </w:tc>
        <w:tc>
          <w:tcPr>
            <w:tcW w:w="992" w:type="dxa"/>
            <w:tcBorders>
              <w:top w:val="single" w:sz="4" w:space="0" w:color="auto"/>
              <w:left w:val="nil"/>
              <w:bottom w:val="nil"/>
              <w:right w:val="nil"/>
            </w:tcBorders>
            <w:hideMark/>
          </w:tcPr>
          <w:p w14:paraId="5B538A60"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38058</w:t>
            </w:r>
          </w:p>
        </w:tc>
        <w:tc>
          <w:tcPr>
            <w:tcW w:w="993" w:type="dxa"/>
            <w:tcBorders>
              <w:top w:val="single" w:sz="4" w:space="0" w:color="auto"/>
              <w:left w:val="nil"/>
              <w:bottom w:val="nil"/>
              <w:right w:val="nil"/>
            </w:tcBorders>
            <w:hideMark/>
          </w:tcPr>
          <w:p w14:paraId="2EF07DF6"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38057</w:t>
            </w:r>
          </w:p>
        </w:tc>
        <w:tc>
          <w:tcPr>
            <w:tcW w:w="850" w:type="dxa"/>
            <w:tcBorders>
              <w:top w:val="single" w:sz="4" w:space="0" w:color="auto"/>
              <w:left w:val="nil"/>
              <w:bottom w:val="nil"/>
              <w:right w:val="nil"/>
            </w:tcBorders>
            <w:hideMark/>
          </w:tcPr>
          <w:p w14:paraId="5B1D0E39"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38044</w:t>
            </w:r>
          </w:p>
        </w:tc>
        <w:tc>
          <w:tcPr>
            <w:tcW w:w="851" w:type="dxa"/>
            <w:tcBorders>
              <w:top w:val="single" w:sz="4" w:space="0" w:color="auto"/>
              <w:left w:val="nil"/>
              <w:bottom w:val="nil"/>
              <w:right w:val="nil"/>
            </w:tcBorders>
            <w:hideMark/>
          </w:tcPr>
          <w:p w14:paraId="04B781F8"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38058</w:t>
            </w:r>
          </w:p>
        </w:tc>
        <w:tc>
          <w:tcPr>
            <w:tcW w:w="850" w:type="dxa"/>
            <w:tcBorders>
              <w:top w:val="single" w:sz="4" w:space="0" w:color="auto"/>
              <w:left w:val="nil"/>
              <w:bottom w:val="nil"/>
              <w:right w:val="nil"/>
            </w:tcBorders>
            <w:hideMark/>
          </w:tcPr>
          <w:p w14:paraId="0F01B1BB"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38033</w:t>
            </w:r>
          </w:p>
        </w:tc>
        <w:tc>
          <w:tcPr>
            <w:tcW w:w="851" w:type="dxa"/>
            <w:tcBorders>
              <w:top w:val="single" w:sz="4" w:space="0" w:color="auto"/>
              <w:left w:val="nil"/>
              <w:bottom w:val="nil"/>
              <w:right w:val="nil"/>
            </w:tcBorders>
            <w:hideMark/>
          </w:tcPr>
          <w:p w14:paraId="4F0C13F9"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38065</w:t>
            </w:r>
          </w:p>
        </w:tc>
        <w:tc>
          <w:tcPr>
            <w:tcW w:w="851" w:type="dxa"/>
            <w:tcBorders>
              <w:top w:val="single" w:sz="4" w:space="0" w:color="auto"/>
              <w:left w:val="nil"/>
              <w:bottom w:val="nil"/>
              <w:right w:val="nil"/>
            </w:tcBorders>
            <w:hideMark/>
          </w:tcPr>
          <w:p w14:paraId="1D670469"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38062</w:t>
            </w:r>
          </w:p>
        </w:tc>
      </w:tr>
      <w:tr w:rsidR="001C35E3" w:rsidRPr="00CA5619" w14:paraId="00C42DDA" w14:textId="77777777" w:rsidTr="00FF0E2C">
        <w:trPr>
          <w:gridAfter w:val="1"/>
          <w:wAfter w:w="851" w:type="dxa"/>
          <w:trHeight w:val="285"/>
        </w:trPr>
        <w:tc>
          <w:tcPr>
            <w:tcW w:w="1835" w:type="dxa"/>
            <w:hideMark/>
          </w:tcPr>
          <w:p w14:paraId="72D0718F"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Log lik.</w:t>
            </w:r>
          </w:p>
        </w:tc>
        <w:tc>
          <w:tcPr>
            <w:tcW w:w="856" w:type="dxa"/>
            <w:hideMark/>
          </w:tcPr>
          <w:p w14:paraId="41A15EC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-23935</w:t>
            </w:r>
          </w:p>
        </w:tc>
        <w:tc>
          <w:tcPr>
            <w:tcW w:w="851" w:type="dxa"/>
            <w:hideMark/>
          </w:tcPr>
          <w:p w14:paraId="66BCE9D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-23872</w:t>
            </w:r>
          </w:p>
        </w:tc>
        <w:tc>
          <w:tcPr>
            <w:tcW w:w="852" w:type="dxa"/>
            <w:hideMark/>
          </w:tcPr>
          <w:p w14:paraId="786444E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-23795</w:t>
            </w:r>
          </w:p>
        </w:tc>
        <w:tc>
          <w:tcPr>
            <w:tcW w:w="850" w:type="dxa"/>
            <w:hideMark/>
          </w:tcPr>
          <w:p w14:paraId="39B55E8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-23398</w:t>
            </w:r>
          </w:p>
        </w:tc>
        <w:tc>
          <w:tcPr>
            <w:tcW w:w="851" w:type="dxa"/>
            <w:hideMark/>
          </w:tcPr>
          <w:p w14:paraId="7DF7B1C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-23263</w:t>
            </w:r>
          </w:p>
        </w:tc>
        <w:tc>
          <w:tcPr>
            <w:tcW w:w="850" w:type="dxa"/>
            <w:hideMark/>
          </w:tcPr>
          <w:p w14:paraId="226B6E7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-22999</w:t>
            </w:r>
          </w:p>
        </w:tc>
        <w:tc>
          <w:tcPr>
            <w:tcW w:w="851" w:type="dxa"/>
            <w:hideMark/>
          </w:tcPr>
          <w:p w14:paraId="0E78AE6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-22582</w:t>
            </w:r>
          </w:p>
        </w:tc>
        <w:tc>
          <w:tcPr>
            <w:tcW w:w="850" w:type="dxa"/>
            <w:tcBorders>
              <w:right w:val="single" w:sz="4" w:space="0" w:color="auto"/>
            </w:tcBorders>
            <w:hideMark/>
          </w:tcPr>
          <w:p w14:paraId="46C79EF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-21388</w:t>
            </w:r>
          </w:p>
        </w:tc>
        <w:tc>
          <w:tcPr>
            <w:tcW w:w="992" w:type="dxa"/>
            <w:tcBorders>
              <w:left w:val="single" w:sz="4" w:space="0" w:color="auto"/>
            </w:tcBorders>
            <w:hideMark/>
          </w:tcPr>
          <w:p w14:paraId="7329C1F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-18871</w:t>
            </w:r>
          </w:p>
        </w:tc>
        <w:tc>
          <w:tcPr>
            <w:tcW w:w="993" w:type="dxa"/>
            <w:hideMark/>
          </w:tcPr>
          <w:p w14:paraId="2402297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-18865</w:t>
            </w:r>
          </w:p>
        </w:tc>
        <w:tc>
          <w:tcPr>
            <w:tcW w:w="850" w:type="dxa"/>
            <w:hideMark/>
          </w:tcPr>
          <w:p w14:paraId="01FCCDA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-18859</w:t>
            </w:r>
          </w:p>
        </w:tc>
        <w:tc>
          <w:tcPr>
            <w:tcW w:w="851" w:type="dxa"/>
            <w:hideMark/>
          </w:tcPr>
          <w:p w14:paraId="5A6A9EA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-18866</w:t>
            </w:r>
          </w:p>
        </w:tc>
        <w:tc>
          <w:tcPr>
            <w:tcW w:w="850" w:type="dxa"/>
            <w:hideMark/>
          </w:tcPr>
          <w:p w14:paraId="4755CA8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-18853</w:t>
            </w:r>
          </w:p>
        </w:tc>
        <w:tc>
          <w:tcPr>
            <w:tcW w:w="851" w:type="dxa"/>
            <w:hideMark/>
          </w:tcPr>
          <w:p w14:paraId="4147AE08"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-18869</w:t>
            </w:r>
          </w:p>
        </w:tc>
        <w:tc>
          <w:tcPr>
            <w:tcW w:w="851" w:type="dxa"/>
            <w:hideMark/>
          </w:tcPr>
          <w:p w14:paraId="75EC2E96"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-18862</w:t>
            </w:r>
          </w:p>
        </w:tc>
      </w:tr>
      <w:tr w:rsidR="001C35E3" w:rsidRPr="00CA5619" w14:paraId="700B7DA7" w14:textId="77777777" w:rsidTr="00FF0E2C">
        <w:trPr>
          <w:gridAfter w:val="1"/>
          <w:wAfter w:w="851" w:type="dxa"/>
          <w:trHeight w:val="285"/>
        </w:trPr>
        <w:tc>
          <w:tcPr>
            <w:tcW w:w="1835" w:type="dxa"/>
            <w:tcBorders>
              <w:top w:val="nil"/>
              <w:left w:val="nil"/>
              <w:bottom w:val="single" w:sz="4" w:space="0" w:color="auto"/>
              <w:right w:val="nil"/>
            </w:tcBorders>
            <w:hideMark/>
          </w:tcPr>
          <w:p w14:paraId="011FB354" w14:textId="77777777" w:rsidR="001C35E3" w:rsidRPr="00CA5619" w:rsidRDefault="001C35E3">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ICC</w:t>
            </w:r>
          </w:p>
        </w:tc>
        <w:tc>
          <w:tcPr>
            <w:tcW w:w="856" w:type="dxa"/>
            <w:tcBorders>
              <w:top w:val="nil"/>
              <w:left w:val="nil"/>
              <w:bottom w:val="single" w:sz="4" w:space="0" w:color="auto"/>
              <w:right w:val="nil"/>
            </w:tcBorders>
            <w:hideMark/>
          </w:tcPr>
          <w:p w14:paraId="382F5AA9"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hideMark/>
          </w:tcPr>
          <w:p w14:paraId="0BB5CCC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2" w:type="dxa"/>
            <w:tcBorders>
              <w:top w:val="nil"/>
              <w:left w:val="nil"/>
              <w:bottom w:val="single" w:sz="4" w:space="0" w:color="auto"/>
              <w:right w:val="nil"/>
            </w:tcBorders>
            <w:hideMark/>
          </w:tcPr>
          <w:p w14:paraId="587D2B61"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nil"/>
            </w:tcBorders>
            <w:hideMark/>
          </w:tcPr>
          <w:p w14:paraId="54F62092"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hideMark/>
          </w:tcPr>
          <w:p w14:paraId="014C764E"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nil"/>
            </w:tcBorders>
            <w:hideMark/>
          </w:tcPr>
          <w:p w14:paraId="6D634C1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hideMark/>
          </w:tcPr>
          <w:p w14:paraId="156A688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single" w:sz="4" w:space="0" w:color="auto"/>
            </w:tcBorders>
            <w:hideMark/>
          </w:tcPr>
          <w:p w14:paraId="2E387FD3"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992" w:type="dxa"/>
            <w:tcBorders>
              <w:top w:val="nil"/>
              <w:left w:val="single" w:sz="4" w:space="0" w:color="auto"/>
              <w:bottom w:val="single" w:sz="4" w:space="0" w:color="auto"/>
              <w:right w:val="nil"/>
            </w:tcBorders>
            <w:hideMark/>
          </w:tcPr>
          <w:p w14:paraId="488C7C65"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.3107997</w:t>
            </w:r>
          </w:p>
        </w:tc>
        <w:tc>
          <w:tcPr>
            <w:tcW w:w="993" w:type="dxa"/>
            <w:tcBorders>
              <w:top w:val="nil"/>
              <w:left w:val="nil"/>
              <w:bottom w:val="single" w:sz="4" w:space="0" w:color="auto"/>
              <w:right w:val="nil"/>
            </w:tcBorders>
            <w:hideMark/>
          </w:tcPr>
          <w:p w14:paraId="508D181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.257827</w:t>
            </w:r>
          </w:p>
        </w:tc>
        <w:tc>
          <w:tcPr>
            <w:tcW w:w="850" w:type="dxa"/>
            <w:tcBorders>
              <w:top w:val="nil"/>
              <w:left w:val="nil"/>
              <w:bottom w:val="single" w:sz="4" w:space="0" w:color="auto"/>
              <w:right w:val="nil"/>
            </w:tcBorders>
            <w:hideMark/>
          </w:tcPr>
          <w:p w14:paraId="4FE3002D"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.203357</w:t>
            </w:r>
          </w:p>
        </w:tc>
        <w:tc>
          <w:tcPr>
            <w:tcW w:w="851" w:type="dxa"/>
            <w:tcBorders>
              <w:top w:val="nil"/>
              <w:left w:val="nil"/>
              <w:bottom w:val="single" w:sz="4" w:space="0" w:color="auto"/>
              <w:right w:val="nil"/>
            </w:tcBorders>
            <w:hideMark/>
          </w:tcPr>
          <w:p w14:paraId="528AB0EA"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.262387</w:t>
            </w:r>
          </w:p>
        </w:tc>
        <w:tc>
          <w:tcPr>
            <w:tcW w:w="850" w:type="dxa"/>
            <w:tcBorders>
              <w:top w:val="nil"/>
              <w:left w:val="nil"/>
              <w:bottom w:val="single" w:sz="4" w:space="0" w:color="auto"/>
              <w:right w:val="nil"/>
            </w:tcBorders>
            <w:hideMark/>
          </w:tcPr>
          <w:p w14:paraId="2DB1D06F"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.165814</w:t>
            </w:r>
          </w:p>
        </w:tc>
        <w:tc>
          <w:tcPr>
            <w:tcW w:w="851" w:type="dxa"/>
            <w:tcBorders>
              <w:top w:val="nil"/>
              <w:left w:val="nil"/>
              <w:bottom w:val="single" w:sz="4" w:space="0" w:color="auto"/>
              <w:right w:val="nil"/>
            </w:tcBorders>
            <w:hideMark/>
          </w:tcPr>
          <w:p w14:paraId="1995FA7C"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.298169</w:t>
            </w:r>
          </w:p>
        </w:tc>
        <w:tc>
          <w:tcPr>
            <w:tcW w:w="851" w:type="dxa"/>
            <w:tcBorders>
              <w:top w:val="nil"/>
              <w:left w:val="nil"/>
              <w:bottom w:val="single" w:sz="4" w:space="0" w:color="auto"/>
              <w:right w:val="nil"/>
            </w:tcBorders>
            <w:hideMark/>
          </w:tcPr>
          <w:p w14:paraId="29B71774" w14:textId="77777777" w:rsidR="001C35E3" w:rsidRPr="00CA5619" w:rsidRDefault="001C35E3">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.238290</w:t>
            </w:r>
          </w:p>
        </w:tc>
      </w:tr>
    </w:tbl>
    <w:p w14:paraId="5981539E" w14:textId="0BFFB33A" w:rsidR="00902255" w:rsidRPr="00CA5619" w:rsidRDefault="00717D00" w:rsidP="001C35E3">
      <w:pPr>
        <w:spacing w:before="0" w:line="240" w:lineRule="auto"/>
        <w:jc w:val="right"/>
        <w:rPr>
          <w:sz w:val="18"/>
          <w:szCs w:val="18"/>
          <w:highlight w:val="yellow"/>
        </w:rPr>
      </w:pPr>
      <w:bookmarkStart w:id="391" w:name="_Toc441069292"/>
      <w:bookmarkEnd w:id="389"/>
      <w:r>
        <w:rPr>
          <w:sz w:val="18"/>
          <w:szCs w:val="18"/>
          <w:highlight w:val="yellow"/>
        </w:rPr>
        <w:t xml:space="preserve">Standard error in brackets. </w:t>
      </w:r>
      <w:r w:rsidR="001C35E3" w:rsidRPr="00CA5619">
        <w:rPr>
          <w:sz w:val="18"/>
          <w:szCs w:val="18"/>
          <w:highlight w:val="yellow"/>
        </w:rPr>
        <w:t xml:space="preserve">p&lt;0.1=*, p&lt;0.05**, p&lt;0.001*** </w:t>
      </w:r>
      <w:bookmarkEnd w:id="391"/>
    </w:p>
    <w:p w14:paraId="795B2C61" w14:textId="405CC091" w:rsidR="001C35E3" w:rsidRPr="00CA5619" w:rsidRDefault="001C35E3" w:rsidP="00150FD5">
      <w:pPr>
        <w:rPr>
          <w:highlight w:val="yellow"/>
        </w:rPr>
      </w:pPr>
    </w:p>
    <w:bookmarkEnd w:id="390"/>
    <w:p w14:paraId="590C1482" w14:textId="21ADEDCB" w:rsidR="001C35E3" w:rsidRPr="00CA5619" w:rsidRDefault="001C35E3" w:rsidP="001C35E3">
      <w:pPr>
        <w:rPr>
          <w:highlight w:val="yellow"/>
        </w:rPr>
      </w:pPr>
    </w:p>
    <w:p w14:paraId="28885BF7" w14:textId="77777777" w:rsidR="001C35E3" w:rsidRPr="00CA5619" w:rsidRDefault="001C35E3" w:rsidP="001C35E3">
      <w:pPr>
        <w:rPr>
          <w:highlight w:val="yellow"/>
        </w:rPr>
        <w:sectPr w:rsidR="001C35E3" w:rsidRPr="00CA5619" w:rsidSect="001C35E3">
          <w:pgSz w:w="16838" w:h="11906" w:orient="landscape"/>
          <w:pgMar w:top="1440" w:right="1440" w:bottom="1440" w:left="1440" w:header="708" w:footer="708" w:gutter="357"/>
          <w:cols w:space="708"/>
          <w:docGrid w:linePitch="360"/>
        </w:sectPr>
      </w:pPr>
    </w:p>
    <w:p w14:paraId="31B6A21A" w14:textId="76430AE9" w:rsidR="00715508" w:rsidRDefault="00715508" w:rsidP="00715508">
      <w:pPr>
        <w:rPr>
          <w:highlight w:val="yellow"/>
        </w:rPr>
      </w:pPr>
      <w:bookmarkStart w:id="392" w:name="_Toc441069294"/>
      <w:r w:rsidRPr="00CA5619">
        <w:rPr>
          <w:highlight w:val="yellow"/>
        </w:rPr>
        <w:t xml:space="preserve">Before examining whether this finding holds across boycotting and demonstrating, I discuss the results from the alternative </w:t>
      </w:r>
      <w:r>
        <w:rPr>
          <w:highlight w:val="yellow"/>
        </w:rPr>
        <w:t>theories examined in the models.</w:t>
      </w:r>
    </w:p>
    <w:p w14:paraId="050691A5" w14:textId="62F38982" w:rsidR="00715508" w:rsidRPr="00911CBE" w:rsidRDefault="00911CBE" w:rsidP="00715508">
      <w:pPr>
        <w:rPr>
          <w:b/>
          <w:highlight w:val="yellow"/>
        </w:rPr>
      </w:pPr>
      <w:r w:rsidRPr="00911CBE">
        <w:rPr>
          <w:rFonts w:cs="Segoe UI"/>
          <w:b/>
          <w:highlight w:val="yellow"/>
        </w:rPr>
        <w:t xml:space="preserve">Figure </w:t>
      </w:r>
      <w:r w:rsidRPr="00911CBE">
        <w:rPr>
          <w:rFonts w:cs="Segoe UI"/>
          <w:b/>
          <w:highlight w:val="yellow"/>
        </w:rPr>
        <w:fldChar w:fldCharType="begin"/>
      </w:r>
      <w:r w:rsidRPr="00911CBE">
        <w:rPr>
          <w:rFonts w:cs="Segoe UI"/>
          <w:b/>
          <w:highlight w:val="yellow"/>
        </w:rPr>
        <w:instrText xml:space="preserve"> STYLEREF 1 \s </w:instrText>
      </w:r>
      <w:r w:rsidRPr="00911CBE">
        <w:rPr>
          <w:rFonts w:cs="Segoe UI"/>
          <w:b/>
          <w:highlight w:val="yellow"/>
        </w:rPr>
        <w:fldChar w:fldCharType="separate"/>
      </w:r>
      <w:r w:rsidRPr="00911CBE">
        <w:rPr>
          <w:rFonts w:cs="Segoe UI"/>
          <w:b/>
          <w:noProof/>
          <w:highlight w:val="yellow"/>
        </w:rPr>
        <w:t>6</w:t>
      </w:r>
      <w:r w:rsidRPr="00911CBE">
        <w:rPr>
          <w:rFonts w:cs="Segoe UI"/>
          <w:b/>
          <w:noProof/>
          <w:highlight w:val="yellow"/>
        </w:rPr>
        <w:fldChar w:fldCharType="end"/>
      </w:r>
      <w:r w:rsidRPr="00911CBE">
        <w:rPr>
          <w:rFonts w:cs="Segoe UI"/>
          <w:b/>
          <w:highlight w:val="yellow"/>
        </w:rPr>
        <w:t>:</w:t>
      </w:r>
      <w:r w:rsidRPr="00911CBE">
        <w:rPr>
          <w:rFonts w:cs="Segoe UI"/>
          <w:b/>
          <w:highlight w:val="yellow"/>
        </w:rPr>
        <w:fldChar w:fldCharType="begin"/>
      </w:r>
      <w:r w:rsidRPr="00911CBE">
        <w:rPr>
          <w:rFonts w:cs="Segoe UI"/>
          <w:b/>
          <w:highlight w:val="yellow"/>
        </w:rPr>
        <w:instrText xml:space="preserve"> SEQ Figure \* ARABIC \s 1 </w:instrText>
      </w:r>
      <w:r w:rsidRPr="00911CBE">
        <w:rPr>
          <w:rFonts w:cs="Segoe UI"/>
          <w:b/>
          <w:highlight w:val="yellow"/>
        </w:rPr>
        <w:fldChar w:fldCharType="separate"/>
      </w:r>
      <w:r w:rsidRPr="00911CBE">
        <w:rPr>
          <w:rFonts w:cs="Segoe UI"/>
          <w:b/>
          <w:noProof/>
          <w:highlight w:val="yellow"/>
        </w:rPr>
        <w:t>9</w:t>
      </w:r>
      <w:r w:rsidRPr="00911CBE">
        <w:rPr>
          <w:rFonts w:cs="Segoe UI"/>
          <w:b/>
          <w:noProof/>
          <w:highlight w:val="yellow"/>
        </w:rPr>
        <w:fldChar w:fldCharType="end"/>
      </w:r>
      <w:r w:rsidRPr="00911CBE">
        <w:rPr>
          <w:rFonts w:cs="Segoe UI"/>
          <w:noProof/>
          <w:highlight w:val="yellow"/>
        </w:rPr>
        <w:t xml:space="preserve"> </w:t>
      </w:r>
      <w:r w:rsidR="00715508" w:rsidRPr="00911CBE">
        <w:rPr>
          <w:b/>
          <w:highlight w:val="yellow"/>
        </w:rPr>
        <w:t>Petitioning Predictive Margins for Compound and Authoritarian Understandings of Democracy by Gender, Model (P9)</w:t>
      </w:r>
    </w:p>
    <w:p w14:paraId="77735775" w14:textId="16483C5E" w:rsidR="00715508" w:rsidRPr="00CA5619" w:rsidRDefault="00715508" w:rsidP="00715508">
      <w:pPr>
        <w:rPr>
          <w:highlight w:val="yellow"/>
        </w:rPr>
      </w:pPr>
      <w:r w:rsidRPr="00715508">
        <w:rPr>
          <w:noProof/>
          <w:highlight w:val="yellow"/>
          <w:lang w:eastAsia="zh-CN"/>
        </w:rPr>
        <w:drawing>
          <wp:inline distT="0" distB="0" distL="0" distR="0" wp14:anchorId="437A5F5D" wp14:editId="3BAA45CC">
            <wp:extent cx="5112385" cy="3740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2385" cy="3740785"/>
                    </a:xfrm>
                    <a:prstGeom prst="rect">
                      <a:avLst/>
                    </a:prstGeom>
                    <a:noFill/>
                    <a:ln>
                      <a:noFill/>
                    </a:ln>
                  </pic:spPr>
                </pic:pic>
              </a:graphicData>
            </a:graphic>
          </wp:inline>
        </w:drawing>
      </w:r>
    </w:p>
    <w:p w14:paraId="467590E4" w14:textId="77777777" w:rsidR="00715508" w:rsidRPr="00CA5619" w:rsidRDefault="00715508" w:rsidP="00715508">
      <w:pPr>
        <w:pStyle w:val="Heading4"/>
        <w:rPr>
          <w:highlight w:val="yellow"/>
        </w:rPr>
      </w:pPr>
      <w:r w:rsidRPr="00CA5619">
        <w:rPr>
          <w:highlight w:val="yellow"/>
        </w:rPr>
        <w:t>Alternative Theories</w:t>
      </w:r>
    </w:p>
    <w:p w14:paraId="274465AD" w14:textId="70F5DAFF" w:rsidR="00715508" w:rsidRPr="00CA5619" w:rsidRDefault="00715508" w:rsidP="00715508">
      <w:pPr>
        <w:rPr>
          <w:highlight w:val="yellow"/>
        </w:rPr>
      </w:pPr>
      <w:r w:rsidRPr="00CA5619">
        <w:rPr>
          <w:highlight w:val="yellow"/>
        </w:rPr>
        <w:t xml:space="preserve">At the individual level, theoretical expectations for resource theory (P4), social capital (P5) and cognitive engagement (P6) are generally borne out to match the theoretical predictions. In terms of resources, the higher your educational attainment, the more likely you are to petition, a result that holds across the MLMs. The notion of control over your life however falls from significance once country-level errors are taken into account. Further research could explore whether there is a culturally specific understanding of this notion of efficacy that plays out differently in different countries. The variables examining social capital matter consistently too; those who are more active in civil society groups are also more likely to petition and having trust in society at large also increases the individual’s chances.  However, the result for institutional trust shows a clear signal in the opposite direction – those with more trust in institutions are less likely to sign a petition. And of course, the other way of looking at that, is that those who are sceptical of power are more likely to political engage, which aligns somewhat with Norris’s (1999;2002) notion of the critical citizen. Using more media sources to follow the news and self-describing yourself as interested in politics, with the belief that it is important, all increase the chances of an individual petitioning. Increased levels of cognitive engagement seem to boost the chances of political participation, matching other findings in the literature </w:t>
      </w:r>
      <w:r w:rsidRPr="00CA5619">
        <w:rPr>
          <w:highlight w:val="yellow"/>
        </w:rPr>
        <w:fldChar w:fldCharType="begin" w:fldLock="1"/>
      </w:r>
      <w:r w:rsidR="00A720F0">
        <w:rPr>
          <w:highlight w:val="yellow"/>
        </w:rPr>
        <w:instrText>ADDIN CSL_CITATION { "citationItems" : [ { "id" : "ITEM-1", "itemData" : { "author" : [ { "dropping-particle" : "", "family" : "Nie", "given" : "Norman H", "non-dropping-particle" : "", "parse-names" : false, "suffix" : "" }, { "dropping-particle" : "", "family" : "Junn", "given" : "J", "non-dropping-particle" : "", "parse-names" : false, "suffix" : "" }, { "dropping-particle" : "", "family" : "Stehlik-Barry", "given" : "K", "non-dropping-particle" : "", "parse-names" : false, "suffix" : "" } ], "id" : "ITEM-1", "issued" : { "date-parts" : [ [ "1996" ] ] }, "publisher" : "University of Chicago Press", "publisher-place" : "Chicago", "title" : "Education and Democratic Citizenship in America", "type" : "book" }, "uris" : [ "http://www.mendeley.com/documents/?uuid=c444f8a1-4303-42f8-8b01-9f2bc05e7e97" ] }, { "id" : "ITEM-2", "itemData" : { "author" : [ { "dropping-particle" : "", "family" : "Pattie", "given" : "Charles J.", "non-dropping-particle" : "", "parse-names" : false, "suffix" : "" }, { "dropping-particle" : "", "family" : "Seyd", "given" : "Patrick", "non-dropping-particle" : "", "parse-names" : false, "suffix" : "" }, { "dropping-particle" : "", "family" : "Whiteley", "given" : "Paul", "non-dropping-particle" : "", "parse-names" : false, "suffix" : "" } ], "id" : "ITEM-2", "issued" : { "date-parts" : [ [ "2004" ] ] }, "publisher" : "Cambridge University Press", "publisher-place" : "Cambridge", "title" : "Citizenship in Britain", "type" : "book" }, "uris" : [ "http://www.mendeley.com/documents/?uuid=7ee55eb4-c098-4a41-8cae-776b65b64c9b" ] }, { "id" : "ITEM-3", "itemData" : { "author" : [ { "dropping-particle" : "", "family" : "Whiteley", "given" : "Paul", "non-dropping-particle" : "", "parse-names" : false, "suffix" : "" }, { "dropping-particle" : "", "family" : "Clarke", "given" : "Harold D.", "non-dropping-particle" : "", "parse-names" : false, "suffix" : "" }, { "dropping-particle" : "", "family" : "Sanders", "given" : "David", "non-dropping-particle" : "", "parse-names" : false, "suffix" : "" }, { "dropping-particle" : "", "family" : "Stewart", "given" : "Marianne C.", "non-dropping-particle" : "", "parse-names" : false, "suffix" : "" } ], "id" : "ITEM-3", "issued" : { "date-parts" : [ [ "2013" ] ] }, "publisher" : "Cambridge University Press", "publisher-place" : "Cambridge", "title" : "Affluence, Austerty and Electoral Change in Britain", "type" : "book" }, "uris" : [ "http://www.mendeley.com/documents/?uuid=e1bf1552-cf8e-41d2-b9d6-b2d2f8c537fe" ] }, { "id" : "ITEM-4", "itemData" : { "author" : [ { "dropping-particle" : "", "family" : "Dalton", "given" : "R.", "non-dropping-particle" : "", "parse-names" : false, "suffix" : "" } ], "edition" : "5th", "id" : "ITEM-4", "issued" : { "date-parts" : [ [ "2008" ] ] }, "publisher" : "Congressional Quarterly Press", "publisher-place" : "Washington", "title" : "Citizen Politics: Public Opinion and Political Parties in Advanced Industrial Societies", "type" : "book" }, "uris" : [ "http://www.mendeley.com/documents/?uuid=c3178a3d-ddcf-4081-8a14-22371b3baf75" ] } ], "mendeley" : { "formattedCitation" : "(Nie, Junn and Stehlik-Barry, 1996; Pattie, Seyd and Whiteley, 2004; R. Dalton, 2008; Whiteley &lt;i&gt;et al.&lt;/i&gt;, 2013)", "manualFormatting" : "(Whiteley et al. 2013; Dalton 2008; Pattie et al. 2004; Nie et al. 1996)", "plainTextFormattedCitation" : "(Nie, Junn and Stehlik-Barry, 1996; Pattie, Seyd and Whiteley, 2004; R. Dalton, 2008; Whiteley et al., 2013)", "previouslyFormattedCitation" : "(Nie, Junn and Stehlik-Barry, 1996; Pattie, Seyd and Whiteley, 2004; R. Dalton, 2008; Whiteley &lt;i&gt;et al.&lt;/i&gt;, 2013)" }, "properties" : { "noteIndex" : 0 }, "schema" : "https://github.com/citation-style-language/schema/raw/master/csl-citation.json" }</w:instrText>
      </w:r>
      <w:r w:rsidRPr="00CA5619">
        <w:rPr>
          <w:highlight w:val="yellow"/>
        </w:rPr>
        <w:fldChar w:fldCharType="separate"/>
      </w:r>
      <w:r w:rsidRPr="00CA5619">
        <w:rPr>
          <w:noProof/>
          <w:highlight w:val="yellow"/>
        </w:rPr>
        <w:t>(Whiteley et al. 2013; Dalton 2008; Pattie et al. 2004; Nie et al. 1996)</w:t>
      </w:r>
      <w:r w:rsidRPr="00CA5619">
        <w:rPr>
          <w:highlight w:val="yellow"/>
        </w:rPr>
        <w:fldChar w:fldCharType="end"/>
      </w:r>
      <w:r w:rsidRPr="00CA5619">
        <w:rPr>
          <w:highlight w:val="yellow"/>
        </w:rPr>
        <w:t xml:space="preserve">. </w:t>
      </w:r>
    </w:p>
    <w:p w14:paraId="05FD7871" w14:textId="15567289" w:rsidR="00715508" w:rsidRPr="00CA5619" w:rsidRDefault="00715508" w:rsidP="00715508">
      <w:pPr>
        <w:rPr>
          <w:highlight w:val="yellow"/>
        </w:rPr>
      </w:pPr>
      <w:r w:rsidRPr="00CA5619">
        <w:rPr>
          <w:highlight w:val="yellow"/>
        </w:rPr>
        <w:t xml:space="preserve">When it comes to religiosity, (P7) </w:t>
      </w:r>
      <w:r w:rsidRPr="00CA5619">
        <w:rPr>
          <w:highlight w:val="yellow"/>
        </w:rPr>
        <w:fldChar w:fldCharType="begin" w:fldLock="1"/>
      </w:r>
      <w:r w:rsidRPr="00CA5619">
        <w:rPr>
          <w:highlight w:val="yellow"/>
        </w:rPr>
        <w:instrText>ADDIN CSL_CITATION { "citationItems" : [ { "id" : "ITEM-1", "itemData" : { "DOI" : "10.1023/B:POBE.0000035961.78836.5f", "ISBN" : "01909320", "ISSN" : "01909320", "abstract" : "Many observers suggest that white evangelical Protestant churches serve to mobilize their members into politics, while others argue that they encourage withdrawal from political life. This paper reconciles these two claims. I hypothesize that the time members of evangelical Protestant denominations spend in service to their church comes at the expense of participation in the wider community, contrary to the way mainline Protestant and Catholic churches foster civic activity among their members. However, I further hypothesize that the tight social networks formed through this intensive church activity can at times facilitate rapid and intense political mobilization. Data from the Citizen Participation Study supports the first hypothesis, while applying King's method of ecological inference to two elections in Alabama supports the second.", "author" : [ { "dropping-particle" : "", "family" : "Campbell", "given" : "David E.", "non-dropping-particle" : "", "parse-names" : false, "suffix" : "" } ], "container-title" : "Political Behavior", "id" : "ITEM-1", "issue" : "2", "issued" : { "date-parts" : [ [ "2004" ] ] }, "page" : "155-180", "title" : "Acts of Faith: Churches and Political Engagement", "type" : "article-journal", "volume" : "26" }, "locator" : "155", "uris" : [ "http://www.mendeley.com/documents/?uuid=75bd3b3a-04c8-4fcf-926b-87057a926d61" ] } ], "mendeley" : { "formattedCitation" : "(Campbell, 2004, p. 155)", "manualFormatting" : "Campbell's (2004, p.155)", "plainTextFormattedCitation" : "(Campbell, 2004, p. 155)", "previouslyFormattedCitation" : "(Campbell, 2004, p. 155)" }, "properties" : { "noteIndex" : 0 }, "schema" : "https://github.com/citation-style-language/schema/raw/master/csl-citation.json" }</w:instrText>
      </w:r>
      <w:r w:rsidRPr="00CA5619">
        <w:rPr>
          <w:highlight w:val="yellow"/>
        </w:rPr>
        <w:fldChar w:fldCharType="separate"/>
      </w:r>
      <w:r w:rsidRPr="00CA5619">
        <w:rPr>
          <w:noProof/>
          <w:highlight w:val="yellow"/>
        </w:rPr>
        <w:t>Campbell's (2004, p.155)</w:t>
      </w:r>
      <w:r w:rsidRPr="00CA5619">
        <w:rPr>
          <w:highlight w:val="yellow"/>
        </w:rPr>
        <w:fldChar w:fldCharType="end"/>
      </w:r>
      <w:r w:rsidRPr="00CA5619">
        <w:rPr>
          <w:highlight w:val="yellow"/>
        </w:rPr>
        <w:t xml:space="preserve"> argument that higher levels of evangelicalism may come at the expense of participation in the wider community finds some support here: the more religious an individual is, the less likely they are to petition. However, examining differences between religious faiths complicates the picture, especially in the MLM. For Muslim respondents, this negative relationship holds across the model, yet for Orthodox individuals the relationship switches from negative to positive. Therefore, when considered at a global individual level (P7-P8), Orthodox respondents are less likely to petition than those who are non-affiliated. However, when controlling for country e</w:t>
      </w:r>
      <w:r w:rsidR="00CC7754">
        <w:rPr>
          <w:highlight w:val="yellow"/>
        </w:rPr>
        <w:t xml:space="preserve">ffects, they are more likely. </w:t>
      </w:r>
      <w:r w:rsidRPr="00CA5619">
        <w:rPr>
          <w:highlight w:val="yellow"/>
        </w:rPr>
        <w:t xml:space="preserve">Samuel Huntington (1993) classifies countries into certain civilizations, which include Orthodox and Islamic. In this WVS dataset around 85.5% of Orthodox respondents live in an Orthodox </w:t>
      </w:r>
      <w:r w:rsidR="00CC7754" w:rsidRPr="00CA5619">
        <w:rPr>
          <w:highlight w:val="yellow"/>
        </w:rPr>
        <w:t>country</w:t>
      </w:r>
      <w:r w:rsidRPr="00CA5619">
        <w:rPr>
          <w:highlight w:val="yellow"/>
        </w:rPr>
        <w:t>, and around 83.6% of Muslim respondents live in an Islamic country. Therefore, it suggests there are differing contextual and compositional effects regarding how religious respondents participate in their own culture, compared to the non-affiliated. However, Huntington’s measure is a subjective and crude one, and further research would need to be considered in order to tease apart the differences here.</w:t>
      </w:r>
    </w:p>
    <w:p w14:paraId="68022B50" w14:textId="77777777" w:rsidR="00715508" w:rsidRPr="00CA5619" w:rsidRDefault="00715508" w:rsidP="00715508">
      <w:pPr>
        <w:rPr>
          <w:highlight w:val="yellow"/>
        </w:rPr>
      </w:pPr>
      <w:r w:rsidRPr="00CA5619">
        <w:rPr>
          <w:highlight w:val="yellow"/>
        </w:rPr>
        <w:t xml:space="preserve">Finally, for individual-level variables, there is grievance theory to discuss. The results show the </w:t>
      </w:r>
      <w:r w:rsidRPr="00CA5619">
        <w:rPr>
          <w:i/>
          <w:highlight w:val="yellow"/>
        </w:rPr>
        <w:t>more</w:t>
      </w:r>
      <w:r w:rsidRPr="00CA5619">
        <w:rPr>
          <w:highlight w:val="yellow"/>
        </w:rPr>
        <w:t xml:space="preserve"> income you have, the </w:t>
      </w:r>
      <w:r w:rsidRPr="00CA5619">
        <w:rPr>
          <w:i/>
          <w:highlight w:val="yellow"/>
        </w:rPr>
        <w:t>more</w:t>
      </w:r>
      <w:r w:rsidRPr="00CA5619">
        <w:rPr>
          <w:highlight w:val="yellow"/>
        </w:rPr>
        <w:t xml:space="preserve"> likely you are to petition, which suggests that resources play an important role here. Satisfaction with income drops from significance in the MLM however and the interaction effect, whilst significant, is quite small, and so overall the results for grievance theory are somewhat inconsistent and appear to align more with resources than issues of (dis)satisfaction with income. </w:t>
      </w:r>
    </w:p>
    <w:p w14:paraId="7621AFB0" w14:textId="084B4F15" w:rsidR="00EA36A2" w:rsidRPr="00CA5619" w:rsidRDefault="00AD3745" w:rsidP="0035324A">
      <w:pPr>
        <w:rPr>
          <w:highlight w:val="yellow"/>
        </w:rPr>
      </w:pPr>
      <w:r w:rsidRPr="00CA5619">
        <w:rPr>
          <w:highlight w:val="yellow"/>
        </w:rPr>
        <w:t xml:space="preserve">At the national level, income equality also fails to have a significant effect. However, all the other national variables reach significance, and in the expected direction. The higher level of development, the more press freedom and the longer democratic history a country has, the more likely citizens have or would consider signing a petition. In contrast, having a former or current communist regime, and living under more restrictive regimes according to the Freedom House measure, lower the likelihood of petitioning. </w:t>
      </w:r>
      <w:r w:rsidR="00912686" w:rsidRPr="00CA5619">
        <w:rPr>
          <w:highlight w:val="yellow"/>
        </w:rPr>
        <w:t>Aside from the lack of result for the gini coefficient</w:t>
      </w:r>
      <w:r w:rsidR="0099584E" w:rsidRPr="00CA5619">
        <w:rPr>
          <w:highlight w:val="yellow"/>
        </w:rPr>
        <w:t>, these results match the theoretical predictions discussed in Section 6.3</w:t>
      </w:r>
      <w:r w:rsidR="0098789F" w:rsidRPr="00CA5619">
        <w:rPr>
          <w:highlight w:val="yellow"/>
        </w:rPr>
        <w:t>.</w:t>
      </w:r>
    </w:p>
    <w:p w14:paraId="1FAF9F46" w14:textId="77777777" w:rsidR="00D66210" w:rsidRPr="00CA5619" w:rsidRDefault="00D66210" w:rsidP="00D66210">
      <w:pPr>
        <w:pStyle w:val="Heading3"/>
        <w:rPr>
          <w:highlight w:val="yellow"/>
        </w:rPr>
      </w:pPr>
      <w:r w:rsidRPr="00CA5619">
        <w:rPr>
          <w:highlight w:val="yellow"/>
        </w:rPr>
        <w:t>Boycotting</w:t>
      </w:r>
      <w:bookmarkEnd w:id="392"/>
    </w:p>
    <w:p w14:paraId="7C803DFF" w14:textId="7AA34397" w:rsidR="004E6C30" w:rsidRPr="00CA5619" w:rsidRDefault="00D66210" w:rsidP="00D66210">
      <w:pPr>
        <w:rPr>
          <w:highlight w:val="yellow"/>
        </w:rPr>
      </w:pPr>
      <w:r w:rsidRPr="00CA5619">
        <w:rPr>
          <w:highlight w:val="yellow"/>
        </w:rPr>
        <w:t>Boycotting is the least popular type of informal political participation under consideration here, with less than 10% of citizens having claimed to have boycotted anything and a large majority claiming they would never undertake such an action (58% in developed countries, and 69% in developing countries). Over time, as with petitioning, the popularity of boycotting seems to rise and fall, peaking in the 1999-2004 wave at around 43% who said they hav</w:t>
      </w:r>
      <w:r w:rsidR="0098789F" w:rsidRPr="00CA5619">
        <w:rPr>
          <w:highlight w:val="yellow"/>
        </w:rPr>
        <w:t xml:space="preserve">e or would consider boycotting. </w:t>
      </w:r>
      <w:r w:rsidR="004E6C30" w:rsidRPr="00CA5619">
        <w:rPr>
          <w:highlight w:val="yellow"/>
        </w:rPr>
        <w:t>The modelling approach here is the same as with petitioning</w:t>
      </w:r>
      <w:r w:rsidR="0098789F" w:rsidRPr="00CA5619">
        <w:rPr>
          <w:highlight w:val="yellow"/>
        </w:rPr>
        <w:t>.</w:t>
      </w:r>
    </w:p>
    <w:p w14:paraId="11898FFC" w14:textId="77777777" w:rsidR="000B4194" w:rsidRPr="00CA5619" w:rsidRDefault="000B4194" w:rsidP="000B4194">
      <w:pPr>
        <w:pStyle w:val="Heading4"/>
        <w:rPr>
          <w:highlight w:val="yellow"/>
        </w:rPr>
      </w:pPr>
      <w:bookmarkStart w:id="393" w:name="_Toc441069295"/>
      <w:r w:rsidRPr="00CA5619">
        <w:rPr>
          <w:highlight w:val="yellow"/>
        </w:rPr>
        <w:t>Boycotting and Different Understandings of Democracy</w:t>
      </w:r>
      <w:bookmarkEnd w:id="393"/>
    </w:p>
    <w:p w14:paraId="519B26BC" w14:textId="565F5210" w:rsidR="000B4194" w:rsidRPr="00CA5619" w:rsidRDefault="000B4194" w:rsidP="00C02298">
      <w:pPr>
        <w:rPr>
          <w:highlight w:val="yellow"/>
        </w:rPr>
        <w:sectPr w:rsidR="000B4194" w:rsidRPr="00CA5619" w:rsidSect="00F127C6">
          <w:pgSz w:w="11906" w:h="16838"/>
          <w:pgMar w:top="1440" w:right="1440" w:bottom="1440" w:left="1440" w:header="708" w:footer="708" w:gutter="357"/>
          <w:cols w:space="708"/>
          <w:docGrid w:linePitch="360"/>
        </w:sectPr>
      </w:pPr>
      <w:r w:rsidRPr="00CA5619">
        <w:rPr>
          <w:highlight w:val="yellow"/>
        </w:rPr>
        <w:t>Once again, the conceptualisations of democracy have an impact upon informal participation in the same direction that they do for petitioning; the more someone buys into the compound understanding, the more likely they are boycott, and the more they buy into the authoritarian understanding, the less likely they are to boycott</w:t>
      </w:r>
      <w:r w:rsidR="00CC7754">
        <w:rPr>
          <w:highlight w:val="yellow"/>
        </w:rPr>
        <w:t xml:space="preserve"> (Figure 6.10)</w:t>
      </w:r>
      <w:r w:rsidRPr="00CA5619">
        <w:rPr>
          <w:highlight w:val="yellow"/>
        </w:rPr>
        <w:t xml:space="preserve">. It appears if you forefront the importance of authority figures in your understanding of democracy, you appear less likely to get involved in informal political participation. These effects are slightly weaker for the compound understanding of democracy once the country level effects are controlled for (B9-B15). </w:t>
      </w:r>
      <w:r w:rsidR="00CC7754">
        <w:rPr>
          <w:highlight w:val="yellow"/>
        </w:rPr>
        <w:t>As before, predictive margins are plotted for male and female respondents in Figure 6.11. Matching previous results in the petitioning models</w:t>
      </w:r>
      <w:r w:rsidRPr="00CA5619">
        <w:rPr>
          <w:highlight w:val="yellow"/>
        </w:rPr>
        <w:t>, education and religiosity seems to vie with the two understandings for explanatory power, but once again the effects remain consi</w:t>
      </w:r>
      <w:r w:rsidR="00CC7754">
        <w:rPr>
          <w:highlight w:val="yellow"/>
        </w:rPr>
        <w:t>stent and robust in all models.</w:t>
      </w:r>
    </w:p>
    <w:p w14:paraId="5D49ED1E" w14:textId="4AD429E1" w:rsidR="0002263B" w:rsidRPr="00CC7754" w:rsidRDefault="00CC7754" w:rsidP="0002263B">
      <w:pPr>
        <w:rPr>
          <w:b/>
          <w:highlight w:val="yellow"/>
        </w:rPr>
      </w:pPr>
      <w:r w:rsidRPr="00CC7754">
        <w:rPr>
          <w:rFonts w:cs="Segoe UI"/>
          <w:b/>
          <w:highlight w:val="yellow"/>
        </w:rPr>
        <w:t xml:space="preserve">Figure </w:t>
      </w:r>
      <w:r w:rsidRPr="00CC7754">
        <w:rPr>
          <w:rFonts w:cs="Segoe UI"/>
          <w:b/>
          <w:highlight w:val="yellow"/>
        </w:rPr>
        <w:fldChar w:fldCharType="begin"/>
      </w:r>
      <w:r w:rsidRPr="00CC7754">
        <w:rPr>
          <w:rFonts w:cs="Segoe UI"/>
          <w:b/>
          <w:highlight w:val="yellow"/>
        </w:rPr>
        <w:instrText xml:space="preserve"> STYLEREF 1 \s </w:instrText>
      </w:r>
      <w:r w:rsidRPr="00CC7754">
        <w:rPr>
          <w:rFonts w:cs="Segoe UI"/>
          <w:b/>
          <w:highlight w:val="yellow"/>
        </w:rPr>
        <w:fldChar w:fldCharType="separate"/>
      </w:r>
      <w:r w:rsidRPr="00CC7754">
        <w:rPr>
          <w:rFonts w:cs="Segoe UI"/>
          <w:b/>
          <w:noProof/>
          <w:highlight w:val="yellow"/>
        </w:rPr>
        <w:t>6</w:t>
      </w:r>
      <w:r w:rsidRPr="00CC7754">
        <w:rPr>
          <w:rFonts w:cs="Segoe UI"/>
          <w:b/>
          <w:noProof/>
          <w:highlight w:val="yellow"/>
        </w:rPr>
        <w:fldChar w:fldCharType="end"/>
      </w:r>
      <w:r w:rsidRPr="00CC7754">
        <w:rPr>
          <w:rFonts w:cs="Segoe UI"/>
          <w:b/>
          <w:highlight w:val="yellow"/>
        </w:rPr>
        <w:t>:</w:t>
      </w:r>
      <w:r w:rsidRPr="00CC7754">
        <w:rPr>
          <w:rFonts w:cs="Segoe UI"/>
          <w:b/>
          <w:highlight w:val="yellow"/>
        </w:rPr>
        <w:fldChar w:fldCharType="begin"/>
      </w:r>
      <w:r w:rsidRPr="00CC7754">
        <w:rPr>
          <w:rFonts w:cs="Segoe UI"/>
          <w:b/>
          <w:highlight w:val="yellow"/>
        </w:rPr>
        <w:instrText xml:space="preserve"> SEQ Figure \* ARABIC \s 1 </w:instrText>
      </w:r>
      <w:r w:rsidRPr="00CC7754">
        <w:rPr>
          <w:rFonts w:cs="Segoe UI"/>
          <w:b/>
          <w:highlight w:val="yellow"/>
        </w:rPr>
        <w:fldChar w:fldCharType="separate"/>
      </w:r>
      <w:r w:rsidRPr="00CC7754">
        <w:rPr>
          <w:rFonts w:cs="Segoe UI"/>
          <w:b/>
          <w:noProof/>
          <w:highlight w:val="yellow"/>
        </w:rPr>
        <w:t>10</w:t>
      </w:r>
      <w:r w:rsidRPr="00CC7754">
        <w:rPr>
          <w:rFonts w:cs="Segoe UI"/>
          <w:b/>
          <w:noProof/>
          <w:highlight w:val="yellow"/>
        </w:rPr>
        <w:fldChar w:fldCharType="end"/>
      </w:r>
      <w:r w:rsidRPr="00CC7754">
        <w:rPr>
          <w:rFonts w:cs="Segoe UI"/>
          <w:b/>
          <w:noProof/>
          <w:highlight w:val="yellow"/>
        </w:rPr>
        <w:t xml:space="preserve"> </w:t>
      </w:r>
      <w:r w:rsidR="0002263B" w:rsidRPr="00CC7754">
        <w:rPr>
          <w:b/>
          <w:highlight w:val="yellow"/>
        </w:rPr>
        <w:t>Logistic multilevel models, understandings of democracy and alternative theory influences on boycotting a product</w:t>
      </w:r>
    </w:p>
    <w:tbl>
      <w:tblPr>
        <w:tblW w:w="15730" w:type="dxa"/>
        <w:tblLayout w:type="fixed"/>
        <w:tblLook w:val="0000" w:firstRow="0" w:lastRow="0" w:firstColumn="0" w:lastColumn="0" w:noHBand="0" w:noVBand="0"/>
      </w:tblPr>
      <w:tblGrid>
        <w:gridCol w:w="1833"/>
        <w:gridCol w:w="855"/>
        <w:gridCol w:w="850"/>
        <w:gridCol w:w="851"/>
        <w:gridCol w:w="850"/>
        <w:gridCol w:w="851"/>
        <w:gridCol w:w="850"/>
        <w:gridCol w:w="851"/>
        <w:gridCol w:w="850"/>
        <w:gridCol w:w="992"/>
        <w:gridCol w:w="993"/>
        <w:gridCol w:w="850"/>
        <w:gridCol w:w="851"/>
        <w:gridCol w:w="850"/>
        <w:gridCol w:w="851"/>
        <w:gridCol w:w="851"/>
        <w:gridCol w:w="851"/>
      </w:tblGrid>
      <w:tr w:rsidR="0002263B" w:rsidRPr="00CA5619" w14:paraId="15078D41" w14:textId="77777777" w:rsidTr="00FF0E2C">
        <w:trPr>
          <w:gridAfter w:val="1"/>
          <w:wAfter w:w="851" w:type="dxa"/>
          <w:trHeight w:val="144"/>
        </w:trPr>
        <w:tc>
          <w:tcPr>
            <w:tcW w:w="1833" w:type="dxa"/>
          </w:tcPr>
          <w:p w14:paraId="781A89C9"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bookmarkStart w:id="394" w:name="_Hlk494823192"/>
          </w:p>
        </w:tc>
        <w:tc>
          <w:tcPr>
            <w:tcW w:w="6808" w:type="dxa"/>
            <w:gridSpan w:val="8"/>
            <w:tcBorders>
              <w:right w:val="single" w:sz="4" w:space="0" w:color="auto"/>
            </w:tcBorders>
          </w:tcPr>
          <w:p w14:paraId="2D24E7D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Single-Level Models</w:t>
            </w:r>
          </w:p>
        </w:tc>
        <w:tc>
          <w:tcPr>
            <w:tcW w:w="6238" w:type="dxa"/>
            <w:gridSpan w:val="7"/>
            <w:tcBorders>
              <w:left w:val="single" w:sz="4" w:space="0" w:color="auto"/>
            </w:tcBorders>
          </w:tcPr>
          <w:p w14:paraId="7BDE2A3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MLM</w:t>
            </w:r>
          </w:p>
        </w:tc>
      </w:tr>
      <w:tr w:rsidR="0002263B" w:rsidRPr="00CA5619" w14:paraId="6E5B8C89" w14:textId="77777777" w:rsidTr="00FF0E2C">
        <w:trPr>
          <w:gridAfter w:val="1"/>
          <w:wAfter w:w="851" w:type="dxa"/>
          <w:trHeight w:val="144"/>
        </w:trPr>
        <w:tc>
          <w:tcPr>
            <w:tcW w:w="1833" w:type="dxa"/>
          </w:tcPr>
          <w:p w14:paraId="5DC2AC7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6808" w:type="dxa"/>
            <w:gridSpan w:val="8"/>
            <w:tcBorders>
              <w:right w:val="single" w:sz="4" w:space="0" w:color="auto"/>
            </w:tcBorders>
          </w:tcPr>
          <w:p w14:paraId="106001E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6238" w:type="dxa"/>
            <w:gridSpan w:val="7"/>
            <w:tcBorders>
              <w:left w:val="single" w:sz="4" w:space="0" w:color="auto"/>
            </w:tcBorders>
          </w:tcPr>
          <w:p w14:paraId="4E35506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5125A92E" w14:textId="77777777" w:rsidTr="00FF0E2C">
        <w:trPr>
          <w:gridAfter w:val="1"/>
          <w:wAfter w:w="851" w:type="dxa"/>
          <w:trHeight w:val="144"/>
        </w:trPr>
        <w:tc>
          <w:tcPr>
            <w:tcW w:w="1833" w:type="dxa"/>
          </w:tcPr>
          <w:p w14:paraId="492B584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Pr>
          <w:p w14:paraId="1EE6AD6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(B1)</w:t>
            </w:r>
          </w:p>
        </w:tc>
        <w:tc>
          <w:tcPr>
            <w:tcW w:w="850" w:type="dxa"/>
          </w:tcPr>
          <w:p w14:paraId="1296394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(B2)</w:t>
            </w:r>
          </w:p>
        </w:tc>
        <w:tc>
          <w:tcPr>
            <w:tcW w:w="851" w:type="dxa"/>
          </w:tcPr>
          <w:p w14:paraId="282141B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(B3)</w:t>
            </w:r>
          </w:p>
        </w:tc>
        <w:tc>
          <w:tcPr>
            <w:tcW w:w="850" w:type="dxa"/>
          </w:tcPr>
          <w:p w14:paraId="1EE32EA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(B4)</w:t>
            </w:r>
          </w:p>
        </w:tc>
        <w:tc>
          <w:tcPr>
            <w:tcW w:w="851" w:type="dxa"/>
          </w:tcPr>
          <w:p w14:paraId="0C80707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(B5)</w:t>
            </w:r>
          </w:p>
        </w:tc>
        <w:tc>
          <w:tcPr>
            <w:tcW w:w="850" w:type="dxa"/>
          </w:tcPr>
          <w:p w14:paraId="3668466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(B6)</w:t>
            </w:r>
          </w:p>
        </w:tc>
        <w:tc>
          <w:tcPr>
            <w:tcW w:w="851" w:type="dxa"/>
          </w:tcPr>
          <w:p w14:paraId="596097F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(B7)</w:t>
            </w:r>
          </w:p>
        </w:tc>
        <w:tc>
          <w:tcPr>
            <w:tcW w:w="850" w:type="dxa"/>
            <w:tcBorders>
              <w:right w:val="single" w:sz="4" w:space="0" w:color="auto"/>
            </w:tcBorders>
          </w:tcPr>
          <w:p w14:paraId="69B3607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(B8)</w:t>
            </w:r>
          </w:p>
        </w:tc>
        <w:tc>
          <w:tcPr>
            <w:tcW w:w="992" w:type="dxa"/>
            <w:tcBorders>
              <w:left w:val="single" w:sz="4" w:space="0" w:color="auto"/>
            </w:tcBorders>
          </w:tcPr>
          <w:p w14:paraId="218948E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(B9)</w:t>
            </w:r>
          </w:p>
        </w:tc>
        <w:tc>
          <w:tcPr>
            <w:tcW w:w="993" w:type="dxa"/>
          </w:tcPr>
          <w:p w14:paraId="2ABE367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(B10)</w:t>
            </w:r>
          </w:p>
        </w:tc>
        <w:tc>
          <w:tcPr>
            <w:tcW w:w="850" w:type="dxa"/>
          </w:tcPr>
          <w:p w14:paraId="5E3CFCD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(B11)</w:t>
            </w:r>
          </w:p>
        </w:tc>
        <w:tc>
          <w:tcPr>
            <w:tcW w:w="851" w:type="dxa"/>
          </w:tcPr>
          <w:p w14:paraId="64BD0DC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(B12)</w:t>
            </w:r>
          </w:p>
        </w:tc>
        <w:tc>
          <w:tcPr>
            <w:tcW w:w="850" w:type="dxa"/>
          </w:tcPr>
          <w:p w14:paraId="43C7BD8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(B13)</w:t>
            </w:r>
          </w:p>
        </w:tc>
        <w:tc>
          <w:tcPr>
            <w:tcW w:w="851" w:type="dxa"/>
          </w:tcPr>
          <w:p w14:paraId="60BDC8A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(B14)</w:t>
            </w:r>
          </w:p>
        </w:tc>
        <w:tc>
          <w:tcPr>
            <w:tcW w:w="851" w:type="dxa"/>
          </w:tcPr>
          <w:p w14:paraId="6BC720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(B15)</w:t>
            </w:r>
          </w:p>
        </w:tc>
      </w:tr>
      <w:tr w:rsidR="0002263B" w:rsidRPr="00CA5619" w14:paraId="08C8AB36" w14:textId="77777777" w:rsidTr="00FF0E2C">
        <w:trPr>
          <w:gridAfter w:val="1"/>
          <w:wAfter w:w="851" w:type="dxa"/>
          <w:trHeight w:val="144"/>
        </w:trPr>
        <w:tc>
          <w:tcPr>
            <w:tcW w:w="1833" w:type="dxa"/>
            <w:tcBorders>
              <w:left w:val="nil"/>
              <w:bottom w:val="nil"/>
              <w:right w:val="nil"/>
            </w:tcBorders>
            <w:shd w:val="clear" w:color="auto" w:fill="F2F2F2" w:themeFill="background1" w:themeFillShade="F2"/>
          </w:tcPr>
          <w:p w14:paraId="2CD8195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Age</w:t>
            </w:r>
          </w:p>
        </w:tc>
        <w:tc>
          <w:tcPr>
            <w:tcW w:w="855" w:type="dxa"/>
            <w:tcBorders>
              <w:left w:val="nil"/>
              <w:bottom w:val="nil"/>
              <w:right w:val="nil"/>
            </w:tcBorders>
            <w:shd w:val="clear" w:color="auto" w:fill="F2F2F2" w:themeFill="background1" w:themeFillShade="F2"/>
          </w:tcPr>
          <w:p w14:paraId="7951BB7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left w:val="nil"/>
              <w:bottom w:val="nil"/>
              <w:right w:val="nil"/>
            </w:tcBorders>
            <w:shd w:val="clear" w:color="auto" w:fill="F2F2F2" w:themeFill="background1" w:themeFillShade="F2"/>
          </w:tcPr>
          <w:p w14:paraId="4F924E7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left w:val="nil"/>
              <w:bottom w:val="nil"/>
              <w:right w:val="nil"/>
            </w:tcBorders>
            <w:shd w:val="clear" w:color="auto" w:fill="F2F2F2" w:themeFill="background1" w:themeFillShade="F2"/>
          </w:tcPr>
          <w:p w14:paraId="3AD879D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left w:val="nil"/>
              <w:bottom w:val="nil"/>
              <w:right w:val="nil"/>
            </w:tcBorders>
            <w:shd w:val="clear" w:color="auto" w:fill="F2F2F2" w:themeFill="background1" w:themeFillShade="F2"/>
          </w:tcPr>
          <w:p w14:paraId="1DC7858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left w:val="nil"/>
              <w:bottom w:val="nil"/>
              <w:right w:val="nil"/>
            </w:tcBorders>
            <w:shd w:val="clear" w:color="auto" w:fill="F2F2F2" w:themeFill="background1" w:themeFillShade="F2"/>
          </w:tcPr>
          <w:p w14:paraId="0A5949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left w:val="nil"/>
              <w:bottom w:val="nil"/>
              <w:right w:val="nil"/>
            </w:tcBorders>
            <w:shd w:val="clear" w:color="auto" w:fill="F2F2F2" w:themeFill="background1" w:themeFillShade="F2"/>
          </w:tcPr>
          <w:p w14:paraId="1E584C3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left w:val="nil"/>
              <w:bottom w:val="nil"/>
              <w:right w:val="nil"/>
            </w:tcBorders>
            <w:shd w:val="clear" w:color="auto" w:fill="F2F2F2" w:themeFill="background1" w:themeFillShade="F2"/>
          </w:tcPr>
          <w:p w14:paraId="3C7094C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left w:val="nil"/>
              <w:bottom w:val="nil"/>
              <w:right w:val="single" w:sz="4" w:space="0" w:color="auto"/>
            </w:tcBorders>
            <w:shd w:val="clear" w:color="auto" w:fill="F2F2F2" w:themeFill="background1" w:themeFillShade="F2"/>
          </w:tcPr>
          <w:p w14:paraId="4609468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left w:val="single" w:sz="4" w:space="0" w:color="auto"/>
              <w:bottom w:val="nil"/>
              <w:right w:val="nil"/>
            </w:tcBorders>
            <w:shd w:val="clear" w:color="auto" w:fill="F2F2F2" w:themeFill="background1" w:themeFillShade="F2"/>
          </w:tcPr>
          <w:p w14:paraId="6CE2880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tcBorders>
              <w:left w:val="nil"/>
              <w:bottom w:val="nil"/>
              <w:right w:val="nil"/>
            </w:tcBorders>
            <w:shd w:val="clear" w:color="auto" w:fill="F2F2F2" w:themeFill="background1" w:themeFillShade="F2"/>
          </w:tcPr>
          <w:p w14:paraId="49891AC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left w:val="nil"/>
              <w:bottom w:val="nil"/>
              <w:right w:val="nil"/>
            </w:tcBorders>
            <w:shd w:val="clear" w:color="auto" w:fill="F2F2F2" w:themeFill="background1" w:themeFillShade="F2"/>
          </w:tcPr>
          <w:p w14:paraId="2BD4508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left w:val="nil"/>
              <w:bottom w:val="nil"/>
              <w:right w:val="nil"/>
            </w:tcBorders>
            <w:shd w:val="clear" w:color="auto" w:fill="F2F2F2" w:themeFill="background1" w:themeFillShade="F2"/>
          </w:tcPr>
          <w:p w14:paraId="0B2232E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left w:val="nil"/>
              <w:bottom w:val="nil"/>
              <w:right w:val="nil"/>
            </w:tcBorders>
            <w:shd w:val="clear" w:color="auto" w:fill="F2F2F2" w:themeFill="background1" w:themeFillShade="F2"/>
          </w:tcPr>
          <w:p w14:paraId="3A074B9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left w:val="nil"/>
              <w:bottom w:val="nil"/>
              <w:right w:val="nil"/>
            </w:tcBorders>
            <w:shd w:val="clear" w:color="auto" w:fill="F2F2F2" w:themeFill="background1" w:themeFillShade="F2"/>
          </w:tcPr>
          <w:p w14:paraId="44EBB5E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left w:val="nil"/>
              <w:bottom w:val="nil"/>
              <w:right w:val="nil"/>
            </w:tcBorders>
            <w:shd w:val="clear" w:color="auto" w:fill="F2F2F2" w:themeFill="background1" w:themeFillShade="F2"/>
          </w:tcPr>
          <w:p w14:paraId="21AD19E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02263B" w:rsidRPr="00CA5619" w14:paraId="30C54629"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155CF1B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29B29F3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4492429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3A1082C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2674E3E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6D58F5A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08D5F45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130BAF9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single" w:sz="4" w:space="0" w:color="auto"/>
            </w:tcBorders>
            <w:shd w:val="clear" w:color="auto" w:fill="F2F2F2" w:themeFill="background1" w:themeFillShade="F2"/>
          </w:tcPr>
          <w:p w14:paraId="425CACC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top w:val="nil"/>
              <w:left w:val="single" w:sz="4" w:space="0" w:color="auto"/>
              <w:bottom w:val="nil"/>
              <w:right w:val="nil"/>
            </w:tcBorders>
            <w:shd w:val="clear" w:color="auto" w:fill="F2F2F2" w:themeFill="background1" w:themeFillShade="F2"/>
          </w:tcPr>
          <w:p w14:paraId="785CC4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tcBorders>
              <w:top w:val="nil"/>
              <w:left w:val="nil"/>
              <w:bottom w:val="nil"/>
              <w:right w:val="nil"/>
            </w:tcBorders>
            <w:shd w:val="clear" w:color="auto" w:fill="F2F2F2" w:themeFill="background1" w:themeFillShade="F2"/>
          </w:tcPr>
          <w:p w14:paraId="19F5DD8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083FAE8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0E1827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4FAC352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1C80868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09B646C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02263B" w:rsidRPr="00CA5619" w14:paraId="24D9431A"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1B2169E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Age-squared</w:t>
            </w:r>
          </w:p>
        </w:tc>
        <w:tc>
          <w:tcPr>
            <w:tcW w:w="855" w:type="dxa"/>
            <w:tcBorders>
              <w:top w:val="nil"/>
              <w:left w:val="nil"/>
              <w:bottom w:val="nil"/>
              <w:right w:val="nil"/>
            </w:tcBorders>
            <w:shd w:val="clear" w:color="auto" w:fill="F2F2F2" w:themeFill="background1" w:themeFillShade="F2"/>
          </w:tcPr>
          <w:p w14:paraId="6BE7FEE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3E2A00A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6C6753A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5300A00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5A082AA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0658F0A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1D161C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single" w:sz="4" w:space="0" w:color="auto"/>
            </w:tcBorders>
            <w:shd w:val="clear" w:color="auto" w:fill="F2F2F2" w:themeFill="background1" w:themeFillShade="F2"/>
          </w:tcPr>
          <w:p w14:paraId="745F8DA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top w:val="nil"/>
              <w:left w:val="single" w:sz="4" w:space="0" w:color="auto"/>
              <w:bottom w:val="nil"/>
              <w:right w:val="nil"/>
            </w:tcBorders>
            <w:shd w:val="clear" w:color="auto" w:fill="F2F2F2" w:themeFill="background1" w:themeFillShade="F2"/>
          </w:tcPr>
          <w:p w14:paraId="10CA214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tcBorders>
              <w:top w:val="nil"/>
              <w:left w:val="nil"/>
              <w:bottom w:val="nil"/>
              <w:right w:val="nil"/>
            </w:tcBorders>
            <w:shd w:val="clear" w:color="auto" w:fill="F2F2F2" w:themeFill="background1" w:themeFillShade="F2"/>
          </w:tcPr>
          <w:p w14:paraId="356C548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17F3727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717A4A1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7B7A3E6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1BB90FF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25A778F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02263B" w:rsidRPr="00CA5619" w14:paraId="2CD6CDA5"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3DEFF0F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38FC409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4046F3A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7CFDAE0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2B0AE98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5CAE0B4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1BF2985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44CA8E9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single" w:sz="4" w:space="0" w:color="auto"/>
            </w:tcBorders>
            <w:shd w:val="clear" w:color="auto" w:fill="F2F2F2" w:themeFill="background1" w:themeFillShade="F2"/>
          </w:tcPr>
          <w:p w14:paraId="29CCA93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top w:val="nil"/>
              <w:left w:val="single" w:sz="4" w:space="0" w:color="auto"/>
              <w:bottom w:val="nil"/>
              <w:right w:val="nil"/>
            </w:tcBorders>
            <w:shd w:val="clear" w:color="auto" w:fill="F2F2F2" w:themeFill="background1" w:themeFillShade="F2"/>
          </w:tcPr>
          <w:p w14:paraId="2B84A0F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tcBorders>
              <w:top w:val="nil"/>
              <w:left w:val="nil"/>
              <w:bottom w:val="nil"/>
              <w:right w:val="nil"/>
            </w:tcBorders>
            <w:shd w:val="clear" w:color="auto" w:fill="F2F2F2" w:themeFill="background1" w:themeFillShade="F2"/>
          </w:tcPr>
          <w:p w14:paraId="1A1ED7A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2C42F70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200CBD7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23CC340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6BF3B45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7F59A33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02263B" w:rsidRPr="00CA5619" w14:paraId="5FB8F5D4" w14:textId="77777777" w:rsidTr="00FF0E2C">
        <w:trPr>
          <w:gridAfter w:val="1"/>
          <w:wAfter w:w="851" w:type="dxa"/>
          <w:trHeight w:val="144"/>
        </w:trPr>
        <w:tc>
          <w:tcPr>
            <w:tcW w:w="1833" w:type="dxa"/>
            <w:vMerge w:val="restart"/>
            <w:tcBorders>
              <w:top w:val="nil"/>
              <w:left w:val="nil"/>
              <w:right w:val="nil"/>
            </w:tcBorders>
            <w:shd w:val="clear" w:color="auto" w:fill="F2F2F2" w:themeFill="background1" w:themeFillShade="F2"/>
          </w:tcPr>
          <w:p w14:paraId="479BFEFE"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sz w:val="18"/>
                <w:szCs w:val="18"/>
                <w:highlight w:val="yellow"/>
                <w:lang w:val="en-US" w:eastAsia="en-GB"/>
              </w:rPr>
              <w:t>Gender (Ref=</w:t>
            </w:r>
            <w:r w:rsidRPr="00CA5619">
              <w:rPr>
                <w:rFonts w:cs="Segoe UI"/>
                <w:i/>
                <w:sz w:val="18"/>
                <w:szCs w:val="18"/>
                <w:highlight w:val="yellow"/>
                <w:lang w:val="en-US" w:eastAsia="en-GB"/>
              </w:rPr>
              <w:t>Female)</w:t>
            </w:r>
          </w:p>
        </w:tc>
        <w:tc>
          <w:tcPr>
            <w:tcW w:w="855" w:type="dxa"/>
            <w:tcBorders>
              <w:top w:val="nil"/>
              <w:left w:val="nil"/>
              <w:bottom w:val="nil"/>
              <w:right w:val="nil"/>
            </w:tcBorders>
            <w:shd w:val="clear" w:color="auto" w:fill="F2F2F2" w:themeFill="background1" w:themeFillShade="F2"/>
          </w:tcPr>
          <w:p w14:paraId="46923E2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0.29***</w:t>
            </w:r>
          </w:p>
        </w:tc>
        <w:tc>
          <w:tcPr>
            <w:tcW w:w="850" w:type="dxa"/>
            <w:tcBorders>
              <w:top w:val="nil"/>
              <w:left w:val="nil"/>
              <w:bottom w:val="nil"/>
              <w:right w:val="nil"/>
            </w:tcBorders>
            <w:shd w:val="clear" w:color="auto" w:fill="F2F2F2" w:themeFill="background1" w:themeFillShade="F2"/>
          </w:tcPr>
          <w:p w14:paraId="7366220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0.29***</w:t>
            </w:r>
          </w:p>
        </w:tc>
        <w:tc>
          <w:tcPr>
            <w:tcW w:w="851" w:type="dxa"/>
            <w:tcBorders>
              <w:top w:val="nil"/>
              <w:left w:val="nil"/>
              <w:bottom w:val="nil"/>
              <w:right w:val="nil"/>
            </w:tcBorders>
            <w:shd w:val="clear" w:color="auto" w:fill="F2F2F2" w:themeFill="background1" w:themeFillShade="F2"/>
          </w:tcPr>
          <w:p w14:paraId="3034163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0.28***</w:t>
            </w:r>
          </w:p>
        </w:tc>
        <w:tc>
          <w:tcPr>
            <w:tcW w:w="850" w:type="dxa"/>
            <w:tcBorders>
              <w:top w:val="nil"/>
              <w:left w:val="nil"/>
              <w:bottom w:val="nil"/>
              <w:right w:val="nil"/>
            </w:tcBorders>
            <w:shd w:val="clear" w:color="auto" w:fill="F2F2F2" w:themeFill="background1" w:themeFillShade="F2"/>
          </w:tcPr>
          <w:p w14:paraId="59446A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0.27***</w:t>
            </w:r>
          </w:p>
        </w:tc>
        <w:tc>
          <w:tcPr>
            <w:tcW w:w="851" w:type="dxa"/>
            <w:tcBorders>
              <w:top w:val="nil"/>
              <w:left w:val="nil"/>
              <w:bottom w:val="nil"/>
              <w:right w:val="nil"/>
            </w:tcBorders>
            <w:shd w:val="clear" w:color="auto" w:fill="F2F2F2" w:themeFill="background1" w:themeFillShade="F2"/>
          </w:tcPr>
          <w:p w14:paraId="30A6936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0.28***</w:t>
            </w:r>
          </w:p>
        </w:tc>
        <w:tc>
          <w:tcPr>
            <w:tcW w:w="850" w:type="dxa"/>
            <w:tcBorders>
              <w:top w:val="nil"/>
              <w:left w:val="nil"/>
              <w:bottom w:val="nil"/>
              <w:right w:val="nil"/>
            </w:tcBorders>
            <w:shd w:val="clear" w:color="auto" w:fill="F2F2F2" w:themeFill="background1" w:themeFillShade="F2"/>
          </w:tcPr>
          <w:p w14:paraId="0170AB5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0.22***</w:t>
            </w:r>
          </w:p>
        </w:tc>
        <w:tc>
          <w:tcPr>
            <w:tcW w:w="851" w:type="dxa"/>
            <w:tcBorders>
              <w:top w:val="nil"/>
              <w:left w:val="nil"/>
              <w:bottom w:val="nil"/>
              <w:right w:val="nil"/>
            </w:tcBorders>
            <w:shd w:val="clear" w:color="auto" w:fill="F2F2F2" w:themeFill="background1" w:themeFillShade="F2"/>
          </w:tcPr>
          <w:p w14:paraId="5A6AA7F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0.26***</w:t>
            </w:r>
          </w:p>
        </w:tc>
        <w:tc>
          <w:tcPr>
            <w:tcW w:w="850" w:type="dxa"/>
            <w:tcBorders>
              <w:top w:val="nil"/>
              <w:left w:val="nil"/>
              <w:bottom w:val="nil"/>
              <w:right w:val="single" w:sz="4" w:space="0" w:color="auto"/>
            </w:tcBorders>
            <w:shd w:val="clear" w:color="auto" w:fill="F2F2F2" w:themeFill="background1" w:themeFillShade="F2"/>
          </w:tcPr>
          <w:p w14:paraId="48BA636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992" w:type="dxa"/>
            <w:tcBorders>
              <w:top w:val="nil"/>
              <w:left w:val="single" w:sz="4" w:space="0" w:color="auto"/>
              <w:bottom w:val="nil"/>
              <w:right w:val="nil"/>
            </w:tcBorders>
            <w:shd w:val="clear" w:color="auto" w:fill="F2F2F2" w:themeFill="background1" w:themeFillShade="F2"/>
          </w:tcPr>
          <w:p w14:paraId="3184665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0.18***</w:t>
            </w:r>
          </w:p>
        </w:tc>
        <w:tc>
          <w:tcPr>
            <w:tcW w:w="993" w:type="dxa"/>
            <w:tcBorders>
              <w:top w:val="nil"/>
              <w:left w:val="nil"/>
              <w:bottom w:val="nil"/>
              <w:right w:val="nil"/>
            </w:tcBorders>
            <w:shd w:val="clear" w:color="auto" w:fill="F2F2F2" w:themeFill="background1" w:themeFillShade="F2"/>
          </w:tcPr>
          <w:p w14:paraId="3F5633F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0" w:type="dxa"/>
            <w:tcBorders>
              <w:top w:val="nil"/>
              <w:left w:val="nil"/>
              <w:bottom w:val="nil"/>
              <w:right w:val="nil"/>
            </w:tcBorders>
            <w:shd w:val="clear" w:color="auto" w:fill="F2F2F2" w:themeFill="background1" w:themeFillShade="F2"/>
          </w:tcPr>
          <w:p w14:paraId="6913DB2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1" w:type="dxa"/>
            <w:tcBorders>
              <w:top w:val="nil"/>
              <w:left w:val="nil"/>
              <w:bottom w:val="nil"/>
              <w:right w:val="nil"/>
            </w:tcBorders>
            <w:shd w:val="clear" w:color="auto" w:fill="F2F2F2" w:themeFill="background1" w:themeFillShade="F2"/>
          </w:tcPr>
          <w:p w14:paraId="39CB33E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0" w:type="dxa"/>
            <w:tcBorders>
              <w:top w:val="nil"/>
              <w:left w:val="nil"/>
              <w:bottom w:val="nil"/>
              <w:right w:val="nil"/>
            </w:tcBorders>
            <w:shd w:val="clear" w:color="auto" w:fill="F2F2F2" w:themeFill="background1" w:themeFillShade="F2"/>
          </w:tcPr>
          <w:p w14:paraId="4392B20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1" w:type="dxa"/>
            <w:tcBorders>
              <w:top w:val="nil"/>
              <w:left w:val="nil"/>
              <w:bottom w:val="nil"/>
              <w:right w:val="nil"/>
            </w:tcBorders>
            <w:shd w:val="clear" w:color="auto" w:fill="F2F2F2" w:themeFill="background1" w:themeFillShade="F2"/>
          </w:tcPr>
          <w:p w14:paraId="6DC4AE9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1" w:type="dxa"/>
            <w:tcBorders>
              <w:top w:val="nil"/>
              <w:left w:val="nil"/>
              <w:bottom w:val="nil"/>
              <w:right w:val="nil"/>
            </w:tcBorders>
            <w:shd w:val="clear" w:color="auto" w:fill="F2F2F2" w:themeFill="background1" w:themeFillShade="F2"/>
          </w:tcPr>
          <w:p w14:paraId="2D6A3D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r>
      <w:tr w:rsidR="0002263B" w:rsidRPr="00CA5619" w14:paraId="2C2081CD" w14:textId="77777777" w:rsidTr="00FF0E2C">
        <w:trPr>
          <w:gridAfter w:val="1"/>
          <w:wAfter w:w="851" w:type="dxa"/>
          <w:trHeight w:val="144"/>
        </w:trPr>
        <w:tc>
          <w:tcPr>
            <w:tcW w:w="1833" w:type="dxa"/>
            <w:vMerge/>
            <w:tcBorders>
              <w:left w:val="nil"/>
              <w:bottom w:val="nil"/>
              <w:right w:val="nil"/>
            </w:tcBorders>
            <w:shd w:val="clear" w:color="auto" w:fill="F2F2F2" w:themeFill="background1" w:themeFillShade="F2"/>
          </w:tcPr>
          <w:p w14:paraId="55BBBF19"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1E9F104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top w:val="nil"/>
              <w:left w:val="nil"/>
              <w:bottom w:val="nil"/>
              <w:right w:val="nil"/>
            </w:tcBorders>
            <w:shd w:val="clear" w:color="auto" w:fill="F2F2F2" w:themeFill="background1" w:themeFillShade="F2"/>
          </w:tcPr>
          <w:p w14:paraId="57413B3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top w:val="nil"/>
              <w:left w:val="nil"/>
              <w:bottom w:val="nil"/>
              <w:right w:val="nil"/>
            </w:tcBorders>
            <w:shd w:val="clear" w:color="auto" w:fill="F2F2F2" w:themeFill="background1" w:themeFillShade="F2"/>
          </w:tcPr>
          <w:p w14:paraId="7C8A176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top w:val="nil"/>
              <w:left w:val="nil"/>
              <w:bottom w:val="nil"/>
              <w:right w:val="nil"/>
            </w:tcBorders>
            <w:shd w:val="clear" w:color="auto" w:fill="F2F2F2" w:themeFill="background1" w:themeFillShade="F2"/>
          </w:tcPr>
          <w:p w14:paraId="58B1BE5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top w:val="nil"/>
              <w:left w:val="nil"/>
              <w:bottom w:val="nil"/>
              <w:right w:val="nil"/>
            </w:tcBorders>
            <w:shd w:val="clear" w:color="auto" w:fill="F2F2F2" w:themeFill="background1" w:themeFillShade="F2"/>
          </w:tcPr>
          <w:p w14:paraId="35E0C2B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top w:val="nil"/>
              <w:left w:val="nil"/>
              <w:bottom w:val="nil"/>
              <w:right w:val="nil"/>
            </w:tcBorders>
            <w:shd w:val="clear" w:color="auto" w:fill="F2F2F2" w:themeFill="background1" w:themeFillShade="F2"/>
          </w:tcPr>
          <w:p w14:paraId="0A9B950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top w:val="nil"/>
              <w:left w:val="nil"/>
              <w:bottom w:val="nil"/>
              <w:right w:val="nil"/>
            </w:tcBorders>
            <w:shd w:val="clear" w:color="auto" w:fill="F2F2F2" w:themeFill="background1" w:themeFillShade="F2"/>
          </w:tcPr>
          <w:p w14:paraId="0DB18C4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top w:val="nil"/>
              <w:left w:val="nil"/>
              <w:bottom w:val="nil"/>
              <w:right w:val="single" w:sz="4" w:space="0" w:color="auto"/>
            </w:tcBorders>
            <w:shd w:val="clear" w:color="auto" w:fill="F2F2F2" w:themeFill="background1" w:themeFillShade="F2"/>
          </w:tcPr>
          <w:p w14:paraId="6F6066D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2" w:type="dxa"/>
            <w:tcBorders>
              <w:top w:val="nil"/>
              <w:left w:val="single" w:sz="4" w:space="0" w:color="auto"/>
              <w:bottom w:val="nil"/>
              <w:right w:val="nil"/>
            </w:tcBorders>
            <w:shd w:val="clear" w:color="auto" w:fill="F2F2F2" w:themeFill="background1" w:themeFillShade="F2"/>
          </w:tcPr>
          <w:p w14:paraId="60567CD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3" w:type="dxa"/>
            <w:tcBorders>
              <w:top w:val="nil"/>
              <w:left w:val="nil"/>
              <w:bottom w:val="nil"/>
              <w:right w:val="nil"/>
            </w:tcBorders>
            <w:shd w:val="clear" w:color="auto" w:fill="F2F2F2" w:themeFill="background1" w:themeFillShade="F2"/>
          </w:tcPr>
          <w:p w14:paraId="7100B8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top w:val="nil"/>
              <w:left w:val="nil"/>
              <w:bottom w:val="nil"/>
              <w:right w:val="nil"/>
            </w:tcBorders>
            <w:shd w:val="clear" w:color="auto" w:fill="F2F2F2" w:themeFill="background1" w:themeFillShade="F2"/>
          </w:tcPr>
          <w:p w14:paraId="43AB142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top w:val="nil"/>
              <w:left w:val="nil"/>
              <w:bottom w:val="nil"/>
              <w:right w:val="nil"/>
            </w:tcBorders>
            <w:shd w:val="clear" w:color="auto" w:fill="F2F2F2" w:themeFill="background1" w:themeFillShade="F2"/>
          </w:tcPr>
          <w:p w14:paraId="1531D0C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top w:val="nil"/>
              <w:left w:val="nil"/>
              <w:bottom w:val="nil"/>
              <w:right w:val="nil"/>
            </w:tcBorders>
            <w:shd w:val="clear" w:color="auto" w:fill="F2F2F2" w:themeFill="background1" w:themeFillShade="F2"/>
          </w:tcPr>
          <w:p w14:paraId="332402C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top w:val="nil"/>
              <w:left w:val="nil"/>
              <w:bottom w:val="nil"/>
              <w:right w:val="nil"/>
            </w:tcBorders>
            <w:shd w:val="clear" w:color="auto" w:fill="F2F2F2" w:themeFill="background1" w:themeFillShade="F2"/>
          </w:tcPr>
          <w:p w14:paraId="078AFF2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top w:val="nil"/>
              <w:left w:val="nil"/>
              <w:bottom w:val="nil"/>
              <w:right w:val="nil"/>
            </w:tcBorders>
            <w:shd w:val="clear" w:color="auto" w:fill="F2F2F2" w:themeFill="background1" w:themeFillShade="F2"/>
          </w:tcPr>
          <w:p w14:paraId="7A6C69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r>
      <w:tr w:rsidR="0002263B" w:rsidRPr="00CA5619" w14:paraId="1F6F700F" w14:textId="77777777" w:rsidTr="00FF0E2C">
        <w:trPr>
          <w:gridAfter w:val="1"/>
          <w:wAfter w:w="851" w:type="dxa"/>
          <w:trHeight w:val="144"/>
        </w:trPr>
        <w:tc>
          <w:tcPr>
            <w:tcW w:w="1833" w:type="dxa"/>
            <w:tcBorders>
              <w:top w:val="nil"/>
              <w:left w:val="nil"/>
              <w:bottom w:val="nil"/>
              <w:right w:val="nil"/>
            </w:tcBorders>
          </w:tcPr>
          <w:p w14:paraId="762053BC" w14:textId="77777777" w:rsidR="0002263B" w:rsidRPr="00CA5619" w:rsidRDefault="0002263B" w:rsidP="00223284">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Democratic Understanding</w:t>
            </w:r>
          </w:p>
        </w:tc>
        <w:tc>
          <w:tcPr>
            <w:tcW w:w="855" w:type="dxa"/>
            <w:tcBorders>
              <w:top w:val="nil"/>
              <w:left w:val="nil"/>
              <w:bottom w:val="nil"/>
              <w:right w:val="nil"/>
            </w:tcBorders>
          </w:tcPr>
          <w:p w14:paraId="5139515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1EF1CB1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3D085D49"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04EF9B0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771A34E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436C5CF5"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F36F12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tcPr>
          <w:p w14:paraId="69CE505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tcPr>
          <w:p w14:paraId="2AEC038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tcPr>
          <w:p w14:paraId="3B500C3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08F0657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0971E39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7134213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77EC331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3B71FFC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5EA162DD" w14:textId="77777777" w:rsidTr="00FF0E2C">
        <w:trPr>
          <w:gridAfter w:val="1"/>
          <w:wAfter w:w="851" w:type="dxa"/>
          <w:trHeight w:val="144"/>
        </w:trPr>
        <w:tc>
          <w:tcPr>
            <w:tcW w:w="1833" w:type="dxa"/>
            <w:tcBorders>
              <w:top w:val="nil"/>
              <w:left w:val="nil"/>
              <w:bottom w:val="nil"/>
              <w:right w:val="nil"/>
            </w:tcBorders>
          </w:tcPr>
          <w:p w14:paraId="112AAA59"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Compound</w:t>
            </w:r>
          </w:p>
        </w:tc>
        <w:tc>
          <w:tcPr>
            <w:tcW w:w="855" w:type="dxa"/>
            <w:tcBorders>
              <w:top w:val="nil"/>
              <w:left w:val="nil"/>
              <w:bottom w:val="nil"/>
              <w:right w:val="nil"/>
            </w:tcBorders>
          </w:tcPr>
          <w:p w14:paraId="2CD5C2F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tcBorders>
              <w:top w:val="nil"/>
              <w:left w:val="nil"/>
              <w:bottom w:val="nil"/>
              <w:right w:val="nil"/>
            </w:tcBorders>
          </w:tcPr>
          <w:p w14:paraId="1FA5652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tcPr>
          <w:p w14:paraId="2725964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top w:val="nil"/>
              <w:left w:val="nil"/>
              <w:bottom w:val="nil"/>
              <w:right w:val="nil"/>
            </w:tcBorders>
          </w:tcPr>
          <w:p w14:paraId="6803F6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tcPr>
          <w:p w14:paraId="7B1CB62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tcBorders>
              <w:top w:val="nil"/>
              <w:left w:val="nil"/>
              <w:bottom w:val="nil"/>
              <w:right w:val="nil"/>
            </w:tcBorders>
          </w:tcPr>
          <w:p w14:paraId="1784D0A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tcBorders>
              <w:top w:val="nil"/>
              <w:left w:val="nil"/>
              <w:bottom w:val="nil"/>
              <w:right w:val="nil"/>
            </w:tcBorders>
          </w:tcPr>
          <w:p w14:paraId="5D468D3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single" w:sz="4" w:space="0" w:color="auto"/>
            </w:tcBorders>
          </w:tcPr>
          <w:p w14:paraId="76A5117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top w:val="nil"/>
              <w:left w:val="single" w:sz="4" w:space="0" w:color="auto"/>
              <w:bottom w:val="nil"/>
              <w:right w:val="nil"/>
            </w:tcBorders>
          </w:tcPr>
          <w:p w14:paraId="359BAD7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993" w:type="dxa"/>
            <w:tcBorders>
              <w:top w:val="nil"/>
              <w:left w:val="nil"/>
              <w:bottom w:val="nil"/>
              <w:right w:val="nil"/>
            </w:tcBorders>
          </w:tcPr>
          <w:p w14:paraId="305A80B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tcBorders>
              <w:top w:val="nil"/>
              <w:left w:val="nil"/>
              <w:bottom w:val="nil"/>
              <w:right w:val="nil"/>
            </w:tcBorders>
          </w:tcPr>
          <w:p w14:paraId="1B0938E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tcBorders>
              <w:top w:val="nil"/>
              <w:left w:val="nil"/>
              <w:bottom w:val="nil"/>
              <w:right w:val="nil"/>
            </w:tcBorders>
          </w:tcPr>
          <w:p w14:paraId="4BD823B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tcBorders>
              <w:top w:val="nil"/>
              <w:left w:val="nil"/>
              <w:bottom w:val="nil"/>
              <w:right w:val="nil"/>
            </w:tcBorders>
          </w:tcPr>
          <w:p w14:paraId="3DDF40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tcBorders>
              <w:top w:val="nil"/>
              <w:left w:val="nil"/>
              <w:bottom w:val="nil"/>
              <w:right w:val="nil"/>
            </w:tcBorders>
          </w:tcPr>
          <w:p w14:paraId="38AA313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tcBorders>
              <w:top w:val="nil"/>
              <w:left w:val="nil"/>
              <w:bottom w:val="nil"/>
              <w:right w:val="nil"/>
            </w:tcBorders>
          </w:tcPr>
          <w:p w14:paraId="742F88D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r>
      <w:tr w:rsidR="0002263B" w:rsidRPr="00CA5619" w14:paraId="26A1DB13" w14:textId="77777777" w:rsidTr="00FF0E2C">
        <w:trPr>
          <w:gridAfter w:val="1"/>
          <w:wAfter w:w="851" w:type="dxa"/>
          <w:trHeight w:val="144"/>
        </w:trPr>
        <w:tc>
          <w:tcPr>
            <w:tcW w:w="1833" w:type="dxa"/>
            <w:tcBorders>
              <w:top w:val="nil"/>
              <w:left w:val="nil"/>
              <w:bottom w:val="nil"/>
              <w:right w:val="nil"/>
            </w:tcBorders>
          </w:tcPr>
          <w:p w14:paraId="705AB27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627E6F6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278598E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4B482D9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2B08BE0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096E449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664B3ED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6FB65E9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single" w:sz="4" w:space="0" w:color="auto"/>
            </w:tcBorders>
          </w:tcPr>
          <w:p w14:paraId="4258F38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tcPr>
          <w:p w14:paraId="6983159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tcPr>
          <w:p w14:paraId="64E0781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126B8DE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432EB8D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7275201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125CD6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0EB0907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54079F5C" w14:textId="77777777" w:rsidTr="00FF0E2C">
        <w:trPr>
          <w:gridAfter w:val="1"/>
          <w:wAfter w:w="851" w:type="dxa"/>
          <w:trHeight w:val="144"/>
        </w:trPr>
        <w:tc>
          <w:tcPr>
            <w:tcW w:w="1833" w:type="dxa"/>
            <w:tcBorders>
              <w:top w:val="nil"/>
              <w:left w:val="nil"/>
              <w:bottom w:val="nil"/>
              <w:right w:val="nil"/>
            </w:tcBorders>
          </w:tcPr>
          <w:p w14:paraId="2A5E3F3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Authoritarian</w:t>
            </w:r>
          </w:p>
        </w:tc>
        <w:tc>
          <w:tcPr>
            <w:tcW w:w="855" w:type="dxa"/>
            <w:tcBorders>
              <w:top w:val="nil"/>
              <w:left w:val="nil"/>
              <w:bottom w:val="nil"/>
              <w:right w:val="nil"/>
            </w:tcBorders>
          </w:tcPr>
          <w:p w14:paraId="7CAB2C1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0" w:type="dxa"/>
            <w:tcBorders>
              <w:top w:val="nil"/>
              <w:left w:val="nil"/>
              <w:bottom w:val="nil"/>
              <w:right w:val="nil"/>
            </w:tcBorders>
          </w:tcPr>
          <w:p w14:paraId="4DC760C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-0.18***</w:t>
            </w:r>
          </w:p>
        </w:tc>
        <w:tc>
          <w:tcPr>
            <w:tcW w:w="851" w:type="dxa"/>
            <w:tcBorders>
              <w:top w:val="nil"/>
              <w:left w:val="nil"/>
              <w:bottom w:val="nil"/>
              <w:right w:val="nil"/>
            </w:tcBorders>
          </w:tcPr>
          <w:p w14:paraId="74D84D7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-0.18***</w:t>
            </w:r>
          </w:p>
        </w:tc>
        <w:tc>
          <w:tcPr>
            <w:tcW w:w="850" w:type="dxa"/>
            <w:tcBorders>
              <w:top w:val="nil"/>
              <w:left w:val="nil"/>
              <w:bottom w:val="nil"/>
              <w:right w:val="nil"/>
            </w:tcBorders>
          </w:tcPr>
          <w:p w14:paraId="2921B22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tcBorders>
              <w:top w:val="nil"/>
              <w:left w:val="nil"/>
              <w:bottom w:val="nil"/>
              <w:right w:val="nil"/>
            </w:tcBorders>
          </w:tcPr>
          <w:p w14:paraId="0CBBE12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0" w:type="dxa"/>
            <w:tcBorders>
              <w:top w:val="nil"/>
              <w:left w:val="nil"/>
              <w:bottom w:val="nil"/>
              <w:right w:val="nil"/>
            </w:tcBorders>
          </w:tcPr>
          <w:p w14:paraId="1EB85E7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1" w:type="dxa"/>
            <w:tcBorders>
              <w:top w:val="nil"/>
              <w:left w:val="nil"/>
              <w:bottom w:val="nil"/>
              <w:right w:val="nil"/>
            </w:tcBorders>
          </w:tcPr>
          <w:p w14:paraId="220DE7C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0" w:type="dxa"/>
            <w:tcBorders>
              <w:top w:val="nil"/>
              <w:left w:val="nil"/>
              <w:bottom w:val="nil"/>
              <w:right w:val="single" w:sz="4" w:space="0" w:color="auto"/>
            </w:tcBorders>
          </w:tcPr>
          <w:p w14:paraId="0A80CB1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992" w:type="dxa"/>
            <w:tcBorders>
              <w:top w:val="nil"/>
              <w:left w:val="single" w:sz="4" w:space="0" w:color="auto"/>
              <w:bottom w:val="nil"/>
              <w:right w:val="nil"/>
            </w:tcBorders>
          </w:tcPr>
          <w:p w14:paraId="09FC852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tcBorders>
              <w:top w:val="nil"/>
              <w:left w:val="nil"/>
              <w:bottom w:val="nil"/>
              <w:right w:val="nil"/>
            </w:tcBorders>
          </w:tcPr>
          <w:p w14:paraId="378DFC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nil"/>
            </w:tcBorders>
          </w:tcPr>
          <w:p w14:paraId="5D14A72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tcPr>
          <w:p w14:paraId="7C5C8DA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tcBorders>
              <w:top w:val="nil"/>
              <w:left w:val="nil"/>
              <w:bottom w:val="nil"/>
              <w:right w:val="nil"/>
            </w:tcBorders>
          </w:tcPr>
          <w:p w14:paraId="05B42D3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tcPr>
          <w:p w14:paraId="6C38860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tcPr>
          <w:p w14:paraId="4F7B9B7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02263B" w:rsidRPr="00CA5619" w14:paraId="09BE498D" w14:textId="77777777" w:rsidTr="00FF0E2C">
        <w:trPr>
          <w:gridAfter w:val="1"/>
          <w:wAfter w:w="851" w:type="dxa"/>
          <w:trHeight w:val="144"/>
        </w:trPr>
        <w:tc>
          <w:tcPr>
            <w:tcW w:w="1833" w:type="dxa"/>
            <w:tcBorders>
              <w:top w:val="nil"/>
              <w:left w:val="nil"/>
              <w:bottom w:val="nil"/>
              <w:right w:val="nil"/>
            </w:tcBorders>
          </w:tcPr>
          <w:p w14:paraId="43796DA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24717D3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tcPr>
          <w:p w14:paraId="30DD41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332C96F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50A909E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7FEEB4C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0399C4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3D041D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single" w:sz="4" w:space="0" w:color="auto"/>
            </w:tcBorders>
          </w:tcPr>
          <w:p w14:paraId="61E47A8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tcPr>
          <w:p w14:paraId="153E1E7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tcPr>
          <w:p w14:paraId="0B2340E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627E967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2D5E5EC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1867613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510A7D0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1A6AAEB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6514B84A" w14:textId="77777777" w:rsidTr="00FF0E2C">
        <w:trPr>
          <w:gridAfter w:val="1"/>
          <w:wAfter w:w="851" w:type="dxa"/>
          <w:trHeight w:val="144"/>
        </w:trPr>
        <w:tc>
          <w:tcPr>
            <w:tcW w:w="1833" w:type="dxa"/>
            <w:tcBorders>
              <w:top w:val="nil"/>
              <w:left w:val="nil"/>
              <w:bottom w:val="nil"/>
              <w:right w:val="nil"/>
            </w:tcBorders>
          </w:tcPr>
          <w:p w14:paraId="6418653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Importance of democracy</w:t>
            </w:r>
          </w:p>
        </w:tc>
        <w:tc>
          <w:tcPr>
            <w:tcW w:w="855" w:type="dxa"/>
            <w:tcBorders>
              <w:top w:val="nil"/>
              <w:left w:val="nil"/>
              <w:bottom w:val="nil"/>
              <w:right w:val="nil"/>
            </w:tcBorders>
          </w:tcPr>
          <w:p w14:paraId="16F0A5C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914D49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1F2C135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78EE1D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61F4B34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038FD28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3F8BCC3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712772D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116E6A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53F0893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4DCC4E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31DC4C5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6B68FE0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single" w:sz="4" w:space="0" w:color="auto"/>
            </w:tcBorders>
          </w:tcPr>
          <w:p w14:paraId="35E6C96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71CA6E4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tcPr>
          <w:p w14:paraId="7DF59A8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5235BC8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tcPr>
          <w:p w14:paraId="728F5E2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011B5A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11718EE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4C845D1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0CF4BF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246ADA9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3250C54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5FACCFE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03B13A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41286D9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4700DB0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06E0471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1FD79446" w14:textId="77777777" w:rsidTr="00FF0E2C">
        <w:trPr>
          <w:gridAfter w:val="1"/>
          <w:wAfter w:w="851" w:type="dxa"/>
          <w:trHeight w:val="144"/>
        </w:trPr>
        <w:tc>
          <w:tcPr>
            <w:tcW w:w="1833" w:type="dxa"/>
            <w:tcBorders>
              <w:top w:val="nil"/>
              <w:left w:val="nil"/>
              <w:bottom w:val="nil"/>
              <w:right w:val="nil"/>
            </w:tcBorders>
          </w:tcPr>
          <w:p w14:paraId="66EED4C9"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V/Good System of Democracy (Ref =</w:t>
            </w:r>
            <w:r w:rsidRPr="00CA5619">
              <w:rPr>
                <w:rFonts w:cs="Segoe UI"/>
                <w:i/>
                <w:sz w:val="18"/>
                <w:szCs w:val="18"/>
                <w:highlight w:val="yellow"/>
                <w:lang w:val="en-US" w:eastAsia="en-GB"/>
              </w:rPr>
              <w:t xml:space="preserve"> V/Bad</w:t>
            </w:r>
            <w:r w:rsidRPr="00CA5619">
              <w:rPr>
                <w:rFonts w:cs="Segoe UI"/>
                <w:sz w:val="18"/>
                <w:szCs w:val="18"/>
                <w:highlight w:val="yellow"/>
                <w:lang w:val="en-US" w:eastAsia="en-GB"/>
              </w:rPr>
              <w:t>)</w:t>
            </w:r>
          </w:p>
        </w:tc>
        <w:tc>
          <w:tcPr>
            <w:tcW w:w="855" w:type="dxa"/>
            <w:tcBorders>
              <w:top w:val="nil"/>
              <w:left w:val="nil"/>
              <w:bottom w:val="nil"/>
              <w:right w:val="nil"/>
            </w:tcBorders>
          </w:tcPr>
          <w:p w14:paraId="7365FE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AD0538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1521200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tcPr>
          <w:p w14:paraId="32D5CEE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4F6E8B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nil"/>
            </w:tcBorders>
          </w:tcPr>
          <w:p w14:paraId="5EFD6B9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3B152AF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tcPr>
          <w:p w14:paraId="361D240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16FC47D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nil"/>
            </w:tcBorders>
          </w:tcPr>
          <w:p w14:paraId="675D8D8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0B0C30C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tcPr>
          <w:p w14:paraId="6DB7A12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38AF0A3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single" w:sz="4" w:space="0" w:color="auto"/>
            </w:tcBorders>
          </w:tcPr>
          <w:p w14:paraId="2E28F71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p w14:paraId="749B1B6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top w:val="nil"/>
              <w:left w:val="single" w:sz="4" w:space="0" w:color="auto"/>
              <w:bottom w:val="nil"/>
              <w:right w:val="nil"/>
            </w:tcBorders>
          </w:tcPr>
          <w:p w14:paraId="7D76D1D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p w14:paraId="525C67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tcBorders>
              <w:top w:val="nil"/>
              <w:left w:val="nil"/>
              <w:bottom w:val="nil"/>
              <w:right w:val="nil"/>
            </w:tcBorders>
          </w:tcPr>
          <w:p w14:paraId="3DF3616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p w14:paraId="3CED100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nil"/>
            </w:tcBorders>
          </w:tcPr>
          <w:p w14:paraId="6D8D95D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p w14:paraId="6BB95D9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tcPr>
          <w:p w14:paraId="41498FC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p w14:paraId="3E1D983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nil"/>
            </w:tcBorders>
          </w:tcPr>
          <w:p w14:paraId="106638E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p w14:paraId="3CA28AA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tcPr>
          <w:p w14:paraId="42AD149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p w14:paraId="04FC818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tcPr>
          <w:p w14:paraId="6601341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p w14:paraId="5738245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02263B" w:rsidRPr="00CA5619" w14:paraId="55D120BC"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2C5FF369" w14:textId="77777777" w:rsidR="0002263B" w:rsidRPr="00CA5619" w:rsidRDefault="0002263B" w:rsidP="00223284">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Grievance Theory</w:t>
            </w:r>
          </w:p>
        </w:tc>
        <w:tc>
          <w:tcPr>
            <w:tcW w:w="855" w:type="dxa"/>
            <w:tcBorders>
              <w:top w:val="nil"/>
              <w:left w:val="nil"/>
              <w:bottom w:val="nil"/>
              <w:right w:val="nil"/>
            </w:tcBorders>
            <w:shd w:val="clear" w:color="auto" w:fill="F2F2F2" w:themeFill="background1" w:themeFillShade="F2"/>
          </w:tcPr>
          <w:p w14:paraId="7809BC8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892D93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4A4002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2A6A49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E053F8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A63C00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FCA315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6AD3D95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shd w:val="clear" w:color="auto" w:fill="F2F2F2" w:themeFill="background1" w:themeFillShade="F2"/>
          </w:tcPr>
          <w:p w14:paraId="5C46507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shd w:val="clear" w:color="auto" w:fill="F2F2F2" w:themeFill="background1" w:themeFillShade="F2"/>
          </w:tcPr>
          <w:p w14:paraId="108A18B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CE1CC8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D70913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280B97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F57B7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32FA4C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56041671" w14:textId="77777777" w:rsidTr="00FF0E2C">
        <w:trPr>
          <w:trHeight w:val="144"/>
        </w:trPr>
        <w:tc>
          <w:tcPr>
            <w:tcW w:w="2688" w:type="dxa"/>
            <w:gridSpan w:val="2"/>
            <w:tcBorders>
              <w:top w:val="nil"/>
              <w:left w:val="nil"/>
              <w:bottom w:val="nil"/>
              <w:right w:val="nil"/>
            </w:tcBorders>
            <w:shd w:val="clear" w:color="auto" w:fill="F2F2F2" w:themeFill="background1" w:themeFillShade="F2"/>
          </w:tcPr>
          <w:p w14:paraId="52E1C03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Satisfaction income (1-10)</w:t>
            </w:r>
          </w:p>
        </w:tc>
        <w:tc>
          <w:tcPr>
            <w:tcW w:w="850" w:type="dxa"/>
            <w:tcBorders>
              <w:top w:val="nil"/>
              <w:left w:val="nil"/>
              <w:bottom w:val="nil"/>
              <w:right w:val="nil"/>
            </w:tcBorders>
            <w:shd w:val="clear" w:color="auto" w:fill="F2F2F2" w:themeFill="background1" w:themeFillShade="F2"/>
          </w:tcPr>
          <w:p w14:paraId="3997C86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EEF3F9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0B67D54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296DF8E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AF3B12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1DF23B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8691BF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1361898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1FE6A50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shd w:val="clear" w:color="auto" w:fill="F2F2F2" w:themeFill="background1" w:themeFillShade="F2"/>
          </w:tcPr>
          <w:p w14:paraId="6E55462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871D6E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shd w:val="clear" w:color="auto" w:fill="F2F2F2" w:themeFill="background1" w:themeFillShade="F2"/>
          </w:tcPr>
          <w:p w14:paraId="224E62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42DD78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5DB32A9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D75D20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6C08057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0AC7017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0F90450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2CB47DE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234FADE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2CFA2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3288C7D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466FA9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3DA74B6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5030612F"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75DDC21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Income (1-10)</w:t>
            </w:r>
          </w:p>
        </w:tc>
        <w:tc>
          <w:tcPr>
            <w:tcW w:w="855" w:type="dxa"/>
            <w:tcBorders>
              <w:top w:val="nil"/>
              <w:left w:val="nil"/>
              <w:bottom w:val="nil"/>
              <w:right w:val="nil"/>
            </w:tcBorders>
            <w:shd w:val="clear" w:color="auto" w:fill="F2F2F2" w:themeFill="background1" w:themeFillShade="F2"/>
          </w:tcPr>
          <w:p w14:paraId="576BF2C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34D910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1C1F0D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7840670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59BC6C7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C9A595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86324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E89471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03780D6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2FA7D58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shd w:val="clear" w:color="auto" w:fill="F2F2F2" w:themeFill="background1" w:themeFillShade="F2"/>
          </w:tcPr>
          <w:p w14:paraId="54B882F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4584805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shd w:val="clear" w:color="auto" w:fill="F2F2F2" w:themeFill="background1" w:themeFillShade="F2"/>
          </w:tcPr>
          <w:p w14:paraId="073D52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569A212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71F6884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19D6944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5802960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76431DA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07D6757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4964A38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34E166D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46329A1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1E4F7F9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6ADD8B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7BBD8988" w14:textId="77777777" w:rsidTr="00FF0E2C">
        <w:trPr>
          <w:trHeight w:val="144"/>
        </w:trPr>
        <w:tc>
          <w:tcPr>
            <w:tcW w:w="2688" w:type="dxa"/>
            <w:gridSpan w:val="2"/>
            <w:tcBorders>
              <w:top w:val="nil"/>
              <w:left w:val="nil"/>
              <w:bottom w:val="nil"/>
              <w:right w:val="nil"/>
            </w:tcBorders>
            <w:shd w:val="clear" w:color="auto" w:fill="F2F2F2" w:themeFill="background1" w:themeFillShade="F2"/>
          </w:tcPr>
          <w:p w14:paraId="6B0D386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Satisfaction x Income</w:t>
            </w:r>
          </w:p>
        </w:tc>
        <w:tc>
          <w:tcPr>
            <w:tcW w:w="850" w:type="dxa"/>
            <w:tcBorders>
              <w:top w:val="nil"/>
              <w:left w:val="nil"/>
              <w:bottom w:val="nil"/>
              <w:right w:val="nil"/>
            </w:tcBorders>
            <w:shd w:val="clear" w:color="auto" w:fill="F2F2F2" w:themeFill="background1" w:themeFillShade="F2"/>
          </w:tcPr>
          <w:p w14:paraId="753938E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F4806F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p w14:paraId="793F71D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11FE3B1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12DA50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F20651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8D4018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484A378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p w14:paraId="62423B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top w:val="nil"/>
              <w:left w:val="single" w:sz="4" w:space="0" w:color="auto"/>
              <w:bottom w:val="nil"/>
              <w:right w:val="nil"/>
            </w:tcBorders>
            <w:shd w:val="clear" w:color="auto" w:fill="F2F2F2" w:themeFill="background1" w:themeFillShade="F2"/>
          </w:tcPr>
          <w:p w14:paraId="21E99DF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A5EC26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tcBorders>
              <w:top w:val="nil"/>
              <w:left w:val="nil"/>
              <w:bottom w:val="nil"/>
              <w:right w:val="nil"/>
            </w:tcBorders>
            <w:shd w:val="clear" w:color="auto" w:fill="F2F2F2" w:themeFill="background1" w:themeFillShade="F2"/>
          </w:tcPr>
          <w:p w14:paraId="4055054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8B7FA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6519FF5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1669E8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48DC71A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C0171A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top w:val="nil"/>
              <w:left w:val="nil"/>
              <w:bottom w:val="nil"/>
              <w:right w:val="nil"/>
            </w:tcBorders>
            <w:shd w:val="clear" w:color="auto" w:fill="F2F2F2" w:themeFill="background1" w:themeFillShade="F2"/>
          </w:tcPr>
          <w:p w14:paraId="6E7301C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D17A91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1FBE14E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A346A9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shd w:val="clear" w:color="auto" w:fill="F2F2F2" w:themeFill="background1" w:themeFillShade="F2"/>
          </w:tcPr>
          <w:p w14:paraId="27EABF3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73B63A9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Pr>
          <w:p w14:paraId="30F32AC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30CBAB49" w14:textId="77777777" w:rsidTr="00FF0E2C">
        <w:trPr>
          <w:gridAfter w:val="1"/>
          <w:wAfter w:w="851" w:type="dxa"/>
          <w:trHeight w:val="144"/>
        </w:trPr>
        <w:tc>
          <w:tcPr>
            <w:tcW w:w="1833" w:type="dxa"/>
            <w:tcBorders>
              <w:top w:val="nil"/>
              <w:left w:val="nil"/>
              <w:bottom w:val="nil"/>
              <w:right w:val="nil"/>
            </w:tcBorders>
          </w:tcPr>
          <w:p w14:paraId="315213CE" w14:textId="77777777" w:rsidR="0002263B" w:rsidRPr="00CA5619" w:rsidRDefault="0002263B" w:rsidP="00223284">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Resource Theory</w:t>
            </w:r>
          </w:p>
        </w:tc>
        <w:tc>
          <w:tcPr>
            <w:tcW w:w="855" w:type="dxa"/>
            <w:tcBorders>
              <w:top w:val="nil"/>
              <w:left w:val="nil"/>
              <w:bottom w:val="nil"/>
              <w:right w:val="nil"/>
            </w:tcBorders>
          </w:tcPr>
          <w:p w14:paraId="34CE80C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713036C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61B339C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33BB6E8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388B89C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5C31909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748540B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tcPr>
          <w:p w14:paraId="371034A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tcPr>
          <w:p w14:paraId="03C0968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tcPr>
          <w:p w14:paraId="0E5A904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435ED81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89445A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5B407E4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5438E0C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514FA1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24D8F40B" w14:textId="77777777" w:rsidTr="00FF0E2C">
        <w:trPr>
          <w:trHeight w:val="144"/>
        </w:trPr>
        <w:tc>
          <w:tcPr>
            <w:tcW w:w="2688" w:type="dxa"/>
            <w:gridSpan w:val="2"/>
            <w:tcBorders>
              <w:top w:val="nil"/>
              <w:left w:val="nil"/>
              <w:bottom w:val="nil"/>
              <w:right w:val="nil"/>
            </w:tcBorders>
          </w:tcPr>
          <w:p w14:paraId="1076E25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Education (Ref=</w:t>
            </w:r>
            <w:r w:rsidRPr="00CA5619">
              <w:rPr>
                <w:rFonts w:cs="Segoe UI"/>
                <w:i/>
                <w:sz w:val="18"/>
                <w:szCs w:val="18"/>
                <w:highlight w:val="yellow"/>
                <w:lang w:val="en-US" w:eastAsia="en-GB"/>
              </w:rPr>
              <w:t>Lower</w:t>
            </w:r>
            <w:r w:rsidRPr="00CA5619">
              <w:rPr>
                <w:rFonts w:cs="Segoe UI"/>
                <w:sz w:val="18"/>
                <w:szCs w:val="18"/>
                <w:highlight w:val="yellow"/>
                <w:lang w:val="en-US" w:eastAsia="en-GB"/>
              </w:rPr>
              <w:t>)</w:t>
            </w:r>
          </w:p>
        </w:tc>
        <w:tc>
          <w:tcPr>
            <w:tcW w:w="850" w:type="dxa"/>
            <w:tcBorders>
              <w:top w:val="nil"/>
              <w:left w:val="nil"/>
              <w:bottom w:val="nil"/>
              <w:right w:val="nil"/>
            </w:tcBorders>
          </w:tcPr>
          <w:p w14:paraId="3BD50C4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7743D06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7F9E375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73BDC24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51D2BDC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CC7B77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34D5215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6F6D2F1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4AB57F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FE1419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F9DA2B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D78C33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CE5E26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4A2A956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EB36FE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7D4CD2CD" w14:textId="77777777" w:rsidTr="00FF0E2C">
        <w:trPr>
          <w:gridAfter w:val="1"/>
          <w:wAfter w:w="851" w:type="dxa"/>
          <w:trHeight w:val="144"/>
        </w:trPr>
        <w:tc>
          <w:tcPr>
            <w:tcW w:w="1833" w:type="dxa"/>
            <w:tcBorders>
              <w:top w:val="nil"/>
              <w:left w:val="nil"/>
              <w:bottom w:val="nil"/>
              <w:right w:val="nil"/>
            </w:tcBorders>
          </w:tcPr>
          <w:p w14:paraId="32171EE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i/>
                <w:sz w:val="18"/>
                <w:szCs w:val="18"/>
                <w:highlight w:val="yellow"/>
                <w:lang w:val="en-US" w:eastAsia="en-GB"/>
              </w:rPr>
              <w:t>Middle</w:t>
            </w:r>
          </w:p>
        </w:tc>
        <w:tc>
          <w:tcPr>
            <w:tcW w:w="855" w:type="dxa"/>
            <w:tcBorders>
              <w:top w:val="nil"/>
              <w:left w:val="nil"/>
              <w:bottom w:val="nil"/>
              <w:right w:val="nil"/>
            </w:tcBorders>
          </w:tcPr>
          <w:p w14:paraId="3C08E2F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BF7611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C5571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4EC240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0.40***</w:t>
            </w:r>
          </w:p>
        </w:tc>
        <w:tc>
          <w:tcPr>
            <w:tcW w:w="851" w:type="dxa"/>
            <w:tcBorders>
              <w:top w:val="nil"/>
              <w:left w:val="nil"/>
              <w:bottom w:val="nil"/>
              <w:right w:val="nil"/>
            </w:tcBorders>
          </w:tcPr>
          <w:p w14:paraId="42300A4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4807DDF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70DA930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0C479F5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992" w:type="dxa"/>
            <w:tcBorders>
              <w:top w:val="nil"/>
              <w:left w:val="single" w:sz="4" w:space="0" w:color="auto"/>
              <w:bottom w:val="nil"/>
              <w:right w:val="nil"/>
            </w:tcBorders>
          </w:tcPr>
          <w:p w14:paraId="32B92CD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993" w:type="dxa"/>
            <w:tcBorders>
              <w:top w:val="nil"/>
              <w:left w:val="nil"/>
              <w:bottom w:val="nil"/>
              <w:right w:val="nil"/>
            </w:tcBorders>
          </w:tcPr>
          <w:p w14:paraId="04FB0D1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0" w:type="dxa"/>
            <w:tcBorders>
              <w:top w:val="nil"/>
              <w:left w:val="nil"/>
              <w:bottom w:val="nil"/>
              <w:right w:val="nil"/>
            </w:tcBorders>
          </w:tcPr>
          <w:p w14:paraId="2E31763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1" w:type="dxa"/>
            <w:tcBorders>
              <w:top w:val="nil"/>
              <w:left w:val="nil"/>
              <w:bottom w:val="nil"/>
              <w:right w:val="nil"/>
            </w:tcBorders>
          </w:tcPr>
          <w:p w14:paraId="3A91979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0" w:type="dxa"/>
            <w:tcBorders>
              <w:top w:val="nil"/>
              <w:left w:val="nil"/>
              <w:bottom w:val="nil"/>
              <w:right w:val="nil"/>
            </w:tcBorders>
          </w:tcPr>
          <w:p w14:paraId="7E7153B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1" w:type="dxa"/>
            <w:tcBorders>
              <w:top w:val="nil"/>
              <w:left w:val="nil"/>
              <w:bottom w:val="nil"/>
              <w:right w:val="nil"/>
            </w:tcBorders>
          </w:tcPr>
          <w:p w14:paraId="5CA6A2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1" w:type="dxa"/>
            <w:tcBorders>
              <w:top w:val="nil"/>
              <w:left w:val="nil"/>
              <w:bottom w:val="nil"/>
              <w:right w:val="nil"/>
            </w:tcBorders>
          </w:tcPr>
          <w:p w14:paraId="7FBC7E7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r>
      <w:tr w:rsidR="0002263B" w:rsidRPr="00CA5619" w14:paraId="47C2B5D1" w14:textId="77777777" w:rsidTr="00FF0E2C">
        <w:trPr>
          <w:gridAfter w:val="1"/>
          <w:wAfter w:w="851" w:type="dxa"/>
          <w:trHeight w:val="144"/>
        </w:trPr>
        <w:tc>
          <w:tcPr>
            <w:tcW w:w="1833" w:type="dxa"/>
            <w:tcBorders>
              <w:top w:val="nil"/>
              <w:left w:val="nil"/>
              <w:bottom w:val="nil"/>
              <w:right w:val="nil"/>
            </w:tcBorders>
          </w:tcPr>
          <w:p w14:paraId="0740039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3DD5F70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5473364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2F59D4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3A0819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3F97756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0801F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3E54A3D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501DDDB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top w:val="nil"/>
              <w:left w:val="single" w:sz="4" w:space="0" w:color="auto"/>
              <w:bottom w:val="nil"/>
              <w:right w:val="nil"/>
            </w:tcBorders>
          </w:tcPr>
          <w:p w14:paraId="24CFD6A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top w:val="nil"/>
              <w:left w:val="nil"/>
              <w:bottom w:val="nil"/>
              <w:right w:val="nil"/>
            </w:tcBorders>
          </w:tcPr>
          <w:p w14:paraId="546A935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tcPr>
          <w:p w14:paraId="17A3662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7293593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tcPr>
          <w:p w14:paraId="19D335E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56C8AAE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6B521A2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02263B" w:rsidRPr="00CA5619" w14:paraId="76DD1D1B" w14:textId="77777777" w:rsidTr="00FF0E2C">
        <w:trPr>
          <w:gridAfter w:val="1"/>
          <w:wAfter w:w="851" w:type="dxa"/>
          <w:trHeight w:val="144"/>
        </w:trPr>
        <w:tc>
          <w:tcPr>
            <w:tcW w:w="1833" w:type="dxa"/>
            <w:tcBorders>
              <w:top w:val="nil"/>
              <w:left w:val="nil"/>
              <w:bottom w:val="nil"/>
              <w:right w:val="nil"/>
            </w:tcBorders>
          </w:tcPr>
          <w:p w14:paraId="13C5F6CF"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Higher</w:t>
            </w:r>
          </w:p>
        </w:tc>
        <w:tc>
          <w:tcPr>
            <w:tcW w:w="855" w:type="dxa"/>
            <w:tcBorders>
              <w:top w:val="nil"/>
              <w:left w:val="nil"/>
              <w:bottom w:val="nil"/>
              <w:right w:val="nil"/>
            </w:tcBorders>
          </w:tcPr>
          <w:p w14:paraId="2C9A1B8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F1F941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981F69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9DE322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0.87***</w:t>
            </w:r>
          </w:p>
        </w:tc>
        <w:tc>
          <w:tcPr>
            <w:tcW w:w="851" w:type="dxa"/>
            <w:tcBorders>
              <w:top w:val="nil"/>
              <w:left w:val="nil"/>
              <w:bottom w:val="nil"/>
              <w:right w:val="nil"/>
            </w:tcBorders>
          </w:tcPr>
          <w:p w14:paraId="1C371BE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936FC1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D71992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2A0E549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0.47***</w:t>
            </w:r>
          </w:p>
        </w:tc>
        <w:tc>
          <w:tcPr>
            <w:tcW w:w="992" w:type="dxa"/>
            <w:tcBorders>
              <w:top w:val="nil"/>
              <w:left w:val="single" w:sz="4" w:space="0" w:color="auto"/>
              <w:bottom w:val="nil"/>
              <w:right w:val="nil"/>
            </w:tcBorders>
          </w:tcPr>
          <w:p w14:paraId="02D0581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c>
          <w:tcPr>
            <w:tcW w:w="993" w:type="dxa"/>
            <w:tcBorders>
              <w:top w:val="nil"/>
              <w:left w:val="nil"/>
              <w:bottom w:val="nil"/>
              <w:right w:val="nil"/>
            </w:tcBorders>
          </w:tcPr>
          <w:p w14:paraId="0DD00A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c>
          <w:tcPr>
            <w:tcW w:w="850" w:type="dxa"/>
            <w:tcBorders>
              <w:top w:val="nil"/>
              <w:left w:val="nil"/>
              <w:bottom w:val="nil"/>
              <w:right w:val="nil"/>
            </w:tcBorders>
          </w:tcPr>
          <w:p w14:paraId="011E683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c>
          <w:tcPr>
            <w:tcW w:w="851" w:type="dxa"/>
            <w:tcBorders>
              <w:top w:val="nil"/>
              <w:left w:val="nil"/>
              <w:bottom w:val="nil"/>
              <w:right w:val="nil"/>
            </w:tcBorders>
          </w:tcPr>
          <w:p w14:paraId="06901DF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c>
          <w:tcPr>
            <w:tcW w:w="850" w:type="dxa"/>
            <w:tcBorders>
              <w:top w:val="nil"/>
              <w:left w:val="nil"/>
              <w:bottom w:val="nil"/>
              <w:right w:val="nil"/>
            </w:tcBorders>
          </w:tcPr>
          <w:p w14:paraId="61DAFB8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c>
          <w:tcPr>
            <w:tcW w:w="851" w:type="dxa"/>
            <w:tcBorders>
              <w:top w:val="nil"/>
              <w:left w:val="nil"/>
              <w:bottom w:val="nil"/>
              <w:right w:val="nil"/>
            </w:tcBorders>
          </w:tcPr>
          <w:p w14:paraId="28F04B1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c>
          <w:tcPr>
            <w:tcW w:w="851" w:type="dxa"/>
            <w:tcBorders>
              <w:top w:val="nil"/>
              <w:left w:val="nil"/>
              <w:bottom w:val="nil"/>
              <w:right w:val="nil"/>
            </w:tcBorders>
          </w:tcPr>
          <w:p w14:paraId="257E3C5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0.53***</w:t>
            </w:r>
          </w:p>
        </w:tc>
      </w:tr>
      <w:tr w:rsidR="0002263B" w:rsidRPr="00CA5619" w14:paraId="23EFBA81" w14:textId="77777777" w:rsidTr="00FF0E2C">
        <w:trPr>
          <w:gridAfter w:val="1"/>
          <w:wAfter w:w="851" w:type="dxa"/>
          <w:trHeight w:val="144"/>
        </w:trPr>
        <w:tc>
          <w:tcPr>
            <w:tcW w:w="1833" w:type="dxa"/>
            <w:tcBorders>
              <w:top w:val="nil"/>
              <w:left w:val="nil"/>
              <w:bottom w:val="nil"/>
              <w:right w:val="nil"/>
            </w:tcBorders>
          </w:tcPr>
          <w:p w14:paraId="1BB296A9"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2D4AA2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35BBC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162CB0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612FD7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7192B41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413CB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67FF01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152B6FC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top w:val="nil"/>
              <w:left w:val="single" w:sz="4" w:space="0" w:color="auto"/>
              <w:bottom w:val="nil"/>
              <w:right w:val="nil"/>
            </w:tcBorders>
          </w:tcPr>
          <w:p w14:paraId="3E6C57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top w:val="nil"/>
              <w:left w:val="nil"/>
              <w:bottom w:val="nil"/>
              <w:right w:val="nil"/>
            </w:tcBorders>
          </w:tcPr>
          <w:p w14:paraId="5D61B4A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tcPr>
          <w:p w14:paraId="085D3B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7BCAD61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tcPr>
          <w:p w14:paraId="2F85502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285FFF5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tcPr>
          <w:p w14:paraId="05D3A86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02263B" w:rsidRPr="00CA5619" w14:paraId="627A5DF4" w14:textId="77777777" w:rsidTr="00FF0E2C">
        <w:trPr>
          <w:gridAfter w:val="1"/>
          <w:wAfter w:w="851" w:type="dxa"/>
          <w:trHeight w:val="144"/>
        </w:trPr>
        <w:tc>
          <w:tcPr>
            <w:tcW w:w="1833" w:type="dxa"/>
            <w:tcBorders>
              <w:top w:val="nil"/>
              <w:left w:val="nil"/>
              <w:bottom w:val="nil"/>
              <w:right w:val="nil"/>
            </w:tcBorders>
          </w:tcPr>
          <w:p w14:paraId="3ED2A6D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Control in life</w:t>
            </w:r>
          </w:p>
        </w:tc>
        <w:tc>
          <w:tcPr>
            <w:tcW w:w="855" w:type="dxa"/>
            <w:tcBorders>
              <w:top w:val="nil"/>
              <w:left w:val="nil"/>
              <w:bottom w:val="nil"/>
              <w:right w:val="nil"/>
            </w:tcBorders>
          </w:tcPr>
          <w:p w14:paraId="3257D7A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EFA09E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95B892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7A9CF6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tcPr>
          <w:p w14:paraId="688740C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7CD8E6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3DDCDE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3F30FCB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2" w:type="dxa"/>
            <w:tcBorders>
              <w:top w:val="nil"/>
              <w:left w:val="single" w:sz="4" w:space="0" w:color="auto"/>
              <w:bottom w:val="nil"/>
              <w:right w:val="nil"/>
            </w:tcBorders>
          </w:tcPr>
          <w:p w14:paraId="555CFF7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tcPr>
          <w:p w14:paraId="6BC0FDB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65D19FD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35ED861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743F21A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34FA43E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000BDF1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1B2FFEE0" w14:textId="77777777" w:rsidTr="00FF0E2C">
        <w:trPr>
          <w:gridAfter w:val="1"/>
          <w:wAfter w:w="851" w:type="dxa"/>
          <w:trHeight w:val="144"/>
        </w:trPr>
        <w:tc>
          <w:tcPr>
            <w:tcW w:w="1833" w:type="dxa"/>
            <w:tcBorders>
              <w:top w:val="nil"/>
              <w:left w:val="nil"/>
              <w:bottom w:val="nil"/>
              <w:right w:val="nil"/>
            </w:tcBorders>
          </w:tcPr>
          <w:p w14:paraId="0B73495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60D22F3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7A6AB7F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B21184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FAE7FE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146E1F8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5FBC71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B4A1F5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45A0629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tcPr>
          <w:p w14:paraId="34F2C72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tcPr>
          <w:p w14:paraId="60CEA83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731719C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5845713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7B15172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7327357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423C37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4DB68D11"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1B519EDC" w14:textId="77777777" w:rsidR="0002263B" w:rsidRPr="00CA5619" w:rsidRDefault="0002263B" w:rsidP="00223284">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Social Capital</w:t>
            </w:r>
          </w:p>
        </w:tc>
        <w:tc>
          <w:tcPr>
            <w:tcW w:w="855" w:type="dxa"/>
            <w:tcBorders>
              <w:top w:val="nil"/>
              <w:left w:val="nil"/>
              <w:bottom w:val="nil"/>
              <w:right w:val="nil"/>
            </w:tcBorders>
            <w:shd w:val="clear" w:color="auto" w:fill="F2F2F2" w:themeFill="background1" w:themeFillShade="F2"/>
          </w:tcPr>
          <w:p w14:paraId="25481C5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A73F4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D84E7F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EC5003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6A560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18120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1D331C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7E28B38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shd w:val="clear" w:color="auto" w:fill="F2F2F2" w:themeFill="background1" w:themeFillShade="F2"/>
          </w:tcPr>
          <w:p w14:paraId="7A7CD40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shd w:val="clear" w:color="auto" w:fill="F2F2F2" w:themeFill="background1" w:themeFillShade="F2"/>
          </w:tcPr>
          <w:p w14:paraId="21E000F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991E28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CABB32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2059B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C234CD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147774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591CFA23" w14:textId="77777777" w:rsidTr="00FF0E2C">
        <w:trPr>
          <w:trHeight w:val="144"/>
        </w:trPr>
        <w:tc>
          <w:tcPr>
            <w:tcW w:w="2688" w:type="dxa"/>
            <w:gridSpan w:val="2"/>
            <w:tcBorders>
              <w:top w:val="nil"/>
              <w:left w:val="nil"/>
              <w:bottom w:val="nil"/>
              <w:right w:val="nil"/>
            </w:tcBorders>
            <w:shd w:val="clear" w:color="auto" w:fill="F2F2F2" w:themeFill="background1" w:themeFillShade="F2"/>
          </w:tcPr>
          <w:p w14:paraId="6F4EB59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Group membership </w:t>
            </w:r>
          </w:p>
          <w:p w14:paraId="3998673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(Ref= </w:t>
            </w:r>
            <w:r w:rsidRPr="00CA5619">
              <w:rPr>
                <w:rFonts w:cs="Segoe UI"/>
                <w:i/>
                <w:sz w:val="18"/>
                <w:szCs w:val="18"/>
                <w:highlight w:val="yellow"/>
                <w:lang w:val="en-US" w:eastAsia="en-GB"/>
              </w:rPr>
              <w:t>None</w:t>
            </w:r>
            <w:r w:rsidRPr="00CA5619">
              <w:rPr>
                <w:rFonts w:cs="Segoe UI"/>
                <w:sz w:val="18"/>
                <w:szCs w:val="18"/>
                <w:highlight w:val="yellow"/>
                <w:lang w:val="en-US" w:eastAsia="en-GB"/>
              </w:rPr>
              <w:t>)</w:t>
            </w:r>
          </w:p>
        </w:tc>
        <w:tc>
          <w:tcPr>
            <w:tcW w:w="850" w:type="dxa"/>
            <w:tcBorders>
              <w:top w:val="nil"/>
              <w:left w:val="nil"/>
              <w:bottom w:val="nil"/>
              <w:right w:val="nil"/>
            </w:tcBorders>
            <w:shd w:val="clear" w:color="auto" w:fill="F2F2F2" w:themeFill="background1" w:themeFillShade="F2"/>
          </w:tcPr>
          <w:p w14:paraId="26BBDC2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FFAA39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D6260E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22D16B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6CE957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E4A097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295B176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shd w:val="clear" w:color="auto" w:fill="F2F2F2" w:themeFill="background1" w:themeFillShade="F2"/>
          </w:tcPr>
          <w:p w14:paraId="269D317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shd w:val="clear" w:color="auto" w:fill="F2F2F2" w:themeFill="background1" w:themeFillShade="F2"/>
          </w:tcPr>
          <w:p w14:paraId="777F8FC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3BB8E3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D4B0A5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2D7FD3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31A634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65F600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3F3C01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32455E1D"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47B4EB01"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One</w:t>
            </w:r>
          </w:p>
        </w:tc>
        <w:tc>
          <w:tcPr>
            <w:tcW w:w="855" w:type="dxa"/>
            <w:tcBorders>
              <w:top w:val="nil"/>
              <w:left w:val="nil"/>
              <w:bottom w:val="nil"/>
              <w:right w:val="nil"/>
            </w:tcBorders>
            <w:shd w:val="clear" w:color="auto" w:fill="F2F2F2" w:themeFill="background1" w:themeFillShade="F2"/>
          </w:tcPr>
          <w:p w14:paraId="02A85A7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FA407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2C8A19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5EC11D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C756C3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0.39***</w:t>
            </w:r>
          </w:p>
        </w:tc>
        <w:tc>
          <w:tcPr>
            <w:tcW w:w="850" w:type="dxa"/>
            <w:tcBorders>
              <w:top w:val="nil"/>
              <w:left w:val="nil"/>
              <w:bottom w:val="nil"/>
              <w:right w:val="nil"/>
            </w:tcBorders>
            <w:shd w:val="clear" w:color="auto" w:fill="F2F2F2" w:themeFill="background1" w:themeFillShade="F2"/>
          </w:tcPr>
          <w:p w14:paraId="4FC4CD7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C0B78D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6F27C0C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0.27***</w:t>
            </w:r>
          </w:p>
        </w:tc>
        <w:tc>
          <w:tcPr>
            <w:tcW w:w="992" w:type="dxa"/>
            <w:tcBorders>
              <w:top w:val="nil"/>
              <w:left w:val="single" w:sz="4" w:space="0" w:color="auto"/>
              <w:bottom w:val="nil"/>
              <w:right w:val="nil"/>
            </w:tcBorders>
            <w:shd w:val="clear" w:color="auto" w:fill="F2F2F2" w:themeFill="background1" w:themeFillShade="F2"/>
          </w:tcPr>
          <w:p w14:paraId="631C332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993" w:type="dxa"/>
            <w:tcBorders>
              <w:top w:val="nil"/>
              <w:left w:val="nil"/>
              <w:bottom w:val="nil"/>
              <w:right w:val="nil"/>
            </w:tcBorders>
            <w:shd w:val="clear" w:color="auto" w:fill="F2F2F2" w:themeFill="background1" w:themeFillShade="F2"/>
          </w:tcPr>
          <w:p w14:paraId="4BE2CE9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top w:val="nil"/>
              <w:left w:val="nil"/>
              <w:bottom w:val="nil"/>
              <w:right w:val="nil"/>
            </w:tcBorders>
            <w:shd w:val="clear" w:color="auto" w:fill="F2F2F2" w:themeFill="background1" w:themeFillShade="F2"/>
          </w:tcPr>
          <w:p w14:paraId="571D0B0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shd w:val="clear" w:color="auto" w:fill="F2F2F2" w:themeFill="background1" w:themeFillShade="F2"/>
          </w:tcPr>
          <w:p w14:paraId="103D6CB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top w:val="nil"/>
              <w:left w:val="nil"/>
              <w:bottom w:val="nil"/>
              <w:right w:val="nil"/>
            </w:tcBorders>
            <w:shd w:val="clear" w:color="auto" w:fill="F2F2F2" w:themeFill="background1" w:themeFillShade="F2"/>
          </w:tcPr>
          <w:p w14:paraId="1F8008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shd w:val="clear" w:color="auto" w:fill="F2F2F2" w:themeFill="background1" w:themeFillShade="F2"/>
          </w:tcPr>
          <w:p w14:paraId="0DDB075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shd w:val="clear" w:color="auto" w:fill="F2F2F2" w:themeFill="background1" w:themeFillShade="F2"/>
          </w:tcPr>
          <w:p w14:paraId="26B614B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r>
      <w:tr w:rsidR="0002263B" w:rsidRPr="00CA5619" w14:paraId="43C0F340"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2A3849C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4C72A5C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54E279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250DDF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35F081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FC74F2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3C33628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A56CD9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0F194AA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top w:val="nil"/>
              <w:left w:val="single" w:sz="4" w:space="0" w:color="auto"/>
              <w:bottom w:val="nil"/>
              <w:right w:val="nil"/>
            </w:tcBorders>
            <w:shd w:val="clear" w:color="auto" w:fill="F2F2F2" w:themeFill="background1" w:themeFillShade="F2"/>
          </w:tcPr>
          <w:p w14:paraId="5851E91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top w:val="nil"/>
              <w:left w:val="nil"/>
              <w:bottom w:val="nil"/>
              <w:right w:val="nil"/>
            </w:tcBorders>
            <w:shd w:val="clear" w:color="auto" w:fill="F2F2F2" w:themeFill="background1" w:themeFillShade="F2"/>
          </w:tcPr>
          <w:p w14:paraId="596824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0B4544A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7B66F09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3727ABD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07F9185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7A26F63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02263B" w:rsidRPr="00CA5619" w14:paraId="1DD5552E"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5C40B28B"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Two or more</w:t>
            </w:r>
          </w:p>
        </w:tc>
        <w:tc>
          <w:tcPr>
            <w:tcW w:w="855" w:type="dxa"/>
            <w:tcBorders>
              <w:top w:val="nil"/>
              <w:left w:val="nil"/>
              <w:bottom w:val="nil"/>
              <w:right w:val="nil"/>
            </w:tcBorders>
            <w:shd w:val="clear" w:color="auto" w:fill="F2F2F2" w:themeFill="background1" w:themeFillShade="F2"/>
          </w:tcPr>
          <w:p w14:paraId="390E659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85C760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E289D0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71D995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58FAEF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c>
          <w:tcPr>
            <w:tcW w:w="850" w:type="dxa"/>
            <w:tcBorders>
              <w:top w:val="nil"/>
              <w:left w:val="nil"/>
              <w:bottom w:val="nil"/>
              <w:right w:val="nil"/>
            </w:tcBorders>
            <w:shd w:val="clear" w:color="auto" w:fill="F2F2F2" w:themeFill="background1" w:themeFillShade="F2"/>
          </w:tcPr>
          <w:p w14:paraId="0437FAD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29F046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5978349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tc>
        <w:tc>
          <w:tcPr>
            <w:tcW w:w="992" w:type="dxa"/>
            <w:tcBorders>
              <w:top w:val="nil"/>
              <w:left w:val="single" w:sz="4" w:space="0" w:color="auto"/>
              <w:bottom w:val="nil"/>
              <w:right w:val="nil"/>
            </w:tcBorders>
            <w:shd w:val="clear" w:color="auto" w:fill="F2F2F2" w:themeFill="background1" w:themeFillShade="F2"/>
          </w:tcPr>
          <w:p w14:paraId="73864A9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0.34***</w:t>
            </w:r>
          </w:p>
        </w:tc>
        <w:tc>
          <w:tcPr>
            <w:tcW w:w="993" w:type="dxa"/>
            <w:tcBorders>
              <w:top w:val="nil"/>
              <w:left w:val="nil"/>
              <w:bottom w:val="nil"/>
              <w:right w:val="nil"/>
            </w:tcBorders>
            <w:shd w:val="clear" w:color="auto" w:fill="F2F2F2" w:themeFill="background1" w:themeFillShade="F2"/>
          </w:tcPr>
          <w:p w14:paraId="01E9470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0.34***</w:t>
            </w:r>
          </w:p>
        </w:tc>
        <w:tc>
          <w:tcPr>
            <w:tcW w:w="850" w:type="dxa"/>
            <w:tcBorders>
              <w:top w:val="nil"/>
              <w:left w:val="nil"/>
              <w:bottom w:val="nil"/>
              <w:right w:val="nil"/>
            </w:tcBorders>
            <w:shd w:val="clear" w:color="auto" w:fill="F2F2F2" w:themeFill="background1" w:themeFillShade="F2"/>
          </w:tcPr>
          <w:p w14:paraId="6D5576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0.34***</w:t>
            </w:r>
          </w:p>
        </w:tc>
        <w:tc>
          <w:tcPr>
            <w:tcW w:w="851" w:type="dxa"/>
            <w:tcBorders>
              <w:top w:val="nil"/>
              <w:left w:val="nil"/>
              <w:bottom w:val="nil"/>
              <w:right w:val="nil"/>
            </w:tcBorders>
            <w:shd w:val="clear" w:color="auto" w:fill="F2F2F2" w:themeFill="background1" w:themeFillShade="F2"/>
          </w:tcPr>
          <w:p w14:paraId="029FEE7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0.34***</w:t>
            </w:r>
          </w:p>
        </w:tc>
        <w:tc>
          <w:tcPr>
            <w:tcW w:w="850" w:type="dxa"/>
            <w:tcBorders>
              <w:top w:val="nil"/>
              <w:left w:val="nil"/>
              <w:bottom w:val="nil"/>
              <w:right w:val="nil"/>
            </w:tcBorders>
            <w:shd w:val="clear" w:color="auto" w:fill="F2F2F2" w:themeFill="background1" w:themeFillShade="F2"/>
          </w:tcPr>
          <w:p w14:paraId="4C8CAFF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0.34***</w:t>
            </w:r>
          </w:p>
        </w:tc>
        <w:tc>
          <w:tcPr>
            <w:tcW w:w="851" w:type="dxa"/>
            <w:tcBorders>
              <w:top w:val="nil"/>
              <w:left w:val="nil"/>
              <w:bottom w:val="nil"/>
              <w:right w:val="nil"/>
            </w:tcBorders>
            <w:shd w:val="clear" w:color="auto" w:fill="F2F2F2" w:themeFill="background1" w:themeFillShade="F2"/>
          </w:tcPr>
          <w:p w14:paraId="4C48457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0.34***</w:t>
            </w:r>
          </w:p>
        </w:tc>
        <w:tc>
          <w:tcPr>
            <w:tcW w:w="851" w:type="dxa"/>
            <w:tcBorders>
              <w:top w:val="nil"/>
              <w:left w:val="nil"/>
              <w:bottom w:val="nil"/>
              <w:right w:val="nil"/>
            </w:tcBorders>
            <w:shd w:val="clear" w:color="auto" w:fill="F2F2F2" w:themeFill="background1" w:themeFillShade="F2"/>
          </w:tcPr>
          <w:p w14:paraId="0B9CEA4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0.34***</w:t>
            </w:r>
          </w:p>
        </w:tc>
      </w:tr>
      <w:tr w:rsidR="0002263B" w:rsidRPr="00CA5619" w14:paraId="586736DB"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1C318AF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33AC397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1252BA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A08599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D61F16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177372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358B2C6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734555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6DBA111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top w:val="nil"/>
              <w:left w:val="single" w:sz="4" w:space="0" w:color="auto"/>
              <w:bottom w:val="nil"/>
              <w:right w:val="nil"/>
            </w:tcBorders>
            <w:shd w:val="clear" w:color="auto" w:fill="F2F2F2" w:themeFill="background1" w:themeFillShade="F2"/>
          </w:tcPr>
          <w:p w14:paraId="162D90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top w:val="nil"/>
              <w:left w:val="nil"/>
              <w:bottom w:val="nil"/>
              <w:right w:val="nil"/>
            </w:tcBorders>
            <w:shd w:val="clear" w:color="auto" w:fill="F2F2F2" w:themeFill="background1" w:themeFillShade="F2"/>
          </w:tcPr>
          <w:p w14:paraId="6D14B62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4E9C1C6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55FA848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06BB9C4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6666B96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0DE2FF4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02263B" w:rsidRPr="00CA5619" w14:paraId="3F9DDE6C"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0AB04C0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u w:val="single"/>
                <w:lang w:val="en-US" w:eastAsia="en-GB"/>
              </w:rPr>
            </w:pPr>
            <w:r w:rsidRPr="00CA5619">
              <w:rPr>
                <w:rFonts w:cs="Segoe UI"/>
                <w:sz w:val="18"/>
                <w:szCs w:val="18"/>
                <w:highlight w:val="yellow"/>
                <w:lang w:val="en-US" w:eastAsia="en-GB"/>
              </w:rPr>
              <w:t xml:space="preserve">Trust (Ref = </w:t>
            </w:r>
            <w:r w:rsidRPr="00CA5619">
              <w:rPr>
                <w:rFonts w:cs="Segoe UI"/>
                <w:i/>
                <w:sz w:val="18"/>
                <w:szCs w:val="18"/>
                <w:highlight w:val="yellow"/>
                <w:lang w:val="en-US" w:eastAsia="en-GB"/>
              </w:rPr>
              <w:t>Can’t be trusted</w:t>
            </w:r>
            <w:r w:rsidRPr="00CA5619">
              <w:rPr>
                <w:rFonts w:cs="Segoe UI"/>
                <w:sz w:val="18"/>
                <w:szCs w:val="18"/>
                <w:highlight w:val="yellow"/>
                <w:lang w:val="en-US" w:eastAsia="en-GB"/>
              </w:rPr>
              <w:t>)</w:t>
            </w:r>
          </w:p>
        </w:tc>
        <w:tc>
          <w:tcPr>
            <w:tcW w:w="855" w:type="dxa"/>
            <w:tcBorders>
              <w:top w:val="nil"/>
              <w:left w:val="nil"/>
              <w:bottom w:val="nil"/>
              <w:right w:val="nil"/>
            </w:tcBorders>
            <w:shd w:val="clear" w:color="auto" w:fill="F2F2F2" w:themeFill="background1" w:themeFillShade="F2"/>
          </w:tcPr>
          <w:p w14:paraId="28613B3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528F62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F7751B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F85B6E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7C5F64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0.37***</w:t>
            </w:r>
          </w:p>
          <w:p w14:paraId="3087185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top w:val="nil"/>
              <w:left w:val="nil"/>
              <w:bottom w:val="nil"/>
              <w:right w:val="nil"/>
            </w:tcBorders>
            <w:shd w:val="clear" w:color="auto" w:fill="F2F2F2" w:themeFill="background1" w:themeFillShade="F2"/>
          </w:tcPr>
          <w:p w14:paraId="49BE24D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E9908E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6FF75ED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p w14:paraId="7FFEE8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2" w:type="dxa"/>
            <w:tcBorders>
              <w:top w:val="nil"/>
              <w:left w:val="single" w:sz="4" w:space="0" w:color="auto"/>
              <w:bottom w:val="nil"/>
              <w:right w:val="nil"/>
            </w:tcBorders>
            <w:shd w:val="clear" w:color="auto" w:fill="F2F2F2" w:themeFill="background1" w:themeFillShade="F2"/>
          </w:tcPr>
          <w:p w14:paraId="7131FFA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p w14:paraId="2629A7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top w:val="nil"/>
              <w:left w:val="nil"/>
              <w:bottom w:val="nil"/>
              <w:right w:val="nil"/>
            </w:tcBorders>
            <w:shd w:val="clear" w:color="auto" w:fill="F2F2F2" w:themeFill="background1" w:themeFillShade="F2"/>
          </w:tcPr>
          <w:p w14:paraId="2716256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p w14:paraId="17A4DAE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2A6E692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p w14:paraId="68C578A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7AB1827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p w14:paraId="06E60D9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42A4C4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p w14:paraId="46060BF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71070AD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p w14:paraId="3637550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03C5207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p w14:paraId="3C7A6C6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02263B" w:rsidRPr="00CA5619" w14:paraId="1CEC2238"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266AACC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Institutional Trust (1-10)</w:t>
            </w:r>
          </w:p>
        </w:tc>
        <w:tc>
          <w:tcPr>
            <w:tcW w:w="855" w:type="dxa"/>
            <w:tcBorders>
              <w:top w:val="nil"/>
              <w:left w:val="nil"/>
              <w:bottom w:val="nil"/>
              <w:right w:val="nil"/>
            </w:tcBorders>
            <w:shd w:val="clear" w:color="auto" w:fill="F2F2F2" w:themeFill="background1" w:themeFillShade="F2"/>
          </w:tcPr>
          <w:p w14:paraId="6572219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67F372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974C8B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043CDC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439E37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BD94C5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6A51765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23613A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7F9C563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2BA45B7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shd w:val="clear" w:color="auto" w:fill="F2F2F2" w:themeFill="background1" w:themeFillShade="F2"/>
          </w:tcPr>
          <w:p w14:paraId="5B54C16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5D8CBE4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shd w:val="clear" w:color="auto" w:fill="F2F2F2" w:themeFill="background1" w:themeFillShade="F2"/>
          </w:tcPr>
          <w:p w14:paraId="7B6D4BB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2AFD963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5D78E92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0294DB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23A82F2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06269A2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11F5B67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1A65F8A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5501F1F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46AB965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3FB4A2F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0FDC992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02F6ED5C" w14:textId="77777777" w:rsidTr="00FF0E2C">
        <w:trPr>
          <w:trHeight w:val="144"/>
        </w:trPr>
        <w:tc>
          <w:tcPr>
            <w:tcW w:w="2688" w:type="dxa"/>
            <w:gridSpan w:val="2"/>
            <w:tcBorders>
              <w:top w:val="nil"/>
              <w:left w:val="nil"/>
              <w:bottom w:val="nil"/>
              <w:right w:val="nil"/>
            </w:tcBorders>
          </w:tcPr>
          <w:p w14:paraId="29E988E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b/>
                <w:sz w:val="18"/>
                <w:szCs w:val="18"/>
                <w:highlight w:val="yellow"/>
                <w:lang w:val="en-US" w:eastAsia="en-GB"/>
              </w:rPr>
              <w:t>Cognitive Engagement</w:t>
            </w:r>
          </w:p>
        </w:tc>
        <w:tc>
          <w:tcPr>
            <w:tcW w:w="850" w:type="dxa"/>
            <w:tcBorders>
              <w:top w:val="nil"/>
              <w:left w:val="nil"/>
              <w:bottom w:val="nil"/>
              <w:right w:val="nil"/>
            </w:tcBorders>
          </w:tcPr>
          <w:p w14:paraId="7F35AF2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498C5B15"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288F033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117BB6A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521B757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0277458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tcPr>
          <w:p w14:paraId="34B3355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tcPr>
          <w:p w14:paraId="5A11462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tcPr>
          <w:p w14:paraId="63BC71C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4F668B15"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BF274A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0F72043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418416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5192696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8E1A15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676A06A8" w14:textId="77777777" w:rsidTr="00FF0E2C">
        <w:trPr>
          <w:trHeight w:val="144"/>
        </w:trPr>
        <w:tc>
          <w:tcPr>
            <w:tcW w:w="2688" w:type="dxa"/>
            <w:gridSpan w:val="2"/>
            <w:tcBorders>
              <w:top w:val="nil"/>
              <w:left w:val="nil"/>
              <w:bottom w:val="nil"/>
              <w:right w:val="nil"/>
            </w:tcBorders>
          </w:tcPr>
          <w:p w14:paraId="55FC8DC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Political Interest (1-10)</w:t>
            </w:r>
          </w:p>
        </w:tc>
        <w:tc>
          <w:tcPr>
            <w:tcW w:w="850" w:type="dxa"/>
            <w:tcBorders>
              <w:top w:val="nil"/>
              <w:left w:val="nil"/>
              <w:bottom w:val="nil"/>
              <w:right w:val="nil"/>
            </w:tcBorders>
          </w:tcPr>
          <w:p w14:paraId="54D8F83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2B6774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4D0A7B7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6305A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7FB97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tcBorders>
              <w:top w:val="nil"/>
              <w:left w:val="nil"/>
              <w:bottom w:val="nil"/>
              <w:right w:val="nil"/>
            </w:tcBorders>
          </w:tcPr>
          <w:p w14:paraId="79E7C14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4AEFBBD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992" w:type="dxa"/>
            <w:tcBorders>
              <w:top w:val="nil"/>
              <w:left w:val="single" w:sz="4" w:space="0" w:color="auto"/>
              <w:bottom w:val="nil"/>
              <w:right w:val="nil"/>
            </w:tcBorders>
          </w:tcPr>
          <w:p w14:paraId="6A0697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993" w:type="dxa"/>
            <w:tcBorders>
              <w:top w:val="nil"/>
              <w:left w:val="nil"/>
              <w:bottom w:val="nil"/>
              <w:right w:val="nil"/>
            </w:tcBorders>
          </w:tcPr>
          <w:p w14:paraId="19EB11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top w:val="nil"/>
              <w:left w:val="nil"/>
              <w:bottom w:val="nil"/>
              <w:right w:val="nil"/>
            </w:tcBorders>
          </w:tcPr>
          <w:p w14:paraId="6A1A895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tcPr>
          <w:p w14:paraId="1713677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top w:val="nil"/>
              <w:left w:val="nil"/>
              <w:bottom w:val="nil"/>
              <w:right w:val="nil"/>
            </w:tcBorders>
          </w:tcPr>
          <w:p w14:paraId="5E75BF3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tcPr>
          <w:p w14:paraId="6635592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tcPr>
          <w:p w14:paraId="27AAF60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Pr>
          <w:p w14:paraId="64AD4CD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458CB13F" w14:textId="77777777" w:rsidTr="00FF0E2C">
        <w:trPr>
          <w:gridAfter w:val="1"/>
          <w:wAfter w:w="851" w:type="dxa"/>
          <w:trHeight w:val="144"/>
        </w:trPr>
        <w:tc>
          <w:tcPr>
            <w:tcW w:w="1833" w:type="dxa"/>
            <w:tcBorders>
              <w:top w:val="nil"/>
              <w:left w:val="nil"/>
              <w:bottom w:val="nil"/>
              <w:right w:val="nil"/>
            </w:tcBorders>
          </w:tcPr>
          <w:p w14:paraId="698E557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1471886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28BA1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1BBC42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B61274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92C5BC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55C8E53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tcPr>
          <w:p w14:paraId="170E2A4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1577A6B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tcPr>
          <w:p w14:paraId="2A44005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tcPr>
          <w:p w14:paraId="0DCEE4F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5533019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20D0F59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0B6A85B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10995C0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666B82F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3FCCC877" w14:textId="77777777" w:rsidTr="00FF0E2C">
        <w:trPr>
          <w:trHeight w:val="144"/>
        </w:trPr>
        <w:tc>
          <w:tcPr>
            <w:tcW w:w="2688" w:type="dxa"/>
            <w:gridSpan w:val="2"/>
            <w:tcBorders>
              <w:top w:val="nil"/>
              <w:left w:val="nil"/>
              <w:bottom w:val="nil"/>
              <w:right w:val="nil"/>
            </w:tcBorders>
          </w:tcPr>
          <w:p w14:paraId="4178A47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Media Use (Ref=</w:t>
            </w:r>
            <w:r w:rsidRPr="00CA5619">
              <w:rPr>
                <w:rFonts w:cs="Segoe UI"/>
                <w:i/>
                <w:sz w:val="18"/>
                <w:szCs w:val="18"/>
                <w:highlight w:val="yellow"/>
                <w:lang w:val="en-US" w:eastAsia="en-GB"/>
              </w:rPr>
              <w:t>None</w:t>
            </w:r>
            <w:r w:rsidRPr="00CA5619">
              <w:rPr>
                <w:rFonts w:cs="Segoe UI"/>
                <w:sz w:val="18"/>
                <w:szCs w:val="18"/>
                <w:highlight w:val="yellow"/>
                <w:lang w:val="en-US" w:eastAsia="en-GB"/>
              </w:rPr>
              <w:t>)</w:t>
            </w:r>
          </w:p>
        </w:tc>
        <w:tc>
          <w:tcPr>
            <w:tcW w:w="850" w:type="dxa"/>
            <w:tcBorders>
              <w:top w:val="nil"/>
              <w:left w:val="nil"/>
              <w:bottom w:val="nil"/>
              <w:right w:val="nil"/>
            </w:tcBorders>
          </w:tcPr>
          <w:p w14:paraId="4C4A364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5610515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4B0CC4B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43E3084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77C1724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534A93A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tcPr>
          <w:p w14:paraId="6F0FDAA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tcPr>
          <w:p w14:paraId="4E4499E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tcPr>
          <w:p w14:paraId="38D10D5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46FA3F1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09541A5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7A828D0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7D68820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D5153E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40DC86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6F4690AC" w14:textId="77777777" w:rsidTr="00FF0E2C">
        <w:trPr>
          <w:gridAfter w:val="1"/>
          <w:wAfter w:w="851" w:type="dxa"/>
          <w:trHeight w:val="144"/>
        </w:trPr>
        <w:tc>
          <w:tcPr>
            <w:tcW w:w="1833" w:type="dxa"/>
            <w:tcBorders>
              <w:top w:val="nil"/>
              <w:left w:val="nil"/>
              <w:bottom w:val="nil"/>
              <w:right w:val="nil"/>
            </w:tcBorders>
          </w:tcPr>
          <w:p w14:paraId="2E3362E9"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1-4 Sources</w:t>
            </w:r>
          </w:p>
        </w:tc>
        <w:tc>
          <w:tcPr>
            <w:tcW w:w="855" w:type="dxa"/>
            <w:tcBorders>
              <w:top w:val="nil"/>
              <w:left w:val="nil"/>
              <w:bottom w:val="nil"/>
              <w:right w:val="nil"/>
            </w:tcBorders>
          </w:tcPr>
          <w:p w14:paraId="04664AC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34F8EB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7E237EF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2CB8E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462E13F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70C0A14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p w14:paraId="28F803A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tcBorders>
              <w:top w:val="nil"/>
              <w:left w:val="nil"/>
              <w:bottom w:val="nil"/>
              <w:right w:val="nil"/>
            </w:tcBorders>
          </w:tcPr>
          <w:p w14:paraId="4DAFDB1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6E7472D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p w14:paraId="0465B2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top w:val="nil"/>
              <w:left w:val="single" w:sz="4" w:space="0" w:color="auto"/>
              <w:bottom w:val="nil"/>
              <w:right w:val="nil"/>
            </w:tcBorders>
          </w:tcPr>
          <w:p w14:paraId="4C905F8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0.25**</w:t>
            </w:r>
          </w:p>
          <w:p w14:paraId="59AD08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tcBorders>
              <w:top w:val="nil"/>
              <w:left w:val="nil"/>
              <w:bottom w:val="nil"/>
              <w:right w:val="nil"/>
            </w:tcBorders>
          </w:tcPr>
          <w:p w14:paraId="5E3EE16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0.25**</w:t>
            </w:r>
          </w:p>
          <w:p w14:paraId="2D59D9D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top w:val="nil"/>
              <w:left w:val="nil"/>
              <w:bottom w:val="nil"/>
              <w:right w:val="nil"/>
            </w:tcBorders>
          </w:tcPr>
          <w:p w14:paraId="6B06505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0.25**</w:t>
            </w:r>
          </w:p>
          <w:p w14:paraId="6C44E78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tcPr>
          <w:p w14:paraId="2A7322A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0.25**</w:t>
            </w:r>
          </w:p>
          <w:p w14:paraId="1E0516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top w:val="nil"/>
              <w:left w:val="nil"/>
              <w:bottom w:val="nil"/>
              <w:right w:val="nil"/>
            </w:tcBorders>
          </w:tcPr>
          <w:p w14:paraId="444A1C7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0.25**</w:t>
            </w:r>
          </w:p>
          <w:p w14:paraId="6A3292F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tcPr>
          <w:p w14:paraId="313DCFA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0.25**</w:t>
            </w:r>
          </w:p>
          <w:p w14:paraId="2B52ED3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tcPr>
          <w:p w14:paraId="27622FE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0.25**</w:t>
            </w:r>
          </w:p>
          <w:p w14:paraId="7CD4156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02263B" w:rsidRPr="00CA5619" w14:paraId="553CAD18" w14:textId="77777777" w:rsidTr="00FF0E2C">
        <w:trPr>
          <w:gridAfter w:val="1"/>
          <w:wAfter w:w="851" w:type="dxa"/>
          <w:trHeight w:val="68"/>
        </w:trPr>
        <w:tc>
          <w:tcPr>
            <w:tcW w:w="1833" w:type="dxa"/>
            <w:tcBorders>
              <w:top w:val="nil"/>
              <w:left w:val="nil"/>
              <w:bottom w:val="nil"/>
              <w:right w:val="nil"/>
            </w:tcBorders>
          </w:tcPr>
          <w:p w14:paraId="0128F86B"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 xml:space="preserve">5+ Sources </w:t>
            </w:r>
          </w:p>
        </w:tc>
        <w:tc>
          <w:tcPr>
            <w:tcW w:w="855" w:type="dxa"/>
            <w:tcBorders>
              <w:top w:val="nil"/>
              <w:left w:val="nil"/>
              <w:bottom w:val="nil"/>
              <w:right w:val="nil"/>
            </w:tcBorders>
          </w:tcPr>
          <w:p w14:paraId="1BCEE3E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B0B111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29C108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58324F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D2B452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007F9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0.74***</w:t>
            </w:r>
          </w:p>
        </w:tc>
        <w:tc>
          <w:tcPr>
            <w:tcW w:w="851" w:type="dxa"/>
            <w:tcBorders>
              <w:top w:val="nil"/>
              <w:left w:val="nil"/>
              <w:bottom w:val="nil"/>
              <w:right w:val="nil"/>
            </w:tcBorders>
          </w:tcPr>
          <w:p w14:paraId="6D0AD08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52EDF0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0.42***</w:t>
            </w:r>
          </w:p>
        </w:tc>
        <w:tc>
          <w:tcPr>
            <w:tcW w:w="992" w:type="dxa"/>
            <w:tcBorders>
              <w:top w:val="nil"/>
              <w:left w:val="single" w:sz="4" w:space="0" w:color="auto"/>
              <w:bottom w:val="nil"/>
              <w:right w:val="nil"/>
            </w:tcBorders>
          </w:tcPr>
          <w:p w14:paraId="0D3FBA7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993" w:type="dxa"/>
            <w:tcBorders>
              <w:top w:val="nil"/>
              <w:left w:val="nil"/>
              <w:bottom w:val="nil"/>
              <w:right w:val="nil"/>
            </w:tcBorders>
          </w:tcPr>
          <w:p w14:paraId="60E22ED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850" w:type="dxa"/>
            <w:tcBorders>
              <w:top w:val="nil"/>
              <w:left w:val="nil"/>
              <w:bottom w:val="nil"/>
              <w:right w:val="nil"/>
            </w:tcBorders>
          </w:tcPr>
          <w:p w14:paraId="602AE6D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851" w:type="dxa"/>
            <w:tcBorders>
              <w:top w:val="nil"/>
              <w:left w:val="nil"/>
              <w:bottom w:val="nil"/>
              <w:right w:val="nil"/>
            </w:tcBorders>
          </w:tcPr>
          <w:p w14:paraId="68E7651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850" w:type="dxa"/>
            <w:tcBorders>
              <w:top w:val="nil"/>
              <w:left w:val="nil"/>
              <w:bottom w:val="nil"/>
              <w:right w:val="nil"/>
            </w:tcBorders>
          </w:tcPr>
          <w:p w14:paraId="101DA45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851" w:type="dxa"/>
            <w:tcBorders>
              <w:top w:val="nil"/>
              <w:left w:val="nil"/>
              <w:bottom w:val="nil"/>
              <w:right w:val="nil"/>
            </w:tcBorders>
          </w:tcPr>
          <w:p w14:paraId="5C36123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851" w:type="dxa"/>
            <w:tcBorders>
              <w:top w:val="nil"/>
              <w:left w:val="nil"/>
              <w:bottom w:val="nil"/>
              <w:right w:val="nil"/>
            </w:tcBorders>
          </w:tcPr>
          <w:p w14:paraId="2165B0C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r>
      <w:tr w:rsidR="0002263B" w:rsidRPr="00CA5619" w14:paraId="7C2743A6" w14:textId="77777777" w:rsidTr="00FF0E2C">
        <w:trPr>
          <w:gridAfter w:val="1"/>
          <w:wAfter w:w="851" w:type="dxa"/>
          <w:trHeight w:val="144"/>
        </w:trPr>
        <w:tc>
          <w:tcPr>
            <w:tcW w:w="1833" w:type="dxa"/>
            <w:tcBorders>
              <w:top w:val="nil"/>
              <w:left w:val="nil"/>
              <w:bottom w:val="nil"/>
              <w:right w:val="nil"/>
            </w:tcBorders>
          </w:tcPr>
          <w:p w14:paraId="13C95EE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2F4A1D4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49512AF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49E941B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48A94A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3755A4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814410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tcPr>
          <w:p w14:paraId="6C10C7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5ABA893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top w:val="nil"/>
              <w:left w:val="single" w:sz="4" w:space="0" w:color="auto"/>
              <w:bottom w:val="nil"/>
              <w:right w:val="nil"/>
            </w:tcBorders>
          </w:tcPr>
          <w:p w14:paraId="412E343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tcBorders>
              <w:top w:val="nil"/>
              <w:left w:val="nil"/>
              <w:bottom w:val="nil"/>
              <w:right w:val="nil"/>
            </w:tcBorders>
          </w:tcPr>
          <w:p w14:paraId="249698F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top w:val="nil"/>
              <w:left w:val="nil"/>
              <w:bottom w:val="nil"/>
              <w:right w:val="nil"/>
            </w:tcBorders>
          </w:tcPr>
          <w:p w14:paraId="407649C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tcPr>
          <w:p w14:paraId="14F8B37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top w:val="nil"/>
              <w:left w:val="nil"/>
              <w:bottom w:val="nil"/>
              <w:right w:val="nil"/>
            </w:tcBorders>
          </w:tcPr>
          <w:p w14:paraId="240A2FE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tcPr>
          <w:p w14:paraId="35DC8FE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tcPr>
          <w:p w14:paraId="698A5D3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02263B" w:rsidRPr="00CA5619" w14:paraId="0E44D4A0"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095B1F62" w14:textId="77777777" w:rsidR="0002263B" w:rsidRPr="00CA5619" w:rsidRDefault="0002263B" w:rsidP="00223284">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 xml:space="preserve">Religion </w:t>
            </w:r>
          </w:p>
        </w:tc>
        <w:tc>
          <w:tcPr>
            <w:tcW w:w="855" w:type="dxa"/>
            <w:tcBorders>
              <w:top w:val="nil"/>
              <w:left w:val="nil"/>
              <w:bottom w:val="nil"/>
              <w:right w:val="nil"/>
            </w:tcBorders>
            <w:shd w:val="clear" w:color="auto" w:fill="F2F2F2" w:themeFill="background1" w:themeFillShade="F2"/>
          </w:tcPr>
          <w:p w14:paraId="07CFB19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5DDCB05"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8C269B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55F593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5EE7FD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9ABA51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8EA17F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77A6FF3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shd w:val="clear" w:color="auto" w:fill="F2F2F2" w:themeFill="background1" w:themeFillShade="F2"/>
          </w:tcPr>
          <w:p w14:paraId="5C9953D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shd w:val="clear" w:color="auto" w:fill="F2F2F2" w:themeFill="background1" w:themeFillShade="F2"/>
          </w:tcPr>
          <w:p w14:paraId="01334DB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839CFD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CE7E4F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748C0D8"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D1B1B7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3F8E3B7"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43FF80E8"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019DBC3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Religiosity (1-10) </w:t>
            </w:r>
          </w:p>
        </w:tc>
        <w:tc>
          <w:tcPr>
            <w:tcW w:w="855" w:type="dxa"/>
            <w:tcBorders>
              <w:top w:val="nil"/>
              <w:left w:val="nil"/>
              <w:bottom w:val="nil"/>
              <w:right w:val="nil"/>
            </w:tcBorders>
            <w:shd w:val="clear" w:color="auto" w:fill="F2F2F2" w:themeFill="background1" w:themeFillShade="F2"/>
          </w:tcPr>
          <w:p w14:paraId="1B4B604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5B86D4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F448BE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3B7F5F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362A39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A29F8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72B2B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top w:val="nil"/>
              <w:left w:val="nil"/>
              <w:bottom w:val="nil"/>
              <w:right w:val="single" w:sz="4" w:space="0" w:color="auto"/>
            </w:tcBorders>
            <w:shd w:val="clear" w:color="auto" w:fill="F2F2F2" w:themeFill="background1" w:themeFillShade="F2"/>
          </w:tcPr>
          <w:p w14:paraId="4E23900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992" w:type="dxa"/>
            <w:tcBorders>
              <w:top w:val="nil"/>
              <w:left w:val="single" w:sz="4" w:space="0" w:color="auto"/>
              <w:bottom w:val="nil"/>
              <w:right w:val="nil"/>
            </w:tcBorders>
            <w:shd w:val="clear" w:color="auto" w:fill="F2F2F2" w:themeFill="background1" w:themeFillShade="F2"/>
          </w:tcPr>
          <w:p w14:paraId="4558FEA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3" w:type="dxa"/>
            <w:tcBorders>
              <w:top w:val="nil"/>
              <w:left w:val="nil"/>
              <w:bottom w:val="nil"/>
              <w:right w:val="nil"/>
            </w:tcBorders>
            <w:shd w:val="clear" w:color="auto" w:fill="F2F2F2" w:themeFill="background1" w:themeFillShade="F2"/>
          </w:tcPr>
          <w:p w14:paraId="022D7F7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top w:val="nil"/>
              <w:left w:val="nil"/>
              <w:bottom w:val="nil"/>
              <w:right w:val="nil"/>
            </w:tcBorders>
            <w:shd w:val="clear" w:color="auto" w:fill="F2F2F2" w:themeFill="background1" w:themeFillShade="F2"/>
          </w:tcPr>
          <w:p w14:paraId="2680DB2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tcBorders>
              <w:top w:val="nil"/>
              <w:left w:val="nil"/>
              <w:bottom w:val="nil"/>
              <w:right w:val="nil"/>
            </w:tcBorders>
            <w:shd w:val="clear" w:color="auto" w:fill="F2F2F2" w:themeFill="background1" w:themeFillShade="F2"/>
          </w:tcPr>
          <w:p w14:paraId="3864C4A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top w:val="nil"/>
              <w:left w:val="nil"/>
              <w:bottom w:val="nil"/>
              <w:right w:val="nil"/>
            </w:tcBorders>
            <w:shd w:val="clear" w:color="auto" w:fill="F2F2F2" w:themeFill="background1" w:themeFillShade="F2"/>
          </w:tcPr>
          <w:p w14:paraId="0CD94F2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tcBorders>
              <w:top w:val="nil"/>
              <w:left w:val="nil"/>
              <w:bottom w:val="nil"/>
              <w:right w:val="nil"/>
            </w:tcBorders>
            <w:shd w:val="clear" w:color="auto" w:fill="F2F2F2" w:themeFill="background1" w:themeFillShade="F2"/>
          </w:tcPr>
          <w:p w14:paraId="07BF4BA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tcBorders>
              <w:top w:val="nil"/>
              <w:left w:val="nil"/>
              <w:bottom w:val="nil"/>
              <w:right w:val="nil"/>
            </w:tcBorders>
            <w:shd w:val="clear" w:color="auto" w:fill="F2F2F2" w:themeFill="background1" w:themeFillShade="F2"/>
          </w:tcPr>
          <w:p w14:paraId="50C5815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r>
      <w:tr w:rsidR="0002263B" w:rsidRPr="00CA5619" w14:paraId="46810224"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3C0114C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10860D1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1B161E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D04E0D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F3335E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AA7076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4D372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ED452B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single" w:sz="4" w:space="0" w:color="auto"/>
            </w:tcBorders>
            <w:shd w:val="clear" w:color="auto" w:fill="F2F2F2" w:themeFill="background1" w:themeFillShade="F2"/>
          </w:tcPr>
          <w:p w14:paraId="2275AAB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top w:val="nil"/>
              <w:left w:val="single" w:sz="4" w:space="0" w:color="auto"/>
              <w:bottom w:val="nil"/>
              <w:right w:val="nil"/>
            </w:tcBorders>
            <w:shd w:val="clear" w:color="auto" w:fill="F2F2F2" w:themeFill="background1" w:themeFillShade="F2"/>
          </w:tcPr>
          <w:p w14:paraId="17231AD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shd w:val="clear" w:color="auto" w:fill="F2F2F2" w:themeFill="background1" w:themeFillShade="F2"/>
          </w:tcPr>
          <w:p w14:paraId="38C9038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1298CA4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0A93D7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64B6E3C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574D6EC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50A0DE6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190376D6" w14:textId="77777777" w:rsidTr="00FF0E2C">
        <w:trPr>
          <w:trHeight w:val="144"/>
        </w:trPr>
        <w:tc>
          <w:tcPr>
            <w:tcW w:w="2688" w:type="dxa"/>
            <w:gridSpan w:val="2"/>
            <w:tcBorders>
              <w:top w:val="nil"/>
              <w:left w:val="nil"/>
              <w:bottom w:val="nil"/>
              <w:right w:val="nil"/>
            </w:tcBorders>
            <w:shd w:val="clear" w:color="auto" w:fill="F2F2F2" w:themeFill="background1" w:themeFillShade="F2"/>
          </w:tcPr>
          <w:p w14:paraId="5E3BE80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eastAsia="en-GB"/>
              </w:rPr>
              <w:t>Religion (Ref=</w:t>
            </w:r>
            <w:r w:rsidRPr="00CA5619">
              <w:rPr>
                <w:rFonts w:cs="Segoe UI"/>
                <w:i/>
                <w:sz w:val="18"/>
                <w:szCs w:val="18"/>
                <w:highlight w:val="yellow"/>
                <w:lang w:eastAsia="en-GB"/>
              </w:rPr>
              <w:t>Non-affiliated</w:t>
            </w:r>
            <w:r w:rsidRPr="00CA5619">
              <w:rPr>
                <w:rFonts w:cs="Segoe UI"/>
                <w:sz w:val="18"/>
                <w:szCs w:val="18"/>
                <w:highlight w:val="yellow"/>
                <w:lang w:eastAsia="en-GB"/>
              </w:rPr>
              <w:t>)</w:t>
            </w:r>
          </w:p>
        </w:tc>
        <w:tc>
          <w:tcPr>
            <w:tcW w:w="850" w:type="dxa"/>
            <w:tcBorders>
              <w:top w:val="nil"/>
              <w:left w:val="nil"/>
              <w:bottom w:val="nil"/>
              <w:right w:val="nil"/>
            </w:tcBorders>
            <w:shd w:val="clear" w:color="auto" w:fill="F2F2F2" w:themeFill="background1" w:themeFillShade="F2"/>
          </w:tcPr>
          <w:p w14:paraId="3B425E2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C226AF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F6F329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7F3C99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E8A0C7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10DCE7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shd w:val="clear" w:color="auto" w:fill="F2F2F2" w:themeFill="background1" w:themeFillShade="F2"/>
          </w:tcPr>
          <w:p w14:paraId="39B731E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shd w:val="clear" w:color="auto" w:fill="F2F2F2" w:themeFill="background1" w:themeFillShade="F2"/>
          </w:tcPr>
          <w:p w14:paraId="44034B0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shd w:val="clear" w:color="auto" w:fill="F2F2F2" w:themeFill="background1" w:themeFillShade="F2"/>
          </w:tcPr>
          <w:p w14:paraId="4D61538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9CD7C8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B2EA91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818FE9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1EAD12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8667BC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EA7DE2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1C7D4EA0"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34F2A757"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Catholic</w:t>
            </w:r>
          </w:p>
        </w:tc>
        <w:tc>
          <w:tcPr>
            <w:tcW w:w="855" w:type="dxa"/>
            <w:tcBorders>
              <w:top w:val="nil"/>
              <w:left w:val="nil"/>
              <w:bottom w:val="nil"/>
              <w:right w:val="nil"/>
            </w:tcBorders>
            <w:shd w:val="clear" w:color="auto" w:fill="F2F2F2" w:themeFill="background1" w:themeFillShade="F2"/>
          </w:tcPr>
          <w:p w14:paraId="5C0A85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ABFCBD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AFB66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9A55C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7E28FB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9AFC13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693FFC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single" w:sz="4" w:space="0" w:color="auto"/>
            </w:tcBorders>
            <w:shd w:val="clear" w:color="auto" w:fill="F2F2F2" w:themeFill="background1" w:themeFillShade="F2"/>
          </w:tcPr>
          <w:p w14:paraId="36C8098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top w:val="nil"/>
              <w:left w:val="single" w:sz="4" w:space="0" w:color="auto"/>
              <w:bottom w:val="nil"/>
              <w:right w:val="nil"/>
            </w:tcBorders>
            <w:shd w:val="clear" w:color="auto" w:fill="F2F2F2" w:themeFill="background1" w:themeFillShade="F2"/>
          </w:tcPr>
          <w:p w14:paraId="3322352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tcBorders>
              <w:top w:val="nil"/>
              <w:left w:val="nil"/>
              <w:bottom w:val="nil"/>
              <w:right w:val="nil"/>
            </w:tcBorders>
            <w:shd w:val="clear" w:color="auto" w:fill="F2F2F2" w:themeFill="background1" w:themeFillShade="F2"/>
          </w:tcPr>
          <w:p w14:paraId="425E842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3F004AE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094609A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shd w:val="clear" w:color="auto" w:fill="F2F2F2" w:themeFill="background1" w:themeFillShade="F2"/>
          </w:tcPr>
          <w:p w14:paraId="5EED636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540B131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shd w:val="clear" w:color="auto" w:fill="F2F2F2" w:themeFill="background1" w:themeFillShade="F2"/>
          </w:tcPr>
          <w:p w14:paraId="47E7A3A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02263B" w:rsidRPr="00CA5619" w14:paraId="009FC6CE"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0E3E22A0"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00C307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4F3518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58B518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CC48B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B2E62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D748B7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B18943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single" w:sz="4" w:space="0" w:color="auto"/>
            </w:tcBorders>
            <w:shd w:val="clear" w:color="auto" w:fill="F2F2F2" w:themeFill="background1" w:themeFillShade="F2"/>
          </w:tcPr>
          <w:p w14:paraId="78FB501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top w:val="nil"/>
              <w:left w:val="single" w:sz="4" w:space="0" w:color="auto"/>
              <w:bottom w:val="nil"/>
              <w:right w:val="nil"/>
            </w:tcBorders>
            <w:shd w:val="clear" w:color="auto" w:fill="F2F2F2" w:themeFill="background1" w:themeFillShade="F2"/>
          </w:tcPr>
          <w:p w14:paraId="5C3D105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tcBorders>
              <w:top w:val="nil"/>
              <w:left w:val="nil"/>
              <w:bottom w:val="nil"/>
              <w:right w:val="nil"/>
            </w:tcBorders>
            <w:shd w:val="clear" w:color="auto" w:fill="F2F2F2" w:themeFill="background1" w:themeFillShade="F2"/>
          </w:tcPr>
          <w:p w14:paraId="2DA8050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nil"/>
            </w:tcBorders>
            <w:shd w:val="clear" w:color="auto" w:fill="F2F2F2" w:themeFill="background1" w:themeFillShade="F2"/>
          </w:tcPr>
          <w:p w14:paraId="21D51B2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shd w:val="clear" w:color="auto" w:fill="F2F2F2" w:themeFill="background1" w:themeFillShade="F2"/>
          </w:tcPr>
          <w:p w14:paraId="077FA9E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nil"/>
            </w:tcBorders>
            <w:shd w:val="clear" w:color="auto" w:fill="F2F2F2" w:themeFill="background1" w:themeFillShade="F2"/>
          </w:tcPr>
          <w:p w14:paraId="47A674C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shd w:val="clear" w:color="auto" w:fill="F2F2F2" w:themeFill="background1" w:themeFillShade="F2"/>
          </w:tcPr>
          <w:p w14:paraId="57DB29B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tcBorders>
              <w:top w:val="nil"/>
              <w:left w:val="nil"/>
              <w:bottom w:val="nil"/>
              <w:right w:val="nil"/>
            </w:tcBorders>
            <w:shd w:val="clear" w:color="auto" w:fill="F2F2F2" w:themeFill="background1" w:themeFillShade="F2"/>
          </w:tcPr>
          <w:p w14:paraId="0DDD5F5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02263B" w:rsidRPr="00CA5619" w14:paraId="084A60E1"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0C9A8EC7"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Protestant</w:t>
            </w:r>
          </w:p>
        </w:tc>
        <w:tc>
          <w:tcPr>
            <w:tcW w:w="855" w:type="dxa"/>
            <w:tcBorders>
              <w:top w:val="nil"/>
              <w:left w:val="nil"/>
              <w:bottom w:val="nil"/>
              <w:right w:val="nil"/>
            </w:tcBorders>
            <w:shd w:val="clear" w:color="auto" w:fill="F2F2F2" w:themeFill="background1" w:themeFillShade="F2"/>
          </w:tcPr>
          <w:p w14:paraId="206415C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AA43C1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9A1F07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4921C7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45B771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3F3C5F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9FE085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0.28***</w:t>
            </w:r>
          </w:p>
        </w:tc>
        <w:tc>
          <w:tcPr>
            <w:tcW w:w="850" w:type="dxa"/>
            <w:tcBorders>
              <w:top w:val="nil"/>
              <w:left w:val="nil"/>
              <w:bottom w:val="nil"/>
              <w:right w:val="single" w:sz="4" w:space="0" w:color="auto"/>
            </w:tcBorders>
            <w:shd w:val="clear" w:color="auto" w:fill="F2F2F2" w:themeFill="background1" w:themeFillShade="F2"/>
          </w:tcPr>
          <w:p w14:paraId="3193D91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992" w:type="dxa"/>
            <w:tcBorders>
              <w:top w:val="nil"/>
              <w:left w:val="single" w:sz="4" w:space="0" w:color="auto"/>
              <w:bottom w:val="nil"/>
              <w:right w:val="nil"/>
            </w:tcBorders>
            <w:shd w:val="clear" w:color="auto" w:fill="F2F2F2" w:themeFill="background1" w:themeFillShade="F2"/>
          </w:tcPr>
          <w:p w14:paraId="0FFCF4A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top w:val="nil"/>
              <w:left w:val="nil"/>
              <w:bottom w:val="nil"/>
              <w:right w:val="nil"/>
            </w:tcBorders>
            <w:shd w:val="clear" w:color="auto" w:fill="F2F2F2" w:themeFill="background1" w:themeFillShade="F2"/>
          </w:tcPr>
          <w:p w14:paraId="76421FE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61CDCE9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2F7B0DD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1ECF81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19AF5C2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776F6A3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02263B" w:rsidRPr="00CA5619" w14:paraId="5722723D"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28734153"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689DDFB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B9C9C7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22C50E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928CAE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CFC7B4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D11FC3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606281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top w:val="nil"/>
              <w:left w:val="nil"/>
              <w:bottom w:val="nil"/>
              <w:right w:val="single" w:sz="4" w:space="0" w:color="auto"/>
            </w:tcBorders>
            <w:shd w:val="clear" w:color="auto" w:fill="F2F2F2" w:themeFill="background1" w:themeFillShade="F2"/>
          </w:tcPr>
          <w:p w14:paraId="653BFCB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top w:val="nil"/>
              <w:left w:val="single" w:sz="4" w:space="0" w:color="auto"/>
              <w:bottom w:val="nil"/>
              <w:right w:val="nil"/>
            </w:tcBorders>
            <w:shd w:val="clear" w:color="auto" w:fill="F2F2F2" w:themeFill="background1" w:themeFillShade="F2"/>
          </w:tcPr>
          <w:p w14:paraId="495A47D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tcBorders>
              <w:top w:val="nil"/>
              <w:left w:val="nil"/>
              <w:bottom w:val="nil"/>
              <w:right w:val="nil"/>
            </w:tcBorders>
            <w:shd w:val="clear" w:color="auto" w:fill="F2F2F2" w:themeFill="background1" w:themeFillShade="F2"/>
          </w:tcPr>
          <w:p w14:paraId="2783547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nil"/>
            </w:tcBorders>
            <w:shd w:val="clear" w:color="auto" w:fill="F2F2F2" w:themeFill="background1" w:themeFillShade="F2"/>
          </w:tcPr>
          <w:p w14:paraId="744BD34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1BF6707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nil"/>
            </w:tcBorders>
            <w:shd w:val="clear" w:color="auto" w:fill="F2F2F2" w:themeFill="background1" w:themeFillShade="F2"/>
          </w:tcPr>
          <w:p w14:paraId="58464FB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1C6DE7D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3F6314D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02263B" w:rsidRPr="00CA5619" w14:paraId="26AC2F0C"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5F855F9B"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Muslim</w:t>
            </w:r>
          </w:p>
        </w:tc>
        <w:tc>
          <w:tcPr>
            <w:tcW w:w="855" w:type="dxa"/>
            <w:tcBorders>
              <w:top w:val="nil"/>
              <w:left w:val="nil"/>
              <w:bottom w:val="nil"/>
              <w:right w:val="nil"/>
            </w:tcBorders>
            <w:shd w:val="clear" w:color="auto" w:fill="F2F2F2" w:themeFill="background1" w:themeFillShade="F2"/>
          </w:tcPr>
          <w:p w14:paraId="1AB1A82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C8CE11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3A52CE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2B7FD5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77FF77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3461EF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41E0E0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850" w:type="dxa"/>
            <w:tcBorders>
              <w:top w:val="nil"/>
              <w:left w:val="nil"/>
              <w:bottom w:val="nil"/>
              <w:right w:val="single" w:sz="4" w:space="0" w:color="auto"/>
            </w:tcBorders>
            <w:shd w:val="clear" w:color="auto" w:fill="F2F2F2" w:themeFill="background1" w:themeFillShade="F2"/>
          </w:tcPr>
          <w:p w14:paraId="100CA31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992" w:type="dxa"/>
            <w:tcBorders>
              <w:top w:val="nil"/>
              <w:left w:val="single" w:sz="4" w:space="0" w:color="auto"/>
              <w:bottom w:val="nil"/>
              <w:right w:val="nil"/>
            </w:tcBorders>
            <w:shd w:val="clear" w:color="auto" w:fill="F2F2F2" w:themeFill="background1" w:themeFillShade="F2"/>
          </w:tcPr>
          <w:p w14:paraId="4FD8A76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993" w:type="dxa"/>
            <w:tcBorders>
              <w:top w:val="nil"/>
              <w:left w:val="nil"/>
              <w:bottom w:val="nil"/>
              <w:right w:val="nil"/>
            </w:tcBorders>
            <w:shd w:val="clear" w:color="auto" w:fill="F2F2F2" w:themeFill="background1" w:themeFillShade="F2"/>
          </w:tcPr>
          <w:p w14:paraId="459C022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0" w:type="dxa"/>
            <w:tcBorders>
              <w:top w:val="nil"/>
              <w:left w:val="nil"/>
              <w:bottom w:val="nil"/>
              <w:right w:val="nil"/>
            </w:tcBorders>
            <w:shd w:val="clear" w:color="auto" w:fill="F2F2F2" w:themeFill="background1" w:themeFillShade="F2"/>
          </w:tcPr>
          <w:p w14:paraId="0D0B47D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tcBorders>
              <w:top w:val="nil"/>
              <w:left w:val="nil"/>
              <w:bottom w:val="nil"/>
              <w:right w:val="nil"/>
            </w:tcBorders>
            <w:shd w:val="clear" w:color="auto" w:fill="F2F2F2" w:themeFill="background1" w:themeFillShade="F2"/>
          </w:tcPr>
          <w:p w14:paraId="04CEF8D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0" w:type="dxa"/>
            <w:tcBorders>
              <w:top w:val="nil"/>
              <w:left w:val="nil"/>
              <w:bottom w:val="nil"/>
              <w:right w:val="nil"/>
            </w:tcBorders>
            <w:shd w:val="clear" w:color="auto" w:fill="F2F2F2" w:themeFill="background1" w:themeFillShade="F2"/>
          </w:tcPr>
          <w:p w14:paraId="132E0B4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1" w:type="dxa"/>
            <w:tcBorders>
              <w:top w:val="nil"/>
              <w:left w:val="nil"/>
              <w:bottom w:val="nil"/>
              <w:right w:val="nil"/>
            </w:tcBorders>
            <w:shd w:val="clear" w:color="auto" w:fill="F2F2F2" w:themeFill="background1" w:themeFillShade="F2"/>
          </w:tcPr>
          <w:p w14:paraId="687295B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tcBorders>
              <w:top w:val="nil"/>
              <w:left w:val="nil"/>
              <w:bottom w:val="nil"/>
              <w:right w:val="nil"/>
            </w:tcBorders>
            <w:shd w:val="clear" w:color="auto" w:fill="F2F2F2" w:themeFill="background1" w:themeFillShade="F2"/>
          </w:tcPr>
          <w:p w14:paraId="0EE5F31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r>
      <w:tr w:rsidR="0002263B" w:rsidRPr="00CA5619" w14:paraId="52243DFA"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3695A9D7"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26A165B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8C7D15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4B6780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7278FB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3C049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2CCAE8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151A25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single" w:sz="4" w:space="0" w:color="auto"/>
            </w:tcBorders>
            <w:shd w:val="clear" w:color="auto" w:fill="F2F2F2" w:themeFill="background1" w:themeFillShade="F2"/>
          </w:tcPr>
          <w:p w14:paraId="23CE410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top w:val="nil"/>
              <w:left w:val="single" w:sz="4" w:space="0" w:color="auto"/>
              <w:bottom w:val="nil"/>
              <w:right w:val="nil"/>
            </w:tcBorders>
            <w:shd w:val="clear" w:color="auto" w:fill="F2F2F2" w:themeFill="background1" w:themeFillShade="F2"/>
          </w:tcPr>
          <w:p w14:paraId="3AA12C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tcBorders>
              <w:top w:val="nil"/>
              <w:left w:val="nil"/>
              <w:bottom w:val="nil"/>
              <w:right w:val="nil"/>
            </w:tcBorders>
            <w:shd w:val="clear" w:color="auto" w:fill="F2F2F2" w:themeFill="background1" w:themeFillShade="F2"/>
          </w:tcPr>
          <w:p w14:paraId="5447CD6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nil"/>
            </w:tcBorders>
            <w:shd w:val="clear" w:color="auto" w:fill="F2F2F2" w:themeFill="background1" w:themeFillShade="F2"/>
          </w:tcPr>
          <w:p w14:paraId="619F22E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310A22B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nil"/>
            </w:tcBorders>
            <w:shd w:val="clear" w:color="auto" w:fill="F2F2F2" w:themeFill="background1" w:themeFillShade="F2"/>
          </w:tcPr>
          <w:p w14:paraId="6CE2FF4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5B67379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21CD0AC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02263B" w:rsidRPr="00CA5619" w14:paraId="47194E25"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536A820D"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Orthodox</w:t>
            </w:r>
          </w:p>
        </w:tc>
        <w:tc>
          <w:tcPr>
            <w:tcW w:w="855" w:type="dxa"/>
            <w:tcBorders>
              <w:top w:val="nil"/>
              <w:left w:val="nil"/>
              <w:bottom w:val="nil"/>
              <w:right w:val="nil"/>
            </w:tcBorders>
            <w:shd w:val="clear" w:color="auto" w:fill="F2F2F2" w:themeFill="background1" w:themeFillShade="F2"/>
          </w:tcPr>
          <w:p w14:paraId="380C0B9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41252B5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9FBBA9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932D9F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EE1F7F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DF34B0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992F6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850" w:type="dxa"/>
            <w:tcBorders>
              <w:top w:val="nil"/>
              <w:left w:val="nil"/>
              <w:bottom w:val="nil"/>
              <w:right w:val="single" w:sz="4" w:space="0" w:color="auto"/>
            </w:tcBorders>
            <w:shd w:val="clear" w:color="auto" w:fill="F2F2F2" w:themeFill="background1" w:themeFillShade="F2"/>
          </w:tcPr>
          <w:p w14:paraId="260D691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-0.36***</w:t>
            </w:r>
          </w:p>
        </w:tc>
        <w:tc>
          <w:tcPr>
            <w:tcW w:w="992" w:type="dxa"/>
            <w:tcBorders>
              <w:top w:val="nil"/>
              <w:left w:val="single" w:sz="4" w:space="0" w:color="auto"/>
              <w:bottom w:val="nil"/>
              <w:right w:val="nil"/>
            </w:tcBorders>
            <w:shd w:val="clear" w:color="auto" w:fill="F2F2F2" w:themeFill="background1" w:themeFillShade="F2"/>
          </w:tcPr>
          <w:p w14:paraId="6B84897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993" w:type="dxa"/>
            <w:tcBorders>
              <w:top w:val="nil"/>
              <w:left w:val="nil"/>
              <w:bottom w:val="nil"/>
              <w:right w:val="nil"/>
            </w:tcBorders>
            <w:shd w:val="clear" w:color="auto" w:fill="F2F2F2" w:themeFill="background1" w:themeFillShade="F2"/>
          </w:tcPr>
          <w:p w14:paraId="56998CD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0" w:type="dxa"/>
            <w:tcBorders>
              <w:top w:val="nil"/>
              <w:left w:val="nil"/>
              <w:bottom w:val="nil"/>
              <w:right w:val="nil"/>
            </w:tcBorders>
            <w:shd w:val="clear" w:color="auto" w:fill="F2F2F2" w:themeFill="background1" w:themeFillShade="F2"/>
          </w:tcPr>
          <w:p w14:paraId="5BBCF76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tcBorders>
              <w:top w:val="nil"/>
              <w:left w:val="nil"/>
              <w:bottom w:val="nil"/>
              <w:right w:val="nil"/>
            </w:tcBorders>
            <w:shd w:val="clear" w:color="auto" w:fill="F2F2F2" w:themeFill="background1" w:themeFillShade="F2"/>
          </w:tcPr>
          <w:p w14:paraId="7B6B5E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0" w:type="dxa"/>
            <w:tcBorders>
              <w:top w:val="nil"/>
              <w:left w:val="nil"/>
              <w:bottom w:val="nil"/>
              <w:right w:val="nil"/>
            </w:tcBorders>
            <w:shd w:val="clear" w:color="auto" w:fill="F2F2F2" w:themeFill="background1" w:themeFillShade="F2"/>
          </w:tcPr>
          <w:p w14:paraId="610D281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shd w:val="clear" w:color="auto" w:fill="F2F2F2" w:themeFill="background1" w:themeFillShade="F2"/>
          </w:tcPr>
          <w:p w14:paraId="50C86AF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tcBorders>
              <w:top w:val="nil"/>
              <w:left w:val="nil"/>
              <w:bottom w:val="nil"/>
              <w:right w:val="nil"/>
            </w:tcBorders>
            <w:shd w:val="clear" w:color="auto" w:fill="F2F2F2" w:themeFill="background1" w:themeFillShade="F2"/>
          </w:tcPr>
          <w:p w14:paraId="33BBCFA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r>
      <w:tr w:rsidR="0002263B" w:rsidRPr="00CA5619" w14:paraId="51C6DCAA"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30D7C88B"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613553F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5E1F70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8CF97E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F0314C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2441791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ECFAD9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04451B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single" w:sz="4" w:space="0" w:color="auto"/>
            </w:tcBorders>
            <w:shd w:val="clear" w:color="auto" w:fill="F2F2F2" w:themeFill="background1" w:themeFillShade="F2"/>
          </w:tcPr>
          <w:p w14:paraId="57FF2EF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top w:val="nil"/>
              <w:left w:val="single" w:sz="4" w:space="0" w:color="auto"/>
              <w:bottom w:val="nil"/>
              <w:right w:val="nil"/>
            </w:tcBorders>
            <w:shd w:val="clear" w:color="auto" w:fill="F2F2F2" w:themeFill="background1" w:themeFillShade="F2"/>
          </w:tcPr>
          <w:p w14:paraId="73BAC6D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tcBorders>
              <w:top w:val="nil"/>
              <w:left w:val="nil"/>
              <w:bottom w:val="nil"/>
              <w:right w:val="nil"/>
            </w:tcBorders>
            <w:shd w:val="clear" w:color="auto" w:fill="F2F2F2" w:themeFill="background1" w:themeFillShade="F2"/>
          </w:tcPr>
          <w:p w14:paraId="5F6B75B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top w:val="nil"/>
              <w:left w:val="nil"/>
              <w:bottom w:val="nil"/>
              <w:right w:val="nil"/>
            </w:tcBorders>
            <w:shd w:val="clear" w:color="auto" w:fill="F2F2F2" w:themeFill="background1" w:themeFillShade="F2"/>
          </w:tcPr>
          <w:p w14:paraId="38906D5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shd w:val="clear" w:color="auto" w:fill="F2F2F2" w:themeFill="background1" w:themeFillShade="F2"/>
          </w:tcPr>
          <w:p w14:paraId="17C047E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top w:val="nil"/>
              <w:left w:val="nil"/>
              <w:bottom w:val="nil"/>
              <w:right w:val="nil"/>
            </w:tcBorders>
            <w:shd w:val="clear" w:color="auto" w:fill="F2F2F2" w:themeFill="background1" w:themeFillShade="F2"/>
          </w:tcPr>
          <w:p w14:paraId="469233F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shd w:val="clear" w:color="auto" w:fill="F2F2F2" w:themeFill="background1" w:themeFillShade="F2"/>
          </w:tcPr>
          <w:p w14:paraId="71E0718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Borders>
              <w:top w:val="nil"/>
              <w:left w:val="nil"/>
              <w:bottom w:val="nil"/>
              <w:right w:val="nil"/>
            </w:tcBorders>
            <w:shd w:val="clear" w:color="auto" w:fill="F2F2F2" w:themeFill="background1" w:themeFillShade="F2"/>
          </w:tcPr>
          <w:p w14:paraId="4A70505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02263B" w:rsidRPr="00CA5619" w14:paraId="16AE3F58"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550C5566"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Buddhist</w:t>
            </w:r>
          </w:p>
        </w:tc>
        <w:tc>
          <w:tcPr>
            <w:tcW w:w="855" w:type="dxa"/>
            <w:tcBorders>
              <w:top w:val="nil"/>
              <w:left w:val="nil"/>
              <w:bottom w:val="nil"/>
              <w:right w:val="nil"/>
            </w:tcBorders>
            <w:shd w:val="clear" w:color="auto" w:fill="F2F2F2" w:themeFill="background1" w:themeFillShade="F2"/>
          </w:tcPr>
          <w:p w14:paraId="55351C9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197CF2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7F42C9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D5F9A1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7A61F4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3B0B650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F2F7CD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-0.85***</w:t>
            </w:r>
          </w:p>
        </w:tc>
        <w:tc>
          <w:tcPr>
            <w:tcW w:w="850" w:type="dxa"/>
            <w:tcBorders>
              <w:top w:val="nil"/>
              <w:left w:val="nil"/>
              <w:bottom w:val="nil"/>
              <w:right w:val="single" w:sz="4" w:space="0" w:color="auto"/>
            </w:tcBorders>
            <w:shd w:val="clear" w:color="auto" w:fill="F2F2F2" w:themeFill="background1" w:themeFillShade="F2"/>
          </w:tcPr>
          <w:p w14:paraId="1BD5CA0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-0.94***</w:t>
            </w:r>
          </w:p>
        </w:tc>
        <w:tc>
          <w:tcPr>
            <w:tcW w:w="992" w:type="dxa"/>
            <w:tcBorders>
              <w:top w:val="nil"/>
              <w:left w:val="single" w:sz="4" w:space="0" w:color="auto"/>
              <w:bottom w:val="nil"/>
              <w:right w:val="nil"/>
            </w:tcBorders>
            <w:shd w:val="clear" w:color="auto" w:fill="F2F2F2" w:themeFill="background1" w:themeFillShade="F2"/>
          </w:tcPr>
          <w:p w14:paraId="73B5558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993" w:type="dxa"/>
            <w:tcBorders>
              <w:top w:val="nil"/>
              <w:left w:val="nil"/>
              <w:bottom w:val="nil"/>
              <w:right w:val="nil"/>
            </w:tcBorders>
            <w:shd w:val="clear" w:color="auto" w:fill="F2F2F2" w:themeFill="background1" w:themeFillShade="F2"/>
          </w:tcPr>
          <w:p w14:paraId="0E9ED8B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top w:val="nil"/>
              <w:left w:val="nil"/>
              <w:bottom w:val="nil"/>
              <w:right w:val="nil"/>
            </w:tcBorders>
            <w:shd w:val="clear" w:color="auto" w:fill="F2F2F2" w:themeFill="background1" w:themeFillShade="F2"/>
          </w:tcPr>
          <w:p w14:paraId="7EED833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shd w:val="clear" w:color="auto" w:fill="F2F2F2" w:themeFill="background1" w:themeFillShade="F2"/>
          </w:tcPr>
          <w:p w14:paraId="78D04D9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top w:val="nil"/>
              <w:left w:val="nil"/>
              <w:bottom w:val="nil"/>
              <w:right w:val="nil"/>
            </w:tcBorders>
            <w:shd w:val="clear" w:color="auto" w:fill="F2F2F2" w:themeFill="background1" w:themeFillShade="F2"/>
          </w:tcPr>
          <w:p w14:paraId="6A3D8E1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shd w:val="clear" w:color="auto" w:fill="F2F2F2" w:themeFill="background1" w:themeFillShade="F2"/>
          </w:tcPr>
          <w:p w14:paraId="568017E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1" w:type="dxa"/>
            <w:tcBorders>
              <w:top w:val="nil"/>
              <w:left w:val="nil"/>
              <w:bottom w:val="nil"/>
              <w:right w:val="nil"/>
            </w:tcBorders>
            <w:shd w:val="clear" w:color="auto" w:fill="F2F2F2" w:themeFill="background1" w:themeFillShade="F2"/>
          </w:tcPr>
          <w:p w14:paraId="0B21470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r>
      <w:tr w:rsidR="0002263B" w:rsidRPr="00CA5619" w14:paraId="5A4D114F"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35C0D31C"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416F9F3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23C6D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13511E1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9FC5D3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1906F9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D164D6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BA31AF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top w:val="nil"/>
              <w:left w:val="nil"/>
              <w:bottom w:val="nil"/>
              <w:right w:val="single" w:sz="4" w:space="0" w:color="auto"/>
            </w:tcBorders>
            <w:shd w:val="clear" w:color="auto" w:fill="F2F2F2" w:themeFill="background1" w:themeFillShade="F2"/>
          </w:tcPr>
          <w:p w14:paraId="4B4E4D5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2" w:type="dxa"/>
            <w:tcBorders>
              <w:top w:val="nil"/>
              <w:left w:val="single" w:sz="4" w:space="0" w:color="auto"/>
              <w:bottom w:val="nil"/>
              <w:right w:val="nil"/>
            </w:tcBorders>
            <w:shd w:val="clear" w:color="auto" w:fill="F2F2F2" w:themeFill="background1" w:themeFillShade="F2"/>
          </w:tcPr>
          <w:p w14:paraId="15F9299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993" w:type="dxa"/>
            <w:tcBorders>
              <w:top w:val="nil"/>
              <w:left w:val="nil"/>
              <w:bottom w:val="nil"/>
              <w:right w:val="nil"/>
            </w:tcBorders>
            <w:shd w:val="clear" w:color="auto" w:fill="F2F2F2" w:themeFill="background1" w:themeFillShade="F2"/>
          </w:tcPr>
          <w:p w14:paraId="12BD67C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tcBorders>
              <w:top w:val="nil"/>
              <w:left w:val="nil"/>
              <w:bottom w:val="nil"/>
              <w:right w:val="nil"/>
            </w:tcBorders>
            <w:shd w:val="clear" w:color="auto" w:fill="F2F2F2" w:themeFill="background1" w:themeFillShade="F2"/>
          </w:tcPr>
          <w:p w14:paraId="0743735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tcBorders>
              <w:top w:val="nil"/>
              <w:left w:val="nil"/>
              <w:bottom w:val="nil"/>
              <w:right w:val="nil"/>
            </w:tcBorders>
            <w:shd w:val="clear" w:color="auto" w:fill="F2F2F2" w:themeFill="background1" w:themeFillShade="F2"/>
          </w:tcPr>
          <w:p w14:paraId="41ADC5D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tcBorders>
              <w:top w:val="nil"/>
              <w:left w:val="nil"/>
              <w:bottom w:val="nil"/>
              <w:right w:val="nil"/>
            </w:tcBorders>
            <w:shd w:val="clear" w:color="auto" w:fill="F2F2F2" w:themeFill="background1" w:themeFillShade="F2"/>
          </w:tcPr>
          <w:p w14:paraId="428AFFF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tcBorders>
              <w:top w:val="nil"/>
              <w:left w:val="nil"/>
              <w:bottom w:val="nil"/>
              <w:right w:val="nil"/>
            </w:tcBorders>
            <w:shd w:val="clear" w:color="auto" w:fill="F2F2F2" w:themeFill="background1" w:themeFillShade="F2"/>
          </w:tcPr>
          <w:p w14:paraId="698AE8D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tcBorders>
              <w:top w:val="nil"/>
              <w:left w:val="nil"/>
              <w:bottom w:val="nil"/>
              <w:right w:val="nil"/>
            </w:tcBorders>
            <w:shd w:val="clear" w:color="auto" w:fill="F2F2F2" w:themeFill="background1" w:themeFillShade="F2"/>
          </w:tcPr>
          <w:p w14:paraId="11147EB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r>
      <w:tr w:rsidR="0002263B" w:rsidRPr="00CA5619" w14:paraId="5E9DA0C7"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599DE8B4"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Hindu</w:t>
            </w:r>
          </w:p>
        </w:tc>
        <w:tc>
          <w:tcPr>
            <w:tcW w:w="855" w:type="dxa"/>
            <w:tcBorders>
              <w:top w:val="nil"/>
              <w:left w:val="nil"/>
              <w:bottom w:val="nil"/>
              <w:right w:val="nil"/>
            </w:tcBorders>
            <w:shd w:val="clear" w:color="auto" w:fill="F2F2F2" w:themeFill="background1" w:themeFillShade="F2"/>
          </w:tcPr>
          <w:p w14:paraId="19F5158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A4801E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677F0D8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0360C5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48456D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403A1B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A60954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0.18**</w:t>
            </w:r>
          </w:p>
        </w:tc>
        <w:tc>
          <w:tcPr>
            <w:tcW w:w="850" w:type="dxa"/>
            <w:tcBorders>
              <w:top w:val="nil"/>
              <w:left w:val="nil"/>
              <w:bottom w:val="nil"/>
              <w:right w:val="single" w:sz="4" w:space="0" w:color="auto"/>
            </w:tcBorders>
            <w:shd w:val="clear" w:color="auto" w:fill="F2F2F2" w:themeFill="background1" w:themeFillShade="F2"/>
          </w:tcPr>
          <w:p w14:paraId="664B481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0.27**</w:t>
            </w:r>
          </w:p>
        </w:tc>
        <w:tc>
          <w:tcPr>
            <w:tcW w:w="992" w:type="dxa"/>
            <w:tcBorders>
              <w:top w:val="nil"/>
              <w:left w:val="single" w:sz="4" w:space="0" w:color="auto"/>
              <w:bottom w:val="nil"/>
              <w:right w:val="nil"/>
            </w:tcBorders>
            <w:shd w:val="clear" w:color="auto" w:fill="F2F2F2" w:themeFill="background1" w:themeFillShade="F2"/>
          </w:tcPr>
          <w:p w14:paraId="711973E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993" w:type="dxa"/>
            <w:tcBorders>
              <w:top w:val="nil"/>
              <w:left w:val="nil"/>
              <w:bottom w:val="nil"/>
              <w:right w:val="nil"/>
            </w:tcBorders>
            <w:shd w:val="clear" w:color="auto" w:fill="F2F2F2" w:themeFill="background1" w:themeFillShade="F2"/>
          </w:tcPr>
          <w:p w14:paraId="787FF45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0" w:type="dxa"/>
            <w:tcBorders>
              <w:top w:val="nil"/>
              <w:left w:val="nil"/>
              <w:bottom w:val="nil"/>
              <w:right w:val="nil"/>
            </w:tcBorders>
            <w:shd w:val="clear" w:color="auto" w:fill="F2F2F2" w:themeFill="background1" w:themeFillShade="F2"/>
          </w:tcPr>
          <w:p w14:paraId="5FCE0AB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1" w:type="dxa"/>
            <w:tcBorders>
              <w:top w:val="nil"/>
              <w:left w:val="nil"/>
              <w:bottom w:val="nil"/>
              <w:right w:val="nil"/>
            </w:tcBorders>
            <w:shd w:val="clear" w:color="auto" w:fill="F2F2F2" w:themeFill="background1" w:themeFillShade="F2"/>
          </w:tcPr>
          <w:p w14:paraId="7E7E0F9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0" w:type="dxa"/>
            <w:tcBorders>
              <w:top w:val="nil"/>
              <w:left w:val="nil"/>
              <w:bottom w:val="nil"/>
              <w:right w:val="nil"/>
            </w:tcBorders>
            <w:shd w:val="clear" w:color="auto" w:fill="F2F2F2" w:themeFill="background1" w:themeFillShade="F2"/>
          </w:tcPr>
          <w:p w14:paraId="45289FB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1" w:type="dxa"/>
            <w:tcBorders>
              <w:top w:val="nil"/>
              <w:left w:val="nil"/>
              <w:bottom w:val="nil"/>
              <w:right w:val="nil"/>
            </w:tcBorders>
            <w:shd w:val="clear" w:color="auto" w:fill="F2F2F2" w:themeFill="background1" w:themeFillShade="F2"/>
          </w:tcPr>
          <w:p w14:paraId="42833E1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851" w:type="dxa"/>
            <w:tcBorders>
              <w:top w:val="nil"/>
              <w:left w:val="nil"/>
              <w:bottom w:val="nil"/>
              <w:right w:val="nil"/>
            </w:tcBorders>
            <w:shd w:val="clear" w:color="auto" w:fill="F2F2F2" w:themeFill="background1" w:themeFillShade="F2"/>
          </w:tcPr>
          <w:p w14:paraId="3FF2BF3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r>
      <w:tr w:rsidR="0002263B" w:rsidRPr="00CA5619" w14:paraId="753B6896"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602DD44C"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593657E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4D803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E10EE5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2A9557A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E51654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3A7686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85D0AD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top w:val="nil"/>
              <w:left w:val="nil"/>
              <w:bottom w:val="nil"/>
              <w:right w:val="single" w:sz="4" w:space="0" w:color="auto"/>
            </w:tcBorders>
            <w:shd w:val="clear" w:color="auto" w:fill="F2F2F2" w:themeFill="background1" w:themeFillShade="F2"/>
          </w:tcPr>
          <w:p w14:paraId="0474AD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top w:val="nil"/>
              <w:left w:val="single" w:sz="4" w:space="0" w:color="auto"/>
              <w:bottom w:val="nil"/>
              <w:right w:val="nil"/>
            </w:tcBorders>
            <w:shd w:val="clear" w:color="auto" w:fill="F2F2F2" w:themeFill="background1" w:themeFillShade="F2"/>
          </w:tcPr>
          <w:p w14:paraId="0B3B411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993" w:type="dxa"/>
            <w:tcBorders>
              <w:top w:val="nil"/>
              <w:left w:val="nil"/>
              <w:bottom w:val="nil"/>
              <w:right w:val="nil"/>
            </w:tcBorders>
            <w:shd w:val="clear" w:color="auto" w:fill="F2F2F2" w:themeFill="background1" w:themeFillShade="F2"/>
          </w:tcPr>
          <w:p w14:paraId="7B3D307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0" w:type="dxa"/>
            <w:tcBorders>
              <w:top w:val="nil"/>
              <w:left w:val="nil"/>
              <w:bottom w:val="nil"/>
              <w:right w:val="nil"/>
            </w:tcBorders>
            <w:shd w:val="clear" w:color="auto" w:fill="F2F2F2" w:themeFill="background1" w:themeFillShade="F2"/>
          </w:tcPr>
          <w:p w14:paraId="757899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tcBorders>
              <w:top w:val="nil"/>
              <w:left w:val="nil"/>
              <w:bottom w:val="nil"/>
              <w:right w:val="nil"/>
            </w:tcBorders>
            <w:shd w:val="clear" w:color="auto" w:fill="F2F2F2" w:themeFill="background1" w:themeFillShade="F2"/>
          </w:tcPr>
          <w:p w14:paraId="2EB2ED3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0" w:type="dxa"/>
            <w:tcBorders>
              <w:top w:val="nil"/>
              <w:left w:val="nil"/>
              <w:bottom w:val="nil"/>
              <w:right w:val="nil"/>
            </w:tcBorders>
            <w:shd w:val="clear" w:color="auto" w:fill="F2F2F2" w:themeFill="background1" w:themeFillShade="F2"/>
          </w:tcPr>
          <w:p w14:paraId="2143AA5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tcBorders>
              <w:top w:val="nil"/>
              <w:left w:val="nil"/>
              <w:bottom w:val="nil"/>
              <w:right w:val="nil"/>
            </w:tcBorders>
            <w:shd w:val="clear" w:color="auto" w:fill="F2F2F2" w:themeFill="background1" w:themeFillShade="F2"/>
          </w:tcPr>
          <w:p w14:paraId="3BEB283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tcBorders>
              <w:top w:val="nil"/>
              <w:left w:val="nil"/>
              <w:bottom w:val="nil"/>
              <w:right w:val="nil"/>
            </w:tcBorders>
            <w:shd w:val="clear" w:color="auto" w:fill="F2F2F2" w:themeFill="background1" w:themeFillShade="F2"/>
          </w:tcPr>
          <w:p w14:paraId="4771D66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r>
      <w:tr w:rsidR="0002263B" w:rsidRPr="00CA5619" w14:paraId="5783E297"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032838A8"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Other</w:t>
            </w:r>
          </w:p>
        </w:tc>
        <w:tc>
          <w:tcPr>
            <w:tcW w:w="855" w:type="dxa"/>
            <w:tcBorders>
              <w:top w:val="nil"/>
              <w:left w:val="nil"/>
              <w:bottom w:val="nil"/>
              <w:right w:val="nil"/>
            </w:tcBorders>
            <w:shd w:val="clear" w:color="auto" w:fill="F2F2F2" w:themeFill="background1" w:themeFillShade="F2"/>
          </w:tcPr>
          <w:p w14:paraId="391249B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0DA3C72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F1C1EC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54D66D1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41233A2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F7A08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079516C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0" w:type="dxa"/>
            <w:tcBorders>
              <w:top w:val="nil"/>
              <w:left w:val="nil"/>
              <w:bottom w:val="nil"/>
              <w:right w:val="single" w:sz="4" w:space="0" w:color="auto"/>
            </w:tcBorders>
            <w:shd w:val="clear" w:color="auto" w:fill="F2F2F2" w:themeFill="background1" w:themeFillShade="F2"/>
          </w:tcPr>
          <w:p w14:paraId="7D9686C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992" w:type="dxa"/>
            <w:tcBorders>
              <w:top w:val="nil"/>
              <w:left w:val="single" w:sz="4" w:space="0" w:color="auto"/>
              <w:bottom w:val="nil"/>
              <w:right w:val="nil"/>
            </w:tcBorders>
            <w:shd w:val="clear" w:color="auto" w:fill="F2F2F2" w:themeFill="background1" w:themeFillShade="F2"/>
          </w:tcPr>
          <w:p w14:paraId="12BEA2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tcBorders>
              <w:top w:val="nil"/>
              <w:left w:val="nil"/>
              <w:bottom w:val="nil"/>
              <w:right w:val="nil"/>
            </w:tcBorders>
            <w:shd w:val="clear" w:color="auto" w:fill="F2F2F2" w:themeFill="background1" w:themeFillShade="F2"/>
          </w:tcPr>
          <w:p w14:paraId="367A04D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0217C9A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659FCB9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top w:val="nil"/>
              <w:left w:val="nil"/>
              <w:bottom w:val="nil"/>
              <w:right w:val="nil"/>
            </w:tcBorders>
            <w:shd w:val="clear" w:color="auto" w:fill="F2F2F2" w:themeFill="background1" w:themeFillShade="F2"/>
          </w:tcPr>
          <w:p w14:paraId="3E51EAA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67A3B2C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Borders>
              <w:top w:val="nil"/>
              <w:left w:val="nil"/>
              <w:bottom w:val="nil"/>
              <w:right w:val="nil"/>
            </w:tcBorders>
            <w:shd w:val="clear" w:color="auto" w:fill="F2F2F2" w:themeFill="background1" w:themeFillShade="F2"/>
          </w:tcPr>
          <w:p w14:paraId="0E0E594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02263B" w:rsidRPr="00CA5619" w14:paraId="23E9A579" w14:textId="77777777" w:rsidTr="00FF0E2C">
        <w:trPr>
          <w:gridAfter w:val="1"/>
          <w:wAfter w:w="851" w:type="dxa"/>
          <w:trHeight w:val="144"/>
        </w:trPr>
        <w:tc>
          <w:tcPr>
            <w:tcW w:w="1833" w:type="dxa"/>
            <w:tcBorders>
              <w:top w:val="nil"/>
              <w:left w:val="nil"/>
              <w:bottom w:val="nil"/>
              <w:right w:val="nil"/>
            </w:tcBorders>
            <w:shd w:val="clear" w:color="auto" w:fill="F2F2F2" w:themeFill="background1" w:themeFillShade="F2"/>
          </w:tcPr>
          <w:p w14:paraId="7998A6F9"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shd w:val="clear" w:color="auto" w:fill="F2F2F2" w:themeFill="background1" w:themeFillShade="F2"/>
          </w:tcPr>
          <w:p w14:paraId="704AA2C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7A53A41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75CB645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16D64BC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3626053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shd w:val="clear" w:color="auto" w:fill="F2F2F2" w:themeFill="background1" w:themeFillShade="F2"/>
          </w:tcPr>
          <w:p w14:paraId="6BA29C0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shd w:val="clear" w:color="auto" w:fill="F2F2F2" w:themeFill="background1" w:themeFillShade="F2"/>
          </w:tcPr>
          <w:p w14:paraId="5848368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single" w:sz="4" w:space="0" w:color="auto"/>
            </w:tcBorders>
            <w:shd w:val="clear" w:color="auto" w:fill="F2F2F2" w:themeFill="background1" w:themeFillShade="F2"/>
          </w:tcPr>
          <w:p w14:paraId="656069E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top w:val="nil"/>
              <w:left w:val="single" w:sz="4" w:space="0" w:color="auto"/>
              <w:bottom w:val="nil"/>
              <w:right w:val="nil"/>
            </w:tcBorders>
            <w:shd w:val="clear" w:color="auto" w:fill="F2F2F2" w:themeFill="background1" w:themeFillShade="F2"/>
          </w:tcPr>
          <w:p w14:paraId="3ECB97B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tcBorders>
              <w:top w:val="nil"/>
              <w:left w:val="nil"/>
              <w:bottom w:val="nil"/>
              <w:right w:val="nil"/>
            </w:tcBorders>
            <w:shd w:val="clear" w:color="auto" w:fill="F2F2F2" w:themeFill="background1" w:themeFillShade="F2"/>
          </w:tcPr>
          <w:p w14:paraId="2388F8D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nil"/>
            </w:tcBorders>
            <w:shd w:val="clear" w:color="auto" w:fill="F2F2F2" w:themeFill="background1" w:themeFillShade="F2"/>
          </w:tcPr>
          <w:p w14:paraId="58BE248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118BDDC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top w:val="nil"/>
              <w:left w:val="nil"/>
              <w:bottom w:val="nil"/>
              <w:right w:val="nil"/>
            </w:tcBorders>
            <w:shd w:val="clear" w:color="auto" w:fill="F2F2F2" w:themeFill="background1" w:themeFillShade="F2"/>
          </w:tcPr>
          <w:p w14:paraId="3DC8F95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621309D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tcBorders>
              <w:top w:val="nil"/>
              <w:left w:val="nil"/>
              <w:bottom w:val="nil"/>
              <w:right w:val="nil"/>
            </w:tcBorders>
            <w:shd w:val="clear" w:color="auto" w:fill="F2F2F2" w:themeFill="background1" w:themeFillShade="F2"/>
          </w:tcPr>
          <w:p w14:paraId="0F6EACD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02263B" w:rsidRPr="00CA5619" w14:paraId="3A6759F1" w14:textId="77777777" w:rsidTr="00FF0E2C">
        <w:trPr>
          <w:gridAfter w:val="1"/>
          <w:wAfter w:w="851" w:type="dxa"/>
          <w:trHeight w:val="144"/>
        </w:trPr>
        <w:tc>
          <w:tcPr>
            <w:tcW w:w="2688" w:type="dxa"/>
            <w:gridSpan w:val="2"/>
            <w:tcBorders>
              <w:top w:val="nil"/>
              <w:left w:val="nil"/>
              <w:bottom w:val="nil"/>
              <w:right w:val="nil"/>
            </w:tcBorders>
          </w:tcPr>
          <w:p w14:paraId="557DE5F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b/>
                <w:sz w:val="18"/>
                <w:szCs w:val="18"/>
                <w:highlight w:val="yellow"/>
                <w:lang w:val="en-US" w:eastAsia="en-GB"/>
              </w:rPr>
              <w:t>Country-level Effects</w:t>
            </w:r>
          </w:p>
        </w:tc>
        <w:tc>
          <w:tcPr>
            <w:tcW w:w="850" w:type="dxa"/>
            <w:tcBorders>
              <w:top w:val="nil"/>
              <w:left w:val="nil"/>
              <w:bottom w:val="nil"/>
              <w:right w:val="nil"/>
            </w:tcBorders>
          </w:tcPr>
          <w:p w14:paraId="59EC8B8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62B270F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72A5B92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5ABC26A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7F24356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B209A1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tcPr>
          <w:p w14:paraId="1CC5164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tcPr>
          <w:p w14:paraId="4FF4E0D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tcPr>
          <w:p w14:paraId="006338C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79870B5A"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4CCB77B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34BC0DE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D6F3FA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1FE8A0A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2C4D1E68" w14:textId="77777777" w:rsidTr="00FF0E2C">
        <w:trPr>
          <w:gridAfter w:val="1"/>
          <w:wAfter w:w="851" w:type="dxa"/>
          <w:trHeight w:val="144"/>
        </w:trPr>
        <w:tc>
          <w:tcPr>
            <w:tcW w:w="1833" w:type="dxa"/>
            <w:tcBorders>
              <w:top w:val="nil"/>
              <w:left w:val="nil"/>
              <w:bottom w:val="nil"/>
              <w:right w:val="nil"/>
            </w:tcBorders>
          </w:tcPr>
          <w:p w14:paraId="29F24C6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HDI (0-100)</w:t>
            </w:r>
          </w:p>
        </w:tc>
        <w:tc>
          <w:tcPr>
            <w:tcW w:w="855" w:type="dxa"/>
            <w:tcBorders>
              <w:top w:val="nil"/>
              <w:left w:val="nil"/>
              <w:bottom w:val="nil"/>
              <w:right w:val="nil"/>
            </w:tcBorders>
          </w:tcPr>
          <w:p w14:paraId="4F696A0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A145B6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A02D98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7A60E85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72BE1D9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281BE2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46690D6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4734E2F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52F422C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7AE8031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1CB636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top w:val="nil"/>
              <w:left w:val="nil"/>
              <w:bottom w:val="nil"/>
              <w:right w:val="nil"/>
            </w:tcBorders>
          </w:tcPr>
          <w:p w14:paraId="62B1E69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DE8568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54CFFF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6048F0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7EFF9C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401134E1" w14:textId="77777777" w:rsidTr="00FF0E2C">
        <w:trPr>
          <w:gridAfter w:val="1"/>
          <w:wAfter w:w="851" w:type="dxa"/>
          <w:trHeight w:val="144"/>
        </w:trPr>
        <w:tc>
          <w:tcPr>
            <w:tcW w:w="2688" w:type="dxa"/>
            <w:gridSpan w:val="2"/>
            <w:tcBorders>
              <w:top w:val="nil"/>
              <w:left w:val="nil"/>
              <w:bottom w:val="nil"/>
              <w:right w:val="nil"/>
            </w:tcBorders>
          </w:tcPr>
          <w:p w14:paraId="2594459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Press Freedom (0-100</w:t>
            </w:r>
          </w:p>
        </w:tc>
        <w:tc>
          <w:tcPr>
            <w:tcW w:w="850" w:type="dxa"/>
            <w:tcBorders>
              <w:top w:val="nil"/>
              <w:left w:val="nil"/>
              <w:bottom w:val="nil"/>
              <w:right w:val="nil"/>
            </w:tcBorders>
          </w:tcPr>
          <w:p w14:paraId="443E621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846A51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939145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DCD258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2260F3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922F3B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3CECB6E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6031ACA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6CBA9D9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4E3BEEB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6C42968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top w:val="nil"/>
              <w:left w:val="nil"/>
              <w:bottom w:val="nil"/>
              <w:right w:val="nil"/>
            </w:tcBorders>
          </w:tcPr>
          <w:p w14:paraId="5194EED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599C750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24207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A22B1F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66F84E80" w14:textId="77777777" w:rsidTr="00FF0E2C">
        <w:trPr>
          <w:gridAfter w:val="1"/>
          <w:wAfter w:w="851" w:type="dxa"/>
          <w:trHeight w:val="144"/>
        </w:trPr>
        <w:tc>
          <w:tcPr>
            <w:tcW w:w="2688" w:type="dxa"/>
            <w:gridSpan w:val="2"/>
            <w:tcBorders>
              <w:top w:val="nil"/>
              <w:left w:val="nil"/>
              <w:bottom w:val="nil"/>
              <w:right w:val="nil"/>
            </w:tcBorders>
          </w:tcPr>
          <w:p w14:paraId="6F267CC5"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Communist (Ref=</w:t>
            </w:r>
            <w:r w:rsidRPr="00CA5619">
              <w:rPr>
                <w:rFonts w:cs="Segoe UI"/>
                <w:i/>
                <w:sz w:val="18"/>
                <w:szCs w:val="18"/>
                <w:highlight w:val="yellow"/>
                <w:lang w:val="en-US" w:eastAsia="en-GB"/>
              </w:rPr>
              <w:t>Not</w:t>
            </w:r>
            <w:r w:rsidRPr="00CA5619">
              <w:rPr>
                <w:rFonts w:cs="Segoe UI"/>
                <w:sz w:val="18"/>
                <w:szCs w:val="18"/>
                <w:highlight w:val="yellow"/>
                <w:lang w:val="en-US" w:eastAsia="en-GB"/>
              </w:rPr>
              <w:t>)</w:t>
            </w:r>
          </w:p>
        </w:tc>
        <w:tc>
          <w:tcPr>
            <w:tcW w:w="850" w:type="dxa"/>
            <w:tcBorders>
              <w:top w:val="nil"/>
              <w:left w:val="nil"/>
              <w:bottom w:val="nil"/>
              <w:right w:val="nil"/>
            </w:tcBorders>
          </w:tcPr>
          <w:p w14:paraId="328D740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77A8D7B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368FAB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D666FE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DDEF63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D97550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11A67D6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3B24F22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136A2B3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B09AD0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D3FFE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-0.92**</w:t>
            </w:r>
          </w:p>
          <w:p w14:paraId="4B26567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(0.32)</w:t>
            </w:r>
          </w:p>
        </w:tc>
        <w:tc>
          <w:tcPr>
            <w:tcW w:w="850" w:type="dxa"/>
            <w:tcBorders>
              <w:top w:val="nil"/>
              <w:left w:val="nil"/>
              <w:bottom w:val="nil"/>
              <w:right w:val="nil"/>
            </w:tcBorders>
          </w:tcPr>
          <w:p w14:paraId="18D0581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BCF648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E50A5E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4B57EB53" w14:textId="77777777" w:rsidTr="00FF0E2C">
        <w:trPr>
          <w:gridAfter w:val="1"/>
          <w:wAfter w:w="851" w:type="dxa"/>
          <w:trHeight w:val="144"/>
        </w:trPr>
        <w:tc>
          <w:tcPr>
            <w:tcW w:w="2688" w:type="dxa"/>
            <w:gridSpan w:val="2"/>
            <w:tcBorders>
              <w:top w:val="nil"/>
              <w:left w:val="nil"/>
              <w:bottom w:val="nil"/>
              <w:right w:val="nil"/>
            </w:tcBorders>
          </w:tcPr>
          <w:p w14:paraId="5EE8735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Democratic History (0-100)</w:t>
            </w:r>
          </w:p>
        </w:tc>
        <w:tc>
          <w:tcPr>
            <w:tcW w:w="850" w:type="dxa"/>
            <w:tcBorders>
              <w:top w:val="nil"/>
              <w:left w:val="nil"/>
              <w:bottom w:val="nil"/>
              <w:right w:val="nil"/>
            </w:tcBorders>
          </w:tcPr>
          <w:p w14:paraId="169CDD1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AD9AB9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B97C41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7849E40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45BE5D5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33101A2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0BC7A5C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052EAC5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6A9552A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7D9199F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5CCF19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25C61A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1D1B27E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Borders>
              <w:top w:val="nil"/>
              <w:left w:val="nil"/>
              <w:bottom w:val="nil"/>
              <w:right w:val="nil"/>
            </w:tcBorders>
          </w:tcPr>
          <w:p w14:paraId="35D763E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32130C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3789776B" w14:textId="77777777" w:rsidTr="00FF0E2C">
        <w:trPr>
          <w:gridAfter w:val="1"/>
          <w:wAfter w:w="851" w:type="dxa"/>
          <w:trHeight w:val="165"/>
        </w:trPr>
        <w:tc>
          <w:tcPr>
            <w:tcW w:w="2688" w:type="dxa"/>
            <w:gridSpan w:val="2"/>
            <w:tcBorders>
              <w:top w:val="nil"/>
              <w:left w:val="nil"/>
              <w:bottom w:val="nil"/>
              <w:right w:val="nil"/>
            </w:tcBorders>
          </w:tcPr>
          <w:p w14:paraId="06EBA42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Inequality (GINI) (0-100)</w:t>
            </w:r>
          </w:p>
        </w:tc>
        <w:tc>
          <w:tcPr>
            <w:tcW w:w="850" w:type="dxa"/>
            <w:tcBorders>
              <w:top w:val="nil"/>
              <w:left w:val="nil"/>
              <w:bottom w:val="nil"/>
              <w:right w:val="nil"/>
            </w:tcBorders>
          </w:tcPr>
          <w:p w14:paraId="1904125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4C40DF6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FC79B6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7A0C91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4E4EF36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45DBDEC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1EFD580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7826A3B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7D636C8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A47A18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90BB4B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11FDA8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E0FE41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32ADCE7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top w:val="nil"/>
              <w:left w:val="nil"/>
              <w:bottom w:val="nil"/>
              <w:right w:val="nil"/>
            </w:tcBorders>
          </w:tcPr>
          <w:p w14:paraId="50D5DCE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6FA75558" w14:textId="77777777" w:rsidTr="00FF0E2C">
        <w:trPr>
          <w:gridAfter w:val="1"/>
          <w:wAfter w:w="851" w:type="dxa"/>
          <w:trHeight w:val="144"/>
        </w:trPr>
        <w:tc>
          <w:tcPr>
            <w:tcW w:w="2688" w:type="dxa"/>
            <w:gridSpan w:val="2"/>
            <w:tcBorders>
              <w:top w:val="nil"/>
              <w:left w:val="nil"/>
              <w:bottom w:val="nil"/>
              <w:right w:val="nil"/>
            </w:tcBorders>
          </w:tcPr>
          <w:p w14:paraId="2FB71F5C"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Freedom House (Ref=</w:t>
            </w:r>
            <w:r w:rsidRPr="00CA5619">
              <w:rPr>
                <w:rFonts w:cs="Segoe UI"/>
                <w:i/>
                <w:sz w:val="18"/>
                <w:szCs w:val="18"/>
                <w:highlight w:val="yellow"/>
                <w:lang w:val="en-US" w:eastAsia="en-GB"/>
              </w:rPr>
              <w:t>Free</w:t>
            </w:r>
            <w:r w:rsidRPr="00CA5619">
              <w:rPr>
                <w:rFonts w:cs="Segoe UI"/>
                <w:sz w:val="18"/>
                <w:szCs w:val="18"/>
                <w:highlight w:val="yellow"/>
                <w:lang w:val="en-US" w:eastAsia="en-GB"/>
              </w:rPr>
              <w:t>)</w:t>
            </w:r>
          </w:p>
        </w:tc>
        <w:tc>
          <w:tcPr>
            <w:tcW w:w="850" w:type="dxa"/>
            <w:tcBorders>
              <w:top w:val="nil"/>
              <w:left w:val="nil"/>
              <w:bottom w:val="nil"/>
              <w:right w:val="nil"/>
            </w:tcBorders>
          </w:tcPr>
          <w:p w14:paraId="1F3ADDF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3061585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2187E49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755A4C66"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2431DE7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282F526B"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single" w:sz="4" w:space="0" w:color="auto"/>
            </w:tcBorders>
          </w:tcPr>
          <w:p w14:paraId="3A79A3A5"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top w:val="nil"/>
              <w:left w:val="single" w:sz="4" w:space="0" w:color="auto"/>
              <w:bottom w:val="nil"/>
              <w:right w:val="nil"/>
            </w:tcBorders>
          </w:tcPr>
          <w:p w14:paraId="6787C36F"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993" w:type="dxa"/>
            <w:tcBorders>
              <w:top w:val="nil"/>
              <w:left w:val="nil"/>
              <w:bottom w:val="nil"/>
              <w:right w:val="nil"/>
            </w:tcBorders>
          </w:tcPr>
          <w:p w14:paraId="5E617900"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5C6BE29E"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31E1BDA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top w:val="nil"/>
              <w:left w:val="nil"/>
              <w:bottom w:val="nil"/>
              <w:right w:val="nil"/>
            </w:tcBorders>
          </w:tcPr>
          <w:p w14:paraId="3C34E1D1"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53C7F35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1" w:type="dxa"/>
            <w:tcBorders>
              <w:top w:val="nil"/>
              <w:left w:val="nil"/>
              <w:bottom w:val="nil"/>
              <w:right w:val="nil"/>
            </w:tcBorders>
          </w:tcPr>
          <w:p w14:paraId="38CEC6A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r>
      <w:tr w:rsidR="0002263B" w:rsidRPr="00CA5619" w14:paraId="405E9A28" w14:textId="77777777" w:rsidTr="00FF0E2C">
        <w:trPr>
          <w:gridAfter w:val="1"/>
          <w:wAfter w:w="851" w:type="dxa"/>
          <w:trHeight w:val="144"/>
        </w:trPr>
        <w:tc>
          <w:tcPr>
            <w:tcW w:w="1833" w:type="dxa"/>
            <w:tcBorders>
              <w:top w:val="nil"/>
              <w:left w:val="nil"/>
              <w:bottom w:val="nil"/>
              <w:right w:val="nil"/>
            </w:tcBorders>
          </w:tcPr>
          <w:p w14:paraId="01821406"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Partly Free</w:t>
            </w:r>
          </w:p>
        </w:tc>
        <w:tc>
          <w:tcPr>
            <w:tcW w:w="855" w:type="dxa"/>
            <w:tcBorders>
              <w:top w:val="nil"/>
              <w:left w:val="nil"/>
              <w:bottom w:val="nil"/>
              <w:right w:val="nil"/>
            </w:tcBorders>
          </w:tcPr>
          <w:p w14:paraId="7646D1D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5EC1C2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1E004E9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CD3FBE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3B74A3B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4B97D8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B12241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61FEB9E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042FAED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345222C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4E0BFAA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3C9B25B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702C9E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3108766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CB29B2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-0.36</w:t>
            </w:r>
          </w:p>
          <w:p w14:paraId="5AF6927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(0.28)</w:t>
            </w:r>
          </w:p>
        </w:tc>
      </w:tr>
      <w:tr w:rsidR="0002263B" w:rsidRPr="00CA5619" w14:paraId="05A2EF41" w14:textId="77777777" w:rsidTr="00FF0E2C">
        <w:trPr>
          <w:gridAfter w:val="1"/>
          <w:wAfter w:w="851" w:type="dxa"/>
          <w:trHeight w:val="144"/>
        </w:trPr>
        <w:tc>
          <w:tcPr>
            <w:tcW w:w="1833" w:type="dxa"/>
            <w:tcBorders>
              <w:top w:val="nil"/>
              <w:left w:val="nil"/>
              <w:bottom w:val="nil"/>
              <w:right w:val="nil"/>
            </w:tcBorders>
          </w:tcPr>
          <w:p w14:paraId="084CB4B8" w14:textId="77777777" w:rsidR="0002263B" w:rsidRPr="00CA5619" w:rsidRDefault="0002263B" w:rsidP="00223284">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Not Free</w:t>
            </w:r>
          </w:p>
        </w:tc>
        <w:tc>
          <w:tcPr>
            <w:tcW w:w="855" w:type="dxa"/>
            <w:tcBorders>
              <w:top w:val="nil"/>
              <w:left w:val="nil"/>
              <w:bottom w:val="nil"/>
              <w:right w:val="nil"/>
            </w:tcBorders>
          </w:tcPr>
          <w:p w14:paraId="01BDB59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65EB0A0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4EDDCD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43EB49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64A4034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31F0B5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9020FA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3F200CE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4B9B0AF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15FFE5B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51D7F3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7A64EF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230992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D710A5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44A6B83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-1.63***</w:t>
            </w:r>
          </w:p>
          <w:p w14:paraId="4AF7206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tc>
      </w:tr>
      <w:tr w:rsidR="0002263B" w:rsidRPr="00CA5619" w14:paraId="2A2F08C3" w14:textId="77777777" w:rsidTr="00FF0E2C">
        <w:trPr>
          <w:gridAfter w:val="1"/>
          <w:wAfter w:w="851" w:type="dxa"/>
          <w:trHeight w:val="144"/>
        </w:trPr>
        <w:tc>
          <w:tcPr>
            <w:tcW w:w="1833" w:type="dxa"/>
            <w:tcBorders>
              <w:top w:val="nil"/>
              <w:left w:val="nil"/>
              <w:bottom w:val="nil"/>
              <w:right w:val="nil"/>
            </w:tcBorders>
          </w:tcPr>
          <w:p w14:paraId="56C1504D"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p>
        </w:tc>
        <w:tc>
          <w:tcPr>
            <w:tcW w:w="855" w:type="dxa"/>
            <w:tcBorders>
              <w:top w:val="nil"/>
              <w:left w:val="nil"/>
              <w:bottom w:val="nil"/>
              <w:right w:val="nil"/>
            </w:tcBorders>
          </w:tcPr>
          <w:p w14:paraId="513282F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19D66A1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1B1991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254B47A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54077C0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3E2EB7A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2148F6C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single" w:sz="4" w:space="0" w:color="auto"/>
            </w:tcBorders>
          </w:tcPr>
          <w:p w14:paraId="072F4FF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top w:val="nil"/>
              <w:left w:val="single" w:sz="4" w:space="0" w:color="auto"/>
              <w:bottom w:val="nil"/>
              <w:right w:val="nil"/>
            </w:tcBorders>
          </w:tcPr>
          <w:p w14:paraId="3D1A6D6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Borders>
              <w:top w:val="nil"/>
              <w:left w:val="nil"/>
              <w:bottom w:val="nil"/>
              <w:right w:val="nil"/>
            </w:tcBorders>
          </w:tcPr>
          <w:p w14:paraId="39E3B94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7047766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095AA8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top w:val="nil"/>
              <w:left w:val="nil"/>
              <w:bottom w:val="nil"/>
              <w:right w:val="nil"/>
            </w:tcBorders>
          </w:tcPr>
          <w:p w14:paraId="08BAD82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302257D"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Borders>
              <w:top w:val="nil"/>
              <w:left w:val="nil"/>
              <w:bottom w:val="nil"/>
              <w:right w:val="nil"/>
            </w:tcBorders>
          </w:tcPr>
          <w:p w14:paraId="0464CD9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p>
        </w:tc>
      </w:tr>
      <w:tr w:rsidR="0002263B" w:rsidRPr="00CA5619" w14:paraId="39E8C875" w14:textId="77777777" w:rsidTr="00FF0E2C">
        <w:trPr>
          <w:gridAfter w:val="1"/>
          <w:wAfter w:w="851" w:type="dxa"/>
          <w:trHeight w:val="272"/>
        </w:trPr>
        <w:tc>
          <w:tcPr>
            <w:tcW w:w="1833" w:type="dxa"/>
            <w:tcBorders>
              <w:top w:val="single" w:sz="4" w:space="0" w:color="auto"/>
              <w:left w:val="nil"/>
              <w:bottom w:val="nil"/>
              <w:right w:val="nil"/>
            </w:tcBorders>
          </w:tcPr>
          <w:p w14:paraId="696FE1D4"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i/>
                <w:iCs/>
                <w:sz w:val="18"/>
                <w:szCs w:val="18"/>
                <w:highlight w:val="yellow"/>
                <w:lang w:val="en-US" w:eastAsia="en-GB"/>
              </w:rPr>
              <w:t>N</w:t>
            </w:r>
          </w:p>
        </w:tc>
        <w:tc>
          <w:tcPr>
            <w:tcW w:w="855" w:type="dxa"/>
            <w:tcBorders>
              <w:top w:val="single" w:sz="4" w:space="0" w:color="auto"/>
              <w:left w:val="nil"/>
              <w:bottom w:val="nil"/>
              <w:right w:val="nil"/>
            </w:tcBorders>
          </w:tcPr>
          <w:p w14:paraId="043775C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tcPr>
          <w:p w14:paraId="5EAE457B"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tcPr>
          <w:p w14:paraId="5EAC78F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tcPr>
          <w:p w14:paraId="19AA850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tcPr>
          <w:p w14:paraId="3DBE7F2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tcPr>
          <w:p w14:paraId="5021406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tcPr>
          <w:p w14:paraId="26AFA61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single" w:sz="4" w:space="0" w:color="auto"/>
            </w:tcBorders>
          </w:tcPr>
          <w:p w14:paraId="3B8302C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992" w:type="dxa"/>
            <w:tcBorders>
              <w:top w:val="single" w:sz="4" w:space="0" w:color="auto"/>
              <w:left w:val="single" w:sz="4" w:space="0" w:color="auto"/>
              <w:bottom w:val="nil"/>
              <w:right w:val="nil"/>
            </w:tcBorders>
          </w:tcPr>
          <w:p w14:paraId="2C0DE73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993" w:type="dxa"/>
            <w:tcBorders>
              <w:top w:val="single" w:sz="4" w:space="0" w:color="auto"/>
              <w:left w:val="nil"/>
              <w:bottom w:val="nil"/>
              <w:right w:val="nil"/>
            </w:tcBorders>
          </w:tcPr>
          <w:p w14:paraId="2C6B931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tcPr>
          <w:p w14:paraId="35F724C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tcPr>
          <w:p w14:paraId="654B12C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tcPr>
          <w:p w14:paraId="0C1C3B6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tcPr>
          <w:p w14:paraId="321EBEF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tcPr>
          <w:p w14:paraId="60911BE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r>
      <w:tr w:rsidR="0002263B" w:rsidRPr="00CA5619" w14:paraId="73293CD2" w14:textId="77777777" w:rsidTr="00FF0E2C">
        <w:trPr>
          <w:gridAfter w:val="1"/>
          <w:wAfter w:w="851" w:type="dxa"/>
          <w:trHeight w:val="272"/>
        </w:trPr>
        <w:tc>
          <w:tcPr>
            <w:tcW w:w="1833" w:type="dxa"/>
            <w:tcBorders>
              <w:top w:val="single" w:sz="4" w:space="0" w:color="auto"/>
              <w:left w:val="nil"/>
              <w:bottom w:val="nil"/>
              <w:right w:val="nil"/>
            </w:tcBorders>
          </w:tcPr>
          <w:p w14:paraId="325F1249" w14:textId="77777777" w:rsidR="0002263B" w:rsidRPr="00CA5619" w:rsidRDefault="0002263B" w:rsidP="00223284">
            <w:pPr>
              <w:widowControl w:val="0"/>
              <w:autoSpaceDE w:val="0"/>
              <w:autoSpaceDN w:val="0"/>
              <w:adjustRightInd w:val="0"/>
              <w:spacing w:before="0" w:line="240" w:lineRule="auto"/>
              <w:rPr>
                <w:rFonts w:cs="Segoe UI"/>
                <w:i/>
                <w:iCs/>
                <w:sz w:val="18"/>
                <w:szCs w:val="18"/>
                <w:highlight w:val="yellow"/>
                <w:lang w:val="en-US" w:eastAsia="en-GB"/>
              </w:rPr>
            </w:pPr>
            <w:r w:rsidRPr="00CA5619">
              <w:rPr>
                <w:rFonts w:cs="Segoe UI"/>
                <w:i/>
                <w:iCs/>
                <w:sz w:val="18"/>
                <w:szCs w:val="18"/>
                <w:highlight w:val="yellow"/>
                <w:lang w:val="en-US" w:eastAsia="en-GB"/>
              </w:rPr>
              <w:t>N country</w:t>
            </w:r>
          </w:p>
        </w:tc>
        <w:tc>
          <w:tcPr>
            <w:tcW w:w="855" w:type="dxa"/>
            <w:tcBorders>
              <w:top w:val="single" w:sz="4" w:space="0" w:color="auto"/>
              <w:left w:val="nil"/>
              <w:bottom w:val="nil"/>
              <w:right w:val="nil"/>
            </w:tcBorders>
          </w:tcPr>
          <w:p w14:paraId="044D55F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nil"/>
            </w:tcBorders>
          </w:tcPr>
          <w:p w14:paraId="25E67C6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tcPr>
          <w:p w14:paraId="163E64D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nil"/>
            </w:tcBorders>
          </w:tcPr>
          <w:p w14:paraId="72AE55A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tcPr>
          <w:p w14:paraId="2518DC8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nil"/>
            </w:tcBorders>
          </w:tcPr>
          <w:p w14:paraId="45D21B3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tcPr>
          <w:p w14:paraId="286AC87A"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single" w:sz="4" w:space="0" w:color="auto"/>
            </w:tcBorders>
          </w:tcPr>
          <w:p w14:paraId="2399AC5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992" w:type="dxa"/>
            <w:tcBorders>
              <w:top w:val="single" w:sz="4" w:space="0" w:color="auto"/>
              <w:left w:val="single" w:sz="4" w:space="0" w:color="auto"/>
              <w:bottom w:val="nil"/>
              <w:right w:val="nil"/>
            </w:tcBorders>
          </w:tcPr>
          <w:p w14:paraId="59754C0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993" w:type="dxa"/>
            <w:tcBorders>
              <w:top w:val="single" w:sz="4" w:space="0" w:color="auto"/>
              <w:left w:val="nil"/>
              <w:bottom w:val="nil"/>
              <w:right w:val="nil"/>
            </w:tcBorders>
          </w:tcPr>
          <w:p w14:paraId="03F2EB9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0" w:type="dxa"/>
            <w:tcBorders>
              <w:top w:val="single" w:sz="4" w:space="0" w:color="auto"/>
              <w:left w:val="nil"/>
              <w:bottom w:val="nil"/>
              <w:right w:val="nil"/>
            </w:tcBorders>
          </w:tcPr>
          <w:p w14:paraId="194485B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tcPr>
          <w:p w14:paraId="74CA044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0" w:type="dxa"/>
            <w:tcBorders>
              <w:top w:val="single" w:sz="4" w:space="0" w:color="auto"/>
              <w:left w:val="nil"/>
              <w:bottom w:val="nil"/>
              <w:right w:val="nil"/>
            </w:tcBorders>
          </w:tcPr>
          <w:p w14:paraId="0514343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tcPr>
          <w:p w14:paraId="732358C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tcPr>
          <w:p w14:paraId="2E11926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r>
      <w:tr w:rsidR="0002263B" w:rsidRPr="00CA5619" w14:paraId="227916A7" w14:textId="77777777" w:rsidTr="00FF0E2C">
        <w:trPr>
          <w:gridAfter w:val="1"/>
          <w:wAfter w:w="851" w:type="dxa"/>
          <w:trHeight w:val="285"/>
        </w:trPr>
        <w:tc>
          <w:tcPr>
            <w:tcW w:w="1833" w:type="dxa"/>
            <w:tcBorders>
              <w:top w:val="nil"/>
              <w:left w:val="nil"/>
              <w:bottom w:val="nil"/>
              <w:right w:val="nil"/>
            </w:tcBorders>
          </w:tcPr>
          <w:p w14:paraId="33C3CE92"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Log lik.</w:t>
            </w:r>
          </w:p>
        </w:tc>
        <w:tc>
          <w:tcPr>
            <w:tcW w:w="855" w:type="dxa"/>
            <w:tcBorders>
              <w:top w:val="nil"/>
              <w:left w:val="nil"/>
              <w:bottom w:val="nil"/>
              <w:right w:val="nil"/>
            </w:tcBorders>
          </w:tcPr>
          <w:p w14:paraId="79D8885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-24854</w:t>
            </w:r>
          </w:p>
        </w:tc>
        <w:tc>
          <w:tcPr>
            <w:tcW w:w="850" w:type="dxa"/>
            <w:tcBorders>
              <w:top w:val="nil"/>
              <w:left w:val="nil"/>
              <w:bottom w:val="nil"/>
              <w:right w:val="nil"/>
            </w:tcBorders>
          </w:tcPr>
          <w:p w14:paraId="02F328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-24780</w:t>
            </w:r>
          </w:p>
        </w:tc>
        <w:tc>
          <w:tcPr>
            <w:tcW w:w="851" w:type="dxa"/>
            <w:tcBorders>
              <w:top w:val="nil"/>
              <w:left w:val="nil"/>
              <w:bottom w:val="nil"/>
              <w:right w:val="nil"/>
            </w:tcBorders>
          </w:tcPr>
          <w:p w14:paraId="4558430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-24700</w:t>
            </w:r>
          </w:p>
        </w:tc>
        <w:tc>
          <w:tcPr>
            <w:tcW w:w="850" w:type="dxa"/>
            <w:tcBorders>
              <w:top w:val="nil"/>
              <w:left w:val="nil"/>
              <w:bottom w:val="nil"/>
              <w:right w:val="nil"/>
            </w:tcBorders>
          </w:tcPr>
          <w:p w14:paraId="660F20E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-24414</w:t>
            </w:r>
          </w:p>
        </w:tc>
        <w:tc>
          <w:tcPr>
            <w:tcW w:w="851" w:type="dxa"/>
            <w:tcBorders>
              <w:top w:val="nil"/>
              <w:left w:val="nil"/>
              <w:bottom w:val="nil"/>
              <w:right w:val="nil"/>
            </w:tcBorders>
          </w:tcPr>
          <w:p w14:paraId="6D6D4C5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-24298</w:t>
            </w:r>
          </w:p>
        </w:tc>
        <w:tc>
          <w:tcPr>
            <w:tcW w:w="850" w:type="dxa"/>
            <w:tcBorders>
              <w:top w:val="nil"/>
              <w:left w:val="nil"/>
              <w:bottom w:val="nil"/>
              <w:right w:val="nil"/>
            </w:tcBorders>
          </w:tcPr>
          <w:p w14:paraId="1515FE4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-23899</w:t>
            </w:r>
          </w:p>
        </w:tc>
        <w:tc>
          <w:tcPr>
            <w:tcW w:w="851" w:type="dxa"/>
            <w:tcBorders>
              <w:top w:val="nil"/>
              <w:left w:val="nil"/>
              <w:bottom w:val="nil"/>
              <w:right w:val="nil"/>
            </w:tcBorders>
          </w:tcPr>
          <w:p w14:paraId="07C8691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-24264</w:t>
            </w:r>
          </w:p>
        </w:tc>
        <w:tc>
          <w:tcPr>
            <w:tcW w:w="850" w:type="dxa"/>
            <w:tcBorders>
              <w:top w:val="nil"/>
              <w:left w:val="nil"/>
              <w:bottom w:val="nil"/>
              <w:right w:val="single" w:sz="4" w:space="0" w:color="auto"/>
            </w:tcBorders>
          </w:tcPr>
          <w:p w14:paraId="2E758BC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-23121</w:t>
            </w:r>
          </w:p>
        </w:tc>
        <w:tc>
          <w:tcPr>
            <w:tcW w:w="992" w:type="dxa"/>
            <w:tcBorders>
              <w:top w:val="nil"/>
              <w:left w:val="single" w:sz="4" w:space="0" w:color="auto"/>
              <w:bottom w:val="nil"/>
              <w:right w:val="nil"/>
            </w:tcBorders>
          </w:tcPr>
          <w:p w14:paraId="6E7F152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-21341</w:t>
            </w:r>
          </w:p>
        </w:tc>
        <w:tc>
          <w:tcPr>
            <w:tcW w:w="993" w:type="dxa"/>
            <w:tcBorders>
              <w:top w:val="nil"/>
              <w:left w:val="nil"/>
              <w:bottom w:val="nil"/>
              <w:right w:val="nil"/>
            </w:tcBorders>
          </w:tcPr>
          <w:p w14:paraId="1C5B28D3"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-21340</w:t>
            </w:r>
          </w:p>
        </w:tc>
        <w:tc>
          <w:tcPr>
            <w:tcW w:w="850" w:type="dxa"/>
            <w:tcBorders>
              <w:top w:val="nil"/>
              <w:left w:val="nil"/>
              <w:bottom w:val="nil"/>
              <w:right w:val="nil"/>
            </w:tcBorders>
          </w:tcPr>
          <w:p w14:paraId="7039EE35"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-21332</w:t>
            </w:r>
          </w:p>
        </w:tc>
        <w:tc>
          <w:tcPr>
            <w:tcW w:w="851" w:type="dxa"/>
            <w:tcBorders>
              <w:top w:val="nil"/>
              <w:left w:val="nil"/>
              <w:bottom w:val="nil"/>
              <w:right w:val="nil"/>
            </w:tcBorders>
          </w:tcPr>
          <w:p w14:paraId="797452F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-21337</w:t>
            </w:r>
          </w:p>
        </w:tc>
        <w:tc>
          <w:tcPr>
            <w:tcW w:w="850" w:type="dxa"/>
            <w:tcBorders>
              <w:top w:val="nil"/>
              <w:left w:val="nil"/>
              <w:bottom w:val="nil"/>
              <w:right w:val="nil"/>
            </w:tcBorders>
          </w:tcPr>
          <w:p w14:paraId="7EA108A1"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-21334</w:t>
            </w:r>
          </w:p>
        </w:tc>
        <w:tc>
          <w:tcPr>
            <w:tcW w:w="851" w:type="dxa"/>
            <w:tcBorders>
              <w:top w:val="nil"/>
              <w:left w:val="nil"/>
              <w:bottom w:val="nil"/>
              <w:right w:val="nil"/>
            </w:tcBorders>
          </w:tcPr>
          <w:p w14:paraId="02D4FC6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-21339</w:t>
            </w:r>
          </w:p>
        </w:tc>
        <w:tc>
          <w:tcPr>
            <w:tcW w:w="851" w:type="dxa"/>
            <w:tcBorders>
              <w:top w:val="nil"/>
              <w:left w:val="nil"/>
              <w:bottom w:val="nil"/>
              <w:right w:val="nil"/>
            </w:tcBorders>
          </w:tcPr>
          <w:p w14:paraId="3FE3D54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-21334</w:t>
            </w:r>
          </w:p>
        </w:tc>
      </w:tr>
      <w:tr w:rsidR="008226A2" w:rsidRPr="00CA5619" w14:paraId="5315D509" w14:textId="77777777" w:rsidTr="00B17437">
        <w:trPr>
          <w:gridAfter w:val="1"/>
          <w:wAfter w:w="846" w:type="dxa"/>
          <w:trHeight w:val="272"/>
        </w:trPr>
        <w:tc>
          <w:tcPr>
            <w:tcW w:w="1833" w:type="dxa"/>
            <w:tcBorders>
              <w:top w:val="single" w:sz="4" w:space="0" w:color="auto"/>
              <w:left w:val="nil"/>
              <w:bottom w:val="nil"/>
              <w:right w:val="nil"/>
            </w:tcBorders>
          </w:tcPr>
          <w:p w14:paraId="49E02B3E" w14:textId="77777777" w:rsidR="008226A2" w:rsidRPr="00CA5619" w:rsidRDefault="008226A2" w:rsidP="00B17437">
            <w:pPr>
              <w:widowControl w:val="0"/>
              <w:autoSpaceDE w:val="0"/>
              <w:autoSpaceDN w:val="0"/>
              <w:adjustRightInd w:val="0"/>
              <w:spacing w:line="240" w:lineRule="auto"/>
              <w:rPr>
                <w:rFonts w:cs="Segoe UI"/>
                <w:iCs/>
                <w:sz w:val="18"/>
                <w:szCs w:val="18"/>
                <w:highlight w:val="yellow"/>
                <w:lang w:val="en-US" w:eastAsia="en-GB"/>
              </w:rPr>
            </w:pPr>
            <w:r w:rsidRPr="00CA5619">
              <w:rPr>
                <w:rFonts w:cs="Segoe UI"/>
                <w:iCs/>
                <w:sz w:val="18"/>
                <w:szCs w:val="18"/>
                <w:highlight w:val="yellow"/>
                <w:lang w:val="en-US" w:eastAsia="en-GB"/>
              </w:rPr>
              <w:t>AIC</w:t>
            </w:r>
          </w:p>
        </w:tc>
        <w:tc>
          <w:tcPr>
            <w:tcW w:w="855" w:type="dxa"/>
            <w:tcBorders>
              <w:top w:val="single" w:sz="4" w:space="0" w:color="auto"/>
              <w:left w:val="nil"/>
              <w:bottom w:val="nil"/>
              <w:right w:val="nil"/>
            </w:tcBorders>
          </w:tcPr>
          <w:p w14:paraId="37E7D8A5"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49720</w:t>
            </w:r>
          </w:p>
        </w:tc>
        <w:tc>
          <w:tcPr>
            <w:tcW w:w="850" w:type="dxa"/>
            <w:tcBorders>
              <w:top w:val="single" w:sz="4" w:space="0" w:color="auto"/>
              <w:left w:val="nil"/>
              <w:bottom w:val="nil"/>
              <w:right w:val="nil"/>
            </w:tcBorders>
          </w:tcPr>
          <w:p w14:paraId="546EF3BA"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49577</w:t>
            </w:r>
          </w:p>
        </w:tc>
        <w:tc>
          <w:tcPr>
            <w:tcW w:w="851" w:type="dxa"/>
            <w:tcBorders>
              <w:top w:val="single" w:sz="4" w:space="0" w:color="auto"/>
              <w:left w:val="nil"/>
              <w:bottom w:val="nil"/>
              <w:right w:val="nil"/>
            </w:tcBorders>
          </w:tcPr>
          <w:p w14:paraId="3F8912D8"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49422</w:t>
            </w:r>
          </w:p>
        </w:tc>
        <w:tc>
          <w:tcPr>
            <w:tcW w:w="850" w:type="dxa"/>
            <w:tcBorders>
              <w:top w:val="single" w:sz="4" w:space="0" w:color="auto"/>
              <w:left w:val="nil"/>
              <w:bottom w:val="nil"/>
              <w:right w:val="nil"/>
            </w:tcBorders>
          </w:tcPr>
          <w:p w14:paraId="08A4AE02"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48851</w:t>
            </w:r>
          </w:p>
        </w:tc>
        <w:tc>
          <w:tcPr>
            <w:tcW w:w="851" w:type="dxa"/>
            <w:tcBorders>
              <w:top w:val="single" w:sz="4" w:space="0" w:color="auto"/>
              <w:left w:val="nil"/>
              <w:bottom w:val="nil"/>
              <w:right w:val="nil"/>
            </w:tcBorders>
          </w:tcPr>
          <w:p w14:paraId="30B4256B"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48619</w:t>
            </w:r>
          </w:p>
        </w:tc>
        <w:tc>
          <w:tcPr>
            <w:tcW w:w="850" w:type="dxa"/>
            <w:tcBorders>
              <w:top w:val="single" w:sz="4" w:space="0" w:color="auto"/>
              <w:left w:val="nil"/>
              <w:bottom w:val="nil"/>
              <w:right w:val="nil"/>
            </w:tcBorders>
          </w:tcPr>
          <w:p w14:paraId="0A0C5789"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47820</w:t>
            </w:r>
          </w:p>
        </w:tc>
        <w:tc>
          <w:tcPr>
            <w:tcW w:w="851" w:type="dxa"/>
            <w:tcBorders>
              <w:top w:val="single" w:sz="4" w:space="0" w:color="auto"/>
              <w:left w:val="nil"/>
              <w:bottom w:val="nil"/>
              <w:right w:val="nil"/>
            </w:tcBorders>
          </w:tcPr>
          <w:p w14:paraId="1686D832"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48561</w:t>
            </w:r>
          </w:p>
        </w:tc>
        <w:tc>
          <w:tcPr>
            <w:tcW w:w="850" w:type="dxa"/>
            <w:tcBorders>
              <w:top w:val="single" w:sz="4" w:space="0" w:color="auto"/>
              <w:left w:val="nil"/>
              <w:bottom w:val="nil"/>
              <w:right w:val="nil"/>
            </w:tcBorders>
          </w:tcPr>
          <w:p w14:paraId="4E20BD32"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46299</w:t>
            </w:r>
          </w:p>
        </w:tc>
        <w:tc>
          <w:tcPr>
            <w:tcW w:w="992" w:type="dxa"/>
            <w:tcBorders>
              <w:top w:val="single" w:sz="4" w:space="0" w:color="auto"/>
              <w:left w:val="nil"/>
              <w:bottom w:val="nil"/>
              <w:right w:val="nil"/>
            </w:tcBorders>
          </w:tcPr>
          <w:p w14:paraId="5907087F"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42741</w:t>
            </w:r>
          </w:p>
        </w:tc>
        <w:tc>
          <w:tcPr>
            <w:tcW w:w="993" w:type="dxa"/>
            <w:tcBorders>
              <w:top w:val="single" w:sz="4" w:space="0" w:color="auto"/>
              <w:left w:val="nil"/>
              <w:bottom w:val="nil"/>
              <w:right w:val="nil"/>
            </w:tcBorders>
          </w:tcPr>
          <w:p w14:paraId="7DDDC819"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42741</w:t>
            </w:r>
          </w:p>
        </w:tc>
        <w:tc>
          <w:tcPr>
            <w:tcW w:w="850" w:type="dxa"/>
            <w:tcBorders>
              <w:top w:val="single" w:sz="4" w:space="0" w:color="auto"/>
              <w:left w:val="nil"/>
              <w:bottom w:val="nil"/>
              <w:right w:val="nil"/>
            </w:tcBorders>
          </w:tcPr>
          <w:p w14:paraId="405270BA"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42726</w:t>
            </w:r>
          </w:p>
        </w:tc>
        <w:tc>
          <w:tcPr>
            <w:tcW w:w="851" w:type="dxa"/>
            <w:tcBorders>
              <w:top w:val="single" w:sz="4" w:space="0" w:color="auto"/>
              <w:left w:val="nil"/>
              <w:bottom w:val="nil"/>
              <w:right w:val="nil"/>
            </w:tcBorders>
          </w:tcPr>
          <w:p w14:paraId="35BB5CF9"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42736</w:t>
            </w:r>
          </w:p>
        </w:tc>
        <w:tc>
          <w:tcPr>
            <w:tcW w:w="850" w:type="dxa"/>
            <w:tcBorders>
              <w:top w:val="single" w:sz="4" w:space="0" w:color="auto"/>
              <w:left w:val="nil"/>
              <w:bottom w:val="nil"/>
              <w:right w:val="nil"/>
            </w:tcBorders>
          </w:tcPr>
          <w:p w14:paraId="6FEA8848"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42730</w:t>
            </w:r>
          </w:p>
        </w:tc>
        <w:tc>
          <w:tcPr>
            <w:tcW w:w="851" w:type="dxa"/>
            <w:tcBorders>
              <w:top w:val="single" w:sz="4" w:space="0" w:color="auto"/>
              <w:left w:val="nil"/>
              <w:bottom w:val="nil"/>
              <w:right w:val="nil"/>
            </w:tcBorders>
          </w:tcPr>
          <w:p w14:paraId="137B2B78"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42740</w:t>
            </w:r>
          </w:p>
        </w:tc>
        <w:tc>
          <w:tcPr>
            <w:tcW w:w="851" w:type="dxa"/>
            <w:tcBorders>
              <w:top w:val="single" w:sz="4" w:space="0" w:color="auto"/>
              <w:left w:val="nil"/>
              <w:bottom w:val="nil"/>
              <w:right w:val="nil"/>
            </w:tcBorders>
          </w:tcPr>
          <w:p w14:paraId="773F5110"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42733</w:t>
            </w:r>
          </w:p>
        </w:tc>
      </w:tr>
      <w:tr w:rsidR="008226A2" w:rsidRPr="00CA5619" w14:paraId="43F8FC3F" w14:textId="77777777" w:rsidTr="00B17437">
        <w:trPr>
          <w:gridAfter w:val="1"/>
          <w:wAfter w:w="846" w:type="dxa"/>
          <w:trHeight w:val="272"/>
        </w:trPr>
        <w:tc>
          <w:tcPr>
            <w:tcW w:w="1833" w:type="dxa"/>
            <w:tcBorders>
              <w:top w:val="single" w:sz="4" w:space="0" w:color="auto"/>
              <w:left w:val="nil"/>
              <w:bottom w:val="nil"/>
              <w:right w:val="nil"/>
            </w:tcBorders>
          </w:tcPr>
          <w:p w14:paraId="079AAEC9" w14:textId="77777777" w:rsidR="008226A2" w:rsidRPr="00CA5619" w:rsidRDefault="008226A2" w:rsidP="00B17437">
            <w:pPr>
              <w:widowControl w:val="0"/>
              <w:autoSpaceDE w:val="0"/>
              <w:autoSpaceDN w:val="0"/>
              <w:adjustRightInd w:val="0"/>
              <w:spacing w:line="240" w:lineRule="auto"/>
              <w:rPr>
                <w:rFonts w:cs="Segoe UI"/>
                <w:iCs/>
                <w:sz w:val="18"/>
                <w:szCs w:val="18"/>
                <w:highlight w:val="yellow"/>
                <w:lang w:val="en-US" w:eastAsia="en-GB"/>
              </w:rPr>
            </w:pPr>
            <w:r w:rsidRPr="00CA5619">
              <w:rPr>
                <w:rFonts w:cs="Segoe UI"/>
                <w:iCs/>
                <w:sz w:val="18"/>
                <w:szCs w:val="18"/>
                <w:highlight w:val="yellow"/>
                <w:lang w:val="en-US" w:eastAsia="en-GB"/>
              </w:rPr>
              <w:t>BIC</w:t>
            </w:r>
          </w:p>
        </w:tc>
        <w:tc>
          <w:tcPr>
            <w:tcW w:w="855" w:type="dxa"/>
            <w:tcBorders>
              <w:top w:val="single" w:sz="4" w:space="0" w:color="auto"/>
              <w:left w:val="nil"/>
              <w:bottom w:val="nil"/>
              <w:right w:val="nil"/>
            </w:tcBorders>
          </w:tcPr>
          <w:p w14:paraId="543019CE"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479771</w:t>
            </w:r>
          </w:p>
        </w:tc>
        <w:tc>
          <w:tcPr>
            <w:tcW w:w="850" w:type="dxa"/>
            <w:tcBorders>
              <w:top w:val="single" w:sz="4" w:space="0" w:color="auto"/>
              <w:left w:val="nil"/>
              <w:bottom w:val="nil"/>
              <w:right w:val="nil"/>
            </w:tcBorders>
          </w:tcPr>
          <w:p w14:paraId="545AC3EF"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49645</w:t>
            </w:r>
          </w:p>
        </w:tc>
        <w:tc>
          <w:tcPr>
            <w:tcW w:w="851" w:type="dxa"/>
            <w:tcBorders>
              <w:top w:val="single" w:sz="4" w:space="0" w:color="auto"/>
              <w:left w:val="nil"/>
              <w:bottom w:val="nil"/>
              <w:right w:val="nil"/>
            </w:tcBorders>
          </w:tcPr>
          <w:p w14:paraId="391B8855"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49516</w:t>
            </w:r>
          </w:p>
        </w:tc>
        <w:tc>
          <w:tcPr>
            <w:tcW w:w="850" w:type="dxa"/>
            <w:tcBorders>
              <w:top w:val="single" w:sz="4" w:space="0" w:color="auto"/>
              <w:left w:val="nil"/>
              <w:bottom w:val="nil"/>
              <w:right w:val="nil"/>
            </w:tcBorders>
          </w:tcPr>
          <w:p w14:paraId="7049FCEB"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48944</w:t>
            </w:r>
          </w:p>
        </w:tc>
        <w:tc>
          <w:tcPr>
            <w:tcW w:w="851" w:type="dxa"/>
            <w:tcBorders>
              <w:top w:val="single" w:sz="4" w:space="0" w:color="auto"/>
              <w:left w:val="nil"/>
              <w:bottom w:val="nil"/>
              <w:right w:val="nil"/>
            </w:tcBorders>
          </w:tcPr>
          <w:p w14:paraId="6178AD9E"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48721</w:t>
            </w:r>
          </w:p>
        </w:tc>
        <w:tc>
          <w:tcPr>
            <w:tcW w:w="850" w:type="dxa"/>
            <w:tcBorders>
              <w:top w:val="single" w:sz="4" w:space="0" w:color="auto"/>
              <w:left w:val="nil"/>
              <w:bottom w:val="nil"/>
              <w:right w:val="nil"/>
            </w:tcBorders>
          </w:tcPr>
          <w:p w14:paraId="6DA9761D"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47913</w:t>
            </w:r>
          </w:p>
        </w:tc>
        <w:tc>
          <w:tcPr>
            <w:tcW w:w="851" w:type="dxa"/>
            <w:tcBorders>
              <w:top w:val="single" w:sz="4" w:space="0" w:color="auto"/>
              <w:left w:val="nil"/>
              <w:bottom w:val="nil"/>
              <w:right w:val="nil"/>
            </w:tcBorders>
          </w:tcPr>
          <w:p w14:paraId="19253012"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48698</w:t>
            </w:r>
          </w:p>
        </w:tc>
        <w:tc>
          <w:tcPr>
            <w:tcW w:w="850" w:type="dxa"/>
            <w:tcBorders>
              <w:top w:val="single" w:sz="4" w:space="0" w:color="auto"/>
              <w:left w:val="nil"/>
              <w:bottom w:val="nil"/>
              <w:right w:val="nil"/>
            </w:tcBorders>
          </w:tcPr>
          <w:p w14:paraId="42B1EDFE"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46548</w:t>
            </w:r>
          </w:p>
        </w:tc>
        <w:tc>
          <w:tcPr>
            <w:tcW w:w="992" w:type="dxa"/>
            <w:tcBorders>
              <w:top w:val="single" w:sz="4" w:space="0" w:color="auto"/>
              <w:left w:val="nil"/>
              <w:bottom w:val="nil"/>
              <w:right w:val="nil"/>
            </w:tcBorders>
          </w:tcPr>
          <w:p w14:paraId="3F03FFBE"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42998</w:t>
            </w:r>
          </w:p>
        </w:tc>
        <w:tc>
          <w:tcPr>
            <w:tcW w:w="993" w:type="dxa"/>
            <w:tcBorders>
              <w:top w:val="single" w:sz="4" w:space="0" w:color="auto"/>
              <w:left w:val="nil"/>
              <w:bottom w:val="nil"/>
              <w:right w:val="nil"/>
            </w:tcBorders>
          </w:tcPr>
          <w:p w14:paraId="1776E708"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43006</w:t>
            </w:r>
          </w:p>
        </w:tc>
        <w:tc>
          <w:tcPr>
            <w:tcW w:w="850" w:type="dxa"/>
            <w:tcBorders>
              <w:top w:val="single" w:sz="4" w:space="0" w:color="auto"/>
              <w:left w:val="nil"/>
              <w:bottom w:val="nil"/>
              <w:right w:val="nil"/>
            </w:tcBorders>
          </w:tcPr>
          <w:p w14:paraId="4789CA90"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42991</w:t>
            </w:r>
          </w:p>
        </w:tc>
        <w:tc>
          <w:tcPr>
            <w:tcW w:w="851" w:type="dxa"/>
            <w:tcBorders>
              <w:top w:val="single" w:sz="4" w:space="0" w:color="auto"/>
              <w:left w:val="nil"/>
              <w:bottom w:val="nil"/>
              <w:right w:val="nil"/>
            </w:tcBorders>
          </w:tcPr>
          <w:p w14:paraId="0C2CDA0C"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43001</w:t>
            </w:r>
          </w:p>
        </w:tc>
        <w:tc>
          <w:tcPr>
            <w:tcW w:w="850" w:type="dxa"/>
            <w:tcBorders>
              <w:top w:val="single" w:sz="4" w:space="0" w:color="auto"/>
              <w:left w:val="nil"/>
              <w:bottom w:val="nil"/>
              <w:right w:val="nil"/>
            </w:tcBorders>
          </w:tcPr>
          <w:p w14:paraId="2FB5A8C5"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42995</w:t>
            </w:r>
          </w:p>
        </w:tc>
        <w:tc>
          <w:tcPr>
            <w:tcW w:w="851" w:type="dxa"/>
            <w:tcBorders>
              <w:top w:val="single" w:sz="4" w:space="0" w:color="auto"/>
              <w:left w:val="nil"/>
              <w:bottom w:val="nil"/>
              <w:right w:val="nil"/>
            </w:tcBorders>
          </w:tcPr>
          <w:p w14:paraId="6718600F"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43005</w:t>
            </w:r>
          </w:p>
        </w:tc>
        <w:tc>
          <w:tcPr>
            <w:tcW w:w="851" w:type="dxa"/>
            <w:tcBorders>
              <w:top w:val="single" w:sz="4" w:space="0" w:color="auto"/>
              <w:left w:val="nil"/>
              <w:bottom w:val="nil"/>
              <w:right w:val="nil"/>
            </w:tcBorders>
          </w:tcPr>
          <w:p w14:paraId="2D2A1F21" w14:textId="77777777" w:rsidR="008226A2" w:rsidRPr="00CA5619" w:rsidRDefault="008226A2"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43007</w:t>
            </w:r>
          </w:p>
        </w:tc>
      </w:tr>
      <w:tr w:rsidR="0002263B" w:rsidRPr="00CA5619" w14:paraId="5F1183EC" w14:textId="77777777" w:rsidTr="00FF0E2C">
        <w:trPr>
          <w:gridAfter w:val="1"/>
          <w:wAfter w:w="851" w:type="dxa"/>
          <w:trHeight w:val="285"/>
        </w:trPr>
        <w:tc>
          <w:tcPr>
            <w:tcW w:w="1833" w:type="dxa"/>
            <w:tcBorders>
              <w:top w:val="nil"/>
              <w:left w:val="nil"/>
              <w:bottom w:val="single" w:sz="4" w:space="0" w:color="auto"/>
              <w:right w:val="nil"/>
            </w:tcBorders>
          </w:tcPr>
          <w:p w14:paraId="1A66CEB3" w14:textId="77777777" w:rsidR="0002263B" w:rsidRPr="00CA5619" w:rsidRDefault="0002263B" w:rsidP="00223284">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ICC</w:t>
            </w:r>
          </w:p>
        </w:tc>
        <w:tc>
          <w:tcPr>
            <w:tcW w:w="855" w:type="dxa"/>
            <w:tcBorders>
              <w:top w:val="nil"/>
              <w:left w:val="nil"/>
              <w:bottom w:val="single" w:sz="4" w:space="0" w:color="auto"/>
              <w:right w:val="nil"/>
            </w:tcBorders>
          </w:tcPr>
          <w:p w14:paraId="75146E2F"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nil"/>
            </w:tcBorders>
          </w:tcPr>
          <w:p w14:paraId="2BD3F404"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tcPr>
          <w:p w14:paraId="7D45098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nil"/>
            </w:tcBorders>
          </w:tcPr>
          <w:p w14:paraId="5C8A81B6"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tcPr>
          <w:p w14:paraId="489F1A0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nil"/>
            </w:tcBorders>
          </w:tcPr>
          <w:p w14:paraId="1AB6628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tcPr>
          <w:p w14:paraId="61ED87D0"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single" w:sz="4" w:space="0" w:color="auto"/>
            </w:tcBorders>
          </w:tcPr>
          <w:p w14:paraId="7080230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992" w:type="dxa"/>
            <w:tcBorders>
              <w:top w:val="nil"/>
              <w:left w:val="single" w:sz="4" w:space="0" w:color="auto"/>
              <w:bottom w:val="single" w:sz="4" w:space="0" w:color="auto"/>
              <w:right w:val="nil"/>
            </w:tcBorders>
          </w:tcPr>
          <w:p w14:paraId="7ECDD0E2"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.181763</w:t>
            </w:r>
          </w:p>
        </w:tc>
        <w:tc>
          <w:tcPr>
            <w:tcW w:w="993" w:type="dxa"/>
            <w:tcBorders>
              <w:top w:val="nil"/>
              <w:left w:val="nil"/>
              <w:bottom w:val="single" w:sz="4" w:space="0" w:color="auto"/>
              <w:right w:val="nil"/>
            </w:tcBorders>
          </w:tcPr>
          <w:p w14:paraId="38D37799"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.174831</w:t>
            </w:r>
          </w:p>
        </w:tc>
        <w:tc>
          <w:tcPr>
            <w:tcW w:w="850" w:type="dxa"/>
            <w:tcBorders>
              <w:top w:val="nil"/>
              <w:left w:val="nil"/>
              <w:bottom w:val="single" w:sz="4" w:space="0" w:color="auto"/>
              <w:right w:val="nil"/>
            </w:tcBorders>
          </w:tcPr>
          <w:p w14:paraId="239FE80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.128592</w:t>
            </w:r>
          </w:p>
        </w:tc>
        <w:tc>
          <w:tcPr>
            <w:tcW w:w="851" w:type="dxa"/>
            <w:tcBorders>
              <w:top w:val="nil"/>
              <w:left w:val="nil"/>
              <w:bottom w:val="single" w:sz="4" w:space="0" w:color="auto"/>
              <w:right w:val="nil"/>
            </w:tcBorders>
          </w:tcPr>
          <w:p w14:paraId="4895E86E"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.157854</w:t>
            </w:r>
          </w:p>
        </w:tc>
        <w:tc>
          <w:tcPr>
            <w:tcW w:w="850" w:type="dxa"/>
            <w:tcBorders>
              <w:top w:val="nil"/>
              <w:left w:val="nil"/>
              <w:bottom w:val="single" w:sz="4" w:space="0" w:color="auto"/>
              <w:right w:val="nil"/>
            </w:tcBorders>
          </w:tcPr>
          <w:p w14:paraId="3A029628"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.140472</w:t>
            </w:r>
          </w:p>
        </w:tc>
        <w:tc>
          <w:tcPr>
            <w:tcW w:w="851" w:type="dxa"/>
            <w:tcBorders>
              <w:top w:val="nil"/>
              <w:left w:val="nil"/>
              <w:bottom w:val="single" w:sz="4" w:space="0" w:color="auto"/>
              <w:right w:val="nil"/>
            </w:tcBorders>
          </w:tcPr>
          <w:p w14:paraId="10476057"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.169800</w:t>
            </w:r>
          </w:p>
        </w:tc>
        <w:tc>
          <w:tcPr>
            <w:tcW w:w="851" w:type="dxa"/>
            <w:tcBorders>
              <w:top w:val="nil"/>
              <w:left w:val="nil"/>
              <w:bottom w:val="single" w:sz="4" w:space="0" w:color="auto"/>
              <w:right w:val="nil"/>
            </w:tcBorders>
          </w:tcPr>
          <w:p w14:paraId="1D479AFC" w14:textId="77777777" w:rsidR="0002263B" w:rsidRPr="00CA5619" w:rsidRDefault="0002263B" w:rsidP="00223284">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.143985</w:t>
            </w:r>
          </w:p>
        </w:tc>
      </w:tr>
    </w:tbl>
    <w:p w14:paraId="47FA2204" w14:textId="01C2D790" w:rsidR="0002263B" w:rsidRPr="00CA5619" w:rsidRDefault="00717D00" w:rsidP="0002263B">
      <w:pPr>
        <w:jc w:val="right"/>
        <w:rPr>
          <w:sz w:val="16"/>
          <w:szCs w:val="16"/>
          <w:highlight w:val="yellow"/>
        </w:rPr>
      </w:pPr>
      <w:r>
        <w:rPr>
          <w:sz w:val="16"/>
          <w:szCs w:val="16"/>
          <w:highlight w:val="yellow"/>
        </w:rPr>
        <w:t xml:space="preserve">Stand error in brackets. </w:t>
      </w:r>
      <w:r w:rsidR="0002263B" w:rsidRPr="00CA5619">
        <w:rPr>
          <w:sz w:val="16"/>
          <w:szCs w:val="16"/>
          <w:highlight w:val="yellow"/>
        </w:rPr>
        <w:t xml:space="preserve">p&lt;0.1=*, p&lt;0.05**, p&lt;0.001*** </w:t>
      </w:r>
    </w:p>
    <w:bookmarkEnd w:id="394"/>
    <w:p w14:paraId="2BDA1B69" w14:textId="6696518A" w:rsidR="00712968" w:rsidRPr="00CA5619" w:rsidRDefault="00712968" w:rsidP="00C02298">
      <w:pPr>
        <w:rPr>
          <w:highlight w:val="yellow"/>
        </w:rPr>
      </w:pPr>
    </w:p>
    <w:p w14:paraId="2AD52B96" w14:textId="02A6F55E" w:rsidR="00712968" w:rsidRPr="00CA5619" w:rsidRDefault="00712968" w:rsidP="00C02298">
      <w:pPr>
        <w:rPr>
          <w:highlight w:val="yellow"/>
        </w:rPr>
      </w:pPr>
    </w:p>
    <w:p w14:paraId="5A1FDB8F" w14:textId="77777777" w:rsidR="00712968" w:rsidRPr="00CA5619" w:rsidRDefault="00712968" w:rsidP="00C02298">
      <w:pPr>
        <w:rPr>
          <w:highlight w:val="yellow"/>
        </w:rPr>
        <w:sectPr w:rsidR="00712968" w:rsidRPr="00CA5619" w:rsidSect="00712968">
          <w:pgSz w:w="16838" w:h="11906" w:orient="landscape"/>
          <w:pgMar w:top="1440" w:right="1440" w:bottom="1440" w:left="1440" w:header="708" w:footer="708" w:gutter="357"/>
          <w:cols w:space="708"/>
          <w:docGrid w:linePitch="360"/>
        </w:sectPr>
      </w:pPr>
    </w:p>
    <w:p w14:paraId="05760BD7" w14:textId="14878FAB" w:rsidR="002E02EB" w:rsidRPr="00CC7754" w:rsidRDefault="00CC7754" w:rsidP="002E02EB">
      <w:pPr>
        <w:rPr>
          <w:b/>
          <w:highlight w:val="yellow"/>
        </w:rPr>
      </w:pPr>
      <w:r w:rsidRPr="00CC7754">
        <w:rPr>
          <w:rFonts w:cs="Segoe UI"/>
          <w:b/>
          <w:highlight w:val="yellow"/>
        </w:rPr>
        <w:t xml:space="preserve">Figure </w:t>
      </w:r>
      <w:r w:rsidRPr="00CC7754">
        <w:rPr>
          <w:rFonts w:cs="Segoe UI"/>
          <w:b/>
          <w:highlight w:val="yellow"/>
        </w:rPr>
        <w:fldChar w:fldCharType="begin"/>
      </w:r>
      <w:r w:rsidRPr="00CC7754">
        <w:rPr>
          <w:rFonts w:cs="Segoe UI"/>
          <w:b/>
          <w:highlight w:val="yellow"/>
        </w:rPr>
        <w:instrText xml:space="preserve"> STYLEREF 1 \s </w:instrText>
      </w:r>
      <w:r w:rsidRPr="00CC7754">
        <w:rPr>
          <w:rFonts w:cs="Segoe UI"/>
          <w:b/>
          <w:highlight w:val="yellow"/>
        </w:rPr>
        <w:fldChar w:fldCharType="separate"/>
      </w:r>
      <w:r w:rsidRPr="00CC7754">
        <w:rPr>
          <w:rFonts w:cs="Segoe UI"/>
          <w:b/>
          <w:noProof/>
          <w:highlight w:val="yellow"/>
        </w:rPr>
        <w:t>6</w:t>
      </w:r>
      <w:r w:rsidRPr="00CC7754">
        <w:rPr>
          <w:rFonts w:cs="Segoe UI"/>
          <w:b/>
          <w:noProof/>
          <w:highlight w:val="yellow"/>
        </w:rPr>
        <w:fldChar w:fldCharType="end"/>
      </w:r>
      <w:r w:rsidRPr="00CC7754">
        <w:rPr>
          <w:rFonts w:cs="Segoe UI"/>
          <w:b/>
          <w:highlight w:val="yellow"/>
        </w:rPr>
        <w:t>:</w:t>
      </w:r>
      <w:r w:rsidRPr="00CC7754">
        <w:rPr>
          <w:rFonts w:cs="Segoe UI"/>
          <w:b/>
          <w:highlight w:val="yellow"/>
        </w:rPr>
        <w:fldChar w:fldCharType="begin"/>
      </w:r>
      <w:r w:rsidRPr="00CC7754">
        <w:rPr>
          <w:rFonts w:cs="Segoe UI"/>
          <w:b/>
          <w:highlight w:val="yellow"/>
        </w:rPr>
        <w:instrText xml:space="preserve"> SEQ Figure \* ARABIC \s 1 </w:instrText>
      </w:r>
      <w:r w:rsidRPr="00CC7754">
        <w:rPr>
          <w:rFonts w:cs="Segoe UI"/>
          <w:b/>
          <w:highlight w:val="yellow"/>
        </w:rPr>
        <w:fldChar w:fldCharType="separate"/>
      </w:r>
      <w:r w:rsidRPr="00CC7754">
        <w:rPr>
          <w:rFonts w:cs="Segoe UI"/>
          <w:b/>
          <w:noProof/>
          <w:highlight w:val="yellow"/>
        </w:rPr>
        <w:t>11</w:t>
      </w:r>
      <w:r w:rsidRPr="00CC7754">
        <w:rPr>
          <w:rFonts w:cs="Segoe UI"/>
          <w:b/>
          <w:noProof/>
          <w:highlight w:val="yellow"/>
        </w:rPr>
        <w:fldChar w:fldCharType="end"/>
      </w:r>
      <w:r w:rsidRPr="00CC7754">
        <w:rPr>
          <w:b/>
          <w:highlight w:val="yellow"/>
        </w:rPr>
        <w:t xml:space="preserve"> </w:t>
      </w:r>
      <w:r w:rsidR="002E02EB" w:rsidRPr="00CC7754">
        <w:rPr>
          <w:b/>
          <w:highlight w:val="yellow"/>
        </w:rPr>
        <w:t>Boycotting Predictive Margins for Compound and Authoritarian Understandings of Democracy by Gender, Model (P9)</w:t>
      </w:r>
    </w:p>
    <w:p w14:paraId="43A27F27" w14:textId="44978FD7" w:rsidR="002E02EB" w:rsidRDefault="002E02EB" w:rsidP="002E02EB">
      <w:pPr>
        <w:rPr>
          <w:highlight w:val="yellow"/>
        </w:rPr>
      </w:pPr>
      <w:r w:rsidRPr="002E02EB">
        <w:rPr>
          <w:noProof/>
          <w:highlight w:val="yellow"/>
          <w:lang w:eastAsia="zh-CN"/>
        </w:rPr>
        <w:drawing>
          <wp:inline distT="0" distB="0" distL="0" distR="0" wp14:anchorId="16FB4FD1" wp14:editId="37D579A4">
            <wp:extent cx="5112385" cy="3740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2385" cy="3740785"/>
                    </a:xfrm>
                    <a:prstGeom prst="rect">
                      <a:avLst/>
                    </a:prstGeom>
                    <a:noFill/>
                    <a:ln>
                      <a:noFill/>
                    </a:ln>
                  </pic:spPr>
                </pic:pic>
              </a:graphicData>
            </a:graphic>
          </wp:inline>
        </w:drawing>
      </w:r>
    </w:p>
    <w:p w14:paraId="44420995" w14:textId="2792BE7D" w:rsidR="000B4194" w:rsidRPr="00CA5619" w:rsidRDefault="000B4194" w:rsidP="000B4194">
      <w:pPr>
        <w:pStyle w:val="Heading4"/>
        <w:rPr>
          <w:highlight w:val="yellow"/>
        </w:rPr>
      </w:pPr>
      <w:r w:rsidRPr="00CA5619">
        <w:rPr>
          <w:highlight w:val="yellow"/>
        </w:rPr>
        <w:t>Alternative Theories</w:t>
      </w:r>
    </w:p>
    <w:p w14:paraId="0E9FE3BE" w14:textId="351CC183" w:rsidR="000B4194" w:rsidRPr="00CA5619" w:rsidRDefault="000B4194" w:rsidP="000B4194">
      <w:pPr>
        <w:rPr>
          <w:highlight w:val="yellow"/>
        </w:rPr>
      </w:pPr>
      <w:r w:rsidRPr="00CA5619">
        <w:rPr>
          <w:highlight w:val="yellow"/>
        </w:rPr>
        <w:t xml:space="preserve">As with petitioning, it is clear that explanations concerning resources, social capital and </w:t>
      </w:r>
      <w:r w:rsidR="000F3E1C" w:rsidRPr="00CA5619">
        <w:rPr>
          <w:highlight w:val="yellow"/>
        </w:rPr>
        <w:t>cognitive engagement</w:t>
      </w:r>
      <w:r w:rsidRPr="00CA5619">
        <w:rPr>
          <w:highlight w:val="yellow"/>
        </w:rPr>
        <w:t xml:space="preserve"> have explanatory power and follow</w:t>
      </w:r>
      <w:r w:rsidR="000F3E1C" w:rsidRPr="00CA5619">
        <w:rPr>
          <w:highlight w:val="yellow"/>
        </w:rPr>
        <w:t xml:space="preserve"> the theoretical expectations. </w:t>
      </w:r>
      <w:r w:rsidRPr="00CA5619">
        <w:rPr>
          <w:highlight w:val="yellow"/>
        </w:rPr>
        <w:t>The higher educational attainment an individual has, the more likely they are to boycott. This time however, control in life does have an effect, not in an efficacious way, but rather the more control someone has over their life, the less likely they are to have considered or taken part in a boycott. Social capital plays out the same as with petitioning in that being more active in civil society groups leads to a higher chance of boycotting, as does trust in people around you. Once again</w:t>
      </w:r>
      <w:r w:rsidR="000F3E1C" w:rsidRPr="00CA5619">
        <w:rPr>
          <w:highlight w:val="yellow"/>
        </w:rPr>
        <w:t>,</w:t>
      </w:r>
      <w:r w:rsidRPr="00CA5619">
        <w:rPr>
          <w:highlight w:val="yellow"/>
        </w:rPr>
        <w:t xml:space="preserve"> institutional trust can be understood through the lens of critical citizens – the less you trust institutions the more likely you are</w:t>
      </w:r>
      <w:r w:rsidR="000F3E1C" w:rsidRPr="00CA5619">
        <w:rPr>
          <w:highlight w:val="yellow"/>
        </w:rPr>
        <w:t xml:space="preserve"> boycott (Norris 1999; 2002).  And c</w:t>
      </w:r>
      <w:r w:rsidRPr="00CA5619">
        <w:rPr>
          <w:highlight w:val="yellow"/>
        </w:rPr>
        <w:t>ognitive engagement matters</w:t>
      </w:r>
      <w:r w:rsidR="000F3E1C" w:rsidRPr="00CA5619">
        <w:rPr>
          <w:highlight w:val="yellow"/>
        </w:rPr>
        <w:t xml:space="preserve"> in that </w:t>
      </w:r>
      <w:r w:rsidRPr="00CA5619">
        <w:rPr>
          <w:highlight w:val="yellow"/>
        </w:rPr>
        <w:t xml:space="preserve">increased use of media again has a positive relationship, as does interest in politics. </w:t>
      </w:r>
    </w:p>
    <w:p w14:paraId="4A82CAD7" w14:textId="0D4E1D2D" w:rsidR="000F3E1C" w:rsidRPr="00CA5619" w:rsidRDefault="00C3775A" w:rsidP="00C3775A">
      <w:pPr>
        <w:rPr>
          <w:highlight w:val="yellow"/>
        </w:rPr>
      </w:pPr>
      <w:r w:rsidRPr="00CA5619">
        <w:rPr>
          <w:highlight w:val="yellow"/>
        </w:rPr>
        <w:t xml:space="preserve">Religiosity again has a negative effect </w:t>
      </w:r>
      <w:r w:rsidR="000F3E1C" w:rsidRPr="00CA5619">
        <w:rPr>
          <w:highlight w:val="yellow"/>
        </w:rPr>
        <w:t>but</w:t>
      </w:r>
      <w:r w:rsidRPr="00CA5619">
        <w:rPr>
          <w:highlight w:val="yellow"/>
        </w:rPr>
        <w:t xml:space="preserve"> when it comes </w:t>
      </w:r>
      <w:r w:rsidR="000F3E1C" w:rsidRPr="00CA5619">
        <w:rPr>
          <w:highlight w:val="yellow"/>
        </w:rPr>
        <w:t>to individual religious beliefs these do not reach significance in the MLM, apart from a weak positive relationship with Islam and a weak negative relatio</w:t>
      </w:r>
      <w:r w:rsidR="00F1033F" w:rsidRPr="00CA5619">
        <w:rPr>
          <w:highlight w:val="yellow"/>
        </w:rPr>
        <w:t>n</w:t>
      </w:r>
      <w:r w:rsidR="000F3E1C" w:rsidRPr="00CA5619">
        <w:rPr>
          <w:highlight w:val="yellow"/>
        </w:rPr>
        <w:t>ship with Orthodox once</w:t>
      </w:r>
      <w:r w:rsidR="00F1033F" w:rsidRPr="00CA5619">
        <w:rPr>
          <w:highlight w:val="yellow"/>
        </w:rPr>
        <w:t xml:space="preserve"> democratic history is taken into account. This provides additional evidence for the need for further research to unpick religious effects on political participation in different contexts (Sarkissian 2012).</w:t>
      </w:r>
    </w:p>
    <w:p w14:paraId="4BFFD1A0" w14:textId="153D72B9" w:rsidR="00C3775A" w:rsidRPr="00CA5619" w:rsidRDefault="004D0EE2" w:rsidP="00C3775A">
      <w:pPr>
        <w:rPr>
          <w:highlight w:val="yellow"/>
        </w:rPr>
      </w:pPr>
      <w:r w:rsidRPr="00CA5619">
        <w:rPr>
          <w:highlight w:val="yellow"/>
        </w:rPr>
        <w:t>In terms of the remaining contextual indicators</w:t>
      </w:r>
      <w:r w:rsidR="00F1033F" w:rsidRPr="00CA5619">
        <w:rPr>
          <w:highlight w:val="yellow"/>
        </w:rPr>
        <w:t>, HDI does not have an effect. This is perhaps unexpected as you might expect boycotting to be more popular in wealthier and more developed countries where individuals have the resources to mak</w:t>
      </w:r>
      <w:r w:rsidR="001B407A" w:rsidRPr="00CA5619">
        <w:rPr>
          <w:highlight w:val="yellow"/>
        </w:rPr>
        <w:t xml:space="preserve">e political consumption choices, guided by post-material values </w:t>
      </w:r>
      <w:r w:rsidR="001B407A" w:rsidRPr="00CA5619">
        <w:rPr>
          <w:highlight w:val="yellow"/>
        </w:rPr>
        <w:fldChar w:fldCharType="begin" w:fldLock="1"/>
      </w:r>
      <w:r w:rsidR="00366571">
        <w:rPr>
          <w:highlight w:val="yellow"/>
        </w:rPr>
        <w:instrText>ADDIN CSL_CITATION { "citationItems" : [ { "id" : "ITEM-1", "itemData" : { "DOI" : "10.1177/002071520204300305", "ISSN" : "0020-7152", "author" : [ { "dropping-particle" : "", "family" : "Inglehart", "given" : "R.", "non-dropping-particle" : "", "parse-names" : false, "suffix" : "" } ], "container-title" : "International Journal of Comparative Sociology", "id" : "ITEM-1", "issue" : "3-5", "issued" : { "date-parts" : [ [ "2002", "10", "1" ] ] }, "page" : "300-316", "title" : "Trends in Political Action: The Developmental Trend and the Post-Honeymoon Decline", "type" : "article-journal", "volume" : "43" }, "uris" : [ "http://www.mendeley.com/documents/?uuid=434ddf6f-bf94-4cb8-8972-eee625448eeb" ] } ], "mendeley" : { "formattedCitation" : "(Inglehart, 2002)", "plainTextFormattedCitation" : "(Inglehart, 2002)", "previouslyFormattedCitation" : "(Inglehart, 2002)" }, "properties" : { "noteIndex" : 0 }, "schema" : "https://github.com/citation-style-language/schema/raw/master/csl-citation.json" }</w:instrText>
      </w:r>
      <w:r w:rsidR="001B407A" w:rsidRPr="00CA5619">
        <w:rPr>
          <w:highlight w:val="yellow"/>
        </w:rPr>
        <w:fldChar w:fldCharType="separate"/>
      </w:r>
      <w:r w:rsidR="001B407A" w:rsidRPr="00CA5619">
        <w:rPr>
          <w:noProof/>
          <w:highlight w:val="yellow"/>
        </w:rPr>
        <w:t>(Inglehart, 2002)</w:t>
      </w:r>
      <w:r w:rsidR="001B407A" w:rsidRPr="00CA5619">
        <w:rPr>
          <w:highlight w:val="yellow"/>
        </w:rPr>
        <w:fldChar w:fldCharType="end"/>
      </w:r>
      <w:r w:rsidR="001B407A" w:rsidRPr="00CA5619">
        <w:rPr>
          <w:highlight w:val="yellow"/>
        </w:rPr>
        <w:t xml:space="preserve">. However, democratic history and press freedom follow the same relationship as with petitioning – a longer history and more freedom are associated with higher likelihoods of boycotting behaviour. Having a communist history decreases likelihood, as does living in a Not Free state, however, living in a Partly Free state appears to have no difference in likelihood levels than a completely Free state. </w:t>
      </w:r>
      <w:r w:rsidR="00B10281" w:rsidRPr="00CA5619">
        <w:rPr>
          <w:highlight w:val="yellow"/>
        </w:rPr>
        <w:t xml:space="preserve">Income inequality again has no significant result. </w:t>
      </w:r>
    </w:p>
    <w:p w14:paraId="52C04ABC" w14:textId="77777777" w:rsidR="00D66210" w:rsidRPr="00CA5619" w:rsidRDefault="00D66210" w:rsidP="00D66210">
      <w:pPr>
        <w:pStyle w:val="Heading3"/>
        <w:rPr>
          <w:highlight w:val="yellow"/>
        </w:rPr>
      </w:pPr>
      <w:bookmarkStart w:id="395" w:name="_Toc441069297"/>
      <w:r w:rsidRPr="00CA5619">
        <w:rPr>
          <w:highlight w:val="yellow"/>
        </w:rPr>
        <w:t>Demonstrating</w:t>
      </w:r>
      <w:bookmarkEnd w:id="395"/>
    </w:p>
    <w:p w14:paraId="35FFFDB7" w14:textId="6F4A0A8E" w:rsidR="00D66210" w:rsidRPr="00CA5619" w:rsidRDefault="00D66210" w:rsidP="00D66210">
      <w:pPr>
        <w:rPr>
          <w:highlight w:val="yellow"/>
        </w:rPr>
      </w:pPr>
      <w:r w:rsidRPr="00CA5619">
        <w:rPr>
          <w:highlight w:val="yellow"/>
        </w:rPr>
        <w:t xml:space="preserve">Demonstrating is the riskiest and most costly form of informal political participation under examination here, but almost half of people claim to have done it, or would consider doing it. </w:t>
      </w:r>
      <w:r w:rsidR="00507BB8" w:rsidRPr="00CA5619">
        <w:rPr>
          <w:highlight w:val="yellow"/>
        </w:rPr>
        <w:t>The models are presented in the same order as for petitioning and boycotting.</w:t>
      </w:r>
    </w:p>
    <w:p w14:paraId="1AF68C6A" w14:textId="610C224F" w:rsidR="00B10281" w:rsidRPr="00CA5619" w:rsidRDefault="00B10281" w:rsidP="00B10281">
      <w:pPr>
        <w:pStyle w:val="Heading4"/>
        <w:rPr>
          <w:highlight w:val="yellow"/>
        </w:rPr>
      </w:pPr>
      <w:bookmarkStart w:id="396" w:name="_Toc441069299"/>
      <w:r w:rsidRPr="00CA5619">
        <w:rPr>
          <w:highlight w:val="yellow"/>
        </w:rPr>
        <w:t>Democratic Attitudes and Demonstrating</w:t>
      </w:r>
    </w:p>
    <w:p w14:paraId="7F75834A" w14:textId="3E003A33" w:rsidR="00B10281" w:rsidRPr="00CA5619" w:rsidRDefault="00B10281" w:rsidP="00B10281">
      <w:pPr>
        <w:rPr>
          <w:highlight w:val="yellow"/>
        </w:rPr>
      </w:pPr>
      <w:r w:rsidRPr="00CA5619">
        <w:rPr>
          <w:highlight w:val="yellow"/>
        </w:rPr>
        <w:t>In this final test of the democratic conceptualisation measures they again have explanatory power, and again in the expected direction; those who buy more into the compound understanding have a higher likelihood of demonstrating, and those who buy more into the authoritarian unders</w:t>
      </w:r>
      <w:r w:rsidR="00A14F76">
        <w:rPr>
          <w:highlight w:val="yellow"/>
        </w:rPr>
        <w:t>tanding have a lower likelihood (see Figure 6.12 and 6.13)</w:t>
      </w:r>
    </w:p>
    <w:p w14:paraId="5A3AA458" w14:textId="580D9BB5" w:rsidR="00B10281" w:rsidRDefault="00B10281" w:rsidP="00B10281">
      <w:pPr>
        <w:rPr>
          <w:highlight w:val="yellow"/>
        </w:rPr>
      </w:pPr>
      <w:r w:rsidRPr="00CA5619">
        <w:rPr>
          <w:highlight w:val="yellow"/>
        </w:rPr>
        <w:t>Overall</w:t>
      </w:r>
      <w:r w:rsidR="00A14F76">
        <w:rPr>
          <w:highlight w:val="yellow"/>
        </w:rPr>
        <w:t>,</w:t>
      </w:r>
      <w:r w:rsidRPr="00CA5619">
        <w:rPr>
          <w:highlight w:val="yellow"/>
        </w:rPr>
        <w:t xml:space="preserve"> this shows that the democracy variables have a robust and consistent effect across all three types of informal participation. It provides evidence that the way an individual understands the idea of democracy </w:t>
      </w:r>
      <w:r w:rsidR="00A14F76">
        <w:rPr>
          <w:highlight w:val="yellow"/>
        </w:rPr>
        <w:t>influences</w:t>
      </w:r>
      <w:r w:rsidRPr="00CA5619">
        <w:rPr>
          <w:highlight w:val="yellow"/>
        </w:rPr>
        <w:t xml:space="preserve"> their propensity to get involved in informal political participation. This finding has an effect above and beyond assessments and support for the idea of democracy in the abstract. In other words, the </w:t>
      </w:r>
      <w:r w:rsidRPr="00CA5619">
        <w:rPr>
          <w:i/>
          <w:highlight w:val="yellow"/>
        </w:rPr>
        <w:t>substantive</w:t>
      </w:r>
      <w:r w:rsidRPr="00CA5619">
        <w:rPr>
          <w:highlight w:val="yellow"/>
        </w:rPr>
        <w:t xml:space="preserve"> understanding of the idea matters, as well as lip-service paid to it.</w:t>
      </w:r>
    </w:p>
    <w:bookmarkEnd w:id="396"/>
    <w:p w14:paraId="68ADC751" w14:textId="400C5E67" w:rsidR="00F127C6" w:rsidRPr="00CA5619" w:rsidRDefault="00F127C6" w:rsidP="004D0EE2">
      <w:pPr>
        <w:rPr>
          <w:highlight w:val="yellow"/>
        </w:rPr>
        <w:sectPr w:rsidR="00F127C6" w:rsidRPr="00CA5619" w:rsidSect="00F127C6">
          <w:pgSz w:w="11906" w:h="16838"/>
          <w:pgMar w:top="1440" w:right="1440" w:bottom="1440" w:left="1440" w:header="708" w:footer="708" w:gutter="357"/>
          <w:cols w:space="708"/>
          <w:docGrid w:linePitch="360"/>
        </w:sectPr>
      </w:pPr>
    </w:p>
    <w:p w14:paraId="4E9E6A97" w14:textId="1A5DA110" w:rsidR="00EB49FE" w:rsidRPr="008E00EB" w:rsidRDefault="008E00EB" w:rsidP="00EB49FE">
      <w:pPr>
        <w:rPr>
          <w:b/>
          <w:highlight w:val="yellow"/>
        </w:rPr>
      </w:pPr>
      <w:r w:rsidRPr="008E00EB">
        <w:rPr>
          <w:rFonts w:cs="Segoe UI"/>
          <w:b/>
          <w:highlight w:val="yellow"/>
        </w:rPr>
        <w:t xml:space="preserve">Figure </w:t>
      </w:r>
      <w:r w:rsidRPr="008E00EB">
        <w:rPr>
          <w:rFonts w:cs="Segoe UI"/>
          <w:b/>
          <w:highlight w:val="yellow"/>
        </w:rPr>
        <w:fldChar w:fldCharType="begin"/>
      </w:r>
      <w:r w:rsidRPr="008E00EB">
        <w:rPr>
          <w:rFonts w:cs="Segoe UI"/>
          <w:b/>
          <w:highlight w:val="yellow"/>
        </w:rPr>
        <w:instrText xml:space="preserve"> STYLEREF 1 \s </w:instrText>
      </w:r>
      <w:r w:rsidRPr="008E00EB">
        <w:rPr>
          <w:rFonts w:cs="Segoe UI"/>
          <w:b/>
          <w:highlight w:val="yellow"/>
        </w:rPr>
        <w:fldChar w:fldCharType="separate"/>
      </w:r>
      <w:r w:rsidRPr="008E00EB">
        <w:rPr>
          <w:rFonts w:cs="Segoe UI"/>
          <w:b/>
          <w:noProof/>
          <w:highlight w:val="yellow"/>
        </w:rPr>
        <w:t>6</w:t>
      </w:r>
      <w:r w:rsidRPr="008E00EB">
        <w:rPr>
          <w:rFonts w:cs="Segoe UI"/>
          <w:b/>
          <w:noProof/>
          <w:highlight w:val="yellow"/>
        </w:rPr>
        <w:fldChar w:fldCharType="end"/>
      </w:r>
      <w:r w:rsidRPr="008E00EB">
        <w:rPr>
          <w:rFonts w:cs="Segoe UI"/>
          <w:b/>
          <w:highlight w:val="yellow"/>
        </w:rPr>
        <w:t>:</w:t>
      </w:r>
      <w:r w:rsidRPr="008E00EB">
        <w:rPr>
          <w:rFonts w:cs="Segoe UI"/>
          <w:b/>
          <w:highlight w:val="yellow"/>
        </w:rPr>
        <w:fldChar w:fldCharType="begin"/>
      </w:r>
      <w:r w:rsidRPr="008E00EB">
        <w:rPr>
          <w:rFonts w:cs="Segoe UI"/>
          <w:b/>
          <w:highlight w:val="yellow"/>
        </w:rPr>
        <w:instrText xml:space="preserve"> SEQ Figure \* ARABIC \s 1 </w:instrText>
      </w:r>
      <w:r w:rsidRPr="008E00EB">
        <w:rPr>
          <w:rFonts w:cs="Segoe UI"/>
          <w:b/>
          <w:highlight w:val="yellow"/>
        </w:rPr>
        <w:fldChar w:fldCharType="separate"/>
      </w:r>
      <w:r w:rsidRPr="008E00EB">
        <w:rPr>
          <w:rFonts w:cs="Segoe UI"/>
          <w:b/>
          <w:noProof/>
          <w:highlight w:val="yellow"/>
        </w:rPr>
        <w:t>12</w:t>
      </w:r>
      <w:r w:rsidRPr="008E00EB">
        <w:rPr>
          <w:rFonts w:cs="Segoe UI"/>
          <w:b/>
          <w:noProof/>
          <w:highlight w:val="yellow"/>
        </w:rPr>
        <w:fldChar w:fldCharType="end"/>
      </w:r>
      <w:r w:rsidRPr="008E00EB">
        <w:rPr>
          <w:rFonts w:cs="Segoe UI"/>
          <w:b/>
          <w:noProof/>
          <w:highlight w:val="yellow"/>
        </w:rPr>
        <w:t xml:space="preserve"> </w:t>
      </w:r>
      <w:r w:rsidR="00EB49FE" w:rsidRPr="008E00EB">
        <w:rPr>
          <w:b/>
          <w:highlight w:val="yellow"/>
        </w:rPr>
        <w:t>Logistic multilevel models, understandings of democracy and alternative theory influences on demonstrating</w:t>
      </w:r>
    </w:p>
    <w:tbl>
      <w:tblPr>
        <w:tblW w:w="15735" w:type="dxa"/>
        <w:tblLayout w:type="fixed"/>
        <w:tblLook w:val="04A0" w:firstRow="1" w:lastRow="0" w:firstColumn="1" w:lastColumn="0" w:noHBand="0" w:noVBand="1"/>
      </w:tblPr>
      <w:tblGrid>
        <w:gridCol w:w="1835"/>
        <w:gridCol w:w="856"/>
        <w:gridCol w:w="851"/>
        <w:gridCol w:w="852"/>
        <w:gridCol w:w="850"/>
        <w:gridCol w:w="851"/>
        <w:gridCol w:w="850"/>
        <w:gridCol w:w="851"/>
        <w:gridCol w:w="850"/>
        <w:gridCol w:w="992"/>
        <w:gridCol w:w="993"/>
        <w:gridCol w:w="850"/>
        <w:gridCol w:w="851"/>
        <w:gridCol w:w="850"/>
        <w:gridCol w:w="851"/>
        <w:gridCol w:w="851"/>
        <w:gridCol w:w="851"/>
      </w:tblGrid>
      <w:tr w:rsidR="00EB49FE" w:rsidRPr="00CA5619" w14:paraId="7873F718" w14:textId="77777777" w:rsidTr="00FF0E2C">
        <w:trPr>
          <w:gridAfter w:val="1"/>
          <w:wAfter w:w="851" w:type="dxa"/>
          <w:trHeight w:val="144"/>
        </w:trPr>
        <w:tc>
          <w:tcPr>
            <w:tcW w:w="1835" w:type="dxa"/>
            <w:tcBorders>
              <w:bottom w:val="nil"/>
            </w:tcBorders>
          </w:tcPr>
          <w:p w14:paraId="2E6BFB3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bookmarkStart w:id="397" w:name="_Hlk494823211"/>
          </w:p>
        </w:tc>
        <w:tc>
          <w:tcPr>
            <w:tcW w:w="6811" w:type="dxa"/>
            <w:gridSpan w:val="8"/>
            <w:tcBorders>
              <w:bottom w:val="nil"/>
              <w:right w:val="single" w:sz="4" w:space="0" w:color="auto"/>
            </w:tcBorders>
            <w:hideMark/>
          </w:tcPr>
          <w:p w14:paraId="7F908CE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Single-Level Models</w:t>
            </w:r>
          </w:p>
        </w:tc>
        <w:tc>
          <w:tcPr>
            <w:tcW w:w="6238" w:type="dxa"/>
            <w:gridSpan w:val="7"/>
            <w:tcBorders>
              <w:left w:val="single" w:sz="4" w:space="0" w:color="auto"/>
              <w:bottom w:val="nil"/>
            </w:tcBorders>
            <w:hideMark/>
          </w:tcPr>
          <w:p w14:paraId="677B18D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Logit MLM</w:t>
            </w:r>
          </w:p>
        </w:tc>
      </w:tr>
      <w:tr w:rsidR="00EB49FE" w:rsidRPr="00CA5619" w14:paraId="775DF9ED" w14:textId="77777777" w:rsidTr="00FF0E2C">
        <w:trPr>
          <w:gridAfter w:val="1"/>
          <w:wAfter w:w="851" w:type="dxa"/>
          <w:trHeight w:val="144"/>
        </w:trPr>
        <w:tc>
          <w:tcPr>
            <w:tcW w:w="1835" w:type="dxa"/>
          </w:tcPr>
          <w:p w14:paraId="13DB468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hideMark/>
          </w:tcPr>
          <w:p w14:paraId="5E2CCD8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(D1)</w:t>
            </w:r>
          </w:p>
        </w:tc>
        <w:tc>
          <w:tcPr>
            <w:tcW w:w="851" w:type="dxa"/>
            <w:hideMark/>
          </w:tcPr>
          <w:p w14:paraId="77D6A2B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(D2)</w:t>
            </w:r>
          </w:p>
        </w:tc>
        <w:tc>
          <w:tcPr>
            <w:tcW w:w="852" w:type="dxa"/>
            <w:hideMark/>
          </w:tcPr>
          <w:p w14:paraId="002E2AE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(D3)</w:t>
            </w:r>
          </w:p>
        </w:tc>
        <w:tc>
          <w:tcPr>
            <w:tcW w:w="850" w:type="dxa"/>
            <w:hideMark/>
          </w:tcPr>
          <w:p w14:paraId="06312F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(D4)</w:t>
            </w:r>
          </w:p>
        </w:tc>
        <w:tc>
          <w:tcPr>
            <w:tcW w:w="851" w:type="dxa"/>
            <w:hideMark/>
          </w:tcPr>
          <w:p w14:paraId="27F40E1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(D5)</w:t>
            </w:r>
          </w:p>
        </w:tc>
        <w:tc>
          <w:tcPr>
            <w:tcW w:w="850" w:type="dxa"/>
            <w:hideMark/>
          </w:tcPr>
          <w:p w14:paraId="58CE16E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(D6)</w:t>
            </w:r>
          </w:p>
        </w:tc>
        <w:tc>
          <w:tcPr>
            <w:tcW w:w="851" w:type="dxa"/>
            <w:hideMark/>
          </w:tcPr>
          <w:p w14:paraId="7551A7E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(D7)</w:t>
            </w:r>
          </w:p>
        </w:tc>
        <w:tc>
          <w:tcPr>
            <w:tcW w:w="850" w:type="dxa"/>
            <w:tcBorders>
              <w:right w:val="single" w:sz="4" w:space="0" w:color="auto"/>
            </w:tcBorders>
            <w:hideMark/>
          </w:tcPr>
          <w:p w14:paraId="58A3DE9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(D8)</w:t>
            </w:r>
          </w:p>
        </w:tc>
        <w:tc>
          <w:tcPr>
            <w:tcW w:w="992" w:type="dxa"/>
            <w:tcBorders>
              <w:left w:val="single" w:sz="4" w:space="0" w:color="auto"/>
            </w:tcBorders>
            <w:hideMark/>
          </w:tcPr>
          <w:p w14:paraId="219F9A1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(D9)</w:t>
            </w:r>
          </w:p>
        </w:tc>
        <w:tc>
          <w:tcPr>
            <w:tcW w:w="993" w:type="dxa"/>
            <w:hideMark/>
          </w:tcPr>
          <w:p w14:paraId="02E6CCD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(D10)</w:t>
            </w:r>
          </w:p>
        </w:tc>
        <w:tc>
          <w:tcPr>
            <w:tcW w:w="850" w:type="dxa"/>
            <w:hideMark/>
          </w:tcPr>
          <w:p w14:paraId="6B4CB98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(D11)</w:t>
            </w:r>
          </w:p>
        </w:tc>
        <w:tc>
          <w:tcPr>
            <w:tcW w:w="851" w:type="dxa"/>
            <w:hideMark/>
          </w:tcPr>
          <w:p w14:paraId="7975778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(D12)</w:t>
            </w:r>
          </w:p>
        </w:tc>
        <w:tc>
          <w:tcPr>
            <w:tcW w:w="850" w:type="dxa"/>
            <w:hideMark/>
          </w:tcPr>
          <w:p w14:paraId="2A7896D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(D13)</w:t>
            </w:r>
          </w:p>
        </w:tc>
        <w:tc>
          <w:tcPr>
            <w:tcW w:w="851" w:type="dxa"/>
            <w:hideMark/>
          </w:tcPr>
          <w:p w14:paraId="6F40AE7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(D14)</w:t>
            </w:r>
          </w:p>
        </w:tc>
        <w:tc>
          <w:tcPr>
            <w:tcW w:w="851" w:type="dxa"/>
            <w:hideMark/>
          </w:tcPr>
          <w:p w14:paraId="1F721A0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(D15)</w:t>
            </w:r>
          </w:p>
        </w:tc>
      </w:tr>
      <w:tr w:rsidR="00EB49FE" w:rsidRPr="00CA5619" w14:paraId="0071CA9E" w14:textId="77777777" w:rsidTr="00FF0E2C">
        <w:trPr>
          <w:gridAfter w:val="1"/>
          <w:wAfter w:w="851" w:type="dxa"/>
          <w:trHeight w:val="144"/>
        </w:trPr>
        <w:tc>
          <w:tcPr>
            <w:tcW w:w="1835" w:type="dxa"/>
            <w:tcBorders>
              <w:left w:val="nil"/>
              <w:bottom w:val="nil"/>
              <w:right w:val="nil"/>
            </w:tcBorders>
            <w:shd w:val="clear" w:color="auto" w:fill="F2F2F2" w:themeFill="background1" w:themeFillShade="F2"/>
            <w:hideMark/>
          </w:tcPr>
          <w:p w14:paraId="6B49E27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Age</w:t>
            </w:r>
          </w:p>
        </w:tc>
        <w:tc>
          <w:tcPr>
            <w:tcW w:w="856" w:type="dxa"/>
            <w:tcBorders>
              <w:left w:val="nil"/>
              <w:bottom w:val="nil"/>
              <w:right w:val="nil"/>
            </w:tcBorders>
            <w:shd w:val="clear" w:color="auto" w:fill="F2F2F2" w:themeFill="background1" w:themeFillShade="F2"/>
            <w:hideMark/>
          </w:tcPr>
          <w:p w14:paraId="0C81183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left w:val="nil"/>
              <w:bottom w:val="nil"/>
              <w:right w:val="nil"/>
            </w:tcBorders>
            <w:shd w:val="clear" w:color="auto" w:fill="F2F2F2" w:themeFill="background1" w:themeFillShade="F2"/>
            <w:hideMark/>
          </w:tcPr>
          <w:p w14:paraId="4F8BBA7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2" w:type="dxa"/>
            <w:tcBorders>
              <w:left w:val="nil"/>
              <w:bottom w:val="nil"/>
              <w:right w:val="nil"/>
            </w:tcBorders>
            <w:shd w:val="clear" w:color="auto" w:fill="F2F2F2" w:themeFill="background1" w:themeFillShade="F2"/>
            <w:hideMark/>
          </w:tcPr>
          <w:p w14:paraId="3E7E67E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left w:val="nil"/>
              <w:bottom w:val="nil"/>
              <w:right w:val="nil"/>
            </w:tcBorders>
            <w:shd w:val="clear" w:color="auto" w:fill="F2F2F2" w:themeFill="background1" w:themeFillShade="F2"/>
            <w:hideMark/>
          </w:tcPr>
          <w:p w14:paraId="1265445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left w:val="nil"/>
              <w:bottom w:val="nil"/>
              <w:right w:val="nil"/>
            </w:tcBorders>
            <w:shd w:val="clear" w:color="auto" w:fill="F2F2F2" w:themeFill="background1" w:themeFillShade="F2"/>
            <w:hideMark/>
          </w:tcPr>
          <w:p w14:paraId="51FA95C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left w:val="nil"/>
              <w:bottom w:val="nil"/>
              <w:right w:val="nil"/>
            </w:tcBorders>
            <w:shd w:val="clear" w:color="auto" w:fill="F2F2F2" w:themeFill="background1" w:themeFillShade="F2"/>
            <w:hideMark/>
          </w:tcPr>
          <w:p w14:paraId="15505ED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Borders>
              <w:left w:val="nil"/>
              <w:bottom w:val="nil"/>
              <w:right w:val="nil"/>
            </w:tcBorders>
            <w:shd w:val="clear" w:color="auto" w:fill="F2F2F2" w:themeFill="background1" w:themeFillShade="F2"/>
            <w:hideMark/>
          </w:tcPr>
          <w:p w14:paraId="4753216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left w:val="nil"/>
              <w:bottom w:val="nil"/>
              <w:right w:val="single" w:sz="4" w:space="0" w:color="auto"/>
            </w:tcBorders>
            <w:shd w:val="clear" w:color="auto" w:fill="F2F2F2" w:themeFill="background1" w:themeFillShade="F2"/>
            <w:hideMark/>
          </w:tcPr>
          <w:p w14:paraId="5B34D78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2" w:type="dxa"/>
            <w:tcBorders>
              <w:left w:val="single" w:sz="4" w:space="0" w:color="auto"/>
              <w:bottom w:val="nil"/>
              <w:right w:val="nil"/>
            </w:tcBorders>
            <w:shd w:val="clear" w:color="auto" w:fill="F2F2F2" w:themeFill="background1" w:themeFillShade="F2"/>
            <w:hideMark/>
          </w:tcPr>
          <w:p w14:paraId="153CA2C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3" w:type="dxa"/>
            <w:tcBorders>
              <w:left w:val="nil"/>
              <w:bottom w:val="nil"/>
              <w:right w:val="nil"/>
            </w:tcBorders>
            <w:shd w:val="clear" w:color="auto" w:fill="F2F2F2" w:themeFill="background1" w:themeFillShade="F2"/>
            <w:hideMark/>
          </w:tcPr>
          <w:p w14:paraId="523E164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left w:val="nil"/>
              <w:bottom w:val="nil"/>
              <w:right w:val="nil"/>
            </w:tcBorders>
            <w:shd w:val="clear" w:color="auto" w:fill="F2F2F2" w:themeFill="background1" w:themeFillShade="F2"/>
            <w:hideMark/>
          </w:tcPr>
          <w:p w14:paraId="32EA1F3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left w:val="nil"/>
              <w:bottom w:val="nil"/>
              <w:right w:val="nil"/>
            </w:tcBorders>
            <w:shd w:val="clear" w:color="auto" w:fill="F2F2F2" w:themeFill="background1" w:themeFillShade="F2"/>
            <w:hideMark/>
          </w:tcPr>
          <w:p w14:paraId="5ABBCD3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left w:val="nil"/>
              <w:bottom w:val="nil"/>
              <w:right w:val="nil"/>
            </w:tcBorders>
            <w:shd w:val="clear" w:color="auto" w:fill="F2F2F2" w:themeFill="background1" w:themeFillShade="F2"/>
            <w:hideMark/>
          </w:tcPr>
          <w:p w14:paraId="71BC306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left w:val="nil"/>
              <w:bottom w:val="nil"/>
              <w:right w:val="nil"/>
            </w:tcBorders>
            <w:shd w:val="clear" w:color="auto" w:fill="F2F2F2" w:themeFill="background1" w:themeFillShade="F2"/>
            <w:hideMark/>
          </w:tcPr>
          <w:p w14:paraId="5B99206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tcBorders>
              <w:left w:val="nil"/>
              <w:bottom w:val="nil"/>
              <w:right w:val="nil"/>
            </w:tcBorders>
            <w:shd w:val="clear" w:color="auto" w:fill="F2F2F2" w:themeFill="background1" w:themeFillShade="F2"/>
            <w:hideMark/>
          </w:tcPr>
          <w:p w14:paraId="1C7CF2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r>
      <w:tr w:rsidR="00EB49FE" w:rsidRPr="00CA5619" w14:paraId="4651BB09" w14:textId="77777777" w:rsidTr="00FF0E2C">
        <w:trPr>
          <w:gridAfter w:val="1"/>
          <w:wAfter w:w="851" w:type="dxa"/>
          <w:trHeight w:val="144"/>
        </w:trPr>
        <w:tc>
          <w:tcPr>
            <w:tcW w:w="1835" w:type="dxa"/>
            <w:shd w:val="clear" w:color="auto" w:fill="F2F2F2" w:themeFill="background1" w:themeFillShade="F2"/>
          </w:tcPr>
          <w:p w14:paraId="2876B62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hideMark/>
          </w:tcPr>
          <w:p w14:paraId="6D36330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5350A8D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2" w:type="dxa"/>
            <w:shd w:val="clear" w:color="auto" w:fill="F2F2F2" w:themeFill="background1" w:themeFillShade="F2"/>
            <w:hideMark/>
          </w:tcPr>
          <w:p w14:paraId="586A03C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761F50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A6E263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5EBE116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3CADB5E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shd w:val="clear" w:color="auto" w:fill="F2F2F2" w:themeFill="background1" w:themeFillShade="F2"/>
            <w:hideMark/>
          </w:tcPr>
          <w:p w14:paraId="6F28BFA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094C535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5026E28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7ECD941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FB7D70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3AC208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40D3D7D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A0B809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EB49FE" w:rsidRPr="00CA5619" w14:paraId="39181C3A" w14:textId="77777777" w:rsidTr="00FF0E2C">
        <w:trPr>
          <w:gridAfter w:val="1"/>
          <w:wAfter w:w="851" w:type="dxa"/>
          <w:trHeight w:val="144"/>
        </w:trPr>
        <w:tc>
          <w:tcPr>
            <w:tcW w:w="1835" w:type="dxa"/>
            <w:shd w:val="clear" w:color="auto" w:fill="F2F2F2" w:themeFill="background1" w:themeFillShade="F2"/>
            <w:hideMark/>
          </w:tcPr>
          <w:p w14:paraId="4881245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Age-squared</w:t>
            </w:r>
          </w:p>
        </w:tc>
        <w:tc>
          <w:tcPr>
            <w:tcW w:w="856" w:type="dxa"/>
            <w:shd w:val="clear" w:color="auto" w:fill="F2F2F2" w:themeFill="background1" w:themeFillShade="F2"/>
            <w:hideMark/>
          </w:tcPr>
          <w:p w14:paraId="1D5C99F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048B699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2" w:type="dxa"/>
            <w:shd w:val="clear" w:color="auto" w:fill="F2F2F2" w:themeFill="background1" w:themeFillShade="F2"/>
            <w:hideMark/>
          </w:tcPr>
          <w:p w14:paraId="735E2C3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7ED3A8A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8F8F0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2123819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6A2E2B2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shd w:val="clear" w:color="auto" w:fill="F2F2F2" w:themeFill="background1" w:themeFillShade="F2"/>
            <w:hideMark/>
          </w:tcPr>
          <w:p w14:paraId="083A801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474FBA2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58A664C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02751FF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6258930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7B0E8D1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7848097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7E9F1C9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EB49FE" w:rsidRPr="00CA5619" w14:paraId="52E8F371" w14:textId="77777777" w:rsidTr="00FF0E2C">
        <w:trPr>
          <w:gridAfter w:val="1"/>
          <w:wAfter w:w="851" w:type="dxa"/>
          <w:trHeight w:val="144"/>
        </w:trPr>
        <w:tc>
          <w:tcPr>
            <w:tcW w:w="1835" w:type="dxa"/>
            <w:shd w:val="clear" w:color="auto" w:fill="F2F2F2" w:themeFill="background1" w:themeFillShade="F2"/>
          </w:tcPr>
          <w:p w14:paraId="6CFFBB6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hideMark/>
          </w:tcPr>
          <w:p w14:paraId="29C5528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1FD006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2" w:type="dxa"/>
            <w:shd w:val="clear" w:color="auto" w:fill="F2F2F2" w:themeFill="background1" w:themeFillShade="F2"/>
            <w:hideMark/>
          </w:tcPr>
          <w:p w14:paraId="3205620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138FAFD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0A59B58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2E94ED0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25522B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shd w:val="clear" w:color="auto" w:fill="F2F2F2" w:themeFill="background1" w:themeFillShade="F2"/>
            <w:hideMark/>
          </w:tcPr>
          <w:p w14:paraId="3721C1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24FB42D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563F235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4F3CA60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64B9AB4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41EC11F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87913E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77FD7E7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EB49FE" w:rsidRPr="00CA5619" w14:paraId="173659E6" w14:textId="77777777" w:rsidTr="00FF0E2C">
        <w:trPr>
          <w:gridAfter w:val="1"/>
          <w:wAfter w:w="851" w:type="dxa"/>
          <w:trHeight w:val="144"/>
        </w:trPr>
        <w:tc>
          <w:tcPr>
            <w:tcW w:w="1835" w:type="dxa"/>
            <w:vMerge w:val="restart"/>
            <w:shd w:val="clear" w:color="auto" w:fill="F2F2F2" w:themeFill="background1" w:themeFillShade="F2"/>
            <w:hideMark/>
          </w:tcPr>
          <w:p w14:paraId="4DD02505"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sz w:val="18"/>
                <w:szCs w:val="18"/>
                <w:highlight w:val="yellow"/>
                <w:lang w:val="en-US" w:eastAsia="en-GB"/>
              </w:rPr>
              <w:t>Gender (Ref=</w:t>
            </w:r>
            <w:r w:rsidRPr="00CA5619">
              <w:rPr>
                <w:rFonts w:cs="Segoe UI"/>
                <w:i/>
                <w:sz w:val="18"/>
                <w:szCs w:val="18"/>
                <w:highlight w:val="yellow"/>
                <w:lang w:val="en-US" w:eastAsia="en-GB"/>
              </w:rPr>
              <w:t>Female)</w:t>
            </w:r>
          </w:p>
        </w:tc>
        <w:tc>
          <w:tcPr>
            <w:tcW w:w="856" w:type="dxa"/>
            <w:shd w:val="clear" w:color="auto" w:fill="F2F2F2" w:themeFill="background1" w:themeFillShade="F2"/>
            <w:hideMark/>
          </w:tcPr>
          <w:p w14:paraId="45290B0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1" w:type="dxa"/>
            <w:shd w:val="clear" w:color="auto" w:fill="F2F2F2" w:themeFill="background1" w:themeFillShade="F2"/>
            <w:hideMark/>
          </w:tcPr>
          <w:p w14:paraId="5299000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2" w:type="dxa"/>
            <w:shd w:val="clear" w:color="auto" w:fill="F2F2F2" w:themeFill="background1" w:themeFillShade="F2"/>
            <w:hideMark/>
          </w:tcPr>
          <w:p w14:paraId="52A4043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850" w:type="dxa"/>
            <w:shd w:val="clear" w:color="auto" w:fill="F2F2F2" w:themeFill="background1" w:themeFillShade="F2"/>
            <w:hideMark/>
          </w:tcPr>
          <w:p w14:paraId="794341E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0.21***</w:t>
            </w:r>
          </w:p>
        </w:tc>
        <w:tc>
          <w:tcPr>
            <w:tcW w:w="851" w:type="dxa"/>
            <w:shd w:val="clear" w:color="auto" w:fill="F2F2F2" w:themeFill="background1" w:themeFillShade="F2"/>
            <w:hideMark/>
          </w:tcPr>
          <w:p w14:paraId="2443CEB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0.22***</w:t>
            </w:r>
          </w:p>
        </w:tc>
        <w:tc>
          <w:tcPr>
            <w:tcW w:w="850" w:type="dxa"/>
            <w:shd w:val="clear" w:color="auto" w:fill="F2F2F2" w:themeFill="background1" w:themeFillShade="F2"/>
            <w:hideMark/>
          </w:tcPr>
          <w:p w14:paraId="585D811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162D536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0.24***</w:t>
            </w:r>
          </w:p>
        </w:tc>
        <w:tc>
          <w:tcPr>
            <w:tcW w:w="850" w:type="dxa"/>
            <w:tcBorders>
              <w:right w:val="single" w:sz="4" w:space="0" w:color="auto"/>
            </w:tcBorders>
            <w:shd w:val="clear" w:color="auto" w:fill="F2F2F2" w:themeFill="background1" w:themeFillShade="F2"/>
            <w:hideMark/>
          </w:tcPr>
          <w:p w14:paraId="63E645C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992" w:type="dxa"/>
            <w:tcBorders>
              <w:left w:val="single" w:sz="4" w:space="0" w:color="auto"/>
            </w:tcBorders>
            <w:shd w:val="clear" w:color="auto" w:fill="F2F2F2" w:themeFill="background1" w:themeFillShade="F2"/>
            <w:hideMark/>
          </w:tcPr>
          <w:p w14:paraId="1410B51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993" w:type="dxa"/>
            <w:shd w:val="clear" w:color="auto" w:fill="F2F2F2" w:themeFill="background1" w:themeFillShade="F2"/>
            <w:hideMark/>
          </w:tcPr>
          <w:p w14:paraId="5FFF471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0" w:type="dxa"/>
            <w:shd w:val="clear" w:color="auto" w:fill="F2F2F2" w:themeFill="background1" w:themeFillShade="F2"/>
            <w:hideMark/>
          </w:tcPr>
          <w:p w14:paraId="5F56DEC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1" w:type="dxa"/>
            <w:shd w:val="clear" w:color="auto" w:fill="F2F2F2" w:themeFill="background1" w:themeFillShade="F2"/>
            <w:hideMark/>
          </w:tcPr>
          <w:p w14:paraId="22AD2C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0" w:type="dxa"/>
            <w:shd w:val="clear" w:color="auto" w:fill="F2F2F2" w:themeFill="background1" w:themeFillShade="F2"/>
            <w:hideMark/>
          </w:tcPr>
          <w:p w14:paraId="6886357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1" w:type="dxa"/>
            <w:shd w:val="clear" w:color="auto" w:fill="F2F2F2" w:themeFill="background1" w:themeFillShade="F2"/>
            <w:hideMark/>
          </w:tcPr>
          <w:p w14:paraId="7FBDD6E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1" w:type="dxa"/>
            <w:shd w:val="clear" w:color="auto" w:fill="F2F2F2" w:themeFill="background1" w:themeFillShade="F2"/>
            <w:hideMark/>
          </w:tcPr>
          <w:p w14:paraId="30E9DF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r>
      <w:tr w:rsidR="00EB49FE" w:rsidRPr="00CA5619" w14:paraId="28F4DC65" w14:textId="77777777" w:rsidTr="00FF0E2C">
        <w:trPr>
          <w:gridAfter w:val="1"/>
          <w:wAfter w:w="851" w:type="dxa"/>
          <w:trHeight w:val="144"/>
        </w:trPr>
        <w:tc>
          <w:tcPr>
            <w:tcW w:w="1835" w:type="dxa"/>
            <w:vMerge/>
            <w:vAlign w:val="center"/>
            <w:hideMark/>
          </w:tcPr>
          <w:p w14:paraId="1B237791" w14:textId="77777777" w:rsidR="00EB49FE" w:rsidRPr="00CA5619" w:rsidRDefault="00EB49FE">
            <w:pPr>
              <w:spacing w:before="0" w:line="256" w:lineRule="auto"/>
              <w:rPr>
                <w:rFonts w:cs="Segoe UI"/>
                <w:i/>
                <w:sz w:val="18"/>
                <w:szCs w:val="18"/>
                <w:highlight w:val="yellow"/>
                <w:lang w:val="en-US" w:eastAsia="en-GB"/>
              </w:rPr>
            </w:pPr>
          </w:p>
        </w:tc>
        <w:tc>
          <w:tcPr>
            <w:tcW w:w="856" w:type="dxa"/>
            <w:shd w:val="clear" w:color="auto" w:fill="F2F2F2" w:themeFill="background1" w:themeFillShade="F2"/>
            <w:hideMark/>
          </w:tcPr>
          <w:p w14:paraId="3AAEB33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5B1D3D8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2" w:type="dxa"/>
            <w:shd w:val="clear" w:color="auto" w:fill="F2F2F2" w:themeFill="background1" w:themeFillShade="F2"/>
            <w:hideMark/>
          </w:tcPr>
          <w:p w14:paraId="0BCD94D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shd w:val="clear" w:color="auto" w:fill="F2F2F2" w:themeFill="background1" w:themeFillShade="F2"/>
            <w:hideMark/>
          </w:tcPr>
          <w:p w14:paraId="68D3FC8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278BD3F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shd w:val="clear" w:color="auto" w:fill="F2F2F2" w:themeFill="background1" w:themeFillShade="F2"/>
            <w:hideMark/>
          </w:tcPr>
          <w:p w14:paraId="3A50379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3270D1C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tcBorders>
              <w:right w:val="single" w:sz="4" w:space="0" w:color="auto"/>
            </w:tcBorders>
            <w:shd w:val="clear" w:color="auto" w:fill="F2F2F2" w:themeFill="background1" w:themeFillShade="F2"/>
            <w:hideMark/>
          </w:tcPr>
          <w:p w14:paraId="2D2B9A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2" w:type="dxa"/>
            <w:tcBorders>
              <w:left w:val="single" w:sz="4" w:space="0" w:color="auto"/>
            </w:tcBorders>
            <w:shd w:val="clear" w:color="auto" w:fill="F2F2F2" w:themeFill="background1" w:themeFillShade="F2"/>
            <w:hideMark/>
          </w:tcPr>
          <w:p w14:paraId="7CCB56D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993" w:type="dxa"/>
            <w:shd w:val="clear" w:color="auto" w:fill="F2F2F2" w:themeFill="background1" w:themeFillShade="F2"/>
            <w:hideMark/>
          </w:tcPr>
          <w:p w14:paraId="1FD01C6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shd w:val="clear" w:color="auto" w:fill="F2F2F2" w:themeFill="background1" w:themeFillShade="F2"/>
            <w:hideMark/>
          </w:tcPr>
          <w:p w14:paraId="0DDF47A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49CCCB8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shd w:val="clear" w:color="auto" w:fill="F2F2F2" w:themeFill="background1" w:themeFillShade="F2"/>
            <w:hideMark/>
          </w:tcPr>
          <w:p w14:paraId="50A7D4A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5196CF4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1" w:type="dxa"/>
            <w:shd w:val="clear" w:color="auto" w:fill="F2F2F2" w:themeFill="background1" w:themeFillShade="F2"/>
            <w:hideMark/>
          </w:tcPr>
          <w:p w14:paraId="2199EBB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r>
      <w:tr w:rsidR="00EB49FE" w:rsidRPr="00CA5619" w14:paraId="292A3CC7" w14:textId="77777777" w:rsidTr="00FF0E2C">
        <w:trPr>
          <w:gridAfter w:val="1"/>
          <w:wAfter w:w="851" w:type="dxa"/>
          <w:trHeight w:val="144"/>
        </w:trPr>
        <w:tc>
          <w:tcPr>
            <w:tcW w:w="1835" w:type="dxa"/>
            <w:hideMark/>
          </w:tcPr>
          <w:p w14:paraId="54B7CD68" w14:textId="77777777" w:rsidR="00EB49FE" w:rsidRPr="00CA5619" w:rsidRDefault="00EB49FE">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Democratic Understanding</w:t>
            </w:r>
          </w:p>
        </w:tc>
        <w:tc>
          <w:tcPr>
            <w:tcW w:w="856" w:type="dxa"/>
          </w:tcPr>
          <w:p w14:paraId="2A4FE9E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6CCCB3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099D9CD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7E975226"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E377EC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0207859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59DB26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3DD1CF2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350491F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0B615EB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317A869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48A23F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0292EE7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9D3DB8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F995A4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050D555D" w14:textId="77777777" w:rsidTr="00FF0E2C">
        <w:trPr>
          <w:gridAfter w:val="1"/>
          <w:wAfter w:w="851" w:type="dxa"/>
          <w:trHeight w:val="144"/>
        </w:trPr>
        <w:tc>
          <w:tcPr>
            <w:tcW w:w="1835" w:type="dxa"/>
            <w:hideMark/>
          </w:tcPr>
          <w:p w14:paraId="546A5AF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Compound</w:t>
            </w:r>
          </w:p>
        </w:tc>
        <w:tc>
          <w:tcPr>
            <w:tcW w:w="856" w:type="dxa"/>
            <w:hideMark/>
          </w:tcPr>
          <w:p w14:paraId="0F31545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hideMark/>
          </w:tcPr>
          <w:p w14:paraId="727D121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2" w:type="dxa"/>
            <w:hideMark/>
          </w:tcPr>
          <w:p w14:paraId="432C456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146ECDF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hideMark/>
          </w:tcPr>
          <w:p w14:paraId="79E159B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hideMark/>
          </w:tcPr>
          <w:p w14:paraId="553CD15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hideMark/>
          </w:tcPr>
          <w:p w14:paraId="1939136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right w:val="single" w:sz="4" w:space="0" w:color="auto"/>
            </w:tcBorders>
            <w:hideMark/>
          </w:tcPr>
          <w:p w14:paraId="3DA989B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hideMark/>
          </w:tcPr>
          <w:p w14:paraId="2C1425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3" w:type="dxa"/>
            <w:hideMark/>
          </w:tcPr>
          <w:p w14:paraId="1BE1A7C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hideMark/>
          </w:tcPr>
          <w:p w14:paraId="3AED4A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hideMark/>
          </w:tcPr>
          <w:p w14:paraId="3C42154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hideMark/>
          </w:tcPr>
          <w:p w14:paraId="4E381D1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hideMark/>
          </w:tcPr>
          <w:p w14:paraId="59C0C75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1" w:type="dxa"/>
            <w:hideMark/>
          </w:tcPr>
          <w:p w14:paraId="53ABE8C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r>
      <w:tr w:rsidR="00EB49FE" w:rsidRPr="00CA5619" w14:paraId="1A601A03" w14:textId="77777777" w:rsidTr="00FF0E2C">
        <w:trPr>
          <w:gridAfter w:val="1"/>
          <w:wAfter w:w="851" w:type="dxa"/>
          <w:trHeight w:val="144"/>
        </w:trPr>
        <w:tc>
          <w:tcPr>
            <w:tcW w:w="1835" w:type="dxa"/>
          </w:tcPr>
          <w:p w14:paraId="6B90801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hideMark/>
          </w:tcPr>
          <w:p w14:paraId="218DD74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5987B2C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2" w:type="dxa"/>
            <w:hideMark/>
          </w:tcPr>
          <w:p w14:paraId="45E15D4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71C4F58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C0B98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53ED08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477A660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right w:val="single" w:sz="4" w:space="0" w:color="auto"/>
            </w:tcBorders>
            <w:hideMark/>
          </w:tcPr>
          <w:p w14:paraId="3DA8B63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0C62509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32BB769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5CC0893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615CFC7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474D3F6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7985859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1263D14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3F11ECC3" w14:textId="77777777" w:rsidTr="00FF0E2C">
        <w:trPr>
          <w:gridAfter w:val="1"/>
          <w:wAfter w:w="851" w:type="dxa"/>
          <w:trHeight w:val="144"/>
        </w:trPr>
        <w:tc>
          <w:tcPr>
            <w:tcW w:w="1835" w:type="dxa"/>
            <w:hideMark/>
          </w:tcPr>
          <w:p w14:paraId="73D2A5A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Authoritarian</w:t>
            </w:r>
          </w:p>
        </w:tc>
        <w:tc>
          <w:tcPr>
            <w:tcW w:w="856" w:type="dxa"/>
            <w:hideMark/>
          </w:tcPr>
          <w:p w14:paraId="732ACDB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1" w:type="dxa"/>
            <w:hideMark/>
          </w:tcPr>
          <w:p w14:paraId="4C22C6A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2" w:type="dxa"/>
            <w:hideMark/>
          </w:tcPr>
          <w:p w14:paraId="6D2C31D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0" w:type="dxa"/>
            <w:hideMark/>
          </w:tcPr>
          <w:p w14:paraId="5381B76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hideMark/>
          </w:tcPr>
          <w:p w14:paraId="326625F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-0.18***</w:t>
            </w:r>
          </w:p>
        </w:tc>
        <w:tc>
          <w:tcPr>
            <w:tcW w:w="850" w:type="dxa"/>
            <w:hideMark/>
          </w:tcPr>
          <w:p w14:paraId="13CB410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-0.17***</w:t>
            </w:r>
          </w:p>
        </w:tc>
        <w:tc>
          <w:tcPr>
            <w:tcW w:w="851" w:type="dxa"/>
            <w:hideMark/>
          </w:tcPr>
          <w:p w14:paraId="7789C01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850" w:type="dxa"/>
            <w:tcBorders>
              <w:right w:val="single" w:sz="4" w:space="0" w:color="auto"/>
            </w:tcBorders>
            <w:hideMark/>
          </w:tcPr>
          <w:p w14:paraId="7A9C294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992" w:type="dxa"/>
            <w:tcBorders>
              <w:left w:val="single" w:sz="4" w:space="0" w:color="auto"/>
            </w:tcBorders>
            <w:hideMark/>
          </w:tcPr>
          <w:p w14:paraId="53E91FC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hideMark/>
          </w:tcPr>
          <w:p w14:paraId="3173EC2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hideMark/>
          </w:tcPr>
          <w:p w14:paraId="47387BF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5CF8E27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hideMark/>
          </w:tcPr>
          <w:p w14:paraId="5313BA8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36E6BC3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hideMark/>
          </w:tcPr>
          <w:p w14:paraId="4CCF12D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EB49FE" w:rsidRPr="00CA5619" w14:paraId="54860020" w14:textId="77777777" w:rsidTr="00FF0E2C">
        <w:trPr>
          <w:gridAfter w:val="1"/>
          <w:wAfter w:w="851" w:type="dxa"/>
          <w:trHeight w:val="144"/>
        </w:trPr>
        <w:tc>
          <w:tcPr>
            <w:tcW w:w="1835" w:type="dxa"/>
          </w:tcPr>
          <w:p w14:paraId="2DB4D2F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hideMark/>
          </w:tcPr>
          <w:p w14:paraId="0D0D938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5CE0DD4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2" w:type="dxa"/>
            <w:hideMark/>
          </w:tcPr>
          <w:p w14:paraId="3995108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26A900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3C8FF9C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7A6D600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510A544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tcBorders>
              <w:right w:val="single" w:sz="4" w:space="0" w:color="auto"/>
            </w:tcBorders>
            <w:hideMark/>
          </w:tcPr>
          <w:p w14:paraId="1450BA6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hideMark/>
          </w:tcPr>
          <w:p w14:paraId="780BF69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hideMark/>
          </w:tcPr>
          <w:p w14:paraId="7E00757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72A667D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74EB4DD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hideMark/>
          </w:tcPr>
          <w:p w14:paraId="0216391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299967F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hideMark/>
          </w:tcPr>
          <w:p w14:paraId="7D377B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EB49FE" w:rsidRPr="00CA5619" w14:paraId="34FF60E1" w14:textId="77777777" w:rsidTr="00FF0E2C">
        <w:trPr>
          <w:gridAfter w:val="1"/>
          <w:wAfter w:w="851" w:type="dxa"/>
          <w:trHeight w:val="144"/>
        </w:trPr>
        <w:tc>
          <w:tcPr>
            <w:tcW w:w="1835" w:type="dxa"/>
            <w:hideMark/>
          </w:tcPr>
          <w:p w14:paraId="33BFA01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Importance of democracy</w:t>
            </w:r>
          </w:p>
        </w:tc>
        <w:tc>
          <w:tcPr>
            <w:tcW w:w="856" w:type="dxa"/>
          </w:tcPr>
          <w:p w14:paraId="596CA13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37718A2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19CEE05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2" w:type="dxa"/>
            <w:hideMark/>
          </w:tcPr>
          <w:p w14:paraId="3080B34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546AB6E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1CF7D5C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6ACFD6B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426C9AD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5B7C45A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4987F51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7FD1AD9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9FD9C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p w14:paraId="0162080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right w:val="single" w:sz="4" w:space="0" w:color="auto"/>
            </w:tcBorders>
            <w:hideMark/>
          </w:tcPr>
          <w:p w14:paraId="28DA7DB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6114828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6AE1811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6821A53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6DCD38B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7506256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07D6387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403FEDF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6F97F47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33896E3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3A56F63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3531B1C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4E7E899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677165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0456BFC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0F07B0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647BAA04" w14:textId="77777777" w:rsidTr="00FF0E2C">
        <w:trPr>
          <w:gridAfter w:val="1"/>
          <w:wAfter w:w="851" w:type="dxa"/>
          <w:trHeight w:val="144"/>
        </w:trPr>
        <w:tc>
          <w:tcPr>
            <w:tcW w:w="1835" w:type="dxa"/>
            <w:hideMark/>
          </w:tcPr>
          <w:p w14:paraId="4434751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V/Good System of Democracy (Ref =</w:t>
            </w:r>
            <w:r w:rsidRPr="00CA5619">
              <w:rPr>
                <w:rFonts w:cs="Segoe UI"/>
                <w:i/>
                <w:sz w:val="18"/>
                <w:szCs w:val="18"/>
                <w:highlight w:val="yellow"/>
                <w:lang w:val="en-US" w:eastAsia="en-GB"/>
              </w:rPr>
              <w:t xml:space="preserve"> V/Bad</w:t>
            </w:r>
            <w:r w:rsidRPr="00CA5619">
              <w:rPr>
                <w:rFonts w:cs="Segoe UI"/>
                <w:sz w:val="18"/>
                <w:szCs w:val="18"/>
                <w:highlight w:val="yellow"/>
                <w:lang w:val="en-US" w:eastAsia="en-GB"/>
              </w:rPr>
              <w:t>)</w:t>
            </w:r>
          </w:p>
        </w:tc>
        <w:tc>
          <w:tcPr>
            <w:tcW w:w="856" w:type="dxa"/>
          </w:tcPr>
          <w:p w14:paraId="2B7D265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7B356EE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4BEDCD0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2" w:type="dxa"/>
            <w:hideMark/>
          </w:tcPr>
          <w:p w14:paraId="7CDF1EF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p w14:paraId="16B2F37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6A3410F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p w14:paraId="6A7CF9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578AEE2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07DF179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149922B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p w14:paraId="51D5DA6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1427F73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0.18***</w:t>
            </w:r>
          </w:p>
          <w:p w14:paraId="5C44888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right w:val="single" w:sz="4" w:space="0" w:color="auto"/>
            </w:tcBorders>
            <w:hideMark/>
          </w:tcPr>
          <w:p w14:paraId="4C363A5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57692E9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left w:val="single" w:sz="4" w:space="0" w:color="auto"/>
            </w:tcBorders>
            <w:hideMark/>
          </w:tcPr>
          <w:p w14:paraId="792E256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7A5E07F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hideMark/>
          </w:tcPr>
          <w:p w14:paraId="0464218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1067756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6C0F310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1DD8C0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1F4F325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3C4BF01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4846F8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65C684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0BDB44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75D409F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628FB78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p w14:paraId="3E808BB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EB49FE" w:rsidRPr="00CA5619" w14:paraId="63034596" w14:textId="77777777" w:rsidTr="00FF0E2C">
        <w:trPr>
          <w:gridAfter w:val="1"/>
          <w:wAfter w:w="851" w:type="dxa"/>
          <w:trHeight w:val="144"/>
        </w:trPr>
        <w:tc>
          <w:tcPr>
            <w:tcW w:w="1835" w:type="dxa"/>
            <w:shd w:val="clear" w:color="auto" w:fill="F2F2F2" w:themeFill="background1" w:themeFillShade="F2"/>
            <w:hideMark/>
          </w:tcPr>
          <w:p w14:paraId="77363570" w14:textId="77777777" w:rsidR="00EB49FE" w:rsidRPr="00CA5619" w:rsidRDefault="00EB49FE">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Grievance Theory</w:t>
            </w:r>
          </w:p>
        </w:tc>
        <w:tc>
          <w:tcPr>
            <w:tcW w:w="856" w:type="dxa"/>
            <w:shd w:val="clear" w:color="auto" w:fill="F2F2F2" w:themeFill="background1" w:themeFillShade="F2"/>
          </w:tcPr>
          <w:p w14:paraId="75AD0FA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B3E978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7B487E8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72B8C8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CBB4F4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8DDBCD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DA1B6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3FE53F8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58C1EA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shd w:val="clear" w:color="auto" w:fill="F2F2F2" w:themeFill="background1" w:themeFillShade="F2"/>
          </w:tcPr>
          <w:p w14:paraId="22403C5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557F0E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9C2C90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0A7FBD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7748A0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CE0B16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4F30A57A" w14:textId="77777777" w:rsidTr="00FF0E2C">
        <w:trPr>
          <w:trHeight w:val="144"/>
        </w:trPr>
        <w:tc>
          <w:tcPr>
            <w:tcW w:w="2691" w:type="dxa"/>
            <w:gridSpan w:val="2"/>
            <w:shd w:val="clear" w:color="auto" w:fill="F2F2F2" w:themeFill="background1" w:themeFillShade="F2"/>
            <w:hideMark/>
          </w:tcPr>
          <w:p w14:paraId="0F91850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Satisfaction income (1-10)</w:t>
            </w:r>
          </w:p>
        </w:tc>
        <w:tc>
          <w:tcPr>
            <w:tcW w:w="851" w:type="dxa"/>
            <w:shd w:val="clear" w:color="auto" w:fill="F2F2F2" w:themeFill="background1" w:themeFillShade="F2"/>
          </w:tcPr>
          <w:p w14:paraId="5CA928D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hideMark/>
          </w:tcPr>
          <w:p w14:paraId="6090D55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p w14:paraId="2F56240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tcPr>
          <w:p w14:paraId="16B1192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31FBE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3CD7EE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D8972D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2D07EB5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23DD244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75C59B4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8E394D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shd w:val="clear" w:color="auto" w:fill="F2F2F2" w:themeFill="background1" w:themeFillShade="F2"/>
            <w:hideMark/>
          </w:tcPr>
          <w:p w14:paraId="0DD1DB0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6CCEDC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3ECB527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926C71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7FB18C5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96283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3362978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685C16C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2FE25FA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A7C6C9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325E144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E3BB4B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3390A5A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0F5CEA09" w14:textId="77777777" w:rsidTr="00FF0E2C">
        <w:trPr>
          <w:gridAfter w:val="1"/>
          <w:wAfter w:w="851" w:type="dxa"/>
          <w:trHeight w:val="144"/>
        </w:trPr>
        <w:tc>
          <w:tcPr>
            <w:tcW w:w="1835" w:type="dxa"/>
            <w:shd w:val="clear" w:color="auto" w:fill="F2F2F2" w:themeFill="background1" w:themeFillShade="F2"/>
            <w:hideMark/>
          </w:tcPr>
          <w:p w14:paraId="18492C0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Income (1-10)</w:t>
            </w:r>
          </w:p>
        </w:tc>
        <w:tc>
          <w:tcPr>
            <w:tcW w:w="856" w:type="dxa"/>
            <w:shd w:val="clear" w:color="auto" w:fill="F2F2F2" w:themeFill="background1" w:themeFillShade="F2"/>
          </w:tcPr>
          <w:p w14:paraId="4A2B32A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64230C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hideMark/>
          </w:tcPr>
          <w:p w14:paraId="6455A6B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p w14:paraId="44E9C0A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tcPr>
          <w:p w14:paraId="569192E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9BD6A8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2ACA93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4E56E1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40BD358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35BB7FB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751E88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2F6BA44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shd w:val="clear" w:color="auto" w:fill="F2F2F2" w:themeFill="background1" w:themeFillShade="F2"/>
            <w:hideMark/>
          </w:tcPr>
          <w:p w14:paraId="4F8B4A3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2DABA9F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2DA4AEE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21D731B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579AB96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65C79DA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35F7E57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022AB8E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3C0387D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6E7F703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29FFE8E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p w14:paraId="5996F5B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5349B100" w14:textId="77777777" w:rsidTr="00FF0E2C">
        <w:trPr>
          <w:trHeight w:val="144"/>
        </w:trPr>
        <w:tc>
          <w:tcPr>
            <w:tcW w:w="2691" w:type="dxa"/>
            <w:gridSpan w:val="2"/>
            <w:shd w:val="clear" w:color="auto" w:fill="F2F2F2" w:themeFill="background1" w:themeFillShade="F2"/>
            <w:hideMark/>
          </w:tcPr>
          <w:p w14:paraId="7A8B277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Satisfaction x Income</w:t>
            </w:r>
          </w:p>
        </w:tc>
        <w:tc>
          <w:tcPr>
            <w:tcW w:w="851" w:type="dxa"/>
            <w:shd w:val="clear" w:color="auto" w:fill="F2F2F2" w:themeFill="background1" w:themeFillShade="F2"/>
          </w:tcPr>
          <w:p w14:paraId="47761C6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hideMark/>
          </w:tcPr>
          <w:p w14:paraId="192BA3C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p w14:paraId="3A36203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tcPr>
          <w:p w14:paraId="497FD1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7911EF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55D5BD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99A3CB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7D176BD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069084D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714460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672B84A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0B8CEBE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384228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5D1A6ED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A1AB16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4D1495F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29C9B42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3A11992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02C7A1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55542B1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9067C7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8E2541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0DC02B2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Pr>
          <w:p w14:paraId="20435CB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78DF9F3F" w14:textId="77777777" w:rsidTr="00FF0E2C">
        <w:trPr>
          <w:gridAfter w:val="1"/>
          <w:wAfter w:w="851" w:type="dxa"/>
          <w:trHeight w:val="144"/>
        </w:trPr>
        <w:tc>
          <w:tcPr>
            <w:tcW w:w="1835" w:type="dxa"/>
            <w:hideMark/>
          </w:tcPr>
          <w:p w14:paraId="4D182DE2" w14:textId="77777777" w:rsidR="00EB49FE" w:rsidRPr="00CA5619" w:rsidRDefault="00EB49FE">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Resource Theory</w:t>
            </w:r>
          </w:p>
        </w:tc>
        <w:tc>
          <w:tcPr>
            <w:tcW w:w="856" w:type="dxa"/>
          </w:tcPr>
          <w:p w14:paraId="33A50B9F"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DBBA86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033868D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61B99E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BEC5F4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060F28C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E9BAD1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054CF71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74AF369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00CE42E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03E88DA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0B8FFAD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D96088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6FD1695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FC2A27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024BBCAA" w14:textId="77777777" w:rsidTr="00FF0E2C">
        <w:trPr>
          <w:trHeight w:val="144"/>
        </w:trPr>
        <w:tc>
          <w:tcPr>
            <w:tcW w:w="2691" w:type="dxa"/>
            <w:gridSpan w:val="2"/>
            <w:hideMark/>
          </w:tcPr>
          <w:p w14:paraId="35ED22E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Education (Ref=</w:t>
            </w:r>
            <w:r w:rsidRPr="00CA5619">
              <w:rPr>
                <w:rFonts w:cs="Segoe UI"/>
                <w:i/>
                <w:sz w:val="18"/>
                <w:szCs w:val="18"/>
                <w:highlight w:val="yellow"/>
                <w:lang w:val="en-US" w:eastAsia="en-GB"/>
              </w:rPr>
              <w:t>Lower</w:t>
            </w:r>
            <w:r w:rsidRPr="00CA5619">
              <w:rPr>
                <w:rFonts w:cs="Segoe UI"/>
                <w:sz w:val="18"/>
                <w:szCs w:val="18"/>
                <w:highlight w:val="yellow"/>
                <w:lang w:val="en-US" w:eastAsia="en-GB"/>
              </w:rPr>
              <w:t>)</w:t>
            </w:r>
          </w:p>
        </w:tc>
        <w:tc>
          <w:tcPr>
            <w:tcW w:w="851" w:type="dxa"/>
          </w:tcPr>
          <w:p w14:paraId="6561E5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77B974B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0BF4D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6090F7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4A2C75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3C5DAD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0868AD6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32D190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2CA3514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0720BC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239A15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7F033B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4FDDA6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9AFFB2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F4201C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768C6DCD" w14:textId="77777777" w:rsidTr="00FF0E2C">
        <w:trPr>
          <w:gridAfter w:val="1"/>
          <w:wAfter w:w="851" w:type="dxa"/>
          <w:trHeight w:val="144"/>
        </w:trPr>
        <w:tc>
          <w:tcPr>
            <w:tcW w:w="1835" w:type="dxa"/>
            <w:hideMark/>
          </w:tcPr>
          <w:p w14:paraId="2E91792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i/>
                <w:sz w:val="18"/>
                <w:szCs w:val="18"/>
                <w:highlight w:val="yellow"/>
                <w:lang w:val="en-US" w:eastAsia="en-GB"/>
              </w:rPr>
              <w:t>Middle</w:t>
            </w:r>
          </w:p>
        </w:tc>
        <w:tc>
          <w:tcPr>
            <w:tcW w:w="856" w:type="dxa"/>
          </w:tcPr>
          <w:p w14:paraId="1DE1E49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E0BB61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255A1D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4A2F91E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0.41***</w:t>
            </w:r>
          </w:p>
        </w:tc>
        <w:tc>
          <w:tcPr>
            <w:tcW w:w="851" w:type="dxa"/>
          </w:tcPr>
          <w:p w14:paraId="1DFCEC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B0EF90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873D31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6E75DB8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992" w:type="dxa"/>
            <w:tcBorders>
              <w:left w:val="single" w:sz="4" w:space="0" w:color="auto"/>
            </w:tcBorders>
            <w:hideMark/>
          </w:tcPr>
          <w:p w14:paraId="3A733FB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993" w:type="dxa"/>
            <w:hideMark/>
          </w:tcPr>
          <w:p w14:paraId="725FB3D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0" w:type="dxa"/>
            <w:hideMark/>
          </w:tcPr>
          <w:p w14:paraId="5C82CB3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1" w:type="dxa"/>
            <w:hideMark/>
          </w:tcPr>
          <w:p w14:paraId="20BBF3D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0" w:type="dxa"/>
            <w:hideMark/>
          </w:tcPr>
          <w:p w14:paraId="65869C0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1" w:type="dxa"/>
            <w:hideMark/>
          </w:tcPr>
          <w:p w14:paraId="781BB9D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1" w:type="dxa"/>
            <w:hideMark/>
          </w:tcPr>
          <w:p w14:paraId="5AB5410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r>
      <w:tr w:rsidR="00EB49FE" w:rsidRPr="00CA5619" w14:paraId="35152D7E" w14:textId="77777777" w:rsidTr="00FF0E2C">
        <w:trPr>
          <w:gridAfter w:val="1"/>
          <w:wAfter w:w="851" w:type="dxa"/>
          <w:trHeight w:val="144"/>
        </w:trPr>
        <w:tc>
          <w:tcPr>
            <w:tcW w:w="1835" w:type="dxa"/>
          </w:tcPr>
          <w:p w14:paraId="045D3D86"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080DEE7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981E1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6C289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1016EA1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Pr>
          <w:p w14:paraId="5A1EFF1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22C2E6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3FD0F9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3E4BFC8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hideMark/>
          </w:tcPr>
          <w:p w14:paraId="0423BDB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hideMark/>
          </w:tcPr>
          <w:p w14:paraId="6A327DF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hideMark/>
          </w:tcPr>
          <w:p w14:paraId="2E17F83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hideMark/>
          </w:tcPr>
          <w:p w14:paraId="689A8E1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hideMark/>
          </w:tcPr>
          <w:p w14:paraId="0C497A4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hideMark/>
          </w:tcPr>
          <w:p w14:paraId="79E47D3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hideMark/>
          </w:tcPr>
          <w:p w14:paraId="4DA459C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EB49FE" w:rsidRPr="00CA5619" w14:paraId="0F5A04E0" w14:textId="77777777" w:rsidTr="00FF0E2C">
        <w:trPr>
          <w:gridAfter w:val="1"/>
          <w:wAfter w:w="851" w:type="dxa"/>
          <w:trHeight w:val="144"/>
        </w:trPr>
        <w:tc>
          <w:tcPr>
            <w:tcW w:w="1835" w:type="dxa"/>
            <w:hideMark/>
          </w:tcPr>
          <w:p w14:paraId="087EFA77"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Higher</w:t>
            </w:r>
          </w:p>
        </w:tc>
        <w:tc>
          <w:tcPr>
            <w:tcW w:w="856" w:type="dxa"/>
          </w:tcPr>
          <w:p w14:paraId="0A5B69D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FF849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320F3E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4239B22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0.86***</w:t>
            </w:r>
          </w:p>
        </w:tc>
        <w:tc>
          <w:tcPr>
            <w:tcW w:w="851" w:type="dxa"/>
          </w:tcPr>
          <w:p w14:paraId="3A74FF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35890F9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626E3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7CEBC31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0.48***</w:t>
            </w:r>
          </w:p>
        </w:tc>
        <w:tc>
          <w:tcPr>
            <w:tcW w:w="992" w:type="dxa"/>
            <w:tcBorders>
              <w:left w:val="single" w:sz="4" w:space="0" w:color="auto"/>
            </w:tcBorders>
            <w:hideMark/>
          </w:tcPr>
          <w:p w14:paraId="7BA81E5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c>
          <w:tcPr>
            <w:tcW w:w="993" w:type="dxa"/>
            <w:hideMark/>
          </w:tcPr>
          <w:p w14:paraId="7BA02F6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c>
          <w:tcPr>
            <w:tcW w:w="850" w:type="dxa"/>
            <w:hideMark/>
          </w:tcPr>
          <w:p w14:paraId="4B46F60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c>
          <w:tcPr>
            <w:tcW w:w="851" w:type="dxa"/>
            <w:hideMark/>
          </w:tcPr>
          <w:p w14:paraId="7C5A52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c>
          <w:tcPr>
            <w:tcW w:w="850" w:type="dxa"/>
            <w:hideMark/>
          </w:tcPr>
          <w:p w14:paraId="300D63B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c>
          <w:tcPr>
            <w:tcW w:w="851" w:type="dxa"/>
            <w:hideMark/>
          </w:tcPr>
          <w:p w14:paraId="0CB6AE5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c>
          <w:tcPr>
            <w:tcW w:w="851" w:type="dxa"/>
            <w:hideMark/>
          </w:tcPr>
          <w:p w14:paraId="574BBB3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0.68***</w:t>
            </w:r>
          </w:p>
        </w:tc>
      </w:tr>
      <w:tr w:rsidR="00EB49FE" w:rsidRPr="00CA5619" w14:paraId="27BA4FB2" w14:textId="77777777" w:rsidTr="00FF0E2C">
        <w:trPr>
          <w:gridAfter w:val="1"/>
          <w:wAfter w:w="851" w:type="dxa"/>
          <w:trHeight w:val="144"/>
        </w:trPr>
        <w:tc>
          <w:tcPr>
            <w:tcW w:w="1835" w:type="dxa"/>
          </w:tcPr>
          <w:p w14:paraId="0B79BB5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5814309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999486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87C7E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4B0FB1D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tcPr>
          <w:p w14:paraId="3426CEB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FD5FAA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EFCE7C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275394D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4C8262C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hideMark/>
          </w:tcPr>
          <w:p w14:paraId="4115837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7160D4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2ABE768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hideMark/>
          </w:tcPr>
          <w:p w14:paraId="67D5F4F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1624162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hideMark/>
          </w:tcPr>
          <w:p w14:paraId="0172AF4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EB49FE" w:rsidRPr="00CA5619" w14:paraId="64AAF22E" w14:textId="77777777" w:rsidTr="00FF0E2C">
        <w:trPr>
          <w:gridAfter w:val="1"/>
          <w:wAfter w:w="851" w:type="dxa"/>
          <w:trHeight w:val="144"/>
        </w:trPr>
        <w:tc>
          <w:tcPr>
            <w:tcW w:w="1835" w:type="dxa"/>
            <w:hideMark/>
          </w:tcPr>
          <w:p w14:paraId="3190158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Control in life</w:t>
            </w:r>
          </w:p>
        </w:tc>
        <w:tc>
          <w:tcPr>
            <w:tcW w:w="856" w:type="dxa"/>
          </w:tcPr>
          <w:p w14:paraId="7F97251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477A0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5C6040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7388BDD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Pr>
          <w:p w14:paraId="5FE73C5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501C23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F84D38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55B3E58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7179D6F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6A37C66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78C311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6E8E714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699DD88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6787FA5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669B08B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41677AC6" w14:textId="77777777" w:rsidTr="00FF0E2C">
        <w:trPr>
          <w:gridAfter w:val="1"/>
          <w:wAfter w:w="851" w:type="dxa"/>
          <w:trHeight w:val="144"/>
        </w:trPr>
        <w:tc>
          <w:tcPr>
            <w:tcW w:w="1835" w:type="dxa"/>
          </w:tcPr>
          <w:p w14:paraId="0D19BF6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2FD0B37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481253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197E3C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1AD83C6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749321D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B87670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487D9C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0ABB3C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4C13A35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286D5EE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06DE7CC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066260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09CEA44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5782072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3259FDB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5C8620DA" w14:textId="77777777" w:rsidTr="00FF0E2C">
        <w:trPr>
          <w:gridAfter w:val="1"/>
          <w:wAfter w:w="851" w:type="dxa"/>
          <w:trHeight w:val="144"/>
        </w:trPr>
        <w:tc>
          <w:tcPr>
            <w:tcW w:w="1835" w:type="dxa"/>
            <w:shd w:val="clear" w:color="auto" w:fill="F2F2F2" w:themeFill="background1" w:themeFillShade="F2"/>
            <w:hideMark/>
          </w:tcPr>
          <w:p w14:paraId="39DDCC3B" w14:textId="77777777" w:rsidR="00EB49FE" w:rsidRPr="00CA5619" w:rsidRDefault="00EB49FE">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Social Capital</w:t>
            </w:r>
          </w:p>
        </w:tc>
        <w:tc>
          <w:tcPr>
            <w:tcW w:w="856" w:type="dxa"/>
            <w:shd w:val="clear" w:color="auto" w:fill="F2F2F2" w:themeFill="background1" w:themeFillShade="F2"/>
          </w:tcPr>
          <w:p w14:paraId="0CF0C62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BEEB46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F8B1B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6A02AB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99322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CAA92B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6CAA57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373B52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79D2108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shd w:val="clear" w:color="auto" w:fill="F2F2F2" w:themeFill="background1" w:themeFillShade="F2"/>
          </w:tcPr>
          <w:p w14:paraId="0AD18EE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463BE5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189A63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8BB201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DCAF97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ED0D4F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76A11DCE" w14:textId="77777777" w:rsidTr="00FF0E2C">
        <w:trPr>
          <w:trHeight w:val="144"/>
        </w:trPr>
        <w:tc>
          <w:tcPr>
            <w:tcW w:w="2691" w:type="dxa"/>
            <w:gridSpan w:val="2"/>
            <w:shd w:val="clear" w:color="auto" w:fill="F2F2F2" w:themeFill="background1" w:themeFillShade="F2"/>
            <w:hideMark/>
          </w:tcPr>
          <w:p w14:paraId="20A73C6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Group membership </w:t>
            </w:r>
          </w:p>
          <w:p w14:paraId="4AC5739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(Ref= </w:t>
            </w:r>
            <w:r w:rsidRPr="00CA5619">
              <w:rPr>
                <w:rFonts w:cs="Segoe UI"/>
                <w:i/>
                <w:sz w:val="18"/>
                <w:szCs w:val="18"/>
                <w:highlight w:val="yellow"/>
                <w:lang w:val="en-US" w:eastAsia="en-GB"/>
              </w:rPr>
              <w:t>None</w:t>
            </w:r>
            <w:r w:rsidRPr="00CA5619">
              <w:rPr>
                <w:rFonts w:cs="Segoe UI"/>
                <w:sz w:val="18"/>
                <w:szCs w:val="18"/>
                <w:highlight w:val="yellow"/>
                <w:lang w:val="en-US" w:eastAsia="en-GB"/>
              </w:rPr>
              <w:t>)</w:t>
            </w:r>
          </w:p>
        </w:tc>
        <w:tc>
          <w:tcPr>
            <w:tcW w:w="851" w:type="dxa"/>
            <w:shd w:val="clear" w:color="auto" w:fill="F2F2F2" w:themeFill="background1" w:themeFillShade="F2"/>
          </w:tcPr>
          <w:p w14:paraId="13F053D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shd w:val="clear" w:color="auto" w:fill="F2F2F2" w:themeFill="background1" w:themeFillShade="F2"/>
          </w:tcPr>
          <w:p w14:paraId="05CCBC0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1A56A52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090B6526"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15342651"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0CAEBE2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26C1B80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70BCF66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shd w:val="clear" w:color="auto" w:fill="F2F2F2" w:themeFill="background1" w:themeFillShade="F2"/>
          </w:tcPr>
          <w:p w14:paraId="1C45807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315D63B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66C7363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037730C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0E95F0A6"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293DBAF1"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039709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448D3CBF" w14:textId="77777777" w:rsidTr="00FF0E2C">
        <w:trPr>
          <w:gridAfter w:val="1"/>
          <w:wAfter w:w="851" w:type="dxa"/>
          <w:trHeight w:val="144"/>
        </w:trPr>
        <w:tc>
          <w:tcPr>
            <w:tcW w:w="1835" w:type="dxa"/>
            <w:shd w:val="clear" w:color="auto" w:fill="F2F2F2" w:themeFill="background1" w:themeFillShade="F2"/>
            <w:hideMark/>
          </w:tcPr>
          <w:p w14:paraId="1E015695"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One</w:t>
            </w:r>
          </w:p>
        </w:tc>
        <w:tc>
          <w:tcPr>
            <w:tcW w:w="856" w:type="dxa"/>
            <w:shd w:val="clear" w:color="auto" w:fill="F2F2F2" w:themeFill="background1" w:themeFillShade="F2"/>
          </w:tcPr>
          <w:p w14:paraId="3463579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223FDF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19D1E85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4CAE04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160B67C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0.43***</w:t>
            </w:r>
          </w:p>
        </w:tc>
        <w:tc>
          <w:tcPr>
            <w:tcW w:w="850" w:type="dxa"/>
            <w:shd w:val="clear" w:color="auto" w:fill="F2F2F2" w:themeFill="background1" w:themeFillShade="F2"/>
          </w:tcPr>
          <w:p w14:paraId="4E99F30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30DE97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47C1D5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0.32***</w:t>
            </w:r>
          </w:p>
        </w:tc>
        <w:tc>
          <w:tcPr>
            <w:tcW w:w="992" w:type="dxa"/>
            <w:tcBorders>
              <w:left w:val="single" w:sz="4" w:space="0" w:color="auto"/>
            </w:tcBorders>
            <w:shd w:val="clear" w:color="auto" w:fill="F2F2F2" w:themeFill="background1" w:themeFillShade="F2"/>
            <w:hideMark/>
          </w:tcPr>
          <w:p w14:paraId="722EC26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993" w:type="dxa"/>
            <w:shd w:val="clear" w:color="auto" w:fill="F2F2F2" w:themeFill="background1" w:themeFillShade="F2"/>
            <w:hideMark/>
          </w:tcPr>
          <w:p w14:paraId="06E4227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0" w:type="dxa"/>
            <w:shd w:val="clear" w:color="auto" w:fill="F2F2F2" w:themeFill="background1" w:themeFillShade="F2"/>
            <w:hideMark/>
          </w:tcPr>
          <w:p w14:paraId="790AE24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1" w:type="dxa"/>
            <w:shd w:val="clear" w:color="auto" w:fill="F2F2F2" w:themeFill="background1" w:themeFillShade="F2"/>
            <w:hideMark/>
          </w:tcPr>
          <w:p w14:paraId="3196CC3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0" w:type="dxa"/>
            <w:shd w:val="clear" w:color="auto" w:fill="F2F2F2" w:themeFill="background1" w:themeFillShade="F2"/>
            <w:hideMark/>
          </w:tcPr>
          <w:p w14:paraId="0124B2A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1" w:type="dxa"/>
            <w:shd w:val="clear" w:color="auto" w:fill="F2F2F2" w:themeFill="background1" w:themeFillShade="F2"/>
            <w:hideMark/>
          </w:tcPr>
          <w:p w14:paraId="77E62FE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c>
          <w:tcPr>
            <w:tcW w:w="851" w:type="dxa"/>
            <w:shd w:val="clear" w:color="auto" w:fill="F2F2F2" w:themeFill="background1" w:themeFillShade="F2"/>
            <w:hideMark/>
          </w:tcPr>
          <w:p w14:paraId="54C92B4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0.19***</w:t>
            </w:r>
          </w:p>
        </w:tc>
      </w:tr>
      <w:tr w:rsidR="00EB49FE" w:rsidRPr="00CA5619" w14:paraId="2E81BF5D" w14:textId="77777777" w:rsidTr="00FF0E2C">
        <w:trPr>
          <w:gridAfter w:val="1"/>
          <w:wAfter w:w="851" w:type="dxa"/>
          <w:trHeight w:val="144"/>
        </w:trPr>
        <w:tc>
          <w:tcPr>
            <w:tcW w:w="1835" w:type="dxa"/>
            <w:shd w:val="clear" w:color="auto" w:fill="F2F2F2" w:themeFill="background1" w:themeFillShade="F2"/>
          </w:tcPr>
          <w:p w14:paraId="796046F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7D8EB0C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6203CF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7DCFFA5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EC3CC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288160A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tcPr>
          <w:p w14:paraId="0665560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8A264A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08FCE65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shd w:val="clear" w:color="auto" w:fill="F2F2F2" w:themeFill="background1" w:themeFillShade="F2"/>
            <w:hideMark/>
          </w:tcPr>
          <w:p w14:paraId="691C5E0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shd w:val="clear" w:color="auto" w:fill="F2F2F2" w:themeFill="background1" w:themeFillShade="F2"/>
            <w:hideMark/>
          </w:tcPr>
          <w:p w14:paraId="004F4F7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7DA943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6187D97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33AE48B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4028DE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7AF1EF9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EB49FE" w:rsidRPr="00CA5619" w14:paraId="1DFD8344" w14:textId="77777777" w:rsidTr="00FF0E2C">
        <w:trPr>
          <w:gridAfter w:val="1"/>
          <w:wAfter w:w="851" w:type="dxa"/>
          <w:trHeight w:val="144"/>
        </w:trPr>
        <w:tc>
          <w:tcPr>
            <w:tcW w:w="1835" w:type="dxa"/>
            <w:shd w:val="clear" w:color="auto" w:fill="F2F2F2" w:themeFill="background1" w:themeFillShade="F2"/>
            <w:hideMark/>
          </w:tcPr>
          <w:p w14:paraId="42971326"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Two or more</w:t>
            </w:r>
          </w:p>
        </w:tc>
        <w:tc>
          <w:tcPr>
            <w:tcW w:w="856" w:type="dxa"/>
            <w:shd w:val="clear" w:color="auto" w:fill="F2F2F2" w:themeFill="background1" w:themeFillShade="F2"/>
          </w:tcPr>
          <w:p w14:paraId="38C673C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05413A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248395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71613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504E8F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0.85***</w:t>
            </w:r>
          </w:p>
        </w:tc>
        <w:tc>
          <w:tcPr>
            <w:tcW w:w="850" w:type="dxa"/>
            <w:shd w:val="clear" w:color="auto" w:fill="F2F2F2" w:themeFill="background1" w:themeFillShade="F2"/>
          </w:tcPr>
          <w:p w14:paraId="38692F5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64A8CA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6503A1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0.65***</w:t>
            </w:r>
          </w:p>
        </w:tc>
        <w:tc>
          <w:tcPr>
            <w:tcW w:w="992" w:type="dxa"/>
            <w:tcBorders>
              <w:left w:val="single" w:sz="4" w:space="0" w:color="auto"/>
            </w:tcBorders>
            <w:shd w:val="clear" w:color="auto" w:fill="F2F2F2" w:themeFill="background1" w:themeFillShade="F2"/>
            <w:hideMark/>
          </w:tcPr>
          <w:p w14:paraId="57628D2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0.51***</w:t>
            </w:r>
          </w:p>
        </w:tc>
        <w:tc>
          <w:tcPr>
            <w:tcW w:w="993" w:type="dxa"/>
            <w:shd w:val="clear" w:color="auto" w:fill="F2F2F2" w:themeFill="background1" w:themeFillShade="F2"/>
            <w:hideMark/>
          </w:tcPr>
          <w:p w14:paraId="7ACE425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0.51***</w:t>
            </w:r>
          </w:p>
        </w:tc>
        <w:tc>
          <w:tcPr>
            <w:tcW w:w="850" w:type="dxa"/>
            <w:shd w:val="clear" w:color="auto" w:fill="F2F2F2" w:themeFill="background1" w:themeFillShade="F2"/>
            <w:hideMark/>
          </w:tcPr>
          <w:p w14:paraId="55D5269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0.51***</w:t>
            </w:r>
          </w:p>
        </w:tc>
        <w:tc>
          <w:tcPr>
            <w:tcW w:w="851" w:type="dxa"/>
            <w:shd w:val="clear" w:color="auto" w:fill="F2F2F2" w:themeFill="background1" w:themeFillShade="F2"/>
            <w:hideMark/>
          </w:tcPr>
          <w:p w14:paraId="6D36D7F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0.51***</w:t>
            </w:r>
          </w:p>
        </w:tc>
        <w:tc>
          <w:tcPr>
            <w:tcW w:w="850" w:type="dxa"/>
            <w:shd w:val="clear" w:color="auto" w:fill="F2F2F2" w:themeFill="background1" w:themeFillShade="F2"/>
            <w:hideMark/>
          </w:tcPr>
          <w:p w14:paraId="6C07AF1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0.51***</w:t>
            </w:r>
          </w:p>
        </w:tc>
        <w:tc>
          <w:tcPr>
            <w:tcW w:w="851" w:type="dxa"/>
            <w:shd w:val="clear" w:color="auto" w:fill="F2F2F2" w:themeFill="background1" w:themeFillShade="F2"/>
            <w:hideMark/>
          </w:tcPr>
          <w:p w14:paraId="7DD3E9B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0.51***</w:t>
            </w:r>
          </w:p>
        </w:tc>
        <w:tc>
          <w:tcPr>
            <w:tcW w:w="851" w:type="dxa"/>
            <w:shd w:val="clear" w:color="auto" w:fill="F2F2F2" w:themeFill="background1" w:themeFillShade="F2"/>
            <w:hideMark/>
          </w:tcPr>
          <w:p w14:paraId="45BA7A9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0.51***</w:t>
            </w:r>
          </w:p>
        </w:tc>
      </w:tr>
      <w:tr w:rsidR="00EB49FE" w:rsidRPr="00CA5619" w14:paraId="043C405E" w14:textId="77777777" w:rsidTr="00FF0E2C">
        <w:trPr>
          <w:gridAfter w:val="1"/>
          <w:wAfter w:w="851" w:type="dxa"/>
          <w:trHeight w:val="144"/>
        </w:trPr>
        <w:tc>
          <w:tcPr>
            <w:tcW w:w="1835" w:type="dxa"/>
            <w:shd w:val="clear" w:color="auto" w:fill="F2F2F2" w:themeFill="background1" w:themeFillShade="F2"/>
          </w:tcPr>
          <w:p w14:paraId="21A1991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4F7A51C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2A0445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796B94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F290D7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4F70E6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tcPr>
          <w:p w14:paraId="24F0AD1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02DD24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38E8D61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shd w:val="clear" w:color="auto" w:fill="F2F2F2" w:themeFill="background1" w:themeFillShade="F2"/>
            <w:hideMark/>
          </w:tcPr>
          <w:p w14:paraId="576A2A9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shd w:val="clear" w:color="auto" w:fill="F2F2F2" w:themeFill="background1" w:themeFillShade="F2"/>
            <w:hideMark/>
          </w:tcPr>
          <w:p w14:paraId="1EEFB9F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6DBE28E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3333D62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66AC2EE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769104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3474E9D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EB49FE" w:rsidRPr="00CA5619" w14:paraId="03570A7C" w14:textId="77777777" w:rsidTr="00FF0E2C">
        <w:trPr>
          <w:gridAfter w:val="1"/>
          <w:wAfter w:w="851" w:type="dxa"/>
          <w:trHeight w:val="144"/>
        </w:trPr>
        <w:tc>
          <w:tcPr>
            <w:tcW w:w="1835" w:type="dxa"/>
            <w:shd w:val="clear" w:color="auto" w:fill="F2F2F2" w:themeFill="background1" w:themeFillShade="F2"/>
            <w:hideMark/>
          </w:tcPr>
          <w:p w14:paraId="167E0668" w14:textId="77777777" w:rsidR="00EB49FE" w:rsidRPr="00CA5619" w:rsidRDefault="00EB49FE">
            <w:pPr>
              <w:widowControl w:val="0"/>
              <w:autoSpaceDE w:val="0"/>
              <w:autoSpaceDN w:val="0"/>
              <w:adjustRightInd w:val="0"/>
              <w:spacing w:before="0" w:line="240" w:lineRule="auto"/>
              <w:rPr>
                <w:rFonts w:cs="Segoe UI"/>
                <w:sz w:val="18"/>
                <w:szCs w:val="18"/>
                <w:highlight w:val="yellow"/>
                <w:u w:val="single"/>
                <w:lang w:val="en-US" w:eastAsia="en-GB"/>
              </w:rPr>
            </w:pPr>
            <w:r w:rsidRPr="00CA5619">
              <w:rPr>
                <w:rFonts w:cs="Segoe UI"/>
                <w:sz w:val="18"/>
                <w:szCs w:val="18"/>
                <w:highlight w:val="yellow"/>
                <w:lang w:val="en-US" w:eastAsia="en-GB"/>
              </w:rPr>
              <w:t xml:space="preserve">Trust (Ref = </w:t>
            </w:r>
            <w:r w:rsidRPr="00CA5619">
              <w:rPr>
                <w:rFonts w:cs="Segoe UI"/>
                <w:i/>
                <w:sz w:val="18"/>
                <w:szCs w:val="18"/>
                <w:highlight w:val="yellow"/>
                <w:lang w:val="en-US" w:eastAsia="en-GB"/>
              </w:rPr>
              <w:t>Can’t be trusted</w:t>
            </w:r>
            <w:r w:rsidRPr="00CA5619">
              <w:rPr>
                <w:rFonts w:cs="Segoe UI"/>
                <w:sz w:val="18"/>
                <w:szCs w:val="18"/>
                <w:highlight w:val="yellow"/>
                <w:lang w:val="en-US" w:eastAsia="en-GB"/>
              </w:rPr>
              <w:t>)</w:t>
            </w:r>
          </w:p>
        </w:tc>
        <w:tc>
          <w:tcPr>
            <w:tcW w:w="856" w:type="dxa"/>
            <w:shd w:val="clear" w:color="auto" w:fill="F2F2F2" w:themeFill="background1" w:themeFillShade="F2"/>
          </w:tcPr>
          <w:p w14:paraId="7BC8765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47172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1F36F32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A1B1D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1D3BF4F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203052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tc>
        <w:tc>
          <w:tcPr>
            <w:tcW w:w="850" w:type="dxa"/>
            <w:shd w:val="clear" w:color="auto" w:fill="F2F2F2" w:themeFill="background1" w:themeFillShade="F2"/>
          </w:tcPr>
          <w:p w14:paraId="78DEFA9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D3FBE8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317E2FD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50FD43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shd w:val="clear" w:color="auto" w:fill="F2F2F2" w:themeFill="background1" w:themeFillShade="F2"/>
            <w:hideMark/>
          </w:tcPr>
          <w:p w14:paraId="1F1E4E3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68AB3F7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shd w:val="clear" w:color="auto" w:fill="F2F2F2" w:themeFill="background1" w:themeFillShade="F2"/>
            <w:hideMark/>
          </w:tcPr>
          <w:p w14:paraId="0CAD930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79EDC66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31E2833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59CFB3C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1031F13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66FF2C0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66492E6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2087380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7E7C7CD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08CE35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69E0764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p w14:paraId="6327A7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EB49FE" w:rsidRPr="00CA5619" w14:paraId="24CA3A81" w14:textId="77777777" w:rsidTr="00FF0E2C">
        <w:trPr>
          <w:gridAfter w:val="1"/>
          <w:wAfter w:w="851" w:type="dxa"/>
          <w:trHeight w:val="144"/>
        </w:trPr>
        <w:tc>
          <w:tcPr>
            <w:tcW w:w="1835" w:type="dxa"/>
            <w:shd w:val="clear" w:color="auto" w:fill="F2F2F2" w:themeFill="background1" w:themeFillShade="F2"/>
            <w:hideMark/>
          </w:tcPr>
          <w:p w14:paraId="3D39EA9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Institutional Trust (1-10)</w:t>
            </w:r>
          </w:p>
        </w:tc>
        <w:tc>
          <w:tcPr>
            <w:tcW w:w="856" w:type="dxa"/>
            <w:shd w:val="clear" w:color="auto" w:fill="F2F2F2" w:themeFill="background1" w:themeFillShade="F2"/>
          </w:tcPr>
          <w:p w14:paraId="71E9C8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0B307F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F45D09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45F473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263B91C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56532FE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tcPr>
          <w:p w14:paraId="5061200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917BE4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hideMark/>
          </w:tcPr>
          <w:p w14:paraId="5EECB4E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-0.02**</w:t>
            </w:r>
          </w:p>
          <w:p w14:paraId="39E460A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095CA7A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297B7D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shd w:val="clear" w:color="auto" w:fill="F2F2F2" w:themeFill="background1" w:themeFillShade="F2"/>
            <w:hideMark/>
          </w:tcPr>
          <w:p w14:paraId="5174593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77908AD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7F2A785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1B56E07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6EEF21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66E91D5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18183B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74B13DA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4E96262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71435A5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3FEDE58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248BDDD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7AFC4EC4" w14:textId="77777777" w:rsidTr="00FF0E2C">
        <w:trPr>
          <w:trHeight w:val="144"/>
        </w:trPr>
        <w:tc>
          <w:tcPr>
            <w:tcW w:w="2691" w:type="dxa"/>
            <w:gridSpan w:val="2"/>
            <w:hideMark/>
          </w:tcPr>
          <w:p w14:paraId="7D331F9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b/>
                <w:sz w:val="18"/>
                <w:szCs w:val="18"/>
                <w:highlight w:val="yellow"/>
                <w:lang w:val="en-US" w:eastAsia="en-GB"/>
              </w:rPr>
              <w:t>Cognitive Engagement</w:t>
            </w:r>
          </w:p>
        </w:tc>
        <w:tc>
          <w:tcPr>
            <w:tcW w:w="851" w:type="dxa"/>
          </w:tcPr>
          <w:p w14:paraId="2D4F843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5E906A8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6553A57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500B48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171B870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616D58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050B782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240D92F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37CCC27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54C03F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040632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1127F1B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4717FB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13DF8E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181C8A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120F8002" w14:textId="77777777" w:rsidTr="00FF0E2C">
        <w:trPr>
          <w:trHeight w:val="144"/>
        </w:trPr>
        <w:tc>
          <w:tcPr>
            <w:tcW w:w="2691" w:type="dxa"/>
            <w:gridSpan w:val="2"/>
            <w:hideMark/>
          </w:tcPr>
          <w:p w14:paraId="3C669EB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Political Interest (1-10)</w:t>
            </w:r>
          </w:p>
        </w:tc>
        <w:tc>
          <w:tcPr>
            <w:tcW w:w="851" w:type="dxa"/>
          </w:tcPr>
          <w:p w14:paraId="47E32F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71A76EA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3F4D193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BCC57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3953F58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tcPr>
          <w:p w14:paraId="64FE3A7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0816CB7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0.14***</w:t>
            </w:r>
          </w:p>
        </w:tc>
        <w:tc>
          <w:tcPr>
            <w:tcW w:w="992" w:type="dxa"/>
            <w:tcBorders>
              <w:left w:val="single" w:sz="4" w:space="0" w:color="auto"/>
            </w:tcBorders>
            <w:hideMark/>
          </w:tcPr>
          <w:p w14:paraId="6D87757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993" w:type="dxa"/>
            <w:hideMark/>
          </w:tcPr>
          <w:p w14:paraId="00B1E75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hideMark/>
          </w:tcPr>
          <w:p w14:paraId="4403D1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hideMark/>
          </w:tcPr>
          <w:p w14:paraId="6193F12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hideMark/>
          </w:tcPr>
          <w:p w14:paraId="0398128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hideMark/>
          </w:tcPr>
          <w:p w14:paraId="7C0BB44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hideMark/>
          </w:tcPr>
          <w:p w14:paraId="681130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hideMark/>
          </w:tcPr>
          <w:p w14:paraId="7689730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r>
      <w:tr w:rsidR="00EB49FE" w:rsidRPr="00CA5619" w14:paraId="6FC4BAAF" w14:textId="77777777" w:rsidTr="00FF0E2C">
        <w:trPr>
          <w:gridAfter w:val="1"/>
          <w:wAfter w:w="851" w:type="dxa"/>
          <w:trHeight w:val="144"/>
        </w:trPr>
        <w:tc>
          <w:tcPr>
            <w:tcW w:w="1835" w:type="dxa"/>
          </w:tcPr>
          <w:p w14:paraId="77AE8EE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7EAC833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B32AC6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20D842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B947D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A91191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7B7CEA9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Pr>
          <w:p w14:paraId="02415FA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20FF629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hideMark/>
          </w:tcPr>
          <w:p w14:paraId="0076C57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hideMark/>
          </w:tcPr>
          <w:p w14:paraId="6781C84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78EC730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204C9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hideMark/>
          </w:tcPr>
          <w:p w14:paraId="2CAB640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4628CD8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hideMark/>
          </w:tcPr>
          <w:p w14:paraId="2660EF3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473BE8E6" w14:textId="77777777" w:rsidTr="00FF0E2C">
        <w:trPr>
          <w:trHeight w:val="144"/>
        </w:trPr>
        <w:tc>
          <w:tcPr>
            <w:tcW w:w="2691" w:type="dxa"/>
            <w:gridSpan w:val="2"/>
            <w:hideMark/>
          </w:tcPr>
          <w:p w14:paraId="693AB8E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Media Use (Ref=</w:t>
            </w:r>
            <w:r w:rsidRPr="00CA5619">
              <w:rPr>
                <w:rFonts w:cs="Segoe UI"/>
                <w:i/>
                <w:sz w:val="18"/>
                <w:szCs w:val="18"/>
                <w:highlight w:val="yellow"/>
                <w:lang w:val="en-US" w:eastAsia="en-GB"/>
              </w:rPr>
              <w:t>None</w:t>
            </w:r>
            <w:r w:rsidRPr="00CA5619">
              <w:rPr>
                <w:rFonts w:cs="Segoe UI"/>
                <w:sz w:val="18"/>
                <w:szCs w:val="18"/>
                <w:highlight w:val="yellow"/>
                <w:lang w:val="en-US" w:eastAsia="en-GB"/>
              </w:rPr>
              <w:t>)</w:t>
            </w:r>
          </w:p>
        </w:tc>
        <w:tc>
          <w:tcPr>
            <w:tcW w:w="851" w:type="dxa"/>
          </w:tcPr>
          <w:p w14:paraId="0CD403A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3C9C1A8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BB3254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2AA0C61"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0A9BB2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A7EBAA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7ACBD54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78C14C7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2A9E9AD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1A6F376"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CD6C90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76EB4FEF"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3C6672B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14BD01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47AD4A1"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777B9E83" w14:textId="77777777" w:rsidTr="00FF0E2C">
        <w:trPr>
          <w:gridAfter w:val="1"/>
          <w:wAfter w:w="851" w:type="dxa"/>
          <w:trHeight w:val="144"/>
        </w:trPr>
        <w:tc>
          <w:tcPr>
            <w:tcW w:w="1835" w:type="dxa"/>
            <w:hideMark/>
          </w:tcPr>
          <w:p w14:paraId="6062932C"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1-4 Sources</w:t>
            </w:r>
          </w:p>
        </w:tc>
        <w:tc>
          <w:tcPr>
            <w:tcW w:w="856" w:type="dxa"/>
          </w:tcPr>
          <w:p w14:paraId="40B4F41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905393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587221B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D8559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FCB52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661B302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0.42***</w:t>
            </w:r>
          </w:p>
          <w:p w14:paraId="3C142D5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tcPr>
          <w:p w14:paraId="6D1CAAF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7FD7945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0.32***</w:t>
            </w:r>
          </w:p>
          <w:p w14:paraId="0C62493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left w:val="single" w:sz="4" w:space="0" w:color="auto"/>
            </w:tcBorders>
            <w:hideMark/>
          </w:tcPr>
          <w:p w14:paraId="319E74D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p w14:paraId="26F5B4C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hideMark/>
          </w:tcPr>
          <w:p w14:paraId="3B25DB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p w14:paraId="3667DAC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4940C09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p w14:paraId="542A02F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6AC116A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p w14:paraId="0C8EB26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595DDF1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p w14:paraId="0143995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195E9CB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p w14:paraId="5DAEC07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141B86F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p w14:paraId="7F15842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EB49FE" w:rsidRPr="00CA5619" w14:paraId="40026A37" w14:textId="77777777" w:rsidTr="00FF0E2C">
        <w:trPr>
          <w:gridAfter w:val="1"/>
          <w:wAfter w:w="851" w:type="dxa"/>
          <w:trHeight w:val="68"/>
        </w:trPr>
        <w:tc>
          <w:tcPr>
            <w:tcW w:w="1835" w:type="dxa"/>
            <w:hideMark/>
          </w:tcPr>
          <w:p w14:paraId="5C7CF968"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 xml:space="preserve">5+ Sources </w:t>
            </w:r>
          </w:p>
        </w:tc>
        <w:tc>
          <w:tcPr>
            <w:tcW w:w="856" w:type="dxa"/>
          </w:tcPr>
          <w:p w14:paraId="4178E1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568FF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38103D8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21521C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FBDE94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13AAE0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0.88***</w:t>
            </w:r>
          </w:p>
        </w:tc>
        <w:tc>
          <w:tcPr>
            <w:tcW w:w="851" w:type="dxa"/>
          </w:tcPr>
          <w:p w14:paraId="1D6C84F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673646D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0.59***</w:t>
            </w:r>
          </w:p>
        </w:tc>
        <w:tc>
          <w:tcPr>
            <w:tcW w:w="992" w:type="dxa"/>
            <w:tcBorders>
              <w:left w:val="single" w:sz="4" w:space="0" w:color="auto"/>
            </w:tcBorders>
            <w:hideMark/>
          </w:tcPr>
          <w:p w14:paraId="2848355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0.63***</w:t>
            </w:r>
          </w:p>
        </w:tc>
        <w:tc>
          <w:tcPr>
            <w:tcW w:w="993" w:type="dxa"/>
            <w:hideMark/>
          </w:tcPr>
          <w:p w14:paraId="7532396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0.62***</w:t>
            </w:r>
          </w:p>
        </w:tc>
        <w:tc>
          <w:tcPr>
            <w:tcW w:w="850" w:type="dxa"/>
            <w:hideMark/>
          </w:tcPr>
          <w:p w14:paraId="22D0B0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0.62***</w:t>
            </w:r>
          </w:p>
        </w:tc>
        <w:tc>
          <w:tcPr>
            <w:tcW w:w="851" w:type="dxa"/>
            <w:hideMark/>
          </w:tcPr>
          <w:p w14:paraId="3B1AC17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0.62***</w:t>
            </w:r>
          </w:p>
        </w:tc>
        <w:tc>
          <w:tcPr>
            <w:tcW w:w="850" w:type="dxa"/>
            <w:hideMark/>
          </w:tcPr>
          <w:p w14:paraId="0C7C159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0.62***</w:t>
            </w:r>
          </w:p>
        </w:tc>
        <w:tc>
          <w:tcPr>
            <w:tcW w:w="851" w:type="dxa"/>
            <w:hideMark/>
          </w:tcPr>
          <w:p w14:paraId="0F563B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0.62***</w:t>
            </w:r>
          </w:p>
        </w:tc>
        <w:tc>
          <w:tcPr>
            <w:tcW w:w="851" w:type="dxa"/>
            <w:hideMark/>
          </w:tcPr>
          <w:p w14:paraId="7A26DD3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0.62***</w:t>
            </w:r>
          </w:p>
        </w:tc>
      </w:tr>
      <w:tr w:rsidR="00EB49FE" w:rsidRPr="00CA5619" w14:paraId="50430C6B" w14:textId="77777777" w:rsidTr="00FF0E2C">
        <w:trPr>
          <w:gridAfter w:val="1"/>
          <w:wAfter w:w="851" w:type="dxa"/>
          <w:trHeight w:val="144"/>
        </w:trPr>
        <w:tc>
          <w:tcPr>
            <w:tcW w:w="1835" w:type="dxa"/>
          </w:tcPr>
          <w:p w14:paraId="37B19FF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3452945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F1247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5B58FD5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FFB5D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93B02B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17E53A6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tcPr>
          <w:p w14:paraId="4FFEFD5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hideMark/>
          </w:tcPr>
          <w:p w14:paraId="04494CE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left w:val="single" w:sz="4" w:space="0" w:color="auto"/>
            </w:tcBorders>
            <w:hideMark/>
          </w:tcPr>
          <w:p w14:paraId="0B189F3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hideMark/>
          </w:tcPr>
          <w:p w14:paraId="4AA03A7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7FF010B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37BE37B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hideMark/>
          </w:tcPr>
          <w:p w14:paraId="176D1FD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506BF85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hideMark/>
          </w:tcPr>
          <w:p w14:paraId="5923DF8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EB49FE" w:rsidRPr="00CA5619" w14:paraId="79C8BAF3" w14:textId="77777777" w:rsidTr="00FF0E2C">
        <w:trPr>
          <w:gridAfter w:val="1"/>
          <w:wAfter w:w="851" w:type="dxa"/>
          <w:trHeight w:val="144"/>
        </w:trPr>
        <w:tc>
          <w:tcPr>
            <w:tcW w:w="1835" w:type="dxa"/>
            <w:shd w:val="clear" w:color="auto" w:fill="F2F2F2" w:themeFill="background1" w:themeFillShade="F2"/>
            <w:hideMark/>
          </w:tcPr>
          <w:p w14:paraId="37403E90" w14:textId="77777777" w:rsidR="00EB49FE" w:rsidRPr="00CA5619" w:rsidRDefault="00EB49FE">
            <w:pPr>
              <w:widowControl w:val="0"/>
              <w:autoSpaceDE w:val="0"/>
              <w:autoSpaceDN w:val="0"/>
              <w:adjustRightInd w:val="0"/>
              <w:spacing w:before="0" w:line="240" w:lineRule="auto"/>
              <w:rPr>
                <w:rFonts w:cs="Segoe UI"/>
                <w:b/>
                <w:sz w:val="18"/>
                <w:szCs w:val="18"/>
                <w:highlight w:val="yellow"/>
                <w:lang w:val="en-US" w:eastAsia="en-GB"/>
              </w:rPr>
            </w:pPr>
            <w:r w:rsidRPr="00CA5619">
              <w:rPr>
                <w:rFonts w:cs="Segoe UI"/>
                <w:b/>
                <w:sz w:val="18"/>
                <w:szCs w:val="18"/>
                <w:highlight w:val="yellow"/>
                <w:lang w:val="en-US" w:eastAsia="en-GB"/>
              </w:rPr>
              <w:t xml:space="preserve">Religion </w:t>
            </w:r>
          </w:p>
        </w:tc>
        <w:tc>
          <w:tcPr>
            <w:tcW w:w="856" w:type="dxa"/>
            <w:shd w:val="clear" w:color="auto" w:fill="F2F2F2" w:themeFill="background1" w:themeFillShade="F2"/>
          </w:tcPr>
          <w:p w14:paraId="36ACDE0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20CF53F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shd w:val="clear" w:color="auto" w:fill="F2F2F2" w:themeFill="background1" w:themeFillShade="F2"/>
          </w:tcPr>
          <w:p w14:paraId="4CD604C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49810C8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76CB25A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6A7187B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20702291"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08EAD92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3499D47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shd w:val="clear" w:color="auto" w:fill="F2F2F2" w:themeFill="background1" w:themeFillShade="F2"/>
          </w:tcPr>
          <w:p w14:paraId="0C7963A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27F1BA6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7F88604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shd w:val="clear" w:color="auto" w:fill="F2F2F2" w:themeFill="background1" w:themeFillShade="F2"/>
          </w:tcPr>
          <w:p w14:paraId="2DE338E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0109A73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shd w:val="clear" w:color="auto" w:fill="F2F2F2" w:themeFill="background1" w:themeFillShade="F2"/>
          </w:tcPr>
          <w:p w14:paraId="6A5FD70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06601577" w14:textId="77777777" w:rsidTr="00FF0E2C">
        <w:trPr>
          <w:gridAfter w:val="1"/>
          <w:wAfter w:w="851" w:type="dxa"/>
          <w:trHeight w:val="144"/>
        </w:trPr>
        <w:tc>
          <w:tcPr>
            <w:tcW w:w="1835" w:type="dxa"/>
            <w:shd w:val="clear" w:color="auto" w:fill="F2F2F2" w:themeFill="background1" w:themeFillShade="F2"/>
            <w:hideMark/>
          </w:tcPr>
          <w:p w14:paraId="24B8E34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 xml:space="preserve">Religiosity (1-10) </w:t>
            </w:r>
          </w:p>
        </w:tc>
        <w:tc>
          <w:tcPr>
            <w:tcW w:w="856" w:type="dxa"/>
            <w:shd w:val="clear" w:color="auto" w:fill="F2F2F2" w:themeFill="background1" w:themeFillShade="F2"/>
          </w:tcPr>
          <w:p w14:paraId="63F4F7E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7D67D0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0A8867C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E01905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D0B0DA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C18AF4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A08A27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tcBorders>
              <w:right w:val="single" w:sz="4" w:space="0" w:color="auto"/>
            </w:tcBorders>
            <w:shd w:val="clear" w:color="auto" w:fill="F2F2F2" w:themeFill="background1" w:themeFillShade="F2"/>
            <w:hideMark/>
          </w:tcPr>
          <w:p w14:paraId="184E66B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left w:val="single" w:sz="4" w:space="0" w:color="auto"/>
            </w:tcBorders>
            <w:shd w:val="clear" w:color="auto" w:fill="F2F2F2" w:themeFill="background1" w:themeFillShade="F2"/>
            <w:hideMark/>
          </w:tcPr>
          <w:p w14:paraId="12C70AA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3" w:type="dxa"/>
            <w:shd w:val="clear" w:color="auto" w:fill="F2F2F2" w:themeFill="background1" w:themeFillShade="F2"/>
            <w:hideMark/>
          </w:tcPr>
          <w:p w14:paraId="78F0FE9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5063B0B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1B7FFA0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0" w:type="dxa"/>
            <w:shd w:val="clear" w:color="auto" w:fill="F2F2F2" w:themeFill="background1" w:themeFillShade="F2"/>
            <w:hideMark/>
          </w:tcPr>
          <w:p w14:paraId="17A7E7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1F6F27A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851" w:type="dxa"/>
            <w:shd w:val="clear" w:color="auto" w:fill="F2F2F2" w:themeFill="background1" w:themeFillShade="F2"/>
            <w:hideMark/>
          </w:tcPr>
          <w:p w14:paraId="0651ACD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r>
      <w:tr w:rsidR="00EB49FE" w:rsidRPr="00CA5619" w14:paraId="24AA4219" w14:textId="77777777" w:rsidTr="00FF0E2C">
        <w:trPr>
          <w:gridAfter w:val="1"/>
          <w:wAfter w:w="851" w:type="dxa"/>
          <w:trHeight w:val="144"/>
        </w:trPr>
        <w:tc>
          <w:tcPr>
            <w:tcW w:w="1835" w:type="dxa"/>
            <w:shd w:val="clear" w:color="auto" w:fill="F2F2F2" w:themeFill="background1" w:themeFillShade="F2"/>
          </w:tcPr>
          <w:p w14:paraId="2F241E8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17B489B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4134B4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733BC5E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724D47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AF88CA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C3913A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64B3A27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Borders>
              <w:right w:val="single" w:sz="4" w:space="0" w:color="auto"/>
            </w:tcBorders>
            <w:shd w:val="clear" w:color="auto" w:fill="F2F2F2" w:themeFill="background1" w:themeFillShade="F2"/>
            <w:hideMark/>
          </w:tcPr>
          <w:p w14:paraId="5A6D97D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2" w:type="dxa"/>
            <w:tcBorders>
              <w:left w:val="single" w:sz="4" w:space="0" w:color="auto"/>
            </w:tcBorders>
            <w:shd w:val="clear" w:color="auto" w:fill="F2F2F2" w:themeFill="background1" w:themeFillShade="F2"/>
            <w:hideMark/>
          </w:tcPr>
          <w:p w14:paraId="3967B5D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993" w:type="dxa"/>
            <w:shd w:val="clear" w:color="auto" w:fill="F2F2F2" w:themeFill="background1" w:themeFillShade="F2"/>
            <w:hideMark/>
          </w:tcPr>
          <w:p w14:paraId="5AB756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468C35C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0BF6DBF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shd w:val="clear" w:color="auto" w:fill="F2F2F2" w:themeFill="background1" w:themeFillShade="F2"/>
            <w:hideMark/>
          </w:tcPr>
          <w:p w14:paraId="18609A8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4D15B93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shd w:val="clear" w:color="auto" w:fill="F2F2F2" w:themeFill="background1" w:themeFillShade="F2"/>
            <w:hideMark/>
          </w:tcPr>
          <w:p w14:paraId="556F29F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r>
      <w:tr w:rsidR="00EB49FE" w:rsidRPr="00CA5619" w14:paraId="31593270" w14:textId="77777777" w:rsidTr="00FF0E2C">
        <w:trPr>
          <w:trHeight w:val="144"/>
        </w:trPr>
        <w:tc>
          <w:tcPr>
            <w:tcW w:w="2691" w:type="dxa"/>
            <w:gridSpan w:val="2"/>
            <w:shd w:val="clear" w:color="auto" w:fill="F2F2F2" w:themeFill="background1" w:themeFillShade="F2"/>
            <w:hideMark/>
          </w:tcPr>
          <w:p w14:paraId="32B6909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eastAsia="en-GB"/>
              </w:rPr>
              <w:t>Religion (Ref=</w:t>
            </w:r>
            <w:r w:rsidRPr="00CA5619">
              <w:rPr>
                <w:rFonts w:cs="Segoe UI"/>
                <w:i/>
                <w:sz w:val="18"/>
                <w:szCs w:val="18"/>
                <w:highlight w:val="yellow"/>
                <w:lang w:eastAsia="en-GB"/>
              </w:rPr>
              <w:t>Non-affiliated</w:t>
            </w:r>
            <w:r w:rsidRPr="00CA5619">
              <w:rPr>
                <w:rFonts w:cs="Segoe UI"/>
                <w:sz w:val="18"/>
                <w:szCs w:val="18"/>
                <w:highlight w:val="yellow"/>
                <w:lang w:eastAsia="en-GB"/>
              </w:rPr>
              <w:t>)</w:t>
            </w:r>
          </w:p>
        </w:tc>
        <w:tc>
          <w:tcPr>
            <w:tcW w:w="851" w:type="dxa"/>
            <w:shd w:val="clear" w:color="auto" w:fill="F2F2F2" w:themeFill="background1" w:themeFillShade="F2"/>
          </w:tcPr>
          <w:p w14:paraId="20D61D6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133518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8CCC3E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28520E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84D2F6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41FDC8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shd w:val="clear" w:color="auto" w:fill="F2F2F2" w:themeFill="background1" w:themeFillShade="F2"/>
          </w:tcPr>
          <w:p w14:paraId="055B1E2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shd w:val="clear" w:color="auto" w:fill="F2F2F2" w:themeFill="background1" w:themeFillShade="F2"/>
          </w:tcPr>
          <w:p w14:paraId="13A0773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shd w:val="clear" w:color="auto" w:fill="F2F2F2" w:themeFill="background1" w:themeFillShade="F2"/>
          </w:tcPr>
          <w:p w14:paraId="0E094F0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62A345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C268AD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DA8BAB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D0FADE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D8F9C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979D1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39B0BD16" w14:textId="77777777" w:rsidTr="00FF0E2C">
        <w:trPr>
          <w:gridAfter w:val="1"/>
          <w:wAfter w:w="851" w:type="dxa"/>
          <w:trHeight w:val="144"/>
        </w:trPr>
        <w:tc>
          <w:tcPr>
            <w:tcW w:w="1835" w:type="dxa"/>
            <w:shd w:val="clear" w:color="auto" w:fill="F2F2F2" w:themeFill="background1" w:themeFillShade="F2"/>
            <w:hideMark/>
          </w:tcPr>
          <w:p w14:paraId="45F0BCCB"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Catholic</w:t>
            </w:r>
          </w:p>
        </w:tc>
        <w:tc>
          <w:tcPr>
            <w:tcW w:w="856" w:type="dxa"/>
            <w:shd w:val="clear" w:color="auto" w:fill="F2F2F2" w:themeFill="background1" w:themeFillShade="F2"/>
          </w:tcPr>
          <w:p w14:paraId="3F8783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CDAF0D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0655E7A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8A4EE6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A5B8FA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5A210F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3572C3A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tcBorders>
              <w:right w:val="single" w:sz="4" w:space="0" w:color="auto"/>
            </w:tcBorders>
            <w:shd w:val="clear" w:color="auto" w:fill="F2F2F2" w:themeFill="background1" w:themeFillShade="F2"/>
            <w:hideMark/>
          </w:tcPr>
          <w:p w14:paraId="0EC7CB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0.20***</w:t>
            </w:r>
          </w:p>
        </w:tc>
        <w:tc>
          <w:tcPr>
            <w:tcW w:w="992" w:type="dxa"/>
            <w:tcBorders>
              <w:left w:val="single" w:sz="4" w:space="0" w:color="auto"/>
            </w:tcBorders>
            <w:shd w:val="clear" w:color="auto" w:fill="F2F2F2" w:themeFill="background1" w:themeFillShade="F2"/>
            <w:hideMark/>
          </w:tcPr>
          <w:p w14:paraId="21E19EC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3" w:type="dxa"/>
            <w:shd w:val="clear" w:color="auto" w:fill="F2F2F2" w:themeFill="background1" w:themeFillShade="F2"/>
            <w:hideMark/>
          </w:tcPr>
          <w:p w14:paraId="67944FE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3FCAC33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60B0BEF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0" w:type="dxa"/>
            <w:shd w:val="clear" w:color="auto" w:fill="F2F2F2" w:themeFill="background1" w:themeFillShade="F2"/>
            <w:hideMark/>
          </w:tcPr>
          <w:p w14:paraId="779B18B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140F2E0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shd w:val="clear" w:color="auto" w:fill="F2F2F2" w:themeFill="background1" w:themeFillShade="F2"/>
            <w:hideMark/>
          </w:tcPr>
          <w:p w14:paraId="2565491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r>
      <w:tr w:rsidR="00EB49FE" w:rsidRPr="00CA5619" w14:paraId="026C022E" w14:textId="77777777" w:rsidTr="00FF0E2C">
        <w:trPr>
          <w:gridAfter w:val="1"/>
          <w:wAfter w:w="851" w:type="dxa"/>
          <w:trHeight w:val="144"/>
        </w:trPr>
        <w:tc>
          <w:tcPr>
            <w:tcW w:w="1835" w:type="dxa"/>
            <w:shd w:val="clear" w:color="auto" w:fill="F2F2F2" w:themeFill="background1" w:themeFillShade="F2"/>
          </w:tcPr>
          <w:p w14:paraId="4C52B967"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1C9F780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CCCE66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4BAF13C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696421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1D711CF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7709EE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68BAFD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right w:val="single" w:sz="4" w:space="0" w:color="auto"/>
            </w:tcBorders>
            <w:shd w:val="clear" w:color="auto" w:fill="F2F2F2" w:themeFill="background1" w:themeFillShade="F2"/>
            <w:hideMark/>
          </w:tcPr>
          <w:p w14:paraId="47E6D63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2" w:type="dxa"/>
            <w:tcBorders>
              <w:left w:val="single" w:sz="4" w:space="0" w:color="auto"/>
            </w:tcBorders>
            <w:shd w:val="clear" w:color="auto" w:fill="F2F2F2" w:themeFill="background1" w:themeFillShade="F2"/>
            <w:hideMark/>
          </w:tcPr>
          <w:p w14:paraId="7DB45AB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shd w:val="clear" w:color="auto" w:fill="F2F2F2" w:themeFill="background1" w:themeFillShade="F2"/>
            <w:hideMark/>
          </w:tcPr>
          <w:p w14:paraId="0B08DF7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shd w:val="clear" w:color="auto" w:fill="F2F2F2" w:themeFill="background1" w:themeFillShade="F2"/>
            <w:hideMark/>
          </w:tcPr>
          <w:p w14:paraId="6E70DE7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7B139B6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shd w:val="clear" w:color="auto" w:fill="F2F2F2" w:themeFill="background1" w:themeFillShade="F2"/>
            <w:hideMark/>
          </w:tcPr>
          <w:p w14:paraId="3A3E8BE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0C8AC92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4353D70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EB49FE" w:rsidRPr="00CA5619" w14:paraId="17CBD919" w14:textId="77777777" w:rsidTr="00FF0E2C">
        <w:trPr>
          <w:gridAfter w:val="1"/>
          <w:wAfter w:w="851" w:type="dxa"/>
          <w:trHeight w:val="144"/>
        </w:trPr>
        <w:tc>
          <w:tcPr>
            <w:tcW w:w="1835" w:type="dxa"/>
            <w:shd w:val="clear" w:color="auto" w:fill="F2F2F2" w:themeFill="background1" w:themeFillShade="F2"/>
            <w:hideMark/>
          </w:tcPr>
          <w:p w14:paraId="049C56C3"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Protestant</w:t>
            </w:r>
          </w:p>
        </w:tc>
        <w:tc>
          <w:tcPr>
            <w:tcW w:w="856" w:type="dxa"/>
            <w:shd w:val="clear" w:color="auto" w:fill="F2F2F2" w:themeFill="background1" w:themeFillShade="F2"/>
          </w:tcPr>
          <w:p w14:paraId="7CB925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5D5D6E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57A18F4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6C02048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473E32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CDDB5E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3098CA0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tcBorders>
              <w:right w:val="single" w:sz="4" w:space="0" w:color="auto"/>
            </w:tcBorders>
            <w:shd w:val="clear" w:color="auto" w:fill="F2F2F2" w:themeFill="background1" w:themeFillShade="F2"/>
            <w:hideMark/>
          </w:tcPr>
          <w:p w14:paraId="708BE16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tc>
        <w:tc>
          <w:tcPr>
            <w:tcW w:w="992" w:type="dxa"/>
            <w:tcBorders>
              <w:left w:val="single" w:sz="4" w:space="0" w:color="auto"/>
            </w:tcBorders>
            <w:shd w:val="clear" w:color="auto" w:fill="F2F2F2" w:themeFill="background1" w:themeFillShade="F2"/>
            <w:hideMark/>
          </w:tcPr>
          <w:p w14:paraId="4152613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993" w:type="dxa"/>
            <w:shd w:val="clear" w:color="auto" w:fill="F2F2F2" w:themeFill="background1" w:themeFillShade="F2"/>
            <w:hideMark/>
          </w:tcPr>
          <w:p w14:paraId="1067608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shd w:val="clear" w:color="auto" w:fill="F2F2F2" w:themeFill="background1" w:themeFillShade="F2"/>
            <w:hideMark/>
          </w:tcPr>
          <w:p w14:paraId="68EFF39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585FBC3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0" w:type="dxa"/>
            <w:shd w:val="clear" w:color="auto" w:fill="F2F2F2" w:themeFill="background1" w:themeFillShade="F2"/>
            <w:hideMark/>
          </w:tcPr>
          <w:p w14:paraId="6BC39E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4AAB75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c>
          <w:tcPr>
            <w:tcW w:w="851" w:type="dxa"/>
            <w:shd w:val="clear" w:color="auto" w:fill="F2F2F2" w:themeFill="background1" w:themeFillShade="F2"/>
            <w:hideMark/>
          </w:tcPr>
          <w:p w14:paraId="2EBCB08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-0.16**</w:t>
            </w:r>
          </w:p>
        </w:tc>
      </w:tr>
      <w:tr w:rsidR="00EB49FE" w:rsidRPr="00CA5619" w14:paraId="280EF128" w14:textId="77777777" w:rsidTr="00FF0E2C">
        <w:trPr>
          <w:gridAfter w:val="1"/>
          <w:wAfter w:w="851" w:type="dxa"/>
          <w:trHeight w:val="144"/>
        </w:trPr>
        <w:tc>
          <w:tcPr>
            <w:tcW w:w="1835" w:type="dxa"/>
            <w:shd w:val="clear" w:color="auto" w:fill="F2F2F2" w:themeFill="background1" w:themeFillShade="F2"/>
          </w:tcPr>
          <w:p w14:paraId="02544936"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768947C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B9368C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312654D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6923DD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35BF4C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9C9E6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21AA4FB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right w:val="single" w:sz="4" w:space="0" w:color="auto"/>
            </w:tcBorders>
            <w:shd w:val="clear" w:color="auto" w:fill="F2F2F2" w:themeFill="background1" w:themeFillShade="F2"/>
            <w:hideMark/>
          </w:tcPr>
          <w:p w14:paraId="1DC1693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c>
          <w:tcPr>
            <w:tcW w:w="992" w:type="dxa"/>
            <w:tcBorders>
              <w:left w:val="single" w:sz="4" w:space="0" w:color="auto"/>
            </w:tcBorders>
            <w:shd w:val="clear" w:color="auto" w:fill="F2F2F2" w:themeFill="background1" w:themeFillShade="F2"/>
            <w:hideMark/>
          </w:tcPr>
          <w:p w14:paraId="1FED2F6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c>
          <w:tcPr>
            <w:tcW w:w="993" w:type="dxa"/>
            <w:shd w:val="clear" w:color="auto" w:fill="F2F2F2" w:themeFill="background1" w:themeFillShade="F2"/>
            <w:hideMark/>
          </w:tcPr>
          <w:p w14:paraId="693F670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c>
          <w:tcPr>
            <w:tcW w:w="850" w:type="dxa"/>
            <w:shd w:val="clear" w:color="auto" w:fill="F2F2F2" w:themeFill="background1" w:themeFillShade="F2"/>
            <w:hideMark/>
          </w:tcPr>
          <w:p w14:paraId="405FE8E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c>
          <w:tcPr>
            <w:tcW w:w="851" w:type="dxa"/>
            <w:shd w:val="clear" w:color="auto" w:fill="F2F2F2" w:themeFill="background1" w:themeFillShade="F2"/>
            <w:hideMark/>
          </w:tcPr>
          <w:p w14:paraId="3A77E28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c>
          <w:tcPr>
            <w:tcW w:w="850" w:type="dxa"/>
            <w:shd w:val="clear" w:color="auto" w:fill="F2F2F2" w:themeFill="background1" w:themeFillShade="F2"/>
            <w:hideMark/>
          </w:tcPr>
          <w:p w14:paraId="243B313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c>
          <w:tcPr>
            <w:tcW w:w="851" w:type="dxa"/>
            <w:shd w:val="clear" w:color="auto" w:fill="F2F2F2" w:themeFill="background1" w:themeFillShade="F2"/>
            <w:hideMark/>
          </w:tcPr>
          <w:p w14:paraId="0DDCA7D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c>
          <w:tcPr>
            <w:tcW w:w="851" w:type="dxa"/>
            <w:shd w:val="clear" w:color="auto" w:fill="F2F2F2" w:themeFill="background1" w:themeFillShade="F2"/>
            <w:hideMark/>
          </w:tcPr>
          <w:p w14:paraId="65206D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(0.5)</w:t>
            </w:r>
          </w:p>
        </w:tc>
      </w:tr>
      <w:tr w:rsidR="00EB49FE" w:rsidRPr="00CA5619" w14:paraId="6608F063" w14:textId="77777777" w:rsidTr="00FF0E2C">
        <w:trPr>
          <w:gridAfter w:val="1"/>
          <w:wAfter w:w="851" w:type="dxa"/>
          <w:trHeight w:val="144"/>
        </w:trPr>
        <w:tc>
          <w:tcPr>
            <w:tcW w:w="1835" w:type="dxa"/>
            <w:shd w:val="clear" w:color="auto" w:fill="F2F2F2" w:themeFill="background1" w:themeFillShade="F2"/>
            <w:hideMark/>
          </w:tcPr>
          <w:p w14:paraId="60464380"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Muslim</w:t>
            </w:r>
          </w:p>
        </w:tc>
        <w:tc>
          <w:tcPr>
            <w:tcW w:w="856" w:type="dxa"/>
            <w:shd w:val="clear" w:color="auto" w:fill="F2F2F2" w:themeFill="background1" w:themeFillShade="F2"/>
          </w:tcPr>
          <w:p w14:paraId="029879A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E7F50E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654ED2C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BFA1E7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56FE88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138D52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4C55AC3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-0.62***</w:t>
            </w:r>
          </w:p>
        </w:tc>
        <w:tc>
          <w:tcPr>
            <w:tcW w:w="850" w:type="dxa"/>
            <w:tcBorders>
              <w:right w:val="single" w:sz="4" w:space="0" w:color="auto"/>
            </w:tcBorders>
            <w:shd w:val="clear" w:color="auto" w:fill="F2F2F2" w:themeFill="background1" w:themeFillShade="F2"/>
            <w:hideMark/>
          </w:tcPr>
          <w:p w14:paraId="0DBC36D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-0.45***</w:t>
            </w:r>
          </w:p>
        </w:tc>
        <w:tc>
          <w:tcPr>
            <w:tcW w:w="992" w:type="dxa"/>
            <w:tcBorders>
              <w:left w:val="single" w:sz="4" w:space="0" w:color="auto"/>
            </w:tcBorders>
            <w:shd w:val="clear" w:color="auto" w:fill="F2F2F2" w:themeFill="background1" w:themeFillShade="F2"/>
            <w:hideMark/>
          </w:tcPr>
          <w:p w14:paraId="0890717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3" w:type="dxa"/>
            <w:shd w:val="clear" w:color="auto" w:fill="F2F2F2" w:themeFill="background1" w:themeFillShade="F2"/>
            <w:hideMark/>
          </w:tcPr>
          <w:p w14:paraId="285D547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1F7D631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284E723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shd w:val="clear" w:color="auto" w:fill="F2F2F2" w:themeFill="background1" w:themeFillShade="F2"/>
            <w:hideMark/>
          </w:tcPr>
          <w:p w14:paraId="6480AF8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37DA981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1" w:type="dxa"/>
            <w:shd w:val="clear" w:color="auto" w:fill="F2F2F2" w:themeFill="background1" w:themeFillShade="F2"/>
            <w:hideMark/>
          </w:tcPr>
          <w:p w14:paraId="5808D60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r>
      <w:tr w:rsidR="00EB49FE" w:rsidRPr="00CA5619" w14:paraId="7BC18E64" w14:textId="77777777" w:rsidTr="00FF0E2C">
        <w:trPr>
          <w:gridAfter w:val="1"/>
          <w:wAfter w:w="851" w:type="dxa"/>
          <w:trHeight w:val="144"/>
        </w:trPr>
        <w:tc>
          <w:tcPr>
            <w:tcW w:w="1835" w:type="dxa"/>
            <w:shd w:val="clear" w:color="auto" w:fill="F2F2F2" w:themeFill="background1" w:themeFillShade="F2"/>
          </w:tcPr>
          <w:p w14:paraId="7FFAF83A"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5A11C95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76633F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26E4ACB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DC32A5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33B61F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829C98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4623F0A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tcBorders>
              <w:right w:val="single" w:sz="4" w:space="0" w:color="auto"/>
            </w:tcBorders>
            <w:shd w:val="clear" w:color="auto" w:fill="F2F2F2" w:themeFill="background1" w:themeFillShade="F2"/>
            <w:hideMark/>
          </w:tcPr>
          <w:p w14:paraId="6BD3A5C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318CD50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993" w:type="dxa"/>
            <w:shd w:val="clear" w:color="auto" w:fill="F2F2F2" w:themeFill="background1" w:themeFillShade="F2"/>
            <w:hideMark/>
          </w:tcPr>
          <w:p w14:paraId="02D678C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shd w:val="clear" w:color="auto" w:fill="F2F2F2" w:themeFill="background1" w:themeFillShade="F2"/>
            <w:hideMark/>
          </w:tcPr>
          <w:p w14:paraId="78E4BD2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7A38ED2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shd w:val="clear" w:color="auto" w:fill="F2F2F2" w:themeFill="background1" w:themeFillShade="F2"/>
            <w:hideMark/>
          </w:tcPr>
          <w:p w14:paraId="74EF41F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19C3901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7E7C25C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r>
      <w:tr w:rsidR="00EB49FE" w:rsidRPr="00CA5619" w14:paraId="77CF8907" w14:textId="77777777" w:rsidTr="00FF0E2C">
        <w:trPr>
          <w:gridAfter w:val="1"/>
          <w:wAfter w:w="851" w:type="dxa"/>
          <w:trHeight w:val="144"/>
        </w:trPr>
        <w:tc>
          <w:tcPr>
            <w:tcW w:w="1835" w:type="dxa"/>
            <w:shd w:val="clear" w:color="auto" w:fill="F2F2F2" w:themeFill="background1" w:themeFillShade="F2"/>
            <w:hideMark/>
          </w:tcPr>
          <w:p w14:paraId="4B80898A"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Orthodox</w:t>
            </w:r>
          </w:p>
        </w:tc>
        <w:tc>
          <w:tcPr>
            <w:tcW w:w="856" w:type="dxa"/>
            <w:shd w:val="clear" w:color="auto" w:fill="F2F2F2" w:themeFill="background1" w:themeFillShade="F2"/>
          </w:tcPr>
          <w:p w14:paraId="1D294CA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46F3EA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4AC329D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C2803A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620F78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19C407E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106FDBF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850" w:type="dxa"/>
            <w:tcBorders>
              <w:right w:val="single" w:sz="4" w:space="0" w:color="auto"/>
            </w:tcBorders>
            <w:shd w:val="clear" w:color="auto" w:fill="F2F2F2" w:themeFill="background1" w:themeFillShade="F2"/>
            <w:hideMark/>
          </w:tcPr>
          <w:p w14:paraId="2E55A1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992" w:type="dxa"/>
            <w:tcBorders>
              <w:left w:val="single" w:sz="4" w:space="0" w:color="auto"/>
            </w:tcBorders>
            <w:shd w:val="clear" w:color="auto" w:fill="F2F2F2" w:themeFill="background1" w:themeFillShade="F2"/>
            <w:hideMark/>
          </w:tcPr>
          <w:p w14:paraId="2613ADD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993" w:type="dxa"/>
            <w:shd w:val="clear" w:color="auto" w:fill="F2F2F2" w:themeFill="background1" w:themeFillShade="F2"/>
            <w:hideMark/>
          </w:tcPr>
          <w:p w14:paraId="5C00905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850" w:type="dxa"/>
            <w:shd w:val="clear" w:color="auto" w:fill="F2F2F2" w:themeFill="background1" w:themeFillShade="F2"/>
            <w:hideMark/>
          </w:tcPr>
          <w:p w14:paraId="1CAED3F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0.31***</w:t>
            </w:r>
          </w:p>
        </w:tc>
        <w:tc>
          <w:tcPr>
            <w:tcW w:w="851" w:type="dxa"/>
            <w:shd w:val="clear" w:color="auto" w:fill="F2F2F2" w:themeFill="background1" w:themeFillShade="F2"/>
            <w:hideMark/>
          </w:tcPr>
          <w:p w14:paraId="7A05991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0.33***</w:t>
            </w:r>
          </w:p>
        </w:tc>
        <w:tc>
          <w:tcPr>
            <w:tcW w:w="850" w:type="dxa"/>
            <w:shd w:val="clear" w:color="auto" w:fill="F2F2F2" w:themeFill="background1" w:themeFillShade="F2"/>
            <w:hideMark/>
          </w:tcPr>
          <w:p w14:paraId="43CE1D2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0.33***</w:t>
            </w:r>
          </w:p>
        </w:tc>
        <w:tc>
          <w:tcPr>
            <w:tcW w:w="851" w:type="dxa"/>
            <w:shd w:val="clear" w:color="auto" w:fill="F2F2F2" w:themeFill="background1" w:themeFillShade="F2"/>
            <w:hideMark/>
          </w:tcPr>
          <w:p w14:paraId="55425F3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0.33***</w:t>
            </w:r>
          </w:p>
        </w:tc>
        <w:tc>
          <w:tcPr>
            <w:tcW w:w="851" w:type="dxa"/>
            <w:shd w:val="clear" w:color="auto" w:fill="F2F2F2" w:themeFill="background1" w:themeFillShade="F2"/>
            <w:hideMark/>
          </w:tcPr>
          <w:p w14:paraId="6E4C150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0.33***</w:t>
            </w:r>
          </w:p>
        </w:tc>
      </w:tr>
      <w:tr w:rsidR="00EB49FE" w:rsidRPr="00CA5619" w14:paraId="2CEA071B" w14:textId="77777777" w:rsidTr="00FF0E2C">
        <w:trPr>
          <w:gridAfter w:val="1"/>
          <w:wAfter w:w="851" w:type="dxa"/>
          <w:trHeight w:val="144"/>
        </w:trPr>
        <w:tc>
          <w:tcPr>
            <w:tcW w:w="1835" w:type="dxa"/>
            <w:shd w:val="clear" w:color="auto" w:fill="F2F2F2" w:themeFill="background1" w:themeFillShade="F2"/>
          </w:tcPr>
          <w:p w14:paraId="6FC8C980"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04E72C5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39D9ED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40E25F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781942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11CCEB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9323D2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7762089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right w:val="single" w:sz="4" w:space="0" w:color="auto"/>
            </w:tcBorders>
            <w:shd w:val="clear" w:color="auto" w:fill="F2F2F2" w:themeFill="background1" w:themeFillShade="F2"/>
            <w:hideMark/>
          </w:tcPr>
          <w:p w14:paraId="06F084D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5425DD7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993" w:type="dxa"/>
            <w:shd w:val="clear" w:color="auto" w:fill="F2F2F2" w:themeFill="background1" w:themeFillShade="F2"/>
            <w:hideMark/>
          </w:tcPr>
          <w:p w14:paraId="4BACF2A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shd w:val="clear" w:color="auto" w:fill="F2F2F2" w:themeFill="background1" w:themeFillShade="F2"/>
            <w:hideMark/>
          </w:tcPr>
          <w:p w14:paraId="44E57F6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3356707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0" w:type="dxa"/>
            <w:shd w:val="clear" w:color="auto" w:fill="F2F2F2" w:themeFill="background1" w:themeFillShade="F2"/>
            <w:hideMark/>
          </w:tcPr>
          <w:p w14:paraId="1626108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4D53D4F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c>
          <w:tcPr>
            <w:tcW w:w="851" w:type="dxa"/>
            <w:shd w:val="clear" w:color="auto" w:fill="F2F2F2" w:themeFill="background1" w:themeFillShade="F2"/>
            <w:hideMark/>
          </w:tcPr>
          <w:p w14:paraId="241DF91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(0.07)</w:t>
            </w:r>
          </w:p>
        </w:tc>
      </w:tr>
      <w:tr w:rsidR="00EB49FE" w:rsidRPr="00CA5619" w14:paraId="0F9541FF" w14:textId="77777777" w:rsidTr="00FF0E2C">
        <w:trPr>
          <w:gridAfter w:val="1"/>
          <w:wAfter w:w="851" w:type="dxa"/>
          <w:trHeight w:val="144"/>
        </w:trPr>
        <w:tc>
          <w:tcPr>
            <w:tcW w:w="1835" w:type="dxa"/>
            <w:shd w:val="clear" w:color="auto" w:fill="F2F2F2" w:themeFill="background1" w:themeFillShade="F2"/>
            <w:hideMark/>
          </w:tcPr>
          <w:p w14:paraId="291F542D"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Buddhist</w:t>
            </w:r>
          </w:p>
        </w:tc>
        <w:tc>
          <w:tcPr>
            <w:tcW w:w="856" w:type="dxa"/>
            <w:shd w:val="clear" w:color="auto" w:fill="F2F2F2" w:themeFill="background1" w:themeFillShade="F2"/>
          </w:tcPr>
          <w:p w14:paraId="31ED13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F035EC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6F5711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A52600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539D65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6DF8DB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594C400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-1.41***</w:t>
            </w:r>
          </w:p>
        </w:tc>
        <w:tc>
          <w:tcPr>
            <w:tcW w:w="850" w:type="dxa"/>
            <w:tcBorders>
              <w:right w:val="single" w:sz="4" w:space="0" w:color="auto"/>
            </w:tcBorders>
            <w:shd w:val="clear" w:color="auto" w:fill="F2F2F2" w:themeFill="background1" w:themeFillShade="F2"/>
            <w:hideMark/>
          </w:tcPr>
          <w:p w14:paraId="5D404BB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-1.54***</w:t>
            </w:r>
          </w:p>
        </w:tc>
        <w:tc>
          <w:tcPr>
            <w:tcW w:w="992" w:type="dxa"/>
            <w:tcBorders>
              <w:left w:val="single" w:sz="4" w:space="0" w:color="auto"/>
            </w:tcBorders>
            <w:shd w:val="clear" w:color="auto" w:fill="F2F2F2" w:themeFill="background1" w:themeFillShade="F2"/>
            <w:hideMark/>
          </w:tcPr>
          <w:p w14:paraId="06A688A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993" w:type="dxa"/>
            <w:shd w:val="clear" w:color="auto" w:fill="F2F2F2" w:themeFill="background1" w:themeFillShade="F2"/>
            <w:hideMark/>
          </w:tcPr>
          <w:p w14:paraId="3DD50C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850" w:type="dxa"/>
            <w:shd w:val="clear" w:color="auto" w:fill="F2F2F2" w:themeFill="background1" w:themeFillShade="F2"/>
            <w:hideMark/>
          </w:tcPr>
          <w:p w14:paraId="315B5BD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851" w:type="dxa"/>
            <w:shd w:val="clear" w:color="auto" w:fill="F2F2F2" w:themeFill="background1" w:themeFillShade="F2"/>
            <w:hideMark/>
          </w:tcPr>
          <w:p w14:paraId="18DF33F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850" w:type="dxa"/>
            <w:shd w:val="clear" w:color="auto" w:fill="F2F2F2" w:themeFill="background1" w:themeFillShade="F2"/>
            <w:hideMark/>
          </w:tcPr>
          <w:p w14:paraId="45D9D4B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851" w:type="dxa"/>
            <w:shd w:val="clear" w:color="auto" w:fill="F2F2F2" w:themeFill="background1" w:themeFillShade="F2"/>
            <w:hideMark/>
          </w:tcPr>
          <w:p w14:paraId="50C3251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851" w:type="dxa"/>
            <w:shd w:val="clear" w:color="auto" w:fill="F2F2F2" w:themeFill="background1" w:themeFillShade="F2"/>
            <w:hideMark/>
          </w:tcPr>
          <w:p w14:paraId="697383D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r>
      <w:tr w:rsidR="00EB49FE" w:rsidRPr="00CA5619" w14:paraId="72E3BDD9" w14:textId="77777777" w:rsidTr="00FF0E2C">
        <w:trPr>
          <w:gridAfter w:val="1"/>
          <w:wAfter w:w="851" w:type="dxa"/>
          <w:trHeight w:val="144"/>
        </w:trPr>
        <w:tc>
          <w:tcPr>
            <w:tcW w:w="1835" w:type="dxa"/>
            <w:shd w:val="clear" w:color="auto" w:fill="F2F2F2" w:themeFill="background1" w:themeFillShade="F2"/>
          </w:tcPr>
          <w:p w14:paraId="6C118F47"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78B2871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3F621C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447B8D3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2E5456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40A56D9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256B2C6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1B9240E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850" w:type="dxa"/>
            <w:tcBorders>
              <w:right w:val="single" w:sz="4" w:space="0" w:color="auto"/>
            </w:tcBorders>
            <w:shd w:val="clear" w:color="auto" w:fill="F2F2F2" w:themeFill="background1" w:themeFillShade="F2"/>
            <w:hideMark/>
          </w:tcPr>
          <w:p w14:paraId="54CFE80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(0.06)</w:t>
            </w:r>
          </w:p>
        </w:tc>
        <w:tc>
          <w:tcPr>
            <w:tcW w:w="992" w:type="dxa"/>
            <w:tcBorders>
              <w:left w:val="single" w:sz="4" w:space="0" w:color="auto"/>
            </w:tcBorders>
            <w:shd w:val="clear" w:color="auto" w:fill="F2F2F2" w:themeFill="background1" w:themeFillShade="F2"/>
            <w:hideMark/>
          </w:tcPr>
          <w:p w14:paraId="470645A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993" w:type="dxa"/>
            <w:shd w:val="clear" w:color="auto" w:fill="F2F2F2" w:themeFill="background1" w:themeFillShade="F2"/>
            <w:hideMark/>
          </w:tcPr>
          <w:p w14:paraId="56AA754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shd w:val="clear" w:color="auto" w:fill="F2F2F2" w:themeFill="background1" w:themeFillShade="F2"/>
            <w:hideMark/>
          </w:tcPr>
          <w:p w14:paraId="6461F05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1C4D573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0" w:type="dxa"/>
            <w:shd w:val="clear" w:color="auto" w:fill="F2F2F2" w:themeFill="background1" w:themeFillShade="F2"/>
            <w:hideMark/>
          </w:tcPr>
          <w:p w14:paraId="5E1812F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5C9BEE0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c>
          <w:tcPr>
            <w:tcW w:w="851" w:type="dxa"/>
            <w:shd w:val="clear" w:color="auto" w:fill="F2F2F2" w:themeFill="background1" w:themeFillShade="F2"/>
            <w:hideMark/>
          </w:tcPr>
          <w:p w14:paraId="6507AF7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(0.09)</w:t>
            </w:r>
          </w:p>
        </w:tc>
      </w:tr>
      <w:tr w:rsidR="00EB49FE" w:rsidRPr="00CA5619" w14:paraId="2DA1FA4E" w14:textId="77777777" w:rsidTr="00FF0E2C">
        <w:trPr>
          <w:gridAfter w:val="1"/>
          <w:wAfter w:w="851" w:type="dxa"/>
          <w:trHeight w:val="144"/>
        </w:trPr>
        <w:tc>
          <w:tcPr>
            <w:tcW w:w="1835" w:type="dxa"/>
            <w:shd w:val="clear" w:color="auto" w:fill="F2F2F2" w:themeFill="background1" w:themeFillShade="F2"/>
            <w:hideMark/>
          </w:tcPr>
          <w:p w14:paraId="25F72891"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Hindu</w:t>
            </w:r>
          </w:p>
        </w:tc>
        <w:tc>
          <w:tcPr>
            <w:tcW w:w="856" w:type="dxa"/>
            <w:shd w:val="clear" w:color="auto" w:fill="F2F2F2" w:themeFill="background1" w:themeFillShade="F2"/>
          </w:tcPr>
          <w:p w14:paraId="15DC0A8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358CE4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792D1EC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5301B98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436C9E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4EC91A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429CEC1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-0.12</w:t>
            </w:r>
          </w:p>
        </w:tc>
        <w:tc>
          <w:tcPr>
            <w:tcW w:w="850" w:type="dxa"/>
            <w:tcBorders>
              <w:right w:val="single" w:sz="4" w:space="0" w:color="auto"/>
            </w:tcBorders>
            <w:shd w:val="clear" w:color="auto" w:fill="F2F2F2" w:themeFill="background1" w:themeFillShade="F2"/>
            <w:hideMark/>
          </w:tcPr>
          <w:p w14:paraId="191922B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-0.10</w:t>
            </w:r>
          </w:p>
        </w:tc>
        <w:tc>
          <w:tcPr>
            <w:tcW w:w="992" w:type="dxa"/>
            <w:tcBorders>
              <w:left w:val="single" w:sz="4" w:space="0" w:color="auto"/>
            </w:tcBorders>
            <w:shd w:val="clear" w:color="auto" w:fill="F2F2F2" w:themeFill="background1" w:themeFillShade="F2"/>
            <w:hideMark/>
          </w:tcPr>
          <w:p w14:paraId="7454A3F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993" w:type="dxa"/>
            <w:shd w:val="clear" w:color="auto" w:fill="F2F2F2" w:themeFill="background1" w:themeFillShade="F2"/>
            <w:hideMark/>
          </w:tcPr>
          <w:p w14:paraId="6E22EF0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0" w:type="dxa"/>
            <w:shd w:val="clear" w:color="auto" w:fill="F2F2F2" w:themeFill="background1" w:themeFillShade="F2"/>
            <w:hideMark/>
          </w:tcPr>
          <w:p w14:paraId="4D38D7A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shd w:val="clear" w:color="auto" w:fill="F2F2F2" w:themeFill="background1" w:themeFillShade="F2"/>
            <w:hideMark/>
          </w:tcPr>
          <w:p w14:paraId="18B6021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0" w:type="dxa"/>
            <w:shd w:val="clear" w:color="auto" w:fill="F2F2F2" w:themeFill="background1" w:themeFillShade="F2"/>
            <w:hideMark/>
          </w:tcPr>
          <w:p w14:paraId="197B708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shd w:val="clear" w:color="auto" w:fill="F2F2F2" w:themeFill="background1" w:themeFillShade="F2"/>
            <w:hideMark/>
          </w:tcPr>
          <w:p w14:paraId="2F98665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c>
          <w:tcPr>
            <w:tcW w:w="851" w:type="dxa"/>
            <w:shd w:val="clear" w:color="auto" w:fill="F2F2F2" w:themeFill="background1" w:themeFillShade="F2"/>
            <w:hideMark/>
          </w:tcPr>
          <w:p w14:paraId="049A46F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-0.13</w:t>
            </w:r>
          </w:p>
        </w:tc>
      </w:tr>
      <w:tr w:rsidR="00EB49FE" w:rsidRPr="00CA5619" w14:paraId="71CEFEC6" w14:textId="77777777" w:rsidTr="00FF0E2C">
        <w:trPr>
          <w:gridAfter w:val="1"/>
          <w:wAfter w:w="851" w:type="dxa"/>
          <w:trHeight w:val="144"/>
        </w:trPr>
        <w:tc>
          <w:tcPr>
            <w:tcW w:w="1835" w:type="dxa"/>
            <w:shd w:val="clear" w:color="auto" w:fill="F2F2F2" w:themeFill="background1" w:themeFillShade="F2"/>
          </w:tcPr>
          <w:p w14:paraId="3A0C4420"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p>
        </w:tc>
        <w:tc>
          <w:tcPr>
            <w:tcW w:w="856" w:type="dxa"/>
            <w:shd w:val="clear" w:color="auto" w:fill="F2F2F2" w:themeFill="background1" w:themeFillShade="F2"/>
          </w:tcPr>
          <w:p w14:paraId="039E458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69DE5E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12D49F6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01F39CF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79DA71B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C48A71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1A3DE2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850" w:type="dxa"/>
            <w:tcBorders>
              <w:right w:val="single" w:sz="4" w:space="0" w:color="auto"/>
            </w:tcBorders>
            <w:shd w:val="clear" w:color="auto" w:fill="F2F2F2" w:themeFill="background1" w:themeFillShade="F2"/>
            <w:hideMark/>
          </w:tcPr>
          <w:p w14:paraId="5334E7C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(0.08)</w:t>
            </w:r>
          </w:p>
        </w:tc>
        <w:tc>
          <w:tcPr>
            <w:tcW w:w="992" w:type="dxa"/>
            <w:tcBorders>
              <w:left w:val="single" w:sz="4" w:space="0" w:color="auto"/>
            </w:tcBorders>
            <w:shd w:val="clear" w:color="auto" w:fill="F2F2F2" w:themeFill="background1" w:themeFillShade="F2"/>
            <w:hideMark/>
          </w:tcPr>
          <w:p w14:paraId="2FAD105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993" w:type="dxa"/>
            <w:shd w:val="clear" w:color="auto" w:fill="F2F2F2" w:themeFill="background1" w:themeFillShade="F2"/>
            <w:hideMark/>
          </w:tcPr>
          <w:p w14:paraId="1D59B3C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0" w:type="dxa"/>
            <w:shd w:val="clear" w:color="auto" w:fill="F2F2F2" w:themeFill="background1" w:themeFillShade="F2"/>
            <w:hideMark/>
          </w:tcPr>
          <w:p w14:paraId="155293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shd w:val="clear" w:color="auto" w:fill="F2F2F2" w:themeFill="background1" w:themeFillShade="F2"/>
            <w:hideMark/>
          </w:tcPr>
          <w:p w14:paraId="1BF7A75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0" w:type="dxa"/>
            <w:shd w:val="clear" w:color="auto" w:fill="F2F2F2" w:themeFill="background1" w:themeFillShade="F2"/>
            <w:hideMark/>
          </w:tcPr>
          <w:p w14:paraId="06DB927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shd w:val="clear" w:color="auto" w:fill="F2F2F2" w:themeFill="background1" w:themeFillShade="F2"/>
            <w:hideMark/>
          </w:tcPr>
          <w:p w14:paraId="308FB61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c>
          <w:tcPr>
            <w:tcW w:w="851" w:type="dxa"/>
            <w:shd w:val="clear" w:color="auto" w:fill="F2F2F2" w:themeFill="background1" w:themeFillShade="F2"/>
            <w:hideMark/>
          </w:tcPr>
          <w:p w14:paraId="1449E47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(0.11)</w:t>
            </w:r>
          </w:p>
        </w:tc>
      </w:tr>
      <w:tr w:rsidR="00EB49FE" w:rsidRPr="00CA5619" w14:paraId="70F4A8BF" w14:textId="77777777" w:rsidTr="00FF0E2C">
        <w:trPr>
          <w:gridAfter w:val="1"/>
          <w:wAfter w:w="851" w:type="dxa"/>
          <w:trHeight w:val="87"/>
        </w:trPr>
        <w:tc>
          <w:tcPr>
            <w:tcW w:w="1835" w:type="dxa"/>
            <w:shd w:val="clear" w:color="auto" w:fill="F2F2F2" w:themeFill="background1" w:themeFillShade="F2"/>
            <w:hideMark/>
          </w:tcPr>
          <w:p w14:paraId="2D10E5B2"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Other</w:t>
            </w:r>
          </w:p>
        </w:tc>
        <w:tc>
          <w:tcPr>
            <w:tcW w:w="856" w:type="dxa"/>
            <w:shd w:val="clear" w:color="auto" w:fill="F2F2F2" w:themeFill="background1" w:themeFillShade="F2"/>
          </w:tcPr>
          <w:p w14:paraId="7C48A99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A9DF99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697CEE7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78D6536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514A8B6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3D1F6E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18FA06F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-0.15***</w:t>
            </w:r>
          </w:p>
        </w:tc>
        <w:tc>
          <w:tcPr>
            <w:tcW w:w="850" w:type="dxa"/>
            <w:tcBorders>
              <w:right w:val="single" w:sz="4" w:space="0" w:color="auto"/>
            </w:tcBorders>
            <w:shd w:val="clear" w:color="auto" w:fill="F2F2F2" w:themeFill="background1" w:themeFillShade="F2"/>
            <w:hideMark/>
          </w:tcPr>
          <w:p w14:paraId="4AEAD02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-0.23***</w:t>
            </w:r>
          </w:p>
        </w:tc>
        <w:tc>
          <w:tcPr>
            <w:tcW w:w="992" w:type="dxa"/>
            <w:tcBorders>
              <w:left w:val="single" w:sz="4" w:space="0" w:color="auto"/>
            </w:tcBorders>
            <w:shd w:val="clear" w:color="auto" w:fill="F2F2F2" w:themeFill="background1" w:themeFillShade="F2"/>
            <w:hideMark/>
          </w:tcPr>
          <w:p w14:paraId="2D415E5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993" w:type="dxa"/>
            <w:shd w:val="clear" w:color="auto" w:fill="F2F2F2" w:themeFill="background1" w:themeFillShade="F2"/>
            <w:hideMark/>
          </w:tcPr>
          <w:p w14:paraId="3FCDCD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shd w:val="clear" w:color="auto" w:fill="F2F2F2" w:themeFill="background1" w:themeFillShade="F2"/>
            <w:hideMark/>
          </w:tcPr>
          <w:p w14:paraId="5555998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4FEF072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shd w:val="clear" w:color="auto" w:fill="F2F2F2" w:themeFill="background1" w:themeFillShade="F2"/>
            <w:hideMark/>
          </w:tcPr>
          <w:p w14:paraId="1FF1ADA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15A05EC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1" w:type="dxa"/>
            <w:shd w:val="clear" w:color="auto" w:fill="F2F2F2" w:themeFill="background1" w:themeFillShade="F2"/>
            <w:hideMark/>
          </w:tcPr>
          <w:p w14:paraId="4461A4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r>
      <w:tr w:rsidR="00EB49FE" w:rsidRPr="00CA5619" w14:paraId="5246BEF7" w14:textId="77777777" w:rsidTr="00FF0E2C">
        <w:trPr>
          <w:gridAfter w:val="1"/>
          <w:wAfter w:w="851" w:type="dxa"/>
          <w:trHeight w:val="144"/>
        </w:trPr>
        <w:tc>
          <w:tcPr>
            <w:tcW w:w="1835" w:type="dxa"/>
            <w:shd w:val="clear" w:color="auto" w:fill="F2F2F2" w:themeFill="background1" w:themeFillShade="F2"/>
          </w:tcPr>
          <w:p w14:paraId="74FA8A7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shd w:val="clear" w:color="auto" w:fill="F2F2F2" w:themeFill="background1" w:themeFillShade="F2"/>
          </w:tcPr>
          <w:p w14:paraId="4A9DEFF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280C75C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shd w:val="clear" w:color="auto" w:fill="F2F2F2" w:themeFill="background1" w:themeFillShade="F2"/>
          </w:tcPr>
          <w:p w14:paraId="010F4E5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433CA9B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tcPr>
          <w:p w14:paraId="0948542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shd w:val="clear" w:color="auto" w:fill="F2F2F2" w:themeFill="background1" w:themeFillShade="F2"/>
          </w:tcPr>
          <w:p w14:paraId="36D0828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shd w:val="clear" w:color="auto" w:fill="F2F2F2" w:themeFill="background1" w:themeFillShade="F2"/>
            <w:hideMark/>
          </w:tcPr>
          <w:p w14:paraId="782D522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(0.04)</w:t>
            </w:r>
          </w:p>
        </w:tc>
        <w:tc>
          <w:tcPr>
            <w:tcW w:w="850" w:type="dxa"/>
            <w:tcBorders>
              <w:right w:val="single" w:sz="4" w:space="0" w:color="auto"/>
            </w:tcBorders>
            <w:shd w:val="clear" w:color="auto" w:fill="F2F2F2" w:themeFill="background1" w:themeFillShade="F2"/>
            <w:hideMark/>
          </w:tcPr>
          <w:p w14:paraId="7DB4C6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2" w:type="dxa"/>
            <w:tcBorders>
              <w:left w:val="single" w:sz="4" w:space="0" w:color="auto"/>
            </w:tcBorders>
            <w:shd w:val="clear" w:color="auto" w:fill="F2F2F2" w:themeFill="background1" w:themeFillShade="F2"/>
            <w:hideMark/>
          </w:tcPr>
          <w:p w14:paraId="1B28842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993" w:type="dxa"/>
            <w:shd w:val="clear" w:color="auto" w:fill="F2F2F2" w:themeFill="background1" w:themeFillShade="F2"/>
            <w:hideMark/>
          </w:tcPr>
          <w:p w14:paraId="7C6313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shd w:val="clear" w:color="auto" w:fill="F2F2F2" w:themeFill="background1" w:themeFillShade="F2"/>
            <w:hideMark/>
          </w:tcPr>
          <w:p w14:paraId="7FEC2F9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22EA46F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0" w:type="dxa"/>
            <w:shd w:val="clear" w:color="auto" w:fill="F2F2F2" w:themeFill="background1" w:themeFillShade="F2"/>
            <w:hideMark/>
          </w:tcPr>
          <w:p w14:paraId="10B1317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78C49EB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c>
          <w:tcPr>
            <w:tcW w:w="851" w:type="dxa"/>
            <w:shd w:val="clear" w:color="auto" w:fill="F2F2F2" w:themeFill="background1" w:themeFillShade="F2"/>
            <w:hideMark/>
          </w:tcPr>
          <w:p w14:paraId="2A09BA8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(0.05)</w:t>
            </w:r>
          </w:p>
        </w:tc>
      </w:tr>
      <w:tr w:rsidR="00EB49FE" w:rsidRPr="00CA5619" w14:paraId="490B54C0" w14:textId="77777777" w:rsidTr="00FF0E2C">
        <w:trPr>
          <w:gridAfter w:val="1"/>
          <w:wAfter w:w="851" w:type="dxa"/>
          <w:trHeight w:val="144"/>
        </w:trPr>
        <w:tc>
          <w:tcPr>
            <w:tcW w:w="2691" w:type="dxa"/>
            <w:gridSpan w:val="2"/>
            <w:hideMark/>
          </w:tcPr>
          <w:p w14:paraId="7F18DA5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b/>
                <w:sz w:val="18"/>
                <w:szCs w:val="18"/>
                <w:highlight w:val="yellow"/>
                <w:lang w:val="en-US" w:eastAsia="en-GB"/>
              </w:rPr>
              <w:t>Country-level Effects</w:t>
            </w:r>
          </w:p>
        </w:tc>
        <w:tc>
          <w:tcPr>
            <w:tcW w:w="851" w:type="dxa"/>
          </w:tcPr>
          <w:p w14:paraId="777D999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287B240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17221476"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177A64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36326FC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47F6B61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5EB3EB1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374FAD2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06B3519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284D06B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E064DB4"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42DFBBF8"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C3B012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EA8B3E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14B3464E" w14:textId="77777777" w:rsidTr="00FF0E2C">
        <w:trPr>
          <w:gridAfter w:val="1"/>
          <w:wAfter w:w="851" w:type="dxa"/>
          <w:trHeight w:val="144"/>
        </w:trPr>
        <w:tc>
          <w:tcPr>
            <w:tcW w:w="1835" w:type="dxa"/>
            <w:hideMark/>
          </w:tcPr>
          <w:p w14:paraId="52BF38C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HDI (0-100)</w:t>
            </w:r>
          </w:p>
        </w:tc>
        <w:tc>
          <w:tcPr>
            <w:tcW w:w="856" w:type="dxa"/>
          </w:tcPr>
          <w:p w14:paraId="0CF2A4E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3AE087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56888EE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FE0336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720C25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ECB9DB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46DDB0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5578974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0E4F47D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hideMark/>
          </w:tcPr>
          <w:p w14:paraId="1283076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47BFB22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0" w:type="dxa"/>
          </w:tcPr>
          <w:p w14:paraId="2022D47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33EBA7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88364A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3B85DC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2F1E3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5072CBC3" w14:textId="77777777" w:rsidTr="00FF0E2C">
        <w:trPr>
          <w:gridAfter w:val="1"/>
          <w:wAfter w:w="851" w:type="dxa"/>
          <w:trHeight w:val="144"/>
        </w:trPr>
        <w:tc>
          <w:tcPr>
            <w:tcW w:w="2691" w:type="dxa"/>
            <w:gridSpan w:val="2"/>
            <w:hideMark/>
          </w:tcPr>
          <w:p w14:paraId="3C9CED0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Press Freedom (0-100</w:t>
            </w:r>
          </w:p>
        </w:tc>
        <w:tc>
          <w:tcPr>
            <w:tcW w:w="851" w:type="dxa"/>
          </w:tcPr>
          <w:p w14:paraId="6B3D724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2F5677C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33E8AC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15EBA9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A2881C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F078A1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7F4A0D5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56EEB32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1E5B8C0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3918A0F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0.03***</w:t>
            </w:r>
          </w:p>
          <w:p w14:paraId="00E51B0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704B6EF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8ED61F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5D2EF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83EE8B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0681EE51" w14:textId="77777777" w:rsidTr="00FF0E2C">
        <w:trPr>
          <w:gridAfter w:val="1"/>
          <w:wAfter w:w="851" w:type="dxa"/>
          <w:trHeight w:val="144"/>
        </w:trPr>
        <w:tc>
          <w:tcPr>
            <w:tcW w:w="2691" w:type="dxa"/>
            <w:gridSpan w:val="2"/>
            <w:hideMark/>
          </w:tcPr>
          <w:p w14:paraId="5EFFC76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Communist (Ref=</w:t>
            </w:r>
            <w:r w:rsidRPr="00CA5619">
              <w:rPr>
                <w:rFonts w:cs="Segoe UI"/>
                <w:i/>
                <w:sz w:val="18"/>
                <w:szCs w:val="18"/>
                <w:highlight w:val="yellow"/>
                <w:lang w:val="en-US" w:eastAsia="en-GB"/>
              </w:rPr>
              <w:t>Not</w:t>
            </w:r>
            <w:r w:rsidRPr="00CA5619">
              <w:rPr>
                <w:rFonts w:cs="Segoe UI"/>
                <w:sz w:val="18"/>
                <w:szCs w:val="18"/>
                <w:highlight w:val="yellow"/>
                <w:lang w:val="en-US" w:eastAsia="en-GB"/>
              </w:rPr>
              <w:t>)</w:t>
            </w:r>
          </w:p>
        </w:tc>
        <w:tc>
          <w:tcPr>
            <w:tcW w:w="851" w:type="dxa"/>
          </w:tcPr>
          <w:p w14:paraId="1592039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1DA0F97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38F58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D383E3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1B70CE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6770D2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2040681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61E5E27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4B2CE9B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50EAAB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6EB8A9F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-0.77**</w:t>
            </w:r>
          </w:p>
          <w:p w14:paraId="3D5C4C8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(0.30)</w:t>
            </w:r>
          </w:p>
        </w:tc>
        <w:tc>
          <w:tcPr>
            <w:tcW w:w="850" w:type="dxa"/>
          </w:tcPr>
          <w:p w14:paraId="18EFD57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3DE1A7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AA9287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5661B4DA" w14:textId="77777777" w:rsidTr="00FF0E2C">
        <w:trPr>
          <w:gridAfter w:val="1"/>
          <w:wAfter w:w="851" w:type="dxa"/>
          <w:trHeight w:val="144"/>
        </w:trPr>
        <w:tc>
          <w:tcPr>
            <w:tcW w:w="2691" w:type="dxa"/>
            <w:gridSpan w:val="2"/>
            <w:hideMark/>
          </w:tcPr>
          <w:p w14:paraId="41A05CC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Democratic History (0-100)</w:t>
            </w:r>
          </w:p>
        </w:tc>
        <w:tc>
          <w:tcPr>
            <w:tcW w:w="851" w:type="dxa"/>
          </w:tcPr>
          <w:p w14:paraId="4014702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6B202A1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4BFA9F1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8B6628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37EE330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8285B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4F4CF90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56FB56D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033F5E4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310FCFE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6A6FD0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hideMark/>
          </w:tcPr>
          <w:p w14:paraId="0F44C91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5CE2190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(0.00)</w:t>
            </w:r>
          </w:p>
        </w:tc>
        <w:tc>
          <w:tcPr>
            <w:tcW w:w="851" w:type="dxa"/>
          </w:tcPr>
          <w:p w14:paraId="68E797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7B002A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27ED311A" w14:textId="77777777" w:rsidTr="00FF0E2C">
        <w:trPr>
          <w:gridAfter w:val="1"/>
          <w:wAfter w:w="851" w:type="dxa"/>
          <w:trHeight w:val="165"/>
        </w:trPr>
        <w:tc>
          <w:tcPr>
            <w:tcW w:w="2691" w:type="dxa"/>
            <w:gridSpan w:val="2"/>
            <w:hideMark/>
          </w:tcPr>
          <w:p w14:paraId="7D63EB47"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Inequality (GINI) (0-100)</w:t>
            </w:r>
          </w:p>
        </w:tc>
        <w:tc>
          <w:tcPr>
            <w:tcW w:w="851" w:type="dxa"/>
          </w:tcPr>
          <w:p w14:paraId="7D460C0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034992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388C36E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76244AF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95DA66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48C6674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7E7429A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496E4A2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272072D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2E2A1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B65634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2B9E6AA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776EEDD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p w14:paraId="75A8765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(0.01)</w:t>
            </w:r>
          </w:p>
        </w:tc>
        <w:tc>
          <w:tcPr>
            <w:tcW w:w="851" w:type="dxa"/>
          </w:tcPr>
          <w:p w14:paraId="5AD13BB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75F19F77" w14:textId="77777777" w:rsidTr="00FF0E2C">
        <w:trPr>
          <w:gridAfter w:val="1"/>
          <w:wAfter w:w="851" w:type="dxa"/>
          <w:trHeight w:val="144"/>
        </w:trPr>
        <w:tc>
          <w:tcPr>
            <w:tcW w:w="2691" w:type="dxa"/>
            <w:gridSpan w:val="2"/>
            <w:hideMark/>
          </w:tcPr>
          <w:p w14:paraId="518186D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Freedom House (Ref=</w:t>
            </w:r>
            <w:r w:rsidRPr="00CA5619">
              <w:rPr>
                <w:rFonts w:cs="Segoe UI"/>
                <w:i/>
                <w:sz w:val="18"/>
                <w:szCs w:val="18"/>
                <w:highlight w:val="yellow"/>
                <w:lang w:val="en-US" w:eastAsia="en-GB"/>
              </w:rPr>
              <w:t>Free</w:t>
            </w:r>
            <w:r w:rsidRPr="00CA5619">
              <w:rPr>
                <w:rFonts w:cs="Segoe UI"/>
                <w:sz w:val="18"/>
                <w:szCs w:val="18"/>
                <w:highlight w:val="yellow"/>
                <w:lang w:val="en-US" w:eastAsia="en-GB"/>
              </w:rPr>
              <w:t>)</w:t>
            </w:r>
          </w:p>
        </w:tc>
        <w:tc>
          <w:tcPr>
            <w:tcW w:w="851" w:type="dxa"/>
          </w:tcPr>
          <w:p w14:paraId="711DC7A1"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2" w:type="dxa"/>
          </w:tcPr>
          <w:p w14:paraId="1E80652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3EB62239"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6C4BCB5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32C55C6B"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5877402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Borders>
              <w:right w:val="single" w:sz="4" w:space="0" w:color="auto"/>
            </w:tcBorders>
          </w:tcPr>
          <w:p w14:paraId="71E5C6E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2" w:type="dxa"/>
            <w:tcBorders>
              <w:left w:val="single" w:sz="4" w:space="0" w:color="auto"/>
            </w:tcBorders>
          </w:tcPr>
          <w:p w14:paraId="170B78FD"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993" w:type="dxa"/>
          </w:tcPr>
          <w:p w14:paraId="2E2D2DE5"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16467592"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2819318A"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0" w:type="dxa"/>
          </w:tcPr>
          <w:p w14:paraId="698E4A41"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12C398A0"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1" w:type="dxa"/>
          </w:tcPr>
          <w:p w14:paraId="74C2F303"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r>
      <w:tr w:rsidR="00EB49FE" w:rsidRPr="00CA5619" w14:paraId="43418424" w14:textId="77777777" w:rsidTr="00FF0E2C">
        <w:trPr>
          <w:gridAfter w:val="1"/>
          <w:wAfter w:w="851" w:type="dxa"/>
          <w:trHeight w:val="144"/>
        </w:trPr>
        <w:tc>
          <w:tcPr>
            <w:tcW w:w="1835" w:type="dxa"/>
            <w:hideMark/>
          </w:tcPr>
          <w:p w14:paraId="517F8F4A"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Partly Free</w:t>
            </w:r>
          </w:p>
        </w:tc>
        <w:tc>
          <w:tcPr>
            <w:tcW w:w="856" w:type="dxa"/>
          </w:tcPr>
          <w:p w14:paraId="25A8FBD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ED2983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50271EE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7DA178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4C48C8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1350CB2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D8E470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764873D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54901EA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37F58F2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282209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5281A2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5E7FAB2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2D5A30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38DB1AC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-0.49*</w:t>
            </w:r>
          </w:p>
          <w:p w14:paraId="48A0289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(0.24)</w:t>
            </w:r>
          </w:p>
        </w:tc>
      </w:tr>
      <w:tr w:rsidR="00EB49FE" w:rsidRPr="00CA5619" w14:paraId="30B64081" w14:textId="77777777" w:rsidTr="00FF0E2C">
        <w:trPr>
          <w:gridAfter w:val="1"/>
          <w:wAfter w:w="851" w:type="dxa"/>
          <w:trHeight w:val="144"/>
        </w:trPr>
        <w:tc>
          <w:tcPr>
            <w:tcW w:w="1835" w:type="dxa"/>
            <w:hideMark/>
          </w:tcPr>
          <w:p w14:paraId="437732C4" w14:textId="77777777" w:rsidR="00EB49FE" w:rsidRPr="00CA5619" w:rsidRDefault="00EB49FE">
            <w:pPr>
              <w:widowControl w:val="0"/>
              <w:autoSpaceDE w:val="0"/>
              <w:autoSpaceDN w:val="0"/>
              <w:adjustRightInd w:val="0"/>
              <w:spacing w:before="0" w:line="240" w:lineRule="auto"/>
              <w:rPr>
                <w:rFonts w:cs="Segoe UI"/>
                <w:i/>
                <w:sz w:val="18"/>
                <w:szCs w:val="18"/>
                <w:highlight w:val="yellow"/>
                <w:lang w:val="en-US" w:eastAsia="en-GB"/>
              </w:rPr>
            </w:pPr>
            <w:r w:rsidRPr="00CA5619">
              <w:rPr>
                <w:rFonts w:cs="Segoe UI"/>
                <w:i/>
                <w:sz w:val="18"/>
                <w:szCs w:val="18"/>
                <w:highlight w:val="yellow"/>
                <w:lang w:val="en-US" w:eastAsia="en-GB"/>
              </w:rPr>
              <w:t>Not Free</w:t>
            </w:r>
          </w:p>
        </w:tc>
        <w:tc>
          <w:tcPr>
            <w:tcW w:w="856" w:type="dxa"/>
          </w:tcPr>
          <w:p w14:paraId="4EE3734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6CB329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3C6131C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7BFBED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20826C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5DC370E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2DCE85D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66F1469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512F207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17FD8C3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74F8CD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7F772C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3AFB7C7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5CE3775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hideMark/>
          </w:tcPr>
          <w:p w14:paraId="1D670E3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-1.72***</w:t>
            </w:r>
          </w:p>
          <w:p w14:paraId="15992F3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(0.38)</w:t>
            </w:r>
          </w:p>
        </w:tc>
      </w:tr>
      <w:tr w:rsidR="00EB49FE" w:rsidRPr="00CA5619" w14:paraId="2D2A858E" w14:textId="77777777" w:rsidTr="00FF0E2C">
        <w:trPr>
          <w:gridAfter w:val="1"/>
          <w:wAfter w:w="851" w:type="dxa"/>
          <w:trHeight w:val="144"/>
        </w:trPr>
        <w:tc>
          <w:tcPr>
            <w:tcW w:w="1835" w:type="dxa"/>
          </w:tcPr>
          <w:p w14:paraId="5AD56CA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p>
        </w:tc>
        <w:tc>
          <w:tcPr>
            <w:tcW w:w="856" w:type="dxa"/>
          </w:tcPr>
          <w:p w14:paraId="48B7248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3502312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2" w:type="dxa"/>
          </w:tcPr>
          <w:p w14:paraId="30248FA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05A764B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01CE932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CF0D3A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DF4913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Borders>
              <w:right w:val="single" w:sz="4" w:space="0" w:color="auto"/>
            </w:tcBorders>
          </w:tcPr>
          <w:p w14:paraId="5A751E1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2" w:type="dxa"/>
            <w:tcBorders>
              <w:left w:val="single" w:sz="4" w:space="0" w:color="auto"/>
            </w:tcBorders>
          </w:tcPr>
          <w:p w14:paraId="5A102A1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993" w:type="dxa"/>
          </w:tcPr>
          <w:p w14:paraId="392C07C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93433F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2B970A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0" w:type="dxa"/>
          </w:tcPr>
          <w:p w14:paraId="6F248BA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680EEB6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c>
          <w:tcPr>
            <w:tcW w:w="851" w:type="dxa"/>
          </w:tcPr>
          <w:p w14:paraId="1F697E9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p>
        </w:tc>
      </w:tr>
      <w:tr w:rsidR="00EB49FE" w:rsidRPr="00CA5619" w14:paraId="47D6C3B8" w14:textId="77777777" w:rsidTr="00FF0E2C">
        <w:trPr>
          <w:gridAfter w:val="1"/>
          <w:wAfter w:w="851" w:type="dxa"/>
          <w:trHeight w:val="272"/>
        </w:trPr>
        <w:tc>
          <w:tcPr>
            <w:tcW w:w="1835" w:type="dxa"/>
            <w:tcBorders>
              <w:top w:val="single" w:sz="4" w:space="0" w:color="auto"/>
              <w:left w:val="nil"/>
              <w:bottom w:val="nil"/>
              <w:right w:val="nil"/>
            </w:tcBorders>
            <w:hideMark/>
          </w:tcPr>
          <w:p w14:paraId="5352677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i/>
                <w:iCs/>
                <w:sz w:val="18"/>
                <w:szCs w:val="18"/>
                <w:highlight w:val="yellow"/>
                <w:lang w:val="en-US" w:eastAsia="en-GB"/>
              </w:rPr>
              <w:t>N</w:t>
            </w:r>
          </w:p>
        </w:tc>
        <w:tc>
          <w:tcPr>
            <w:tcW w:w="856" w:type="dxa"/>
            <w:tcBorders>
              <w:top w:val="single" w:sz="4" w:space="0" w:color="auto"/>
              <w:left w:val="nil"/>
              <w:bottom w:val="nil"/>
              <w:right w:val="nil"/>
            </w:tcBorders>
            <w:hideMark/>
          </w:tcPr>
          <w:p w14:paraId="1B58E42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3C35796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2" w:type="dxa"/>
            <w:tcBorders>
              <w:top w:val="single" w:sz="4" w:space="0" w:color="auto"/>
              <w:left w:val="nil"/>
              <w:bottom w:val="nil"/>
              <w:right w:val="nil"/>
            </w:tcBorders>
            <w:hideMark/>
          </w:tcPr>
          <w:p w14:paraId="6A7FE2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4712C0D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357BC79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68A42E5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7D92949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single" w:sz="4" w:space="0" w:color="auto"/>
            </w:tcBorders>
            <w:hideMark/>
          </w:tcPr>
          <w:p w14:paraId="7B5AA47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992" w:type="dxa"/>
            <w:tcBorders>
              <w:top w:val="single" w:sz="4" w:space="0" w:color="auto"/>
              <w:left w:val="single" w:sz="4" w:space="0" w:color="auto"/>
              <w:bottom w:val="nil"/>
              <w:right w:val="nil"/>
            </w:tcBorders>
            <w:hideMark/>
          </w:tcPr>
          <w:p w14:paraId="5F654E9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993" w:type="dxa"/>
            <w:tcBorders>
              <w:top w:val="single" w:sz="4" w:space="0" w:color="auto"/>
              <w:left w:val="nil"/>
              <w:bottom w:val="nil"/>
              <w:right w:val="nil"/>
            </w:tcBorders>
            <w:hideMark/>
          </w:tcPr>
          <w:p w14:paraId="4C83CD9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77730D8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13DB78B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0" w:type="dxa"/>
            <w:tcBorders>
              <w:top w:val="single" w:sz="4" w:space="0" w:color="auto"/>
              <w:left w:val="nil"/>
              <w:bottom w:val="nil"/>
              <w:right w:val="nil"/>
            </w:tcBorders>
            <w:hideMark/>
          </w:tcPr>
          <w:p w14:paraId="65B301FC"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1F6003E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c>
          <w:tcPr>
            <w:tcW w:w="851" w:type="dxa"/>
            <w:tcBorders>
              <w:top w:val="single" w:sz="4" w:space="0" w:color="auto"/>
              <w:left w:val="nil"/>
              <w:bottom w:val="nil"/>
              <w:right w:val="nil"/>
            </w:tcBorders>
            <w:hideMark/>
          </w:tcPr>
          <w:p w14:paraId="4182893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38,082</w:t>
            </w:r>
          </w:p>
        </w:tc>
      </w:tr>
      <w:tr w:rsidR="00EB49FE" w:rsidRPr="00CA5619" w14:paraId="071A7F40" w14:textId="77777777" w:rsidTr="00FF0E2C">
        <w:trPr>
          <w:gridAfter w:val="1"/>
          <w:wAfter w:w="851" w:type="dxa"/>
          <w:trHeight w:val="272"/>
        </w:trPr>
        <w:tc>
          <w:tcPr>
            <w:tcW w:w="1835" w:type="dxa"/>
            <w:tcBorders>
              <w:top w:val="single" w:sz="4" w:space="0" w:color="auto"/>
              <w:left w:val="nil"/>
              <w:bottom w:val="nil"/>
              <w:right w:val="nil"/>
            </w:tcBorders>
            <w:hideMark/>
          </w:tcPr>
          <w:p w14:paraId="151F414A" w14:textId="77777777" w:rsidR="00EB49FE" w:rsidRPr="00CA5619" w:rsidRDefault="00EB49FE">
            <w:pPr>
              <w:widowControl w:val="0"/>
              <w:autoSpaceDE w:val="0"/>
              <w:autoSpaceDN w:val="0"/>
              <w:adjustRightInd w:val="0"/>
              <w:spacing w:before="0" w:line="240" w:lineRule="auto"/>
              <w:rPr>
                <w:rFonts w:cs="Segoe UI"/>
                <w:i/>
                <w:iCs/>
                <w:sz w:val="18"/>
                <w:szCs w:val="18"/>
                <w:highlight w:val="yellow"/>
                <w:lang w:val="en-US" w:eastAsia="en-GB"/>
              </w:rPr>
            </w:pPr>
            <w:r w:rsidRPr="00CA5619">
              <w:rPr>
                <w:rFonts w:cs="Segoe UI"/>
                <w:i/>
                <w:iCs/>
                <w:sz w:val="18"/>
                <w:szCs w:val="18"/>
                <w:highlight w:val="yellow"/>
                <w:lang w:val="en-US" w:eastAsia="en-GB"/>
              </w:rPr>
              <w:t>N country</w:t>
            </w:r>
          </w:p>
        </w:tc>
        <w:tc>
          <w:tcPr>
            <w:tcW w:w="856" w:type="dxa"/>
            <w:tcBorders>
              <w:top w:val="single" w:sz="4" w:space="0" w:color="auto"/>
              <w:left w:val="nil"/>
              <w:bottom w:val="nil"/>
              <w:right w:val="nil"/>
            </w:tcBorders>
            <w:hideMark/>
          </w:tcPr>
          <w:p w14:paraId="6B18666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hideMark/>
          </w:tcPr>
          <w:p w14:paraId="221CA7C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2" w:type="dxa"/>
            <w:tcBorders>
              <w:top w:val="single" w:sz="4" w:space="0" w:color="auto"/>
              <w:left w:val="nil"/>
              <w:bottom w:val="nil"/>
              <w:right w:val="nil"/>
            </w:tcBorders>
            <w:hideMark/>
          </w:tcPr>
          <w:p w14:paraId="405D3F9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nil"/>
            </w:tcBorders>
            <w:hideMark/>
          </w:tcPr>
          <w:p w14:paraId="545DEDA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hideMark/>
          </w:tcPr>
          <w:p w14:paraId="32722EE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nil"/>
            </w:tcBorders>
            <w:hideMark/>
          </w:tcPr>
          <w:p w14:paraId="617E1F9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single" w:sz="4" w:space="0" w:color="auto"/>
              <w:left w:val="nil"/>
              <w:bottom w:val="nil"/>
              <w:right w:val="nil"/>
            </w:tcBorders>
            <w:hideMark/>
          </w:tcPr>
          <w:p w14:paraId="3E8EF59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single" w:sz="4" w:space="0" w:color="auto"/>
              <w:left w:val="nil"/>
              <w:bottom w:val="nil"/>
              <w:right w:val="single" w:sz="4" w:space="0" w:color="auto"/>
            </w:tcBorders>
            <w:hideMark/>
          </w:tcPr>
          <w:p w14:paraId="0D7086D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992" w:type="dxa"/>
            <w:tcBorders>
              <w:top w:val="single" w:sz="4" w:space="0" w:color="auto"/>
              <w:left w:val="single" w:sz="4" w:space="0" w:color="auto"/>
              <w:bottom w:val="nil"/>
              <w:right w:val="nil"/>
            </w:tcBorders>
            <w:hideMark/>
          </w:tcPr>
          <w:p w14:paraId="30F27A1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993" w:type="dxa"/>
            <w:tcBorders>
              <w:top w:val="single" w:sz="4" w:space="0" w:color="auto"/>
              <w:left w:val="nil"/>
              <w:bottom w:val="nil"/>
              <w:right w:val="nil"/>
            </w:tcBorders>
            <w:hideMark/>
          </w:tcPr>
          <w:p w14:paraId="6141B75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0" w:type="dxa"/>
            <w:tcBorders>
              <w:top w:val="single" w:sz="4" w:space="0" w:color="auto"/>
              <w:left w:val="nil"/>
              <w:bottom w:val="nil"/>
              <w:right w:val="nil"/>
            </w:tcBorders>
            <w:hideMark/>
          </w:tcPr>
          <w:p w14:paraId="3123644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hideMark/>
          </w:tcPr>
          <w:p w14:paraId="35CB430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0" w:type="dxa"/>
            <w:tcBorders>
              <w:top w:val="single" w:sz="4" w:space="0" w:color="auto"/>
              <w:left w:val="nil"/>
              <w:bottom w:val="nil"/>
              <w:right w:val="nil"/>
            </w:tcBorders>
            <w:hideMark/>
          </w:tcPr>
          <w:p w14:paraId="51D621D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hideMark/>
          </w:tcPr>
          <w:p w14:paraId="1EDD93A5"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c>
          <w:tcPr>
            <w:tcW w:w="851" w:type="dxa"/>
            <w:tcBorders>
              <w:top w:val="single" w:sz="4" w:space="0" w:color="auto"/>
              <w:left w:val="nil"/>
              <w:bottom w:val="nil"/>
              <w:right w:val="nil"/>
            </w:tcBorders>
            <w:hideMark/>
          </w:tcPr>
          <w:p w14:paraId="3575E68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43</w:t>
            </w:r>
          </w:p>
        </w:tc>
      </w:tr>
      <w:tr w:rsidR="00EB49FE" w:rsidRPr="00CA5619" w14:paraId="1C6B00A3" w14:textId="77777777" w:rsidTr="00FF0E2C">
        <w:trPr>
          <w:gridAfter w:val="1"/>
          <w:wAfter w:w="851" w:type="dxa"/>
          <w:trHeight w:val="285"/>
        </w:trPr>
        <w:tc>
          <w:tcPr>
            <w:tcW w:w="1835" w:type="dxa"/>
            <w:hideMark/>
          </w:tcPr>
          <w:p w14:paraId="5B04FBCE"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Log lik.</w:t>
            </w:r>
          </w:p>
        </w:tc>
        <w:tc>
          <w:tcPr>
            <w:tcW w:w="856" w:type="dxa"/>
            <w:hideMark/>
          </w:tcPr>
          <w:p w14:paraId="693D013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-25078</w:t>
            </w:r>
          </w:p>
        </w:tc>
        <w:tc>
          <w:tcPr>
            <w:tcW w:w="851" w:type="dxa"/>
            <w:hideMark/>
          </w:tcPr>
          <w:p w14:paraId="6464DD6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-25020</w:t>
            </w:r>
          </w:p>
        </w:tc>
        <w:tc>
          <w:tcPr>
            <w:tcW w:w="852" w:type="dxa"/>
            <w:hideMark/>
          </w:tcPr>
          <w:p w14:paraId="0C8F396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-24991</w:t>
            </w:r>
          </w:p>
        </w:tc>
        <w:tc>
          <w:tcPr>
            <w:tcW w:w="850" w:type="dxa"/>
            <w:hideMark/>
          </w:tcPr>
          <w:p w14:paraId="6D9ABF1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-24657</w:t>
            </w:r>
          </w:p>
        </w:tc>
        <w:tc>
          <w:tcPr>
            <w:tcW w:w="851" w:type="dxa"/>
            <w:hideMark/>
          </w:tcPr>
          <w:p w14:paraId="64A2EEC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-24515</w:t>
            </w:r>
          </w:p>
        </w:tc>
        <w:tc>
          <w:tcPr>
            <w:tcW w:w="850" w:type="dxa"/>
            <w:hideMark/>
          </w:tcPr>
          <w:p w14:paraId="59AE9B4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-24251</w:t>
            </w:r>
          </w:p>
        </w:tc>
        <w:tc>
          <w:tcPr>
            <w:tcW w:w="851" w:type="dxa"/>
            <w:hideMark/>
          </w:tcPr>
          <w:p w14:paraId="1A872CD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-24333</w:t>
            </w:r>
          </w:p>
        </w:tc>
        <w:tc>
          <w:tcPr>
            <w:tcW w:w="850" w:type="dxa"/>
            <w:tcBorders>
              <w:right w:val="single" w:sz="4" w:space="0" w:color="auto"/>
            </w:tcBorders>
            <w:hideMark/>
          </w:tcPr>
          <w:p w14:paraId="4ECEE860"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-23144</w:t>
            </w:r>
          </w:p>
        </w:tc>
        <w:tc>
          <w:tcPr>
            <w:tcW w:w="992" w:type="dxa"/>
            <w:tcBorders>
              <w:left w:val="single" w:sz="4" w:space="0" w:color="auto"/>
            </w:tcBorders>
            <w:hideMark/>
          </w:tcPr>
          <w:p w14:paraId="72B58948"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-21782</w:t>
            </w:r>
          </w:p>
        </w:tc>
        <w:tc>
          <w:tcPr>
            <w:tcW w:w="993" w:type="dxa"/>
            <w:hideMark/>
          </w:tcPr>
          <w:p w14:paraId="39608A4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-21782</w:t>
            </w:r>
          </w:p>
        </w:tc>
        <w:tc>
          <w:tcPr>
            <w:tcW w:w="850" w:type="dxa"/>
            <w:hideMark/>
          </w:tcPr>
          <w:p w14:paraId="47A516F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-21772</w:t>
            </w:r>
          </w:p>
        </w:tc>
        <w:tc>
          <w:tcPr>
            <w:tcW w:w="851" w:type="dxa"/>
            <w:hideMark/>
          </w:tcPr>
          <w:p w14:paraId="236EC76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-21779</w:t>
            </w:r>
          </w:p>
        </w:tc>
        <w:tc>
          <w:tcPr>
            <w:tcW w:w="850" w:type="dxa"/>
            <w:hideMark/>
          </w:tcPr>
          <w:p w14:paraId="6BE5047F"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-21779</w:t>
            </w:r>
          </w:p>
        </w:tc>
        <w:tc>
          <w:tcPr>
            <w:tcW w:w="851" w:type="dxa"/>
            <w:hideMark/>
          </w:tcPr>
          <w:p w14:paraId="4BEA77E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-21782</w:t>
            </w:r>
          </w:p>
        </w:tc>
        <w:tc>
          <w:tcPr>
            <w:tcW w:w="851" w:type="dxa"/>
            <w:hideMark/>
          </w:tcPr>
          <w:p w14:paraId="7D074EE7"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-21773</w:t>
            </w:r>
          </w:p>
        </w:tc>
      </w:tr>
      <w:tr w:rsidR="00184CA0" w:rsidRPr="00CA5619" w14:paraId="3FDAFC00" w14:textId="77777777" w:rsidTr="00B17437">
        <w:trPr>
          <w:gridAfter w:val="1"/>
          <w:wAfter w:w="846" w:type="dxa"/>
          <w:trHeight w:val="272"/>
        </w:trPr>
        <w:tc>
          <w:tcPr>
            <w:tcW w:w="1835" w:type="dxa"/>
            <w:tcBorders>
              <w:top w:val="single" w:sz="4" w:space="0" w:color="auto"/>
              <w:left w:val="nil"/>
              <w:bottom w:val="nil"/>
              <w:right w:val="nil"/>
            </w:tcBorders>
            <w:hideMark/>
          </w:tcPr>
          <w:p w14:paraId="009E431A" w14:textId="77777777" w:rsidR="00184CA0" w:rsidRPr="00CA5619" w:rsidRDefault="00184CA0" w:rsidP="00B17437">
            <w:pPr>
              <w:widowControl w:val="0"/>
              <w:autoSpaceDE w:val="0"/>
              <w:autoSpaceDN w:val="0"/>
              <w:adjustRightInd w:val="0"/>
              <w:spacing w:line="240" w:lineRule="auto"/>
              <w:rPr>
                <w:rFonts w:cs="Segoe UI"/>
                <w:iCs/>
                <w:sz w:val="18"/>
                <w:szCs w:val="18"/>
                <w:highlight w:val="yellow"/>
                <w:lang w:val="en-US" w:eastAsia="en-GB"/>
              </w:rPr>
            </w:pPr>
            <w:r w:rsidRPr="00CA5619">
              <w:rPr>
                <w:rFonts w:cs="Segoe UI"/>
                <w:iCs/>
                <w:sz w:val="18"/>
                <w:szCs w:val="18"/>
                <w:highlight w:val="yellow"/>
                <w:lang w:val="en-US" w:eastAsia="en-GB"/>
              </w:rPr>
              <w:t>AIC</w:t>
            </w:r>
          </w:p>
        </w:tc>
        <w:tc>
          <w:tcPr>
            <w:tcW w:w="856" w:type="dxa"/>
            <w:tcBorders>
              <w:top w:val="single" w:sz="4" w:space="0" w:color="auto"/>
              <w:left w:val="nil"/>
              <w:bottom w:val="nil"/>
              <w:right w:val="nil"/>
            </w:tcBorders>
            <w:hideMark/>
          </w:tcPr>
          <w:p w14:paraId="5280FD68"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50167</w:t>
            </w:r>
          </w:p>
        </w:tc>
        <w:tc>
          <w:tcPr>
            <w:tcW w:w="851" w:type="dxa"/>
            <w:tcBorders>
              <w:top w:val="single" w:sz="4" w:space="0" w:color="auto"/>
              <w:left w:val="nil"/>
              <w:bottom w:val="nil"/>
              <w:right w:val="nil"/>
            </w:tcBorders>
            <w:hideMark/>
          </w:tcPr>
          <w:p w14:paraId="39866B21"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50057</w:t>
            </w:r>
          </w:p>
        </w:tc>
        <w:tc>
          <w:tcPr>
            <w:tcW w:w="852" w:type="dxa"/>
            <w:tcBorders>
              <w:top w:val="single" w:sz="4" w:space="0" w:color="auto"/>
              <w:left w:val="nil"/>
              <w:bottom w:val="nil"/>
              <w:right w:val="nil"/>
            </w:tcBorders>
            <w:hideMark/>
          </w:tcPr>
          <w:p w14:paraId="74C8A8F4"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50003</w:t>
            </w:r>
          </w:p>
        </w:tc>
        <w:tc>
          <w:tcPr>
            <w:tcW w:w="850" w:type="dxa"/>
            <w:tcBorders>
              <w:top w:val="single" w:sz="4" w:space="0" w:color="auto"/>
              <w:left w:val="nil"/>
              <w:bottom w:val="nil"/>
              <w:right w:val="nil"/>
            </w:tcBorders>
            <w:hideMark/>
          </w:tcPr>
          <w:p w14:paraId="51067BEB"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49336</w:t>
            </w:r>
          </w:p>
        </w:tc>
        <w:tc>
          <w:tcPr>
            <w:tcW w:w="851" w:type="dxa"/>
            <w:tcBorders>
              <w:top w:val="single" w:sz="4" w:space="0" w:color="auto"/>
              <w:left w:val="nil"/>
              <w:bottom w:val="nil"/>
              <w:right w:val="nil"/>
            </w:tcBorders>
            <w:hideMark/>
          </w:tcPr>
          <w:p w14:paraId="00CCDA24"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49054</w:t>
            </w:r>
          </w:p>
        </w:tc>
        <w:tc>
          <w:tcPr>
            <w:tcW w:w="850" w:type="dxa"/>
            <w:tcBorders>
              <w:top w:val="single" w:sz="4" w:space="0" w:color="auto"/>
              <w:left w:val="nil"/>
              <w:bottom w:val="nil"/>
              <w:right w:val="nil"/>
            </w:tcBorders>
            <w:hideMark/>
          </w:tcPr>
          <w:p w14:paraId="4DD93C8B"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48524</w:t>
            </w:r>
          </w:p>
        </w:tc>
        <w:tc>
          <w:tcPr>
            <w:tcW w:w="851" w:type="dxa"/>
            <w:tcBorders>
              <w:top w:val="single" w:sz="4" w:space="0" w:color="auto"/>
              <w:left w:val="nil"/>
              <w:bottom w:val="nil"/>
              <w:right w:val="nil"/>
            </w:tcBorders>
            <w:hideMark/>
          </w:tcPr>
          <w:p w14:paraId="21F47372"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48697</w:t>
            </w:r>
          </w:p>
        </w:tc>
        <w:tc>
          <w:tcPr>
            <w:tcW w:w="850" w:type="dxa"/>
            <w:tcBorders>
              <w:top w:val="single" w:sz="4" w:space="0" w:color="auto"/>
              <w:left w:val="nil"/>
              <w:bottom w:val="nil"/>
              <w:right w:val="nil"/>
            </w:tcBorders>
            <w:hideMark/>
          </w:tcPr>
          <w:p w14:paraId="39FD9E47"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46346</w:t>
            </w:r>
          </w:p>
        </w:tc>
        <w:tc>
          <w:tcPr>
            <w:tcW w:w="992" w:type="dxa"/>
            <w:tcBorders>
              <w:top w:val="single" w:sz="4" w:space="0" w:color="auto"/>
              <w:left w:val="nil"/>
              <w:bottom w:val="nil"/>
              <w:right w:val="nil"/>
            </w:tcBorders>
            <w:hideMark/>
          </w:tcPr>
          <w:p w14:paraId="51ADD6AB"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43624</w:t>
            </w:r>
          </w:p>
        </w:tc>
        <w:tc>
          <w:tcPr>
            <w:tcW w:w="993" w:type="dxa"/>
            <w:tcBorders>
              <w:top w:val="single" w:sz="4" w:space="0" w:color="auto"/>
              <w:left w:val="nil"/>
              <w:bottom w:val="nil"/>
              <w:right w:val="nil"/>
            </w:tcBorders>
            <w:hideMark/>
          </w:tcPr>
          <w:p w14:paraId="151145E6"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43626</w:t>
            </w:r>
          </w:p>
        </w:tc>
        <w:tc>
          <w:tcPr>
            <w:tcW w:w="850" w:type="dxa"/>
            <w:tcBorders>
              <w:top w:val="single" w:sz="4" w:space="0" w:color="auto"/>
              <w:left w:val="nil"/>
              <w:bottom w:val="nil"/>
              <w:right w:val="nil"/>
            </w:tcBorders>
            <w:hideMark/>
          </w:tcPr>
          <w:p w14:paraId="52B351FC"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43606</w:t>
            </w:r>
          </w:p>
        </w:tc>
        <w:tc>
          <w:tcPr>
            <w:tcW w:w="851" w:type="dxa"/>
            <w:tcBorders>
              <w:top w:val="single" w:sz="4" w:space="0" w:color="auto"/>
              <w:left w:val="nil"/>
              <w:bottom w:val="nil"/>
              <w:right w:val="nil"/>
            </w:tcBorders>
            <w:hideMark/>
          </w:tcPr>
          <w:p w14:paraId="445D0AB0"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43620</w:t>
            </w:r>
          </w:p>
        </w:tc>
        <w:tc>
          <w:tcPr>
            <w:tcW w:w="850" w:type="dxa"/>
            <w:tcBorders>
              <w:top w:val="single" w:sz="4" w:space="0" w:color="auto"/>
              <w:left w:val="nil"/>
              <w:bottom w:val="nil"/>
              <w:right w:val="nil"/>
            </w:tcBorders>
            <w:hideMark/>
          </w:tcPr>
          <w:p w14:paraId="406FC91F"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43620</w:t>
            </w:r>
          </w:p>
        </w:tc>
        <w:tc>
          <w:tcPr>
            <w:tcW w:w="851" w:type="dxa"/>
            <w:tcBorders>
              <w:top w:val="single" w:sz="4" w:space="0" w:color="auto"/>
              <w:left w:val="nil"/>
              <w:bottom w:val="nil"/>
              <w:right w:val="nil"/>
            </w:tcBorders>
            <w:hideMark/>
          </w:tcPr>
          <w:p w14:paraId="1B83732B"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436250</w:t>
            </w:r>
          </w:p>
        </w:tc>
        <w:tc>
          <w:tcPr>
            <w:tcW w:w="851" w:type="dxa"/>
            <w:tcBorders>
              <w:top w:val="single" w:sz="4" w:space="0" w:color="auto"/>
              <w:left w:val="nil"/>
              <w:bottom w:val="nil"/>
              <w:right w:val="nil"/>
            </w:tcBorders>
            <w:hideMark/>
          </w:tcPr>
          <w:p w14:paraId="1CE60859"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43610</w:t>
            </w:r>
          </w:p>
        </w:tc>
      </w:tr>
      <w:tr w:rsidR="00184CA0" w:rsidRPr="00CA5619" w14:paraId="1A328571" w14:textId="77777777" w:rsidTr="00B17437">
        <w:trPr>
          <w:gridAfter w:val="1"/>
          <w:wAfter w:w="846" w:type="dxa"/>
          <w:trHeight w:val="272"/>
        </w:trPr>
        <w:tc>
          <w:tcPr>
            <w:tcW w:w="1835" w:type="dxa"/>
            <w:tcBorders>
              <w:top w:val="single" w:sz="4" w:space="0" w:color="auto"/>
              <w:left w:val="nil"/>
              <w:bottom w:val="nil"/>
              <w:right w:val="nil"/>
            </w:tcBorders>
            <w:hideMark/>
          </w:tcPr>
          <w:p w14:paraId="4F025248" w14:textId="77777777" w:rsidR="00184CA0" w:rsidRPr="00CA5619" w:rsidRDefault="00184CA0" w:rsidP="00B17437">
            <w:pPr>
              <w:widowControl w:val="0"/>
              <w:autoSpaceDE w:val="0"/>
              <w:autoSpaceDN w:val="0"/>
              <w:adjustRightInd w:val="0"/>
              <w:spacing w:line="240" w:lineRule="auto"/>
              <w:rPr>
                <w:rFonts w:cs="Segoe UI"/>
                <w:iCs/>
                <w:sz w:val="18"/>
                <w:szCs w:val="18"/>
                <w:highlight w:val="yellow"/>
                <w:lang w:val="en-US" w:eastAsia="en-GB"/>
              </w:rPr>
            </w:pPr>
            <w:r w:rsidRPr="00CA5619">
              <w:rPr>
                <w:rFonts w:cs="Segoe UI"/>
                <w:iCs/>
                <w:sz w:val="18"/>
                <w:szCs w:val="18"/>
                <w:highlight w:val="yellow"/>
                <w:lang w:val="en-US" w:eastAsia="en-GB"/>
              </w:rPr>
              <w:t>BIC</w:t>
            </w:r>
          </w:p>
        </w:tc>
        <w:tc>
          <w:tcPr>
            <w:tcW w:w="856" w:type="dxa"/>
            <w:tcBorders>
              <w:top w:val="single" w:sz="4" w:space="0" w:color="auto"/>
              <w:left w:val="nil"/>
              <w:bottom w:val="nil"/>
              <w:right w:val="nil"/>
            </w:tcBorders>
            <w:hideMark/>
          </w:tcPr>
          <w:p w14:paraId="271B7C89"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50219</w:t>
            </w:r>
          </w:p>
        </w:tc>
        <w:tc>
          <w:tcPr>
            <w:tcW w:w="851" w:type="dxa"/>
            <w:tcBorders>
              <w:top w:val="single" w:sz="4" w:space="0" w:color="auto"/>
              <w:left w:val="nil"/>
              <w:bottom w:val="nil"/>
              <w:right w:val="nil"/>
            </w:tcBorders>
            <w:hideMark/>
          </w:tcPr>
          <w:p w14:paraId="64854838"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50125</w:t>
            </w:r>
          </w:p>
        </w:tc>
        <w:tc>
          <w:tcPr>
            <w:tcW w:w="852" w:type="dxa"/>
            <w:tcBorders>
              <w:top w:val="single" w:sz="4" w:space="0" w:color="auto"/>
              <w:left w:val="nil"/>
              <w:bottom w:val="nil"/>
              <w:right w:val="nil"/>
            </w:tcBorders>
            <w:hideMark/>
          </w:tcPr>
          <w:p w14:paraId="68306BE0"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50098</w:t>
            </w:r>
          </w:p>
        </w:tc>
        <w:tc>
          <w:tcPr>
            <w:tcW w:w="850" w:type="dxa"/>
            <w:tcBorders>
              <w:top w:val="single" w:sz="4" w:space="0" w:color="auto"/>
              <w:left w:val="nil"/>
              <w:bottom w:val="nil"/>
              <w:right w:val="nil"/>
            </w:tcBorders>
            <w:hideMark/>
          </w:tcPr>
          <w:p w14:paraId="24A760EB"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49430</w:t>
            </w:r>
          </w:p>
        </w:tc>
        <w:tc>
          <w:tcPr>
            <w:tcW w:w="851" w:type="dxa"/>
            <w:tcBorders>
              <w:top w:val="single" w:sz="4" w:space="0" w:color="auto"/>
              <w:left w:val="nil"/>
              <w:bottom w:val="nil"/>
              <w:right w:val="nil"/>
            </w:tcBorders>
            <w:hideMark/>
          </w:tcPr>
          <w:p w14:paraId="443DEA77"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40157</w:t>
            </w:r>
          </w:p>
        </w:tc>
        <w:tc>
          <w:tcPr>
            <w:tcW w:w="850" w:type="dxa"/>
            <w:tcBorders>
              <w:top w:val="single" w:sz="4" w:space="0" w:color="auto"/>
              <w:left w:val="nil"/>
              <w:bottom w:val="nil"/>
              <w:right w:val="nil"/>
            </w:tcBorders>
            <w:hideMark/>
          </w:tcPr>
          <w:p w14:paraId="1658C1EE"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48618</w:t>
            </w:r>
          </w:p>
        </w:tc>
        <w:tc>
          <w:tcPr>
            <w:tcW w:w="851" w:type="dxa"/>
            <w:tcBorders>
              <w:top w:val="single" w:sz="4" w:space="0" w:color="auto"/>
              <w:left w:val="nil"/>
              <w:bottom w:val="nil"/>
              <w:right w:val="nil"/>
            </w:tcBorders>
            <w:hideMark/>
          </w:tcPr>
          <w:p w14:paraId="6614941C"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48834</w:t>
            </w:r>
          </w:p>
        </w:tc>
        <w:tc>
          <w:tcPr>
            <w:tcW w:w="850" w:type="dxa"/>
            <w:tcBorders>
              <w:top w:val="single" w:sz="4" w:space="0" w:color="auto"/>
              <w:left w:val="nil"/>
              <w:bottom w:val="nil"/>
              <w:right w:val="nil"/>
            </w:tcBorders>
            <w:hideMark/>
          </w:tcPr>
          <w:p w14:paraId="3E82EF68"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46594</w:t>
            </w:r>
          </w:p>
        </w:tc>
        <w:tc>
          <w:tcPr>
            <w:tcW w:w="992" w:type="dxa"/>
            <w:tcBorders>
              <w:top w:val="single" w:sz="4" w:space="0" w:color="auto"/>
              <w:left w:val="nil"/>
              <w:bottom w:val="nil"/>
              <w:right w:val="nil"/>
            </w:tcBorders>
            <w:hideMark/>
          </w:tcPr>
          <w:p w14:paraId="40273E93"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43880</w:t>
            </w:r>
          </w:p>
        </w:tc>
        <w:tc>
          <w:tcPr>
            <w:tcW w:w="993" w:type="dxa"/>
            <w:tcBorders>
              <w:top w:val="single" w:sz="4" w:space="0" w:color="auto"/>
              <w:left w:val="nil"/>
              <w:bottom w:val="nil"/>
              <w:right w:val="nil"/>
            </w:tcBorders>
            <w:hideMark/>
          </w:tcPr>
          <w:p w14:paraId="3C98666B"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430890</w:t>
            </w:r>
          </w:p>
        </w:tc>
        <w:tc>
          <w:tcPr>
            <w:tcW w:w="850" w:type="dxa"/>
            <w:tcBorders>
              <w:top w:val="single" w:sz="4" w:space="0" w:color="auto"/>
              <w:left w:val="nil"/>
              <w:bottom w:val="nil"/>
              <w:right w:val="nil"/>
            </w:tcBorders>
            <w:hideMark/>
          </w:tcPr>
          <w:p w14:paraId="3D9DE89E"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43871</w:t>
            </w:r>
          </w:p>
        </w:tc>
        <w:tc>
          <w:tcPr>
            <w:tcW w:w="851" w:type="dxa"/>
            <w:tcBorders>
              <w:top w:val="single" w:sz="4" w:space="0" w:color="auto"/>
              <w:left w:val="nil"/>
              <w:bottom w:val="nil"/>
              <w:right w:val="nil"/>
            </w:tcBorders>
            <w:hideMark/>
          </w:tcPr>
          <w:p w14:paraId="6DF1D5C1"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43885</w:t>
            </w:r>
          </w:p>
        </w:tc>
        <w:tc>
          <w:tcPr>
            <w:tcW w:w="850" w:type="dxa"/>
            <w:tcBorders>
              <w:top w:val="single" w:sz="4" w:space="0" w:color="auto"/>
              <w:left w:val="nil"/>
              <w:bottom w:val="nil"/>
              <w:right w:val="nil"/>
            </w:tcBorders>
            <w:hideMark/>
          </w:tcPr>
          <w:p w14:paraId="71A23D94"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43885</w:t>
            </w:r>
          </w:p>
        </w:tc>
        <w:tc>
          <w:tcPr>
            <w:tcW w:w="851" w:type="dxa"/>
            <w:tcBorders>
              <w:top w:val="single" w:sz="4" w:space="0" w:color="auto"/>
              <w:left w:val="nil"/>
              <w:bottom w:val="nil"/>
              <w:right w:val="nil"/>
            </w:tcBorders>
            <w:hideMark/>
          </w:tcPr>
          <w:p w14:paraId="78214954"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43891</w:t>
            </w:r>
          </w:p>
        </w:tc>
        <w:tc>
          <w:tcPr>
            <w:tcW w:w="851" w:type="dxa"/>
            <w:tcBorders>
              <w:top w:val="single" w:sz="4" w:space="0" w:color="auto"/>
              <w:left w:val="nil"/>
              <w:bottom w:val="nil"/>
              <w:right w:val="nil"/>
            </w:tcBorders>
            <w:hideMark/>
          </w:tcPr>
          <w:p w14:paraId="30071161" w14:textId="77777777" w:rsidR="00184CA0" w:rsidRPr="00CA5619" w:rsidRDefault="00184CA0" w:rsidP="00B17437">
            <w:pPr>
              <w:widowControl w:val="0"/>
              <w:autoSpaceDE w:val="0"/>
              <w:autoSpaceDN w:val="0"/>
              <w:adjustRightInd w:val="0"/>
              <w:spacing w:line="240" w:lineRule="auto"/>
              <w:jc w:val="center"/>
              <w:rPr>
                <w:rFonts w:cs="Segoe UI"/>
                <w:sz w:val="18"/>
                <w:szCs w:val="18"/>
                <w:highlight w:val="yellow"/>
                <w:lang w:val="en-US" w:eastAsia="en-GB"/>
              </w:rPr>
            </w:pPr>
            <w:r w:rsidRPr="00CA5619">
              <w:rPr>
                <w:rFonts w:cs="Segoe UI"/>
                <w:sz w:val="18"/>
                <w:szCs w:val="18"/>
                <w:highlight w:val="yellow"/>
                <w:lang w:val="en-US" w:eastAsia="en-GB"/>
              </w:rPr>
              <w:t>43883</w:t>
            </w:r>
          </w:p>
        </w:tc>
      </w:tr>
      <w:tr w:rsidR="00EB49FE" w:rsidRPr="00CA5619" w14:paraId="43D6146B" w14:textId="77777777" w:rsidTr="00FF0E2C">
        <w:trPr>
          <w:gridAfter w:val="1"/>
          <w:wAfter w:w="851" w:type="dxa"/>
          <w:trHeight w:val="285"/>
        </w:trPr>
        <w:tc>
          <w:tcPr>
            <w:tcW w:w="1835" w:type="dxa"/>
            <w:tcBorders>
              <w:top w:val="nil"/>
              <w:left w:val="nil"/>
              <w:bottom w:val="single" w:sz="4" w:space="0" w:color="auto"/>
              <w:right w:val="nil"/>
            </w:tcBorders>
            <w:hideMark/>
          </w:tcPr>
          <w:p w14:paraId="5004257C" w14:textId="77777777" w:rsidR="00EB49FE" w:rsidRPr="00CA5619" w:rsidRDefault="00EB49FE">
            <w:pPr>
              <w:widowControl w:val="0"/>
              <w:autoSpaceDE w:val="0"/>
              <w:autoSpaceDN w:val="0"/>
              <w:adjustRightInd w:val="0"/>
              <w:spacing w:before="0" w:line="240" w:lineRule="auto"/>
              <w:rPr>
                <w:rFonts w:cs="Segoe UI"/>
                <w:sz w:val="18"/>
                <w:szCs w:val="18"/>
                <w:highlight w:val="yellow"/>
                <w:lang w:val="en-US" w:eastAsia="en-GB"/>
              </w:rPr>
            </w:pPr>
            <w:r w:rsidRPr="00CA5619">
              <w:rPr>
                <w:rFonts w:cs="Segoe UI"/>
                <w:sz w:val="18"/>
                <w:szCs w:val="18"/>
                <w:highlight w:val="yellow"/>
                <w:lang w:val="en-US" w:eastAsia="en-GB"/>
              </w:rPr>
              <w:t>ICC</w:t>
            </w:r>
          </w:p>
        </w:tc>
        <w:tc>
          <w:tcPr>
            <w:tcW w:w="856" w:type="dxa"/>
            <w:tcBorders>
              <w:top w:val="nil"/>
              <w:left w:val="nil"/>
              <w:bottom w:val="single" w:sz="4" w:space="0" w:color="auto"/>
              <w:right w:val="nil"/>
            </w:tcBorders>
            <w:hideMark/>
          </w:tcPr>
          <w:p w14:paraId="4A1EEFB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hideMark/>
          </w:tcPr>
          <w:p w14:paraId="1FDE5DDA"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2" w:type="dxa"/>
            <w:tcBorders>
              <w:top w:val="nil"/>
              <w:left w:val="nil"/>
              <w:bottom w:val="single" w:sz="4" w:space="0" w:color="auto"/>
              <w:right w:val="nil"/>
            </w:tcBorders>
            <w:hideMark/>
          </w:tcPr>
          <w:p w14:paraId="30C3340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nil"/>
            </w:tcBorders>
            <w:hideMark/>
          </w:tcPr>
          <w:p w14:paraId="4BB00DD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hideMark/>
          </w:tcPr>
          <w:p w14:paraId="3C0EEEE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nil"/>
            </w:tcBorders>
            <w:hideMark/>
          </w:tcPr>
          <w:p w14:paraId="23EF136B"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1" w:type="dxa"/>
            <w:tcBorders>
              <w:top w:val="nil"/>
              <w:left w:val="nil"/>
              <w:bottom w:val="single" w:sz="4" w:space="0" w:color="auto"/>
              <w:right w:val="nil"/>
            </w:tcBorders>
            <w:hideMark/>
          </w:tcPr>
          <w:p w14:paraId="25C8B602"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850" w:type="dxa"/>
            <w:tcBorders>
              <w:top w:val="nil"/>
              <w:left w:val="nil"/>
              <w:bottom w:val="single" w:sz="4" w:space="0" w:color="auto"/>
              <w:right w:val="single" w:sz="4" w:space="0" w:color="auto"/>
            </w:tcBorders>
            <w:hideMark/>
          </w:tcPr>
          <w:p w14:paraId="1FFB1ECE"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w:t>
            </w:r>
          </w:p>
        </w:tc>
        <w:tc>
          <w:tcPr>
            <w:tcW w:w="992" w:type="dxa"/>
            <w:tcBorders>
              <w:top w:val="nil"/>
              <w:left w:val="single" w:sz="4" w:space="0" w:color="auto"/>
              <w:bottom w:val="single" w:sz="4" w:space="0" w:color="auto"/>
              <w:right w:val="nil"/>
            </w:tcBorders>
            <w:hideMark/>
          </w:tcPr>
          <w:p w14:paraId="7FD98186"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.151464</w:t>
            </w:r>
          </w:p>
        </w:tc>
        <w:tc>
          <w:tcPr>
            <w:tcW w:w="993" w:type="dxa"/>
            <w:tcBorders>
              <w:top w:val="nil"/>
              <w:left w:val="nil"/>
              <w:bottom w:val="single" w:sz="4" w:space="0" w:color="auto"/>
              <w:right w:val="nil"/>
            </w:tcBorders>
            <w:hideMark/>
          </w:tcPr>
          <w:p w14:paraId="564AF6D4"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.149922</w:t>
            </w:r>
          </w:p>
        </w:tc>
        <w:tc>
          <w:tcPr>
            <w:tcW w:w="850" w:type="dxa"/>
            <w:tcBorders>
              <w:top w:val="nil"/>
              <w:left w:val="nil"/>
              <w:bottom w:val="single" w:sz="4" w:space="0" w:color="auto"/>
              <w:right w:val="nil"/>
            </w:tcBorders>
            <w:hideMark/>
          </w:tcPr>
          <w:p w14:paraId="14EBF451"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.099508</w:t>
            </w:r>
          </w:p>
        </w:tc>
        <w:tc>
          <w:tcPr>
            <w:tcW w:w="851" w:type="dxa"/>
            <w:tcBorders>
              <w:top w:val="nil"/>
              <w:left w:val="nil"/>
              <w:bottom w:val="single" w:sz="4" w:space="0" w:color="auto"/>
              <w:right w:val="nil"/>
            </w:tcBorders>
            <w:hideMark/>
          </w:tcPr>
          <w:p w14:paraId="3B087DF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.133458</w:t>
            </w:r>
          </w:p>
        </w:tc>
        <w:tc>
          <w:tcPr>
            <w:tcW w:w="850" w:type="dxa"/>
            <w:tcBorders>
              <w:top w:val="nil"/>
              <w:left w:val="nil"/>
              <w:bottom w:val="single" w:sz="4" w:space="0" w:color="auto"/>
              <w:right w:val="nil"/>
            </w:tcBorders>
            <w:hideMark/>
          </w:tcPr>
          <w:p w14:paraId="4FD59C49"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.134562</w:t>
            </w:r>
          </w:p>
        </w:tc>
        <w:tc>
          <w:tcPr>
            <w:tcW w:w="851" w:type="dxa"/>
            <w:tcBorders>
              <w:top w:val="nil"/>
              <w:left w:val="nil"/>
              <w:bottom w:val="single" w:sz="4" w:space="0" w:color="auto"/>
              <w:right w:val="nil"/>
            </w:tcBorders>
            <w:hideMark/>
          </w:tcPr>
          <w:p w14:paraId="50D98CC3"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.150187</w:t>
            </w:r>
          </w:p>
        </w:tc>
        <w:tc>
          <w:tcPr>
            <w:tcW w:w="851" w:type="dxa"/>
            <w:tcBorders>
              <w:top w:val="nil"/>
              <w:left w:val="nil"/>
              <w:bottom w:val="single" w:sz="4" w:space="0" w:color="auto"/>
              <w:right w:val="nil"/>
            </w:tcBorders>
            <w:hideMark/>
          </w:tcPr>
          <w:p w14:paraId="44F9F26D" w14:textId="77777777" w:rsidR="00EB49FE" w:rsidRPr="00CA5619" w:rsidRDefault="00EB49FE">
            <w:pPr>
              <w:widowControl w:val="0"/>
              <w:autoSpaceDE w:val="0"/>
              <w:autoSpaceDN w:val="0"/>
              <w:adjustRightInd w:val="0"/>
              <w:spacing w:before="0" w:line="240" w:lineRule="auto"/>
              <w:jc w:val="center"/>
              <w:rPr>
                <w:rFonts w:cs="Segoe UI"/>
                <w:sz w:val="18"/>
                <w:szCs w:val="18"/>
                <w:highlight w:val="yellow"/>
                <w:lang w:val="en-US" w:eastAsia="en-GB"/>
              </w:rPr>
            </w:pPr>
            <w:r w:rsidRPr="00CA5619">
              <w:rPr>
                <w:rFonts w:cs="Segoe UI"/>
                <w:sz w:val="18"/>
                <w:szCs w:val="18"/>
                <w:highlight w:val="yellow"/>
                <w:lang w:val="en-US" w:eastAsia="en-GB"/>
              </w:rPr>
              <w:t>.103371</w:t>
            </w:r>
          </w:p>
        </w:tc>
      </w:tr>
    </w:tbl>
    <w:p w14:paraId="06DA1807" w14:textId="07215988" w:rsidR="00EB49FE" w:rsidRPr="00EB49FE" w:rsidRDefault="00717D00" w:rsidP="00EB49FE">
      <w:pPr>
        <w:jc w:val="right"/>
        <w:rPr>
          <w:sz w:val="16"/>
          <w:szCs w:val="16"/>
        </w:rPr>
      </w:pPr>
      <w:r>
        <w:rPr>
          <w:sz w:val="16"/>
          <w:szCs w:val="16"/>
          <w:highlight w:val="yellow"/>
        </w:rPr>
        <w:t xml:space="preserve">Standard error in brackets. </w:t>
      </w:r>
      <w:r w:rsidR="00EB49FE" w:rsidRPr="00CA5619">
        <w:rPr>
          <w:sz w:val="16"/>
          <w:szCs w:val="16"/>
          <w:highlight w:val="yellow"/>
        </w:rPr>
        <w:t>p&lt;0.1=*, p&lt;0.05**, p&lt;0.001***</w:t>
      </w:r>
      <w:r w:rsidR="00EB49FE" w:rsidRPr="00FA1D5B">
        <w:rPr>
          <w:sz w:val="16"/>
          <w:szCs w:val="16"/>
        </w:rPr>
        <w:t xml:space="preserve"> </w:t>
      </w:r>
    </w:p>
    <w:bookmarkEnd w:id="397"/>
    <w:p w14:paraId="77D87F22" w14:textId="77777777" w:rsidR="00EB49FE" w:rsidRDefault="00EB49FE" w:rsidP="00EB49FE"/>
    <w:p w14:paraId="320397F4" w14:textId="4C43DE7C" w:rsidR="00F127C6" w:rsidRDefault="00F127C6" w:rsidP="004D0EE2"/>
    <w:p w14:paraId="62BB27D7" w14:textId="77777777" w:rsidR="00F127C6" w:rsidRDefault="00F127C6" w:rsidP="004D0EE2"/>
    <w:p w14:paraId="251D273C" w14:textId="77777777" w:rsidR="00F127C6" w:rsidRDefault="00F127C6" w:rsidP="004D0EE2">
      <w:pPr>
        <w:sectPr w:rsidR="00F127C6" w:rsidSect="00F127C6">
          <w:pgSz w:w="16838" w:h="11906" w:orient="landscape"/>
          <w:pgMar w:top="1440" w:right="1440" w:bottom="1440" w:left="1440" w:header="708" w:footer="708" w:gutter="357"/>
          <w:cols w:space="708"/>
          <w:docGrid w:linePitch="360"/>
        </w:sectPr>
      </w:pPr>
    </w:p>
    <w:p w14:paraId="7A8E72EA" w14:textId="467491DD" w:rsidR="008E00EB" w:rsidRPr="008E00EB" w:rsidRDefault="008E00EB" w:rsidP="008E00EB">
      <w:pPr>
        <w:rPr>
          <w:b/>
          <w:highlight w:val="yellow"/>
        </w:rPr>
      </w:pPr>
      <w:r w:rsidRPr="00CC7754">
        <w:rPr>
          <w:rFonts w:cs="Segoe UI"/>
          <w:b/>
          <w:highlight w:val="yellow"/>
        </w:rPr>
        <w:t xml:space="preserve">Figure </w:t>
      </w:r>
      <w:r w:rsidRPr="00CC7754">
        <w:rPr>
          <w:rFonts w:cs="Segoe UI"/>
          <w:b/>
          <w:highlight w:val="yellow"/>
        </w:rPr>
        <w:fldChar w:fldCharType="begin"/>
      </w:r>
      <w:r w:rsidRPr="00CC7754">
        <w:rPr>
          <w:rFonts w:cs="Segoe UI"/>
          <w:b/>
          <w:highlight w:val="yellow"/>
        </w:rPr>
        <w:instrText xml:space="preserve"> STYLEREF 1 \s </w:instrText>
      </w:r>
      <w:r w:rsidRPr="00CC7754">
        <w:rPr>
          <w:rFonts w:cs="Segoe UI"/>
          <w:b/>
          <w:highlight w:val="yellow"/>
        </w:rPr>
        <w:fldChar w:fldCharType="separate"/>
      </w:r>
      <w:r w:rsidRPr="00CC7754">
        <w:rPr>
          <w:rFonts w:cs="Segoe UI"/>
          <w:b/>
          <w:noProof/>
          <w:highlight w:val="yellow"/>
        </w:rPr>
        <w:t>6</w:t>
      </w:r>
      <w:r w:rsidRPr="00CC7754">
        <w:rPr>
          <w:rFonts w:cs="Segoe UI"/>
          <w:b/>
          <w:noProof/>
          <w:highlight w:val="yellow"/>
        </w:rPr>
        <w:fldChar w:fldCharType="end"/>
      </w:r>
      <w:r w:rsidRPr="00CC7754">
        <w:rPr>
          <w:rFonts w:cs="Segoe UI"/>
          <w:b/>
          <w:highlight w:val="yellow"/>
        </w:rPr>
        <w:t>:</w:t>
      </w:r>
      <w:r w:rsidRPr="00CC7754">
        <w:rPr>
          <w:rFonts w:cs="Segoe UI"/>
          <w:b/>
          <w:highlight w:val="yellow"/>
        </w:rPr>
        <w:fldChar w:fldCharType="begin"/>
      </w:r>
      <w:r w:rsidRPr="00CC7754">
        <w:rPr>
          <w:rFonts w:cs="Segoe UI"/>
          <w:b/>
          <w:highlight w:val="yellow"/>
        </w:rPr>
        <w:instrText xml:space="preserve"> SEQ Figure \* ARABIC \s 1 </w:instrText>
      </w:r>
      <w:r w:rsidRPr="00CC7754">
        <w:rPr>
          <w:rFonts w:cs="Segoe UI"/>
          <w:b/>
          <w:highlight w:val="yellow"/>
        </w:rPr>
        <w:fldChar w:fldCharType="separate"/>
      </w:r>
      <w:r>
        <w:rPr>
          <w:rFonts w:cs="Segoe UI"/>
          <w:b/>
          <w:noProof/>
          <w:highlight w:val="yellow"/>
        </w:rPr>
        <w:t>13</w:t>
      </w:r>
      <w:r w:rsidRPr="00CC7754">
        <w:rPr>
          <w:rFonts w:cs="Segoe UI"/>
          <w:b/>
          <w:noProof/>
          <w:highlight w:val="yellow"/>
        </w:rPr>
        <w:fldChar w:fldCharType="end"/>
      </w:r>
      <w:r w:rsidRPr="008E00EB">
        <w:rPr>
          <w:b/>
          <w:highlight w:val="yellow"/>
        </w:rPr>
        <w:t xml:space="preserve"> Demonstrating Predictive Margins for Compound and Authoritarian Understandings of Democracy by Gender, Model (P9)</w:t>
      </w:r>
    </w:p>
    <w:p w14:paraId="48E1AFC5" w14:textId="0025C222" w:rsidR="008E00EB" w:rsidRDefault="008E00EB" w:rsidP="008E00EB">
      <w:pPr>
        <w:rPr>
          <w:highlight w:val="yellow"/>
        </w:rPr>
      </w:pPr>
      <w:r w:rsidRPr="003F115E">
        <w:rPr>
          <w:noProof/>
          <w:highlight w:val="yellow"/>
          <w:lang w:eastAsia="zh-CN"/>
        </w:rPr>
        <w:drawing>
          <wp:inline distT="0" distB="0" distL="0" distR="0" wp14:anchorId="00F7DD7B" wp14:editId="3FF867B7">
            <wp:extent cx="5112385" cy="3740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12385" cy="3740785"/>
                    </a:xfrm>
                    <a:prstGeom prst="rect">
                      <a:avLst/>
                    </a:prstGeom>
                    <a:noFill/>
                    <a:ln>
                      <a:noFill/>
                    </a:ln>
                  </pic:spPr>
                </pic:pic>
              </a:graphicData>
            </a:graphic>
          </wp:inline>
        </w:drawing>
      </w:r>
    </w:p>
    <w:p w14:paraId="7CA448CB" w14:textId="77777777" w:rsidR="003F115E" w:rsidRPr="00CA5619" w:rsidRDefault="003F115E" w:rsidP="003F115E">
      <w:pPr>
        <w:pStyle w:val="Heading4"/>
        <w:rPr>
          <w:highlight w:val="yellow"/>
        </w:rPr>
      </w:pPr>
      <w:r w:rsidRPr="00CA5619">
        <w:rPr>
          <w:highlight w:val="yellow"/>
        </w:rPr>
        <w:t>Alternative Theories</w:t>
      </w:r>
    </w:p>
    <w:p w14:paraId="45898EC7" w14:textId="77777777" w:rsidR="003F115E" w:rsidRPr="00CA5619" w:rsidRDefault="003F115E" w:rsidP="003F115E">
      <w:pPr>
        <w:rPr>
          <w:highlight w:val="yellow"/>
        </w:rPr>
      </w:pPr>
      <w:r w:rsidRPr="00CA5619">
        <w:rPr>
          <w:highlight w:val="yellow"/>
        </w:rPr>
        <w:t>The pattern of results for resource theory, social capital and cognitive engagement follow previous results for boycotting; group membership and trust in people boost the chance of demonstrating, whereas higher institutional trusts decreases it. Better education has a positive effect, but control over life does not register a significant result. The issue with the results for grievance theory remain; satisfaction with income does not render a significant result when controlling for context, whereas increased income leads to higher, not lower, chances of demonstrating.</w:t>
      </w:r>
    </w:p>
    <w:p w14:paraId="49374C06" w14:textId="77777777" w:rsidR="003F115E" w:rsidRPr="00CA5619" w:rsidRDefault="003F115E" w:rsidP="003F115E">
      <w:pPr>
        <w:rPr>
          <w:highlight w:val="yellow"/>
        </w:rPr>
      </w:pPr>
      <w:r w:rsidRPr="00CA5619">
        <w:rPr>
          <w:highlight w:val="yellow"/>
        </w:rPr>
        <w:t xml:space="preserve">When it comes to faith, Protestantism has a modest negative effect – Protestants are less likely to demonstrate compared to those without a religion – whereas those with Orthodox faith have higher odds in comparison to the same reference group. </w:t>
      </w:r>
    </w:p>
    <w:p w14:paraId="696C52F3" w14:textId="77777777" w:rsidR="003F115E" w:rsidRPr="00CA5619" w:rsidRDefault="003F115E" w:rsidP="003F115E">
      <w:pPr>
        <w:rPr>
          <w:highlight w:val="yellow"/>
        </w:rPr>
      </w:pPr>
      <w:r w:rsidRPr="00CA5619">
        <w:rPr>
          <w:highlight w:val="yellow"/>
        </w:rPr>
        <w:t xml:space="preserve">Across the results for the three different types of political behaviour then it is difficult to generate a clear story from the results of the different faiths, and this stands out as an area of further study. Indeed Sarkissian </w:t>
      </w:r>
      <w:r w:rsidRPr="00CA5619">
        <w:rPr>
          <w:highlight w:val="yellow"/>
        </w:rPr>
        <w:fldChar w:fldCharType="begin" w:fldLock="1"/>
      </w:r>
      <w:r w:rsidRPr="00CA5619">
        <w:rPr>
          <w:highlight w:val="yellow"/>
        </w:rPr>
        <w:instrText>ADDIN CSL_CITATION { "citationItems" : [ { "id" : "ITEM-1", "itemData" : { "author" : [ { "dropping-particle" : "", "family" : "Sarkissian", "given" : "Ani", "non-dropping-particle" : "", "parse-names" : false, "suffix" : "" } ], "container-title" : "Journal for the Scientific Study of Religion", "id" : "ITEM-1", "issue" : "4", "issued" : { "date-parts" : [ [ "2012" ] ] }, "page" : "607-622", "title" : "Religion and Civic Engagement in Muslim Countries", "type" : "article-journal", "volume" : "51" }, "uris" : [ "http://www.mendeley.com/documents/?uuid=5376847f-de73-445b-b8f8-072667703bec" ] } ], "mendeley" : { "formattedCitation" : "(Sarkissian, 2012)", "manualFormatting" : "(2012)", "plainTextFormattedCitation" : "(Sarkissian, 2012)", "previouslyFormattedCitation" : "(Sarkissian, 2012)" }, "properties" : { "noteIndex" : 0 }, "schema" : "https://github.com/citation-style-language/schema/raw/master/csl-citation.json" }</w:instrText>
      </w:r>
      <w:r w:rsidRPr="00CA5619">
        <w:rPr>
          <w:highlight w:val="yellow"/>
        </w:rPr>
        <w:fldChar w:fldCharType="separate"/>
      </w:r>
      <w:r w:rsidRPr="00CA5619">
        <w:rPr>
          <w:noProof/>
          <w:highlight w:val="yellow"/>
        </w:rPr>
        <w:t>(2012)</w:t>
      </w:r>
      <w:r w:rsidRPr="00CA5619">
        <w:rPr>
          <w:highlight w:val="yellow"/>
        </w:rPr>
        <w:fldChar w:fldCharType="end"/>
      </w:r>
      <w:r w:rsidRPr="00CA5619">
        <w:rPr>
          <w:highlight w:val="yellow"/>
        </w:rPr>
        <w:t xml:space="preserve"> argues that only very recently have other surveys, such as Arab Barometer and the Muslim American Survey, started to go into enough detail to be able to test much more nuanced issues concerning religious practices and the relationship between religious groups and civil society. </w:t>
      </w:r>
    </w:p>
    <w:p w14:paraId="7BB72D22" w14:textId="77777777" w:rsidR="003F115E" w:rsidRPr="00CA5619" w:rsidRDefault="003F115E" w:rsidP="003F115E">
      <w:pPr>
        <w:rPr>
          <w:highlight w:val="yellow"/>
        </w:rPr>
      </w:pPr>
      <w:r w:rsidRPr="00CA5619">
        <w:rPr>
          <w:highlight w:val="yellow"/>
        </w:rPr>
        <w:t>Throughout these models, whilst the individual results for faiths are inconsistent, the general relationship between religiosity and political participation appears to be a negative one, supporting the section of the literature that sees religiosity as perhaps an inward-looking trait which supports institutions and sees informal political participation as an unnecessary or negative act (</w:t>
      </w:r>
      <w:r w:rsidRPr="00CA5619">
        <w:rPr>
          <w:highlight w:val="yellow"/>
        </w:rPr>
        <w:fldChar w:fldCharType="begin" w:fldLock="1"/>
      </w:r>
      <w:r w:rsidRPr="00CA5619">
        <w:rPr>
          <w:highlight w:val="yellow"/>
        </w:rPr>
        <w:instrText>ADDIN CSL_CITATION { "citationItems" : [ { "id" : "ITEM-1", "itemData" : { "DOI" : "10.1023/B:POBE.0000035961.78836.5f", "ISBN" : "01909320", "ISSN" : "01909320", "abstract" : "Many observers suggest that white evangelical Protestant churches serve to mobilize their members into politics, while others argue that they encourage withdrawal from political life. This paper reconciles these two claims. I hypothesize that the time members of evangelical Protestant denominations spend in service to their church comes at the expense of participation in the wider community, contrary to the way mainline Protestant and Catholic churches foster civic activity among their members. However, I further hypothesize that the tight social networks formed through this intensive church activity can at times facilitate rapid and intense political mobilization. Data from the Citizen Participation Study supports the first hypothesis, while applying King's method of ecological inference to two elections in Alabama supports the second.", "author" : [ { "dropping-particle" : "", "family" : "Campbell", "given" : "David E.", "non-dropping-particle" : "", "parse-names" : false, "suffix" : "" } ], "container-title" : "Political Behavior", "id" : "ITEM-1", "issue" : "2", "issued" : { "date-parts" : [ [ "2004" ] ] }, "page" : "155-180", "title" : "Acts of Faith: Churches and Political Engagement", "type" : "article-journal", "volume" : "26" }, "locator" : "155", "uris" : [ "http://www.mendeley.com/documents/?uuid=75bd3b3a-04c8-4fcf-926b-87057a926d61" ] } ], "mendeley" : { "formattedCitation" : "(Campbell, 2004, p. 155)", "manualFormatting" : "Campbell 2004)", "plainTextFormattedCitation" : "(Campbell, 2004, p. 155)", "previouslyFormattedCitation" : "(Campbell, 2004, p. 155)" }, "properties" : { "noteIndex" : 0 }, "schema" : "https://github.com/citation-style-language/schema/raw/master/csl-citation.json" }</w:instrText>
      </w:r>
      <w:r w:rsidRPr="00CA5619">
        <w:rPr>
          <w:highlight w:val="yellow"/>
        </w:rPr>
        <w:fldChar w:fldCharType="separate"/>
      </w:r>
      <w:r w:rsidRPr="00CA5619">
        <w:rPr>
          <w:noProof/>
          <w:highlight w:val="yellow"/>
        </w:rPr>
        <w:t>Campbell 2004)</w:t>
      </w:r>
      <w:r w:rsidRPr="00CA5619">
        <w:rPr>
          <w:highlight w:val="yellow"/>
        </w:rPr>
        <w:fldChar w:fldCharType="end"/>
      </w:r>
      <w:r w:rsidRPr="00CA5619">
        <w:rPr>
          <w:highlight w:val="yellow"/>
        </w:rPr>
        <w:t>, in contrast to those findings which suggest strength of faith may be a corrective to bias in participation against those who are poorer and not as well educated (</w:t>
      </w:r>
      <w:r w:rsidRPr="00CA5619">
        <w:rPr>
          <w:noProof/>
          <w:highlight w:val="yellow"/>
        </w:rPr>
        <w:t>Jones-Correa &amp; Leal 2001).</w:t>
      </w:r>
      <w:r w:rsidRPr="00CA5619">
        <w:rPr>
          <w:highlight w:val="yellow"/>
        </w:rPr>
        <w:t xml:space="preserve"> Of course, this does not preclude these people from carrying out altruistic and charitable acts, it may simply be that those which appear “politicised” do not fall within this space of action </w:t>
      </w:r>
      <w:r w:rsidRPr="00CA5619">
        <w:rPr>
          <w:highlight w:val="yellow"/>
        </w:rPr>
        <w:fldChar w:fldCharType="begin" w:fldLock="1"/>
      </w:r>
      <w:r w:rsidRPr="00CA5619">
        <w:rPr>
          <w:highlight w:val="yellow"/>
        </w:rPr>
        <w:instrText>ADDIN CSL_CITATION { "citationItems" : [ { "id" : "ITEM-1", "itemData" : { "author" : [ { "dropping-particle" : "", "family" : "Sarkissian", "given" : "Ani", "non-dropping-particle" : "", "parse-names" : false, "suffix" : "" } ], "container-title" : "Journal for the Scientific Study of Religion", "id" : "ITEM-1", "issue" : "4", "issued" : { "date-parts" : [ [ "2012" ] ] }, "page" : "607-622", "title" : "Religion and Civic Engagement in Muslim Countries", "type" : "article-journal", "volume" : "51" }, "uris" : [ "http://www.mendeley.com/documents/?uuid=5376847f-de73-445b-b8f8-072667703bec" ] } ], "mendeley" : { "formattedCitation" : "(Sarkissian, 2012)", "manualFormatting" : "(Sarkissian 2012, p.618-619)", "plainTextFormattedCitation" : "(Sarkissian, 2012)", "previouslyFormattedCitation" : "(Sarkissian, 2012)" }, "properties" : { "noteIndex" : 0 }, "schema" : "https://github.com/citation-style-language/schema/raw/master/csl-citation.json" }</w:instrText>
      </w:r>
      <w:r w:rsidRPr="00CA5619">
        <w:rPr>
          <w:highlight w:val="yellow"/>
        </w:rPr>
        <w:fldChar w:fldCharType="separate"/>
      </w:r>
      <w:r w:rsidRPr="00CA5619">
        <w:rPr>
          <w:noProof/>
          <w:highlight w:val="yellow"/>
        </w:rPr>
        <w:t>(Sarkissian 2012, p.618-619)</w:t>
      </w:r>
      <w:r w:rsidRPr="00CA5619">
        <w:rPr>
          <w:highlight w:val="yellow"/>
        </w:rPr>
        <w:fldChar w:fldCharType="end"/>
      </w:r>
      <w:r w:rsidRPr="00CA5619">
        <w:rPr>
          <w:highlight w:val="yellow"/>
        </w:rPr>
        <w:t xml:space="preserve">. </w:t>
      </w:r>
    </w:p>
    <w:p w14:paraId="3D4B7108" w14:textId="77777777" w:rsidR="003F115E" w:rsidRPr="00CA5619" w:rsidRDefault="003F115E" w:rsidP="003F115E">
      <w:pPr>
        <w:rPr>
          <w:highlight w:val="yellow"/>
        </w:rPr>
      </w:pPr>
      <w:r w:rsidRPr="00CA5619">
        <w:rPr>
          <w:highlight w:val="yellow"/>
        </w:rPr>
        <w:t xml:space="preserve">There is further evidence to suggest that country context has an impact on demonstrating, as measured by press freedom and democratic history variables once again. HDI and gini measures however fail to reach significance. The communist and Freedom House measures again point towards more closed regimes being associated with lower likelihoods of informal political participation. </w:t>
      </w:r>
    </w:p>
    <w:p w14:paraId="0D7D9592" w14:textId="552E4878" w:rsidR="00D66210" w:rsidRPr="008C08CF" w:rsidRDefault="00E83665" w:rsidP="00D66210">
      <w:pPr>
        <w:pStyle w:val="Heading2"/>
        <w:rPr>
          <w:highlight w:val="yellow"/>
        </w:rPr>
      </w:pPr>
      <w:bookmarkStart w:id="398" w:name="_Toc494034239"/>
      <w:r w:rsidRPr="008C08CF">
        <w:rPr>
          <w:highlight w:val="yellow"/>
        </w:rPr>
        <w:t>Summary</w:t>
      </w:r>
      <w:bookmarkEnd w:id="398"/>
    </w:p>
    <w:p w14:paraId="149EA847" w14:textId="335C420F" w:rsidR="00F91E63" w:rsidRDefault="00F91E63" w:rsidP="00F91E63">
      <w:pPr>
        <w:rPr>
          <w:highlight w:val="yellow"/>
        </w:rPr>
      </w:pPr>
      <w:bookmarkStart w:id="399" w:name="_Toc441069047"/>
      <w:bookmarkStart w:id="400" w:name="_Toc441069305"/>
      <w:r w:rsidRPr="008C08CF">
        <w:rPr>
          <w:highlight w:val="yellow"/>
        </w:rPr>
        <w:t xml:space="preserve">Across these types of political participation, the resource indicators, social trust, social capital, political interest and media use have consistent explanatory effects. Those getting involved with informal political actions have the </w:t>
      </w:r>
      <w:r w:rsidR="004A5208" w:rsidRPr="008C08CF">
        <w:rPr>
          <w:highlight w:val="yellow"/>
        </w:rPr>
        <w:t>cognitive engagement</w:t>
      </w:r>
      <w:r w:rsidRPr="008C08CF">
        <w:rPr>
          <w:highlight w:val="yellow"/>
        </w:rPr>
        <w:t xml:space="preserve"> and they have the resources.</w:t>
      </w:r>
      <w:r w:rsidR="00866DBC">
        <w:rPr>
          <w:highlight w:val="yellow"/>
        </w:rPr>
        <w:t xml:space="preserve"> W</w:t>
      </w:r>
      <w:r w:rsidRPr="008C08CF">
        <w:rPr>
          <w:highlight w:val="yellow"/>
        </w:rPr>
        <w:t>hen it comes to the focus of this thesis –understanding of democracy – the pattern is also clear and consistent. The more a citizen buys into the compound understanding of democracy, the more likely they are to consider or be involved in informal political participation. In contrast, the more a citizen buys into the authoritarian concept of democracy, the less likely they are to be involved, or even consider being involved, in such activity.</w:t>
      </w:r>
    </w:p>
    <w:p w14:paraId="25AA6723" w14:textId="7AD8BA9E" w:rsidR="00F91E63" w:rsidRPr="008C08CF" w:rsidRDefault="00F91E63" w:rsidP="00F91E63">
      <w:pPr>
        <w:rPr>
          <w:highlight w:val="yellow"/>
        </w:rPr>
      </w:pPr>
      <w:r w:rsidRPr="008C08CF">
        <w:rPr>
          <w:highlight w:val="yellow"/>
        </w:rPr>
        <w:t xml:space="preserve">From this finding I can return to the conclusion made by the more focused study on Finland, examined by </w:t>
      </w:r>
      <w:r w:rsidRPr="008C08CF">
        <w:rPr>
          <w:szCs w:val="24"/>
          <w:highlight w:val="yellow"/>
        </w:rPr>
        <w:fldChar w:fldCharType="begin" w:fldLock="1"/>
      </w:r>
      <w:r w:rsidR="00E63CC6" w:rsidRPr="008C08CF">
        <w:rPr>
          <w:szCs w:val="24"/>
          <w:highlight w:val="yellow"/>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and Christensen (2014, p.251)", "plainTextFormattedCitation" : "(Bengtsson and Christensen, 2014)", "previouslyFormattedCitation" : "(Bengtsson and Christensen, 2014)" }, "properties" : { "noteIndex" : 0 }, "schema" : "https://github.com/citation-style-language/schema/raw/master/csl-citation.json" }</w:instrText>
      </w:r>
      <w:r w:rsidRPr="008C08CF">
        <w:rPr>
          <w:szCs w:val="24"/>
          <w:highlight w:val="yellow"/>
        </w:rPr>
        <w:fldChar w:fldCharType="separate"/>
      </w:r>
      <w:r w:rsidRPr="008C08CF">
        <w:rPr>
          <w:noProof/>
          <w:szCs w:val="24"/>
          <w:highlight w:val="yellow"/>
        </w:rPr>
        <w:t>Bengtsson and Christensen (2014, p.251)</w:t>
      </w:r>
      <w:r w:rsidRPr="008C08CF">
        <w:rPr>
          <w:szCs w:val="24"/>
          <w:highlight w:val="yellow"/>
        </w:rPr>
        <w:fldChar w:fldCharType="end"/>
      </w:r>
      <w:r w:rsidRPr="008C08CF">
        <w:rPr>
          <w:szCs w:val="24"/>
          <w:highlight w:val="yellow"/>
        </w:rPr>
        <w:t xml:space="preserve"> and discussed in Chapter 2, Section 2.4:</w:t>
      </w:r>
    </w:p>
    <w:p w14:paraId="15437E29" w14:textId="77777777" w:rsidR="00F91E63" w:rsidRPr="008C08CF" w:rsidRDefault="00F91E63" w:rsidP="00F91E63">
      <w:pPr>
        <w:pStyle w:val="Quote"/>
        <w:rPr>
          <w:highlight w:val="yellow"/>
        </w:rPr>
      </w:pPr>
      <w:r w:rsidRPr="008C08CF">
        <w:rPr>
          <w:highlight w:val="yellow"/>
        </w:rPr>
        <w:t>“…these different conceptions of democracy are not just ideals without substantial consequences. On the contrary, they have systematic effects on the way and extent in which people choose to engage in political activities.”</w:t>
      </w:r>
    </w:p>
    <w:p w14:paraId="594BB991" w14:textId="6DB9A73A" w:rsidR="00F91E63" w:rsidRPr="008C08CF" w:rsidRDefault="00F91E63" w:rsidP="00F91E63">
      <w:pPr>
        <w:rPr>
          <w:highlight w:val="yellow"/>
        </w:rPr>
      </w:pPr>
      <w:r w:rsidRPr="008C08CF">
        <w:rPr>
          <w:szCs w:val="24"/>
          <w:highlight w:val="yellow"/>
        </w:rPr>
        <w:t xml:space="preserve">Their different conceptions of democracy were built from a different survey and using different questions and so the conceptions themselves do not, unfortunately, map onto mine (as a reminder, they had three: </w:t>
      </w:r>
      <w:r w:rsidRPr="008C08CF">
        <w:rPr>
          <w:highlight w:val="yellow"/>
        </w:rPr>
        <w:t>representation elite; expertise technocratic; and, participation pluralistic). However, the important finding of their study, that these conceptions are not simply abst</w:t>
      </w:r>
      <w:r w:rsidR="00866DBC">
        <w:rPr>
          <w:highlight w:val="yellow"/>
        </w:rPr>
        <w:t>ract inconsequential imaginings</w:t>
      </w:r>
      <w:r w:rsidRPr="008C08CF">
        <w:rPr>
          <w:highlight w:val="yellow"/>
        </w:rPr>
        <w:t xml:space="preserve"> but have effects on political behaviour, is also borne out in my study. </w:t>
      </w:r>
    </w:p>
    <w:p w14:paraId="491AE53D" w14:textId="10D6A635" w:rsidR="00F91E63" w:rsidRPr="008C08CF" w:rsidRDefault="00F91E63" w:rsidP="00F91E63">
      <w:pPr>
        <w:rPr>
          <w:highlight w:val="yellow"/>
        </w:rPr>
      </w:pPr>
      <w:r w:rsidRPr="008C08CF">
        <w:rPr>
          <w:highlight w:val="yellow"/>
        </w:rPr>
        <w:t xml:space="preserve">At the end of their study </w:t>
      </w:r>
      <w:r w:rsidRPr="008C08CF">
        <w:rPr>
          <w:szCs w:val="24"/>
          <w:highlight w:val="yellow"/>
        </w:rPr>
        <w:fldChar w:fldCharType="begin" w:fldLock="1"/>
      </w:r>
      <w:r w:rsidR="00E63CC6" w:rsidRPr="008C08CF">
        <w:rPr>
          <w:szCs w:val="24"/>
          <w:highlight w:val="yellow"/>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and Christensen (ibid.)", "plainTextFormattedCitation" : "(Bengtsson and Christensen, 2014)", "previouslyFormattedCitation" : "(Bengtsson and Christensen, 2014)" }, "properties" : { "noteIndex" : 0 }, "schema" : "https://github.com/citation-style-language/schema/raw/master/csl-citation.json" }</w:instrText>
      </w:r>
      <w:r w:rsidRPr="008C08CF">
        <w:rPr>
          <w:szCs w:val="24"/>
          <w:highlight w:val="yellow"/>
        </w:rPr>
        <w:fldChar w:fldCharType="separate"/>
      </w:r>
      <w:r w:rsidRPr="008C08CF">
        <w:rPr>
          <w:noProof/>
          <w:szCs w:val="24"/>
          <w:highlight w:val="yellow"/>
        </w:rPr>
        <w:t>Bengtsson and Christensen (ibid.)</w:t>
      </w:r>
      <w:r w:rsidRPr="008C08CF">
        <w:rPr>
          <w:szCs w:val="24"/>
          <w:highlight w:val="yellow"/>
        </w:rPr>
        <w:fldChar w:fldCharType="end"/>
      </w:r>
      <w:r w:rsidRPr="008C08CF">
        <w:rPr>
          <w:szCs w:val="24"/>
          <w:highlight w:val="yellow"/>
        </w:rPr>
        <w:t xml:space="preserve"> </w:t>
      </w:r>
      <w:r w:rsidRPr="008C08CF">
        <w:rPr>
          <w:highlight w:val="yellow"/>
        </w:rPr>
        <w:t>note that: “Research from other contexts is therefore necessary to establish how well the conclusions drawn here apply to other settings”. This is exactly what my study has done, and it bolsters the notion that conceptualisations of democracy influence political participation across a wide variety of contexts.</w:t>
      </w:r>
    </w:p>
    <w:p w14:paraId="27D92EC7" w14:textId="527C1B2F" w:rsidR="00F91E63" w:rsidRPr="008C08CF" w:rsidRDefault="00F91E63" w:rsidP="00F91E63">
      <w:pPr>
        <w:rPr>
          <w:highlight w:val="yellow"/>
        </w:rPr>
      </w:pPr>
      <w:r w:rsidRPr="008C08CF">
        <w:rPr>
          <w:highlight w:val="yellow"/>
        </w:rPr>
        <w:t>Beyond this point, I have also looked at how these conceptualisations of democracy fare against the more tr</w:t>
      </w:r>
      <w:r w:rsidR="005A648C" w:rsidRPr="008C08CF">
        <w:rPr>
          <w:highlight w:val="yellow"/>
        </w:rPr>
        <w:t>aditional variable of analysis: support for democracy in the abstract</w:t>
      </w:r>
      <w:r w:rsidRPr="008C08CF">
        <w:rPr>
          <w:highlight w:val="yellow"/>
        </w:rPr>
        <w:t>. The results consistently show that both elements of the story help explain informal political participation: ‘lip-service’ paid to the idea, and understandings of it.</w:t>
      </w:r>
      <w:r w:rsidR="00D15D55" w:rsidRPr="008C08CF">
        <w:rPr>
          <w:highlight w:val="yellow"/>
        </w:rPr>
        <w:t xml:space="preserve"> </w:t>
      </w:r>
    </w:p>
    <w:p w14:paraId="7E2BCB23" w14:textId="1505A4E6" w:rsidR="00D15D55" w:rsidRPr="008C08CF" w:rsidRDefault="00D15D55" w:rsidP="00F91E63">
      <w:pPr>
        <w:rPr>
          <w:highlight w:val="yellow"/>
        </w:rPr>
      </w:pPr>
      <w:r w:rsidRPr="008C08CF">
        <w:rPr>
          <w:highlight w:val="yellow"/>
        </w:rPr>
        <w:t>This systematic examination of understandings of democracy and their influence on informal participation has not, to the author</w:t>
      </w:r>
      <w:r w:rsidR="00866DBC">
        <w:rPr>
          <w:highlight w:val="yellow"/>
        </w:rPr>
        <w:t>’</w:t>
      </w:r>
      <w:r w:rsidRPr="008C08CF">
        <w:rPr>
          <w:highlight w:val="yellow"/>
        </w:rPr>
        <w:t xml:space="preserve">s knowledge, been carried out across such multiple contexts in this way. When it comes to the compound understanding, the consistent positive relationship is of interest as the elements that make-up this understanding do not pre-assume a relationship with informal political participation. The only elements in the compound understanding related to participation are deal with ‘free and fair elections’ and referendum. These are both in the most part elite-led and institutional processes </w:t>
      </w:r>
      <w:r w:rsidRPr="008C08CF">
        <w:rPr>
          <w:highlight w:val="yellow"/>
        </w:rPr>
        <w:fldChar w:fldCharType="begin" w:fldLock="1"/>
      </w:r>
      <w:r w:rsidR="00A720F0">
        <w:rPr>
          <w:highlight w:val="yellow"/>
        </w:rPr>
        <w:instrText>ADDIN CSL_CITATION { "citationItems" : [ { "id" : "ITEM-1", "itemData" : { "author" : [ { "dropping-particle" : "", "family" : "Bowler", "given" : "Shaun", "non-dropping-particle" : "", "parse-names" : false, "suffix" : "" }, { "dropping-particle" : "", "family" : "Donovan", "given" : "Todd", "non-dropping-particle" : "", "parse-names" : false, "suffix" : "" }, { "dropping-particle" : "", "family" : "Karp", "given" : "Jeffrey A", "non-dropping-particle" : "", "parse-names" : false, "suffix" : "" } ], "container-title" : "Political Research Quarterly", "id" : "ITEM-1", "issue" : "3", "issued" : { "date-parts" : [ [ "2007" ] ] }, "page" : "351-362", "title" : "Enraged or Engaged? Preferences for Direct Citizen Participation in Affluent Democracies", "type" : "article-journal", "volume" : "60" }, "uris" : [ "http://www.mendeley.com/documents/?uuid=1f7e50d0-7c06-4e29-a9f4-72e52e162a72" ] } ], "mendeley" : { "formattedCitation" : "(Bowler, Donovan and Karp, 2007)", "plainTextFormattedCitation" : "(Bowler, Donovan and Karp, 2007)", "previouslyFormattedCitation" : "(Bowler, Donovan and Karp, 2007)" }, "properties" : { "noteIndex" : 0 }, "schema" : "https://github.com/citation-style-language/schema/raw/master/csl-citation.json" }</w:instrText>
      </w:r>
      <w:r w:rsidRPr="008C08CF">
        <w:rPr>
          <w:highlight w:val="yellow"/>
        </w:rPr>
        <w:fldChar w:fldCharType="separate"/>
      </w:r>
      <w:r w:rsidRPr="008C08CF">
        <w:rPr>
          <w:noProof/>
          <w:highlight w:val="yellow"/>
        </w:rPr>
        <w:t>(Bowler, Donovan and Karp, 2007)</w:t>
      </w:r>
      <w:r w:rsidRPr="008C08CF">
        <w:rPr>
          <w:highlight w:val="yellow"/>
        </w:rPr>
        <w:fldChar w:fldCharType="end"/>
      </w:r>
      <w:r w:rsidRPr="008C08CF">
        <w:rPr>
          <w:highlight w:val="yellow"/>
        </w:rPr>
        <w:t xml:space="preserve">. </w:t>
      </w:r>
      <w:r w:rsidR="00B16327" w:rsidRPr="008C08CF">
        <w:rPr>
          <w:highlight w:val="yellow"/>
        </w:rPr>
        <w:t>This chapter has demonstrated that above and beyond existing predictors of participation (social capital, resources etc</w:t>
      </w:r>
      <w:r w:rsidR="008C08CF" w:rsidRPr="008C08CF">
        <w:rPr>
          <w:highlight w:val="yellow"/>
        </w:rPr>
        <w:t>.</w:t>
      </w:r>
      <w:r w:rsidR="00B16327" w:rsidRPr="008C08CF">
        <w:rPr>
          <w:highlight w:val="yellow"/>
        </w:rPr>
        <w:t xml:space="preserve">), having a particular conceptual understanding of democracy helps explain </w:t>
      </w:r>
      <w:r w:rsidR="008C08CF" w:rsidRPr="008C08CF">
        <w:rPr>
          <w:highlight w:val="yellow"/>
        </w:rPr>
        <w:t xml:space="preserve">informal </w:t>
      </w:r>
      <w:r w:rsidR="00B16327" w:rsidRPr="008C08CF">
        <w:rPr>
          <w:highlight w:val="yellow"/>
        </w:rPr>
        <w:t xml:space="preserve">political activity. </w:t>
      </w:r>
      <w:r w:rsidR="002A4181">
        <w:rPr>
          <w:highlight w:val="yellow"/>
        </w:rPr>
        <w:t xml:space="preserve">This is also above support for democracy more generally. </w:t>
      </w:r>
      <w:r w:rsidR="00B16327" w:rsidRPr="008C08CF">
        <w:rPr>
          <w:highlight w:val="yellow"/>
        </w:rPr>
        <w:t xml:space="preserve">Further </w:t>
      </w:r>
      <w:r w:rsidR="008C08CF" w:rsidRPr="008C08CF">
        <w:rPr>
          <w:highlight w:val="yellow"/>
        </w:rPr>
        <w:t>research</w:t>
      </w:r>
      <w:r w:rsidR="00B16327" w:rsidRPr="008C08CF">
        <w:rPr>
          <w:highlight w:val="yellow"/>
        </w:rPr>
        <w:t xml:space="preserve"> should now build on this to identify more deeply how understandings of democracy and democratic behaviour inform each, and whether there is a reciprocal relationship.</w:t>
      </w:r>
    </w:p>
    <w:p w14:paraId="4240BC57" w14:textId="6057C3CC" w:rsidR="00D15D55" w:rsidRDefault="00B16327" w:rsidP="00F91E63">
      <w:r w:rsidRPr="008C08CF">
        <w:rPr>
          <w:highlight w:val="yellow"/>
        </w:rPr>
        <w:t>Further research may also be interested in the links between support for religious and military authority and the lack of engagement in these informal political activities. The authoritarian understanding of democracy has the potential to generate multiple tensions: those who strongly align with this understanding imbue authority with a lot of powers (to interpret law and overthrow regimes) and yet understand this as ‘democracy’. This mindset lowers the likelihood of political participation – and so in instances when large scale public protests are occurring (for instance the Arab Spring), there are multiple chances for cross-wires to occur over exactly what elements of the population are acting democratically.</w:t>
      </w:r>
    </w:p>
    <w:p w14:paraId="358A3600" w14:textId="67677B77" w:rsidR="00D66210" w:rsidRPr="00BF014B" w:rsidRDefault="00D66210" w:rsidP="00841E35">
      <w:pPr>
        <w:pStyle w:val="Heading2"/>
        <w:rPr>
          <w:highlight w:val="yellow"/>
        </w:rPr>
      </w:pPr>
      <w:bookmarkStart w:id="401" w:name="_Toc494034240"/>
      <w:r w:rsidRPr="00BF014B">
        <w:rPr>
          <w:highlight w:val="yellow"/>
        </w:rPr>
        <w:t>6.</w:t>
      </w:r>
      <w:r w:rsidR="00E83665" w:rsidRPr="00BF014B">
        <w:rPr>
          <w:highlight w:val="yellow"/>
        </w:rPr>
        <w:t>6</w:t>
      </w:r>
      <w:r w:rsidRPr="00BF014B">
        <w:rPr>
          <w:highlight w:val="yellow"/>
        </w:rPr>
        <w:t xml:space="preserve"> Conclusion</w:t>
      </w:r>
      <w:bookmarkEnd w:id="399"/>
      <w:bookmarkEnd w:id="400"/>
      <w:bookmarkEnd w:id="401"/>
      <w:r w:rsidRPr="00BF014B">
        <w:rPr>
          <w:highlight w:val="yellow"/>
        </w:rPr>
        <w:t xml:space="preserve"> </w:t>
      </w:r>
    </w:p>
    <w:p w14:paraId="12466DE0" w14:textId="5556A131" w:rsidR="00D66210" w:rsidRPr="00BF014B" w:rsidRDefault="002D236E" w:rsidP="00D66210">
      <w:pPr>
        <w:rPr>
          <w:highlight w:val="yellow"/>
        </w:rPr>
      </w:pPr>
      <w:r w:rsidRPr="00BF014B">
        <w:rPr>
          <w:highlight w:val="yellow"/>
        </w:rPr>
        <w:t>T</w:t>
      </w:r>
      <w:r w:rsidR="00D66210" w:rsidRPr="00BF014B">
        <w:rPr>
          <w:highlight w:val="yellow"/>
        </w:rPr>
        <w:t xml:space="preserve">his chapter </w:t>
      </w:r>
      <w:r w:rsidRPr="00BF014B">
        <w:rPr>
          <w:highlight w:val="yellow"/>
        </w:rPr>
        <w:t>has demonstrated</w:t>
      </w:r>
      <w:r w:rsidR="00D66210" w:rsidRPr="00BF014B">
        <w:rPr>
          <w:highlight w:val="yellow"/>
        </w:rPr>
        <w:t xml:space="preserve"> </w:t>
      </w:r>
      <w:r w:rsidRPr="00BF014B">
        <w:rPr>
          <w:highlight w:val="yellow"/>
        </w:rPr>
        <w:t>what</w:t>
      </w:r>
      <w:r w:rsidR="00D66210" w:rsidRPr="00BF014B">
        <w:rPr>
          <w:highlight w:val="yellow"/>
        </w:rPr>
        <w:t xml:space="preserve"> impact </w:t>
      </w:r>
      <w:r w:rsidRPr="00BF014B">
        <w:rPr>
          <w:highlight w:val="yellow"/>
        </w:rPr>
        <w:t>different</w:t>
      </w:r>
      <w:r w:rsidR="00D66210" w:rsidRPr="00BF014B">
        <w:rPr>
          <w:highlight w:val="yellow"/>
        </w:rPr>
        <w:t xml:space="preserve"> </w:t>
      </w:r>
      <w:r w:rsidR="001E3FD2" w:rsidRPr="00BF014B">
        <w:rPr>
          <w:highlight w:val="yellow"/>
        </w:rPr>
        <w:t>conceptualis</w:t>
      </w:r>
      <w:r w:rsidR="00D66210" w:rsidRPr="00BF014B">
        <w:rPr>
          <w:highlight w:val="yellow"/>
        </w:rPr>
        <w:t>ations of democracy have on i</w:t>
      </w:r>
      <w:r w:rsidRPr="00BF014B">
        <w:rPr>
          <w:highlight w:val="yellow"/>
        </w:rPr>
        <w:t xml:space="preserve">nformal political participation, in the process showing how </w:t>
      </w:r>
      <w:r w:rsidR="00D66210" w:rsidRPr="00BF014B">
        <w:rPr>
          <w:highlight w:val="yellow"/>
        </w:rPr>
        <w:t xml:space="preserve">important it is to look above and beyond simple support for democracy, to make sure </w:t>
      </w:r>
      <w:r w:rsidR="00D66210" w:rsidRPr="00BF014B">
        <w:rPr>
          <w:i/>
          <w:highlight w:val="yellow"/>
        </w:rPr>
        <w:t>understanding</w:t>
      </w:r>
      <w:r w:rsidR="00D66210" w:rsidRPr="00BF014B">
        <w:rPr>
          <w:highlight w:val="yellow"/>
        </w:rPr>
        <w:t xml:space="preserve"> of democracy is accounted for.</w:t>
      </w:r>
    </w:p>
    <w:p w14:paraId="32F1F5FB" w14:textId="00908827" w:rsidR="00D66210" w:rsidRPr="00BF014B" w:rsidRDefault="00D66210" w:rsidP="00D66210">
      <w:pPr>
        <w:rPr>
          <w:highlight w:val="yellow"/>
        </w:rPr>
      </w:pPr>
      <w:r w:rsidRPr="00BF014B">
        <w:rPr>
          <w:highlight w:val="yellow"/>
        </w:rPr>
        <w:t xml:space="preserve">The two </w:t>
      </w:r>
      <w:r w:rsidR="001E3FD2" w:rsidRPr="00BF014B">
        <w:rPr>
          <w:highlight w:val="yellow"/>
        </w:rPr>
        <w:t>conceptualis</w:t>
      </w:r>
      <w:r w:rsidRPr="00BF014B">
        <w:rPr>
          <w:highlight w:val="yellow"/>
        </w:rPr>
        <w:t>ations of democracy generated by this thesis have significant but contrasting effects. The compound understanding has a consistently positive relationship with participating, whereas the authoritarian understanding has a consistently negative one. These effects are present even wh</w:t>
      </w:r>
      <w:r w:rsidR="006D129B" w:rsidRPr="00BF014B">
        <w:rPr>
          <w:highlight w:val="yellow"/>
        </w:rPr>
        <w:t>en controlling for other long-</w:t>
      </w:r>
      <w:r w:rsidRPr="00BF014B">
        <w:rPr>
          <w:highlight w:val="yellow"/>
        </w:rPr>
        <w:t xml:space="preserve">standing theoretical explanations of political participation, including resource theory, social capital and </w:t>
      </w:r>
      <w:r w:rsidR="00AF22A4" w:rsidRPr="00BF014B">
        <w:rPr>
          <w:highlight w:val="yellow"/>
        </w:rPr>
        <w:t>cognitive engagement</w:t>
      </w:r>
    </w:p>
    <w:p w14:paraId="07765C3A" w14:textId="19C15A2A" w:rsidR="00D66210" w:rsidRPr="00BF014B" w:rsidRDefault="00D66210" w:rsidP="00D66210">
      <w:pPr>
        <w:rPr>
          <w:highlight w:val="yellow"/>
        </w:rPr>
      </w:pPr>
      <w:r w:rsidRPr="00BF014B">
        <w:rPr>
          <w:highlight w:val="yellow"/>
        </w:rPr>
        <w:t xml:space="preserve">Much of </w:t>
      </w:r>
      <w:r w:rsidR="00AF22A4" w:rsidRPr="00BF014B">
        <w:rPr>
          <w:highlight w:val="yellow"/>
        </w:rPr>
        <w:t>what drives</w:t>
      </w:r>
      <w:r w:rsidRPr="00BF014B">
        <w:rPr>
          <w:highlight w:val="yellow"/>
        </w:rPr>
        <w:t xml:space="preserve"> participation seem</w:t>
      </w:r>
      <w:r w:rsidR="00AF22A4" w:rsidRPr="00BF014B">
        <w:rPr>
          <w:highlight w:val="yellow"/>
        </w:rPr>
        <w:t>s</w:t>
      </w:r>
      <w:r w:rsidRPr="00BF014B">
        <w:rPr>
          <w:highlight w:val="yellow"/>
        </w:rPr>
        <w:t xml:space="preserve"> to be at the individual level</w:t>
      </w:r>
      <w:r w:rsidR="00AF22A4" w:rsidRPr="00BF014B">
        <w:rPr>
          <w:highlight w:val="yellow"/>
        </w:rPr>
        <w:t xml:space="preserve"> of analysis</w:t>
      </w:r>
      <w:r w:rsidRPr="00BF014B">
        <w:rPr>
          <w:highlight w:val="yellow"/>
        </w:rPr>
        <w:t xml:space="preserve">, however, some can be identified at the contextual level, predominantly a cultural effect, according to Huntington’s classifications of civilizations.  Buddhist and Islamic countries </w:t>
      </w:r>
      <w:r w:rsidR="006D129B" w:rsidRPr="00BF014B">
        <w:rPr>
          <w:highlight w:val="yellow"/>
        </w:rPr>
        <w:t>appear</w:t>
      </w:r>
      <w:r w:rsidRPr="00BF014B">
        <w:rPr>
          <w:highlight w:val="yellow"/>
        </w:rPr>
        <w:t xml:space="preserve"> consistently less likely to participate when compared with Western ones.</w:t>
      </w:r>
    </w:p>
    <w:p w14:paraId="62BCDFD4" w14:textId="3414D1EF" w:rsidR="00D66210" w:rsidRPr="00BF014B" w:rsidRDefault="00D66210" w:rsidP="00D66210">
      <w:pPr>
        <w:rPr>
          <w:highlight w:val="yellow"/>
        </w:rPr>
      </w:pPr>
      <w:r w:rsidRPr="00BF014B">
        <w:rPr>
          <w:highlight w:val="yellow"/>
        </w:rPr>
        <w:t>From these results, this chapter presented a group of citizens classed as ‘hard-to-reach’, citizens who score higher than average on the authoritarian conceptualisation of democracy, and had low levels of educational attainment, low trust in people and no membership of any associational groups. For the least democratic regimes in the WVS, it was shown t</w:t>
      </w:r>
      <w:r w:rsidR="00AF22A4" w:rsidRPr="00BF014B">
        <w:rPr>
          <w:highlight w:val="yellow"/>
        </w:rPr>
        <w:t>hat these hard-to-reach citizen</w:t>
      </w:r>
      <w:r w:rsidRPr="00BF014B">
        <w:rPr>
          <w:highlight w:val="yellow"/>
        </w:rPr>
        <w:t xml:space="preserve">s constituted a significant proportion of the population, around 20%, but up to almost half in some cases. The implications of the democratization was discussed for these citizens, with the argument that the process could be problematic, as their character traits suggest a potential for apathy in, or even resistance to, a democratic </w:t>
      </w:r>
      <w:r w:rsidR="00AF22A4" w:rsidRPr="00BF014B">
        <w:rPr>
          <w:highlight w:val="yellow"/>
        </w:rPr>
        <w:t xml:space="preserve">or democratizing </w:t>
      </w:r>
      <w:r w:rsidRPr="00BF014B">
        <w:rPr>
          <w:highlight w:val="yellow"/>
        </w:rPr>
        <w:t>regime.</w:t>
      </w:r>
    </w:p>
    <w:p w14:paraId="33824F84" w14:textId="1BAE97B4" w:rsidR="004A4A8D" w:rsidRPr="00BF014B" w:rsidRDefault="00C3775A" w:rsidP="00D66210">
      <w:pPr>
        <w:rPr>
          <w:highlight w:val="yellow"/>
        </w:rPr>
      </w:pPr>
      <w:r w:rsidRPr="00BF014B">
        <w:rPr>
          <w:highlight w:val="yellow"/>
        </w:rPr>
        <w:t>M</w:t>
      </w:r>
      <w:r w:rsidR="004A4A8D" w:rsidRPr="00BF014B">
        <w:rPr>
          <w:highlight w:val="yellow"/>
        </w:rPr>
        <w:t>y overall finding matches the fourth of my possible outcomes for this analysis:</w:t>
      </w:r>
    </w:p>
    <w:p w14:paraId="0E267ABA" w14:textId="2D125EBB" w:rsidR="004A4A8D" w:rsidRPr="00BF014B" w:rsidRDefault="004A4A8D" w:rsidP="00D66210">
      <w:pPr>
        <w:pStyle w:val="ListParagraph"/>
        <w:numPr>
          <w:ilvl w:val="0"/>
          <w:numId w:val="12"/>
        </w:numPr>
        <w:spacing w:after="120"/>
        <w:rPr>
          <w:highlight w:val="yellow"/>
        </w:rPr>
      </w:pPr>
      <w:r w:rsidRPr="00BF014B">
        <w:rPr>
          <w:highlight w:val="yellow"/>
        </w:rPr>
        <w:t xml:space="preserve">Both support and </w:t>
      </w:r>
      <w:r w:rsidR="001E3FD2" w:rsidRPr="00BF014B">
        <w:rPr>
          <w:highlight w:val="yellow"/>
        </w:rPr>
        <w:t>conceptualis</w:t>
      </w:r>
      <w:r w:rsidRPr="00BF014B">
        <w:rPr>
          <w:highlight w:val="yellow"/>
        </w:rPr>
        <w:t xml:space="preserve">ation have an effect. Therefore, we can argue that both are important when looking into </w:t>
      </w:r>
      <w:r w:rsidR="00BF014B" w:rsidRPr="00BF014B">
        <w:rPr>
          <w:highlight w:val="yellow"/>
        </w:rPr>
        <w:t>non-institutionalised p</w:t>
      </w:r>
      <w:r w:rsidRPr="00BF014B">
        <w:rPr>
          <w:highlight w:val="yellow"/>
        </w:rPr>
        <w:t>olitical participation.</w:t>
      </w:r>
    </w:p>
    <w:p w14:paraId="6C3A12B5" w14:textId="3B862FE9" w:rsidR="006D129B" w:rsidRPr="00BF014B" w:rsidRDefault="006D129B" w:rsidP="006D129B">
      <w:pPr>
        <w:spacing w:after="120"/>
        <w:rPr>
          <w:highlight w:val="yellow"/>
        </w:rPr>
      </w:pPr>
      <w:r w:rsidRPr="00BF014B">
        <w:rPr>
          <w:highlight w:val="yellow"/>
        </w:rPr>
        <w:t>But with the additional argument that in many ways, measuring support on its own is not enough. Dig beneath the surface to look at understandings of democracy, and not just support, and a far more nuanced picture emerges.</w:t>
      </w:r>
    </w:p>
    <w:p w14:paraId="5D08D578" w14:textId="799981FA" w:rsidR="0035721A" w:rsidRPr="00067800" w:rsidRDefault="00D66210" w:rsidP="003600BE">
      <w:pPr>
        <w:rPr>
          <w:bCs/>
        </w:rPr>
      </w:pPr>
      <w:r w:rsidRPr="00BF014B">
        <w:rPr>
          <w:highlight w:val="yellow"/>
        </w:rPr>
        <w:t xml:space="preserve">Throughout this chapter I have been driven by objectives 3.1 and 3.2 as outlined in Chapter 1, which were to </w:t>
      </w:r>
      <w:r w:rsidRPr="00BF014B">
        <w:rPr>
          <w:bCs/>
          <w:highlight w:val="yellow"/>
        </w:rPr>
        <w:t xml:space="preserve">determine what impact the understanding components have on non-institutionalised behaviour and compare this impact with that of other predominant theories in the field, respectively. This leaves only a concluding chapter, in which I provide an overview of the thesis, and tackle objective 3.3, to evaluate the success of the approach I have taken throughout this analysis, and outline further potential </w:t>
      </w:r>
      <w:r w:rsidR="00067800" w:rsidRPr="00BF014B">
        <w:rPr>
          <w:bCs/>
          <w:highlight w:val="yellow"/>
        </w:rPr>
        <w:t>research in this area of study.</w:t>
      </w:r>
    </w:p>
    <w:p w14:paraId="36F24874" w14:textId="77777777" w:rsidR="0035721A" w:rsidRDefault="0035721A" w:rsidP="004E67CF"/>
    <w:p w14:paraId="07D262EF" w14:textId="77777777" w:rsidR="0035721A" w:rsidRDefault="0035721A" w:rsidP="004E67CF"/>
    <w:p w14:paraId="5919E4AA" w14:textId="77777777" w:rsidR="0035721A" w:rsidRDefault="0035721A" w:rsidP="004E67CF"/>
    <w:p w14:paraId="30734AC8" w14:textId="77777777" w:rsidR="00B20C1B" w:rsidRDefault="00B20C1B" w:rsidP="004E67CF"/>
    <w:p w14:paraId="1C63C306" w14:textId="77777777" w:rsidR="00D1659F" w:rsidRDefault="00D1659F" w:rsidP="004E67CF"/>
    <w:p w14:paraId="3A3D8F01" w14:textId="77777777" w:rsidR="00D1659F" w:rsidRDefault="00D1659F" w:rsidP="004E67CF"/>
    <w:p w14:paraId="54334C90" w14:textId="282118AE" w:rsidR="00BF014B" w:rsidRDefault="00BF014B" w:rsidP="004E67CF"/>
    <w:p w14:paraId="0B1B9F44" w14:textId="2FAC2A41" w:rsidR="00FA779E" w:rsidRPr="00C576C5" w:rsidRDefault="00FA779E" w:rsidP="00FA779E">
      <w:pPr>
        <w:pStyle w:val="Heading1"/>
        <w:spacing w:line="480" w:lineRule="auto"/>
      </w:pPr>
      <w:bookmarkStart w:id="402" w:name="_Toc494034241"/>
      <w:r w:rsidRPr="00AC170B">
        <w:t>Conclusions</w:t>
      </w:r>
      <w:bookmarkEnd w:id="402"/>
    </w:p>
    <w:p w14:paraId="3DB9B737" w14:textId="3FDE148A" w:rsidR="00FA779E" w:rsidRPr="00D1659F" w:rsidRDefault="00FA779E" w:rsidP="00FA779E">
      <w:pPr>
        <w:pStyle w:val="Quote"/>
        <w:rPr>
          <w:b/>
          <w:sz w:val="20"/>
          <w:szCs w:val="20"/>
        </w:rPr>
      </w:pPr>
      <w:r w:rsidRPr="00D1659F">
        <w:rPr>
          <w:b/>
          <w:sz w:val="20"/>
          <w:szCs w:val="20"/>
        </w:rPr>
        <w:t xml:space="preserve">So far we have talked about the gap between what scholars, philosophers, and teachers have said about the ordinary man ought to do in a democracy and what in fact he does. But what about the ordinary man himself? What does he think he should do? </w:t>
      </w:r>
      <w:r w:rsidRPr="00D1659F">
        <w:rPr>
          <w:b/>
          <w:sz w:val="20"/>
          <w:szCs w:val="20"/>
        </w:rPr>
        <w:fldChar w:fldCharType="begin" w:fldLock="1"/>
      </w:r>
      <w:r w:rsidR="00E63CC6">
        <w:rPr>
          <w:b/>
          <w:sz w:val="20"/>
          <w:szCs w:val="20"/>
        </w:rPr>
        <w:instrText>ADDIN CSL_CITATION { "citationItems" : [ { "id" : "ITEM-1", "itemData" : { "author" : [ { "dropping-particle" : "", "family" : "Almond", "given" : "Gabriel A", "non-dropping-particle" : "", "parse-names" : false, "suffix" : "" }, { "dropping-particle" : "", "family" : "Verba", "given" : "S", "non-dropping-particle" : "", "parse-names" : false, "suffix" : "" } ], "id" : "ITEM-1", "issued" : { "date-parts" : [ [ "1963" ] ] }, "publisher" : "Princeton University Press", "publisher-place" : "New Jersey", "title" : "The Civic Culture - Political Attitudes and Democracy in Five Nations", "type" : "book" }, "uris" : [ "http://www.mendeley.com/documents/?uuid=3bd45123-33c5-46f4-95ea-c38f4a823591" ] } ], "mendeley" : { "formattedCitation" : "(Almond and Verba, 1963)", "manualFormatting" : "(Almond &amp; Verba 1963, p.163)", "plainTextFormattedCitation" : "(Almond and Verba, 1963)", "previouslyFormattedCitation" : "(Almond and Verba, 1963)" }, "properties" : { "noteIndex" : 0 }, "schema" : "https://github.com/citation-style-language/schema/raw/master/csl-citation.json" }</w:instrText>
      </w:r>
      <w:r w:rsidRPr="00D1659F">
        <w:rPr>
          <w:b/>
          <w:sz w:val="20"/>
          <w:szCs w:val="20"/>
        </w:rPr>
        <w:fldChar w:fldCharType="separate"/>
      </w:r>
      <w:r w:rsidRPr="00D1659F">
        <w:rPr>
          <w:b/>
          <w:i w:val="0"/>
          <w:noProof/>
          <w:sz w:val="20"/>
          <w:szCs w:val="20"/>
        </w:rPr>
        <w:t>(Almond &amp; Verba 1963, p.163)</w:t>
      </w:r>
      <w:r w:rsidRPr="00D1659F">
        <w:rPr>
          <w:b/>
          <w:sz w:val="20"/>
          <w:szCs w:val="20"/>
        </w:rPr>
        <w:fldChar w:fldCharType="end"/>
      </w:r>
    </w:p>
    <w:p w14:paraId="18B685B6" w14:textId="77777777" w:rsidR="00FA779E" w:rsidRDefault="00FA779E" w:rsidP="00FA779E"/>
    <w:p w14:paraId="2D344A98" w14:textId="4D357649" w:rsidR="00FA779E" w:rsidRPr="00AC170B" w:rsidRDefault="00FA779E" w:rsidP="00FA779E">
      <w:r w:rsidRPr="00AC170B">
        <w:t>This final chapter summarises and draws together the main findings and results of th</w:t>
      </w:r>
      <w:r>
        <w:t>e</w:t>
      </w:r>
      <w:r w:rsidRPr="00AC170B">
        <w:t xml:space="preserve"> thesis. It outlines how these help build up</w:t>
      </w:r>
      <w:r>
        <w:t>on the literature in this field</w:t>
      </w:r>
      <w:r w:rsidRPr="00AC170B">
        <w:t xml:space="preserve"> by highlighting the existing weaknesses in approaches </w:t>
      </w:r>
      <w:r w:rsidR="00ED5F73">
        <w:t>towards how we measure citizen</w:t>
      </w:r>
      <w:r w:rsidRPr="00AC170B">
        <w:t xml:space="preserve"> understandings </w:t>
      </w:r>
      <w:r w:rsidR="00043756">
        <w:t>of</w:t>
      </w:r>
      <w:r w:rsidR="00ED5F73">
        <w:t xml:space="preserve"> democracy. It</w:t>
      </w:r>
      <w:r w:rsidRPr="00AC170B">
        <w:t xml:space="preserve"> demon</w:t>
      </w:r>
      <w:r>
        <w:t xml:space="preserve">strates </w:t>
      </w:r>
      <w:r w:rsidR="00ED5F73">
        <w:t>how this</w:t>
      </w:r>
      <w:r>
        <w:t xml:space="preserve"> alternative approach</w:t>
      </w:r>
      <w:r w:rsidRPr="00AC170B">
        <w:t xml:space="preserve"> was taken further and </w:t>
      </w:r>
      <w:r>
        <w:t>used to help provide some explanation for political participation, over and above the existing literature.</w:t>
      </w:r>
    </w:p>
    <w:p w14:paraId="4A1E7AE4" w14:textId="64C30D5C" w:rsidR="00FA779E" w:rsidRPr="00AC170B" w:rsidRDefault="00FA779E" w:rsidP="00FA779E">
      <w:r w:rsidRPr="00AC170B">
        <w:t>The chapter begins by returning to the aims and objectives as laid out i</w:t>
      </w:r>
      <w:r w:rsidR="00ED5F73">
        <w:t>n Chapter 1, and outlines</w:t>
      </w:r>
      <w:r w:rsidRPr="00AC170B">
        <w:t xml:space="preserve"> how these were achieved throughout the thesis, </w:t>
      </w:r>
      <w:r w:rsidR="00043756">
        <w:t>whilst</w:t>
      </w:r>
      <w:r w:rsidRPr="00AC170B">
        <w:t xml:space="preserve"> highlighting what the results have been along the way. After this, some limitations of my approach are discussed, </w:t>
      </w:r>
      <w:r w:rsidR="00C65616">
        <w:t>linked</w:t>
      </w:r>
      <w:r w:rsidRPr="00AC170B">
        <w:t xml:space="preserve"> to suggest</w:t>
      </w:r>
      <w:r w:rsidR="00C65616">
        <w:t>ions of</w:t>
      </w:r>
      <w:r w:rsidRPr="00AC170B">
        <w:t xml:space="preserve"> further areas of </w:t>
      </w:r>
      <w:r w:rsidR="00ED5F73">
        <w:t>research</w:t>
      </w:r>
      <w:r w:rsidRPr="00AC170B">
        <w:t xml:space="preserve"> which can be expanded upon. Finally, there is a </w:t>
      </w:r>
      <w:r w:rsidR="00043756">
        <w:t xml:space="preserve">brief </w:t>
      </w:r>
      <w:r w:rsidRPr="00AC170B">
        <w:t>concluding summary.</w:t>
      </w:r>
    </w:p>
    <w:p w14:paraId="0E5D5639" w14:textId="70E132EE" w:rsidR="00FA779E" w:rsidRPr="00397F17" w:rsidRDefault="00A35F90" w:rsidP="00FA779E">
      <w:pPr>
        <w:pStyle w:val="Heading2"/>
        <w:spacing w:line="480" w:lineRule="auto"/>
      </w:pPr>
      <w:bookmarkStart w:id="403" w:name="_Toc494034242"/>
      <w:r>
        <w:t xml:space="preserve">7.1 </w:t>
      </w:r>
      <w:r w:rsidR="00FA779E" w:rsidRPr="00397F17">
        <w:t>Research Findings and Results: Returning to the Aims and Objectives</w:t>
      </w:r>
      <w:bookmarkEnd w:id="403"/>
    </w:p>
    <w:p w14:paraId="2DC17092" w14:textId="3831D464" w:rsidR="00FA779E" w:rsidRDefault="00ED5F73" w:rsidP="00FA779E">
      <w:r>
        <w:t>In Chapter 1</w:t>
      </w:r>
      <w:r w:rsidR="00FA779E">
        <w:t xml:space="preserve"> I outlined the three core aims of this thesis, </w:t>
      </w:r>
      <w:r>
        <w:t>and made</w:t>
      </w:r>
      <w:r w:rsidR="00FA779E">
        <w:t xml:space="preserve"> the important point that they are inter-linked</w:t>
      </w:r>
      <w:r w:rsidR="00FA779E" w:rsidRPr="00DB2734">
        <w:t xml:space="preserve"> </w:t>
      </w:r>
      <w:r w:rsidR="00FA779E">
        <w:t>and work as aims within sequential steps of analysis, with each aim building on the previous one. In brief, the three aims were</w:t>
      </w:r>
      <w:r w:rsidR="00C65616">
        <w:t>:</w:t>
      </w:r>
      <w:r w:rsidR="00FA779E">
        <w:t xml:space="preserve"> to produce dimensions of citizen understandings of democracy; explain them; and test their impact on political behaviour.  I will now discuss how these core aims a</w:t>
      </w:r>
      <w:r>
        <w:t>nd the more specific objectives were completed throughout this thesis.</w:t>
      </w:r>
    </w:p>
    <w:p w14:paraId="71085CCA" w14:textId="77777777" w:rsidR="00FA779E" w:rsidRDefault="00FA779E" w:rsidP="00EF6E76">
      <w:pPr>
        <w:pStyle w:val="Heading3"/>
      </w:pPr>
      <w:r>
        <w:t xml:space="preserve">Aim 1. </w:t>
      </w:r>
      <w:r w:rsidRPr="00DB2734">
        <w:t>Produce dimensions of citizen understandings of democracy</w:t>
      </w:r>
    </w:p>
    <w:p w14:paraId="68DCA3B9" w14:textId="7604E4AC" w:rsidR="00FA779E" w:rsidRDefault="00FA779E" w:rsidP="00FA779E">
      <w:r>
        <w:t xml:space="preserve">The first aim of this project was the core concern of Chapters 1, 2, 3 and 4. Within </w:t>
      </w:r>
      <w:r w:rsidR="00724F10">
        <w:t>Chap</w:t>
      </w:r>
      <w:r w:rsidR="00ED5F73">
        <w:t>ter 1</w:t>
      </w:r>
      <w:r>
        <w:t xml:space="preserve"> and predominantly in Chapter 2, the Literature Review, I tackled three objectives under this aim:</w:t>
      </w:r>
    </w:p>
    <w:p w14:paraId="7381D116" w14:textId="77777777" w:rsidR="00FA779E" w:rsidRPr="004B6F08" w:rsidRDefault="00FA779E" w:rsidP="00ED5F73">
      <w:pPr>
        <w:pStyle w:val="ListParagraph"/>
        <w:numPr>
          <w:ilvl w:val="1"/>
          <w:numId w:val="24"/>
        </w:numPr>
        <w:rPr>
          <w:i/>
        </w:rPr>
      </w:pPr>
      <w:r w:rsidRPr="004B6F08">
        <w:rPr>
          <w:i/>
        </w:rPr>
        <w:t>To detail the motivation behind this study: that measurements of democratic support have become meaningless when we do not know how the term ‘democracy’ is understood;</w:t>
      </w:r>
    </w:p>
    <w:p w14:paraId="563F33E0" w14:textId="722F6FAE" w:rsidR="00FA779E" w:rsidRPr="004B6F08" w:rsidRDefault="00FA779E" w:rsidP="00ED5F73">
      <w:pPr>
        <w:pStyle w:val="ListParagraph"/>
        <w:numPr>
          <w:ilvl w:val="1"/>
          <w:numId w:val="24"/>
        </w:numPr>
        <w:rPr>
          <w:i/>
        </w:rPr>
      </w:pPr>
      <w:r w:rsidRPr="004B6F08">
        <w:rPr>
          <w:i/>
        </w:rPr>
        <w:t xml:space="preserve">To investigate the development of theoretical </w:t>
      </w:r>
      <w:r w:rsidR="001E3FD2">
        <w:rPr>
          <w:i/>
        </w:rPr>
        <w:t>conceptualis</w:t>
      </w:r>
      <w:r w:rsidRPr="004B6F08">
        <w:rPr>
          <w:i/>
        </w:rPr>
        <w:t>ations of democracy, to outline what role the knowledge and support of citizens play in a democratic regime;</w:t>
      </w:r>
    </w:p>
    <w:p w14:paraId="51B5EE04" w14:textId="77777777" w:rsidR="00FA779E" w:rsidRPr="004B6F08" w:rsidRDefault="00FA779E" w:rsidP="00ED5F73">
      <w:pPr>
        <w:pStyle w:val="ListParagraph"/>
        <w:numPr>
          <w:ilvl w:val="1"/>
          <w:numId w:val="24"/>
        </w:numPr>
        <w:rPr>
          <w:i/>
        </w:rPr>
      </w:pPr>
      <w:r w:rsidRPr="004B6F08">
        <w:rPr>
          <w:i/>
        </w:rPr>
        <w:t>To produce a literature review to identify contemporary studies that have started to examine citizen understandings of democracy;</w:t>
      </w:r>
    </w:p>
    <w:p w14:paraId="7C242B2D" w14:textId="5AD662D3" w:rsidR="00FA779E" w:rsidRDefault="00FA779E" w:rsidP="00FA779E">
      <w:r>
        <w:t>Across the broad sweep of theoretical approaches to democracy – from minimalist, Schumpeterian conceptions through to deliberative accounts – and through the alternative approaches to democratization – from macro to micro and the consolidation framework – I looked at what role ‘the people’ were expec</w:t>
      </w:r>
      <w:r w:rsidR="00C65616">
        <w:t xml:space="preserve">ted to play (Sections 2.1-2.2). </w:t>
      </w:r>
      <w:r>
        <w:t>In this I found a wide variety of expectations, from providing a simple majority vote in the procedural accounts through to complex expectations of engagement and participation in the deliberative accounts. However, even in the theories w</w:t>
      </w:r>
      <w:r w:rsidR="00724F10">
        <w:t>h</w:t>
      </w:r>
      <w:r>
        <w:t xml:space="preserve">ere the people were most relegated to the </w:t>
      </w:r>
      <w:r w:rsidR="00724F10">
        <w:t>side-lines</w:t>
      </w:r>
      <w:r>
        <w:t xml:space="preserve"> of the political system, it is clear that there must be a degree of political knowledge and a certain type of civic culture for a democracy to work (Sections 2.3). Citizens must vote to provide legitimacy for the system, they are expected to be knowledgeable enough at the very least to cast a vote and use the system in this way, and they are expected, when providing support to a political system, to conceptualise the system at different levels</w:t>
      </w:r>
      <w:r w:rsidR="00724F10">
        <w:t>, from politicians to political parties to much broader notions of the system as a whole</w:t>
      </w:r>
      <w:r>
        <w:t xml:space="preserve"> </w:t>
      </w:r>
      <w:r>
        <w:rPr>
          <w:rFonts w:eastAsia="Times New Roman"/>
        </w:rPr>
        <w:fldChar w:fldCharType="begin" w:fldLock="1"/>
      </w:r>
      <w:r w:rsidR="00E63CC6">
        <w:rPr>
          <w:rFonts w:eastAsia="Times New Roman"/>
        </w:rPr>
        <w:instrText>ADDIN CSL_CITATION { "citationItems" : [ { "id" : "ITEM-1", "itemData" : { "author" : [ { "dropping-particle" : "", "family" : "Easton", "given" : "David", "non-dropping-particle" : "", "parse-names" : false, "suffix" : "" } ], "container-title" : "World Politics", "id" : "ITEM-1", "issue" : "3", "issued" : { "date-parts" : [ [ "1957" ] ] }, "page" : "383-400", "title" : "An Approach to the Analysis of Political Systems", "type" : "article-journal", "volume" : "9" }, "uris" : [ "http://www.mendeley.com/documents/?uuid=64df3f5f-6faa-4bb9-87f1-bd22db60d5cf" ] }, { "id" : "ITEM-2", "itemData" : { "author" : [ { "dropping-particle" : "", "family" : "Easton", "given" : "David", "non-dropping-particle" : "", "parse-names" : false, "suffix" : "" } ], "id" : "ITEM-2", "issued" : { "date-parts" : [ [ "1965" ] ] }, "publisher" : "Wiley", "publisher-place" : "New York", "title" : "A Systems Analysis of Political Life", "type" : "book" }, "uris" : [ "http://www.mendeley.com/documents/?uuid=1953de1a-11d0-42b1-aae7-f907fa801c00" ] }, { "id" : "ITEM-3", "itemData" : { "DOI" : "10.1017/S0007123400008309", "ISSN" : "0007-1234", "author" : [ { "dropping-particle" : "", "family" : "Easton", "given" : "David", "non-dropping-particle" : "", "parse-names" : false, "suffix" : "" } ], "container-title" : "British Journal of Political Science", "id" : "ITEM-3", "issue" : "4", "issued" : { "date-parts" : [ [ "1975", "1", "27" ] ] }, "page" : "435-457", "title" : "A Re-assessment of the Concept of Political Support", "type" : "article-journal", "volume" : "5" }, "uris" : [ "http://www.mendeley.com/documents/?uuid=fcce2f39-5380-4954-ac62-ce4e4c0bf413" ] } ], "mendeley" : { "formattedCitation" : "(Easton, 1957, 1965, 1975)", "manualFormatting" : "(Easton 1957; 1965; 1975)", "plainTextFormattedCitation" : "(Easton, 1957, 1965, 1975)", "previouslyFormattedCitation" : "(Easton, 1957, 1965, 1975)" }, "properties" : { "noteIndex" : 0 }, "schema" : "https://github.com/citation-style-language/schema/raw/master/csl-citation.json" }</w:instrText>
      </w:r>
      <w:r>
        <w:rPr>
          <w:rFonts w:eastAsia="Times New Roman"/>
        </w:rPr>
        <w:fldChar w:fldCharType="separate"/>
      </w:r>
      <w:r w:rsidRPr="00C04D97">
        <w:rPr>
          <w:rFonts w:eastAsia="Times New Roman"/>
          <w:noProof/>
        </w:rPr>
        <w:t>(</w:t>
      </w:r>
      <w:r>
        <w:rPr>
          <w:rFonts w:eastAsia="Times New Roman"/>
          <w:noProof/>
        </w:rPr>
        <w:t xml:space="preserve">Easton </w:t>
      </w:r>
      <w:r w:rsidRPr="00C04D97">
        <w:rPr>
          <w:rFonts w:eastAsia="Times New Roman"/>
          <w:noProof/>
        </w:rPr>
        <w:t>1957; 1965; 1975)</w:t>
      </w:r>
      <w:r>
        <w:rPr>
          <w:rFonts w:eastAsia="Times New Roman"/>
        </w:rPr>
        <w:fldChar w:fldCharType="end"/>
      </w:r>
      <w:r>
        <w:t>.</w:t>
      </w:r>
    </w:p>
    <w:p w14:paraId="12996353" w14:textId="5CDB9554" w:rsidR="00FA779E" w:rsidRDefault="00FA779E" w:rsidP="00FA779E">
      <w:r>
        <w:t>This differential of levels of politica</w:t>
      </w:r>
      <w:r w:rsidR="00A96F0D">
        <w:t>l support is important. It means</w:t>
      </w:r>
      <w:r>
        <w:t xml:space="preserve"> that should a citizen disagree with the policy output of a democratic government, they will understand that it came about through a democratic procedure. And so citizens are expected, even if they show a strong dislike for government, political parties or politicians, to support the broader abstract idea of democracy. </w:t>
      </w:r>
    </w:p>
    <w:p w14:paraId="218411F0" w14:textId="77777777" w:rsidR="00FA779E" w:rsidRDefault="00FA779E" w:rsidP="00FA779E">
      <w:r>
        <w:t>From my discussion, I came to make the following three points:</w:t>
      </w:r>
    </w:p>
    <w:p w14:paraId="62B0F329" w14:textId="77777777" w:rsidR="00FA779E" w:rsidRPr="00931538" w:rsidRDefault="00FA779E" w:rsidP="00FA779E">
      <w:pPr>
        <w:pStyle w:val="ListParagraph"/>
        <w:numPr>
          <w:ilvl w:val="0"/>
          <w:numId w:val="23"/>
        </w:numPr>
      </w:pPr>
      <w:r w:rsidRPr="00931538">
        <w:t>To effectively support democracy, citizens must be knowledgeable of democracy</w:t>
      </w:r>
    </w:p>
    <w:p w14:paraId="396D56F8" w14:textId="77777777" w:rsidR="00FA779E" w:rsidRPr="00931538" w:rsidRDefault="00FA779E" w:rsidP="00FA779E">
      <w:pPr>
        <w:rPr>
          <w:rFonts w:eastAsiaTheme="majorEastAsia"/>
          <w:b/>
        </w:rPr>
      </w:pPr>
      <w:r w:rsidRPr="00931538">
        <w:rPr>
          <w:rFonts w:eastAsiaTheme="majorEastAsia"/>
        </w:rPr>
        <w:t>Yet:</w:t>
      </w:r>
    </w:p>
    <w:p w14:paraId="32AE313A" w14:textId="77777777" w:rsidR="00FA779E" w:rsidRPr="00931538" w:rsidRDefault="00FA779E" w:rsidP="00FA779E">
      <w:pPr>
        <w:pStyle w:val="ListParagraph"/>
        <w:numPr>
          <w:ilvl w:val="0"/>
          <w:numId w:val="23"/>
        </w:numPr>
        <w:rPr>
          <w:rFonts w:eastAsiaTheme="majorEastAsia"/>
        </w:rPr>
      </w:pPr>
      <w:r w:rsidRPr="00931538">
        <w:t xml:space="preserve">Examinations of citizen support for democracy frequently </w:t>
      </w:r>
      <w:r w:rsidRPr="00931538">
        <w:rPr>
          <w:i/>
        </w:rPr>
        <w:t>assume</w:t>
      </w:r>
      <w:r w:rsidRPr="00931538">
        <w:t xml:space="preserve"> a shared understanding of democracy</w:t>
      </w:r>
    </w:p>
    <w:p w14:paraId="5FA33C56" w14:textId="77777777" w:rsidR="00FA779E" w:rsidRDefault="00FA779E" w:rsidP="00FA779E">
      <w:r>
        <w:t xml:space="preserve">   And so:</w:t>
      </w:r>
    </w:p>
    <w:p w14:paraId="144E86E9" w14:textId="77777777" w:rsidR="00FA779E" w:rsidRPr="00931538" w:rsidRDefault="00FA779E" w:rsidP="00FA779E">
      <w:pPr>
        <w:pStyle w:val="ListParagraph"/>
        <w:numPr>
          <w:ilvl w:val="0"/>
          <w:numId w:val="23"/>
        </w:numPr>
        <w:rPr>
          <w:rFonts w:eastAsia="Times New Roman"/>
        </w:rPr>
      </w:pPr>
      <w:r w:rsidRPr="00931538">
        <w:rPr>
          <w:rFonts w:eastAsia="Times New Roman"/>
        </w:rPr>
        <w:t xml:space="preserve">Reported levels of support for democracy have a limited theoretical ability to explain political behaviour </w:t>
      </w:r>
    </w:p>
    <w:p w14:paraId="239A600E" w14:textId="77777777" w:rsidR="00FA779E" w:rsidRDefault="00FA779E" w:rsidP="00FA779E">
      <w:r>
        <w:t xml:space="preserve">This argument led me to highlight the importance of a growing field of study which is focusing on taking a step back, in a sense, to unpick what support for democracy means in much more detail by actually looking at how the idea of democracy is understood by citizens. </w:t>
      </w:r>
    </w:p>
    <w:p w14:paraId="7463B088" w14:textId="1DAC3D2D" w:rsidR="00FA779E" w:rsidRDefault="00A96F0D" w:rsidP="00FA779E">
      <w:r>
        <w:t>I</w:t>
      </w:r>
      <w:r w:rsidR="00FA779E">
        <w:t xml:space="preserve">n many ways </w:t>
      </w:r>
      <w:r>
        <w:t>this isn’t new when it comes to</w:t>
      </w:r>
      <w:r w:rsidR="00FA779E">
        <w:t xml:space="preserve"> democratic theory and democratizati</w:t>
      </w:r>
      <w:r>
        <w:t>on –</w:t>
      </w:r>
      <w:r w:rsidR="00FA779E">
        <w:t xml:space="preserve"> it is implicit in much of the work on poli</w:t>
      </w:r>
      <w:r>
        <w:t>tical support and civic culture –</w:t>
      </w:r>
      <w:r w:rsidR="00FA779E">
        <w:t xml:space="preserve"> however, it is only much more recently that empirical analysis has turned the spotlight directly on this issue, addressing a citizen’s substantive understanding of democracy, as opposed to their support for the idea (Section 2.4).</w:t>
      </w:r>
    </w:p>
    <w:p w14:paraId="2F783B22" w14:textId="6EB404EF" w:rsidR="00FA779E" w:rsidRDefault="00FA779E" w:rsidP="00FA779E">
      <w:r>
        <w:t>In this section I addressed the recent studies on this topic across different levels of focus: global, regional and national. Three of the global studies (</w:t>
      </w:r>
      <w:r>
        <w:fldChar w:fldCharType="begin" w:fldLock="1"/>
      </w:r>
      <w:r w:rsidR="00E63CC6">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"mendeley" : { "formattedCitation" : "(Cho, 2015)", "manualFormatting" : "Cho 2015", "plainTextFormattedCitation" : "(Cho, 2015)", "previouslyFormattedCitation" : "(Cho, 2015)" }, "properties" : { "noteIndex" : 0 }, "schema" : "https://github.com/citation-style-language/schema/raw/master/csl-citation.json" }</w:instrText>
      </w:r>
      <w:r>
        <w:fldChar w:fldCharType="separate"/>
      </w:r>
      <w:r w:rsidRPr="00C209E2">
        <w:rPr>
          <w:noProof/>
        </w:rPr>
        <w:t>Cho 2015</w:t>
      </w:r>
      <w:r>
        <w:fldChar w:fldCharType="end"/>
      </w:r>
      <w:r>
        <w:t xml:space="preserve">; Welzel 2013; Norris 2011) were published at various points during the undertaking of this study, and use the same dataset. A fourth (Dalton </w:t>
      </w:r>
      <w:r w:rsidR="00803848">
        <w:t>et al</w:t>
      </w:r>
      <w:r>
        <w:t xml:space="preserve">. 2008) was part of the original inspiration for my focus on this subject. Together they address the issue of democratic understanding from an international, or global, perspective. They also take what I have called a ‘civics test’ approach, by taking their questions on democracy and building a test of </w:t>
      </w:r>
      <w:r w:rsidRPr="00A96F0D">
        <w:rPr>
          <w:i/>
        </w:rPr>
        <w:t>how well</w:t>
      </w:r>
      <w:r>
        <w:t xml:space="preserve"> citizen’s understand, or prioritise, the liberal democratic characteristics. Whilst Dalton </w:t>
      </w:r>
      <w:r w:rsidR="00803848">
        <w:t>et al</w:t>
      </w:r>
      <w:r>
        <w:t>. (2008) ended with quite an optimistic understanding that liberal democracy was widely understood, the other studies were more cautious,</w:t>
      </w:r>
      <w:r w:rsidR="00A96F0D">
        <w:t xml:space="preserve"> arguing that most respondents failed</w:t>
      </w:r>
      <w:r>
        <w:t xml:space="preserve"> their tests.</w:t>
      </w:r>
    </w:p>
    <w:p w14:paraId="32814638" w14:textId="02145D50" w:rsidR="00FA779E" w:rsidRDefault="00FA779E" w:rsidP="00FA779E">
      <w:r>
        <w:t>In comparison, the regional approaches, particularly those across Latin America (</w:t>
      </w:r>
      <w:r>
        <w:fldChar w:fldCharType="begin" w:fldLock="1"/>
      </w:r>
      <w:r w:rsidR="00E63CC6">
        <w:instrText>ADDIN CSL_CITATION { "citationItems" : [ { "id" : "ITEM-1", "itemData" : { "DOI" : "10.1111/j.1548-2456.2012.00166.x", "ISSN" : "1531426X", "author" : [ { "dropping-particle" : "", "family" : "Canache", "given" : "Damarys", "non-dropping-particle" : "", "parse-names" : false, "suffix" : "" } ], "container-title" : "Latin American Politics and Society", "id" : "ITEM-1", "issue" : "3", "issued" : { "date-parts" : [ [ "2012", "9", "11" ] ] }, "page" : "95-122", "title" : "The Meanings of Democracy in Venezuela: Citizen Perceptions and Structural Change", "type" : "article-journal", "volume" : "54" }, "uris" : [ "http://www.mendeley.com/documents/?uuid=c4b55165-36a1-4199-b7b8-9bf153610793" ] } ], "mendeley" : { "formattedCitation" : "(Damarys Canache, 2012)", "manualFormatting" : "Canache 2012;", "plainTextFormattedCitation" : "(Damarys Canache, 2012)", "previouslyFormattedCitation" : "(Damarys Canache, 2012)" }, "properties" : { "noteIndex" : 0 }, "schema" : "https://github.com/citation-style-language/schema/raw/master/csl-citation.json" }</w:instrText>
      </w:r>
      <w:r>
        <w:fldChar w:fldCharType="separate"/>
      </w:r>
      <w:r w:rsidRPr="007A5E54">
        <w:rPr>
          <w:noProof/>
        </w:rPr>
        <w:t>Canache 2012</w:t>
      </w:r>
      <w:r>
        <w:rPr>
          <w:noProof/>
        </w:rPr>
        <w:t>;</w:t>
      </w:r>
      <w:r>
        <w:fldChar w:fldCharType="end"/>
      </w:r>
      <w:r>
        <w:t xml:space="preserve"> </w:t>
      </w:r>
      <w:r>
        <w:fldChar w:fldCharType="begin" w:fldLock="1"/>
      </w:r>
      <w:r w:rsidR="00E63CC6">
        <w:instrText>ADDIN CSL_CITATION { "citationItems" : [ { "id" : "ITEM-1", "itemData" : { "DOI" : "10.1177/0010414011407471", "abstract" : "This study measures support for the basic rights, liberties, and practices associated with polyarchy in 12 Latin American democracies. Specifically, it identifies five profiles of support for polyarchy's core values and norms\u2014public contestation, inclusive participation, limits on executive authority, and institutional checks and balances. Although citizens who fit the polyarch profile accept all of polyarchy's principles, those who fit one of the four mixed support profiles (power constrainer, power checker, power delegator, power restrainer) accept only some of them while rejecting other core democratic principles. Long-run factors emphasized by modernization and cultural theories (e.g., education, wealth, political engagement) are closely associated with the polyarch support profile. However, short-range performance factors (e.g., economic perceptions; crime, discrimination, and corruption victimization; voting for losing presidential candidates; presidential approval) may better explain why citizens fit one particular mixed profile over another and particularly explain willingness to delegate authority to the executive at the expense of other institutions.", "author" : [ { "dropping-particle" : "", "family" : "Carlin", "given" : "Ryan E", "non-dropping-particle" : "", "parse-names" : false, "suffix" : "" }, { "dropping-particle" : "", "family" : "Singer", "given" : "Matthew M", "non-dropping-particle" : "", "parse-names" : false, "suffix" : "" } ], "container-title" : "Comparative Political Studies", "id" : "ITEM-1", "issue" : "11", "issued" : { "date-parts" : [ [ "2011", "11" ] ] }, "page" : "1500-1526", "title" : "Support for Polyarchy in the Americas", "type" : "article-journal", "volume" : "44" }, "uris" : [ "http://www.mendeley.com/documents/?uuid=da44eb84-69b4-4010-89b2-cb48291e6be3" ] } ], "mendeley" : { "formattedCitation" : "(Carlin and Singer, 2011)", "manualFormatting" : "Carlin &amp; Singer 2011)", "plainTextFormattedCitation" : "(Carlin and Singer, 2011)", "previouslyFormattedCitation" : "(Carlin and Singer, 2011)" }, "properties" : { "noteIndex" : 0 }, "schema" : "https://github.com/citation-style-language/schema/raw/master/csl-citation.json" }</w:instrText>
      </w:r>
      <w:r>
        <w:fldChar w:fldCharType="separate"/>
      </w:r>
      <w:r w:rsidRPr="007A5E54">
        <w:rPr>
          <w:noProof/>
        </w:rPr>
        <w:t>Carlin &amp; Singer 2011)</w:t>
      </w:r>
      <w:r>
        <w:fldChar w:fldCharType="end"/>
      </w:r>
      <w:r>
        <w:t xml:space="preserve">, and national-level studies in Mexico (Schedler and Sarsfield </w:t>
      </w:r>
      <w:r w:rsidRPr="00930BF5">
        <w:t>2007)</w:t>
      </w:r>
      <w:r>
        <w:t xml:space="preserve">, Chile </w:t>
      </w:r>
      <w:r>
        <w:fldChar w:fldCharType="begin" w:fldLock="1"/>
      </w:r>
      <w:r w:rsidR="00E63CC6">
        <w:instrText>ADDIN CSL_CITATION { "citationItems" : [ { "id" : "ITEM-1", "itemData" : { "DOI" : "10.1177/1065912910370692", "ISSN" : "1065-9129", "author" : [ { "dropping-particle" : "", "family" : "Carlin", "given" : "R. E.", "non-dropping-particle" : "", "parse-names" : false, "suffix" : "" } ], "container-title" : "Political Research Quarterly", "id" : "ITEM-1", "issue" : "3", "issued" : { "date-parts" : [ [ "2011", "8", "25" ] ] }, "page" : "668-687", "title" : "Distrusting Democrats and Political Participation in New Democracies: Lessons from Chile", "type" : "article-journal", "volume" : "64" }, "uris" : [ "http://www.mendeley.com/documents/?uuid=bac16b50-4029-4495-b219-02db19ce3a95" ] } ], "mendeley" : { "formattedCitation" : "(Carlin, 2011)", "plainTextFormattedCitation" : "(Carlin, 2011)", "previouslyFormattedCitation" : "(Carlin, 2011)" }, "properties" : { "noteIndex" : 0 }, "schema" : "https://github.com/citation-style-language/schema/raw/master/csl-citation.json" }</w:instrText>
      </w:r>
      <w:r>
        <w:fldChar w:fldCharType="separate"/>
      </w:r>
      <w:r w:rsidR="00E63CC6" w:rsidRPr="00E63CC6">
        <w:rPr>
          <w:noProof/>
        </w:rPr>
        <w:t>(Carlin, 2011)</w:t>
      </w:r>
      <w:r>
        <w:fldChar w:fldCharType="end"/>
      </w:r>
      <w:r>
        <w:t xml:space="preserve"> and Russia </w:t>
      </w:r>
      <w:r>
        <w:fldChar w:fldCharType="begin" w:fldLock="1"/>
      </w:r>
      <w:r w:rsidR="00E63CC6">
        <w:instrText>ADDIN CSL_CITATION { "citationItems" : [ { "id" : "ITEM-1", "itemData" : { "DOI" : "10.1080/13510347.2011.563113", "ISSN" : "1351-0347", "abstract" : "Measuring support for democracy in societies where democratic institutions do not exist or do not function well is a challenge faced by many researchers around the world. In societies moving either toward or away from democracy, the very meaning of \u2018democracy\u2019 is often in question and institutions and practices that go by the label of \u2018democratic\u2019 may vary widely from accepted norms. As a result, respondents are likely to interpret survey questions on democratic concepts in unpredictable ways. This article examines some of the ways respondents in non-democratic or imperfectly democratic countries may misinterpret the meaning of survey questions and consequently how their answers may mislead researchers. Previous research has focused on problems with abstract concepts like \u2018democracy\u2019. Evidence presented here \u2013 from interviews with Russians \u2013 shows that the problem is broader and covers more kinds of questions than previously thought. A strong potential for miscommunication also exists with more concrete questions about institutions and values, forced choices that encourage respondents to change the meaning of questions, and questions about trust in institutions.", "author" : [ { "dropping-particle" : "", "family" : "Carnaghan", "given" : "Ellen", "non-dropping-particle" : "", "parse-names" : false, "suffix" : "" } ], "container-title" : "Democratization", "id" : "ITEM-1", "issue" : "3", "issued" : { "date-parts" : [ [ "2011" ] ] }, "page" : "682-706", "title" : "The difficulty of measuring support for democracy in a changing society: evidence from Russia", "type" : "article-journal", "volume" : "18" }, "uris" : [ "http://www.mendeley.com/documents/?uuid=a2617336-dfba-4a10-ba8f-8a52d212e595" ] } ], "mendeley" : { "formattedCitation" : "(Carnaghan, 2011)", "plainTextFormattedCitation" : "(Carnaghan, 2011)", "previouslyFormattedCitation" : "(Carnaghan, 2011)" }, "properties" : { "noteIndex" : 0 }, "schema" : "https://github.com/citation-style-language/schema/raw/master/csl-citation.json" }</w:instrText>
      </w:r>
      <w:r>
        <w:fldChar w:fldCharType="separate"/>
      </w:r>
      <w:r w:rsidR="00E63CC6" w:rsidRPr="00E63CC6">
        <w:rPr>
          <w:noProof/>
        </w:rPr>
        <w:t>(Carnaghan, 2011)</w:t>
      </w:r>
      <w:r>
        <w:fldChar w:fldCharType="end"/>
      </w:r>
      <w:r>
        <w:t xml:space="preserve"> take rather more exploratory approaches, either using empirical techniques such as cluster analysis or more qualitative approaches such as interviews. Their conclusions are also rather cautious. Finally, a national-level study in Finland </w:t>
      </w:r>
      <w:r>
        <w:fldChar w:fldCharType="begin" w:fldLock="1"/>
      </w:r>
      <w:r w:rsidR="00E63CC6">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"plainTextFormattedCitation" : "(Bengtsson and Christensen, 2014)", "previouslyFormattedCitation" : "(Bengtsson and Christensen, 2014)" }, "properties" : { "noteIndex" : 0 }, "schema" : "https://github.com/citation-style-language/schema/raw/master/csl-citation.json" }</w:instrText>
      </w:r>
      <w:r>
        <w:fldChar w:fldCharType="separate"/>
      </w:r>
      <w:r w:rsidR="00E63CC6" w:rsidRPr="00E63CC6">
        <w:rPr>
          <w:noProof/>
        </w:rPr>
        <w:t>(Bengtsson and Christensen, 2014)</w:t>
      </w:r>
      <w:r>
        <w:fldChar w:fldCharType="end"/>
      </w:r>
      <w:r w:rsidR="00A96F0D">
        <w:t xml:space="preserve">, again taking </w:t>
      </w:r>
      <w:r>
        <w:t>theoretically</w:t>
      </w:r>
      <w:r w:rsidR="00A96F0D">
        <w:t>-</w:t>
      </w:r>
      <w:r>
        <w:t xml:space="preserve">determined </w:t>
      </w:r>
      <w:r w:rsidR="00A96F0D">
        <w:t>approach</w:t>
      </w:r>
      <w:r>
        <w:t xml:space="preserve">, came to the conclusion that not only do respondents think about democracy differently, but these understandings of democracy </w:t>
      </w:r>
      <w:r w:rsidR="00A96F0D">
        <w:rPr>
          <w:i/>
        </w:rPr>
        <w:t>e</w:t>
      </w:r>
      <w:r w:rsidRPr="00A96F0D">
        <w:rPr>
          <w:i/>
        </w:rPr>
        <w:t>ffect their political behaviour</w:t>
      </w:r>
      <w:r>
        <w:t xml:space="preserve">. </w:t>
      </w:r>
    </w:p>
    <w:p w14:paraId="246F9508" w14:textId="5DCC062C" w:rsidR="00FA779E" w:rsidRDefault="00FA779E" w:rsidP="00FA779E">
      <w:r>
        <w:t xml:space="preserve">From these studies, two quotes made it clear where future research could focus. The first was from </w:t>
      </w:r>
      <w:r>
        <w:rPr>
          <w:rFonts w:cstheme="majorBidi"/>
        </w:rPr>
        <w:fldChar w:fldCharType="begin" w:fldLock="1"/>
      </w:r>
      <w:r w:rsidR="00E63CC6">
        <w:rPr>
          <w:rFonts w:cstheme="majorBidi"/>
        </w:rPr>
        <w:instrText>ADDIN CSL_CITATION { "citationItems" : [ { "id" : "ITEM-1", "itemData" : { "DOI" : "10.1111/j.1475-6765.2007.00708.x", "ISSN" : "0304-4130", "author" : [ { "dropping-particle" : "", "family" : "Schedler", "given" : "Andreas", "non-dropping-particle" : "", "parse-names" : false, "suffix" : "" }, { "dropping-particle" : "", "family" : "Sarsfield", "given" : "Rodolfo", "non-dropping-particle" : "", "parse-names" : false, "suffix" : "" } ], "container-title" : "European Journal of Political Research", "id" : "ITEM-1", "issue" : "5", "issued" : { "date-parts" : [ [ "2007", "8" ] ] }, "page" : "637-659", "title" : "Democrats with adjectives: Linking direct and indirect measures of democratic support", "type" : "article-journal", "volume" : "46" }, "uris" : [ "http://www.mendeley.com/documents/?uuid=a78fe851-821a-4d65-8f7f-3beda8b72034" ] } ], "mendeley" : { "formattedCitation" : "(Schedler and Sarsfield, 2007)", "manualFormatting" : "Schedler and Sarsfield (2007, p.654)", "plainTextFormattedCitation" : "(Schedler and Sarsfield, 2007)", "previouslyFormattedCitation" : "(Schedler and Sarsfield, 2007)" }, "properties" : { "noteIndex" : 0 }, "schema" : "https://github.com/citation-style-language/schema/raw/master/csl-citation.json" }</w:instrText>
      </w:r>
      <w:r>
        <w:rPr>
          <w:rFonts w:cstheme="majorBidi"/>
        </w:rPr>
        <w:fldChar w:fldCharType="separate"/>
      </w:r>
      <w:r>
        <w:rPr>
          <w:rFonts w:cstheme="majorBidi"/>
          <w:noProof/>
        </w:rPr>
        <w:t>Schedler and</w:t>
      </w:r>
      <w:r w:rsidRPr="00BB447C">
        <w:rPr>
          <w:rFonts w:cstheme="majorBidi"/>
          <w:noProof/>
        </w:rPr>
        <w:t xml:space="preserve"> Sarsfield </w:t>
      </w:r>
      <w:r>
        <w:rPr>
          <w:rFonts w:cstheme="majorBidi"/>
          <w:noProof/>
        </w:rPr>
        <w:t>(</w:t>
      </w:r>
      <w:r w:rsidRPr="00BB447C">
        <w:rPr>
          <w:rFonts w:cstheme="majorBidi"/>
          <w:noProof/>
        </w:rPr>
        <w:t>2007, p.654)</w:t>
      </w:r>
      <w:r>
        <w:rPr>
          <w:rFonts w:cstheme="majorBidi"/>
        </w:rPr>
        <w:fldChar w:fldCharType="end"/>
      </w:r>
      <w:r>
        <w:rPr>
          <w:rFonts w:cstheme="majorBidi"/>
        </w:rPr>
        <w:t xml:space="preserve"> </w:t>
      </w:r>
      <w:r w:rsidR="00A96F0D">
        <w:rPr>
          <w:rFonts w:cstheme="majorBidi"/>
        </w:rPr>
        <w:t>who used</w:t>
      </w:r>
      <w:r>
        <w:rPr>
          <w:rFonts w:cstheme="majorBidi"/>
        </w:rPr>
        <w:t xml:space="preserve"> cluster analysis on survey results </w:t>
      </w:r>
      <w:r w:rsidR="00A96F0D">
        <w:rPr>
          <w:rFonts w:cstheme="majorBidi"/>
        </w:rPr>
        <w:t>from</w:t>
      </w:r>
      <w:r>
        <w:rPr>
          <w:rFonts w:cstheme="majorBidi"/>
        </w:rPr>
        <w:t xml:space="preserve"> Mexico</w:t>
      </w:r>
      <w:r>
        <w:t>:</w:t>
      </w:r>
    </w:p>
    <w:p w14:paraId="67B520B5" w14:textId="77777777" w:rsidR="00FA779E" w:rsidRDefault="00FA779E" w:rsidP="00FA779E">
      <w:pPr>
        <w:pStyle w:val="Quote"/>
      </w:pPr>
      <w:r w:rsidRPr="00DB2734">
        <w:t>“Rather than resigning ourselves to the meaninglessness of overt democratic support, we should strive to uncover its structure of meaning by reading it in the context of individual attitudes towards more specific components of liberal democracy – be they conceptual, institutional or normative.”</w:t>
      </w:r>
    </w:p>
    <w:p w14:paraId="2AB4A090" w14:textId="3EFA5051" w:rsidR="00FA779E" w:rsidRDefault="00FA779E" w:rsidP="00FA779E">
      <w:r>
        <w:t>And secondly, from the Finnish study (</w:t>
      </w:r>
      <w:r>
        <w:fldChar w:fldCharType="begin" w:fldLock="1"/>
      </w:r>
      <w:r w:rsidR="00E63CC6">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"manualFormatting" : "Bengtsson &amp; Christensen 2014, p.234)", "plainTextFormattedCitation" : "(Bengtsson and Christensen, 2014)", "previouslyFormattedCitation" : "(Bengtsson and Christensen, 2014)" }, "properties" : { "noteIndex" : 0 }, "schema" : "https://github.com/citation-style-language/schema/raw/master/csl-citation.json" }</w:instrText>
      </w:r>
      <w:r>
        <w:fldChar w:fldCharType="separate"/>
      </w:r>
      <w:r>
        <w:rPr>
          <w:noProof/>
        </w:rPr>
        <w:t>Bengtsson &amp;</w:t>
      </w:r>
      <w:r w:rsidRPr="00910EBD">
        <w:rPr>
          <w:noProof/>
        </w:rPr>
        <w:t xml:space="preserve"> Christensen 2014</w:t>
      </w:r>
      <w:r>
        <w:rPr>
          <w:noProof/>
        </w:rPr>
        <w:t>, p.234</w:t>
      </w:r>
      <w:r w:rsidRPr="00910EBD">
        <w:rPr>
          <w:noProof/>
        </w:rPr>
        <w:t>)</w:t>
      </w:r>
      <w:r>
        <w:fldChar w:fldCharType="end"/>
      </w:r>
      <w:r>
        <w:t xml:space="preserve">, who, after arguing that </w:t>
      </w:r>
      <w:r w:rsidR="001E3FD2">
        <w:t>conceptualis</w:t>
      </w:r>
      <w:r>
        <w:t>ations of democracy influence political behaviour, made the following request for further research:</w:t>
      </w:r>
    </w:p>
    <w:p w14:paraId="6E8081DC" w14:textId="77777777" w:rsidR="00FA779E" w:rsidRDefault="00FA779E" w:rsidP="00FA779E">
      <w:pPr>
        <w:pStyle w:val="Quote"/>
      </w:pPr>
      <w:r>
        <w:t>”R</w:t>
      </w:r>
      <w:r w:rsidRPr="00D2533E">
        <w:t>esearch from other contexts is therefore necessary to</w:t>
      </w:r>
      <w:r>
        <w:t xml:space="preserve"> establish how well the conclu</w:t>
      </w:r>
      <w:r w:rsidRPr="00D2533E">
        <w:t>sions dra</w:t>
      </w:r>
      <w:r>
        <w:t>wn here apply to other settings”</w:t>
      </w:r>
    </w:p>
    <w:p w14:paraId="5302D50C" w14:textId="3C82A4E6" w:rsidR="00FA779E" w:rsidRDefault="00FA779E" w:rsidP="00FA779E">
      <w:r>
        <w:t xml:space="preserve">I used these suggestions </w:t>
      </w:r>
      <w:r w:rsidR="00A96F0D">
        <w:t>to</w:t>
      </w:r>
      <w:r>
        <w:t xml:space="preserve"> outline how I </w:t>
      </w:r>
      <w:r w:rsidR="00A96F0D">
        <w:t>would</w:t>
      </w:r>
      <w:r>
        <w:t xml:space="preserve"> add to this field </w:t>
      </w:r>
      <w:r w:rsidR="00A96F0D">
        <w:t xml:space="preserve">of study: </w:t>
      </w:r>
      <w:r>
        <w:t xml:space="preserve">by taking the more exploratory analysis from the regional/national levels and applying </w:t>
      </w:r>
      <w:r w:rsidR="00A96F0D">
        <w:t>it</w:t>
      </w:r>
      <w:r>
        <w:t xml:space="preserve"> to the global level, and, furthermore, trying to confirm Bengtsson and Christensen’s findings that conceptualisations of democracy effect political behaviour, but across a much broader selection of contexts.</w:t>
      </w:r>
    </w:p>
    <w:p w14:paraId="2EB41E6D" w14:textId="77777777" w:rsidR="00FA779E" w:rsidRDefault="00FA779E" w:rsidP="00FA779E">
      <w:r>
        <w:t>From this I moved towards the following two objectives in Chapter 3:</w:t>
      </w:r>
    </w:p>
    <w:p w14:paraId="4F00191C" w14:textId="77777777" w:rsidR="00FA779E" w:rsidRPr="00B913C3" w:rsidRDefault="00FA779E" w:rsidP="00ED5F73">
      <w:pPr>
        <w:pStyle w:val="ListParagraph"/>
        <w:numPr>
          <w:ilvl w:val="1"/>
          <w:numId w:val="24"/>
        </w:numPr>
        <w:rPr>
          <w:i/>
        </w:rPr>
      </w:pPr>
      <w:r>
        <w:rPr>
          <w:i/>
        </w:rPr>
        <w:t>U</w:t>
      </w:r>
      <w:r w:rsidRPr="00B913C3">
        <w:rPr>
          <w:i/>
        </w:rPr>
        <w:t>se the literature in objectives 1.1 – 1.3 to identify the most appropriate data and methodological approach for producing my own dimensions of democratic understanding</w:t>
      </w:r>
    </w:p>
    <w:p w14:paraId="51D01506" w14:textId="77777777" w:rsidR="00FA779E" w:rsidRPr="00B913C3" w:rsidRDefault="00FA779E" w:rsidP="00ED5F73">
      <w:pPr>
        <w:pStyle w:val="ListParagraph"/>
        <w:numPr>
          <w:ilvl w:val="1"/>
          <w:numId w:val="24"/>
        </w:numPr>
        <w:rPr>
          <w:i/>
        </w:rPr>
      </w:pPr>
      <w:r>
        <w:rPr>
          <w:i/>
        </w:rPr>
        <w:t>E</w:t>
      </w:r>
      <w:r w:rsidRPr="00B913C3">
        <w:rPr>
          <w:i/>
        </w:rPr>
        <w:t>xamine what theoretical expectations are borne out in the descriptive data</w:t>
      </w:r>
    </w:p>
    <w:p w14:paraId="36C35674" w14:textId="3B3A575B" w:rsidR="00FA779E" w:rsidRDefault="00FA779E" w:rsidP="00FA779E">
      <w:r>
        <w:t xml:space="preserve">This chapter outlined how the WVS2005-2008 and the battery of questions on democratic characteristics provide the best test for looking at an understanding of democracy from an international perspective (Section 3.1). It then provided an in-depth examination of the questions with descriptive statistics and a link to their theoretical origins (Section 3.2-3.3). The analysis showed that from this initial exploration of the data there was some disjuncture between the theoretical expectations and the </w:t>
      </w:r>
      <w:r w:rsidR="00A96F0D">
        <w:t>results</w:t>
      </w:r>
      <w:r>
        <w:t>, with the populist and social characteristics scoring unexpectedly high. It became clear that a dimensional approach would help further our understanding of how these characteristics ‘hang together’ in the minds of citizens, and this was the core aim of Chapter 4:</w:t>
      </w:r>
    </w:p>
    <w:p w14:paraId="7ED880B8" w14:textId="77777777" w:rsidR="00FA779E" w:rsidRPr="00C54B50" w:rsidRDefault="00FA779E" w:rsidP="00ED5F73">
      <w:pPr>
        <w:pStyle w:val="ListParagraph"/>
        <w:numPr>
          <w:ilvl w:val="1"/>
          <w:numId w:val="24"/>
        </w:numPr>
        <w:rPr>
          <w:i/>
        </w:rPr>
      </w:pPr>
      <w:r>
        <w:rPr>
          <w:i/>
        </w:rPr>
        <w:t>Using the data,</w:t>
      </w:r>
      <w:r w:rsidRPr="00C54B50">
        <w:rPr>
          <w:i/>
        </w:rPr>
        <w:t xml:space="preserve"> produce a framework of how citizens themselves understand democracy.</w:t>
      </w:r>
    </w:p>
    <w:p w14:paraId="52CF1837" w14:textId="2CF9983F" w:rsidR="00FA779E" w:rsidRDefault="00FA779E" w:rsidP="00FA779E">
      <w:r w:rsidRPr="00F167FC">
        <w:rPr>
          <w:highlight w:val="yellow"/>
        </w:rPr>
        <w:t xml:space="preserve">As I deliberately eschewed a stand-alone methods chapter, the first half of my exploration of democratic </w:t>
      </w:r>
      <w:r w:rsidR="001E3FD2" w:rsidRPr="00F167FC">
        <w:rPr>
          <w:highlight w:val="yellow"/>
        </w:rPr>
        <w:t>conceptualis</w:t>
      </w:r>
      <w:r w:rsidRPr="00F167FC">
        <w:rPr>
          <w:highlight w:val="yellow"/>
        </w:rPr>
        <w:t xml:space="preserve">ations was given over to outlining how principal components analysis (PCA) provided the most useful statistical technique for me to utilise and pursue my interest of examining </w:t>
      </w:r>
      <w:r w:rsidR="001E3FD2" w:rsidRPr="00F167FC">
        <w:rPr>
          <w:highlight w:val="yellow"/>
        </w:rPr>
        <w:t>conceptualis</w:t>
      </w:r>
      <w:r w:rsidR="00F167FC" w:rsidRPr="00F167FC">
        <w:rPr>
          <w:highlight w:val="yellow"/>
        </w:rPr>
        <w:t>ations of democracy by</w:t>
      </w:r>
      <w:r w:rsidRPr="00F167FC">
        <w:rPr>
          <w:highlight w:val="yellow"/>
        </w:rPr>
        <w:t xml:space="preserve"> </w:t>
      </w:r>
      <w:r w:rsidR="00F167FC" w:rsidRPr="00F167FC">
        <w:rPr>
          <w:highlight w:val="yellow"/>
        </w:rPr>
        <w:t xml:space="preserve">exploring </w:t>
      </w:r>
      <w:r w:rsidRPr="00F167FC">
        <w:rPr>
          <w:highlight w:val="yellow"/>
        </w:rPr>
        <w:t xml:space="preserve">survey data </w:t>
      </w:r>
      <w:r w:rsidR="00F167FC" w:rsidRPr="00F167FC">
        <w:rPr>
          <w:highlight w:val="yellow"/>
        </w:rPr>
        <w:t>in a way that allowed the underlying conceptual mappings of</w:t>
      </w:r>
      <w:r w:rsidRPr="00F167FC">
        <w:rPr>
          <w:highlight w:val="yellow"/>
        </w:rPr>
        <w:t xml:space="preserve"> citizens </w:t>
      </w:r>
      <w:r w:rsidR="00F167FC" w:rsidRPr="00F167FC">
        <w:rPr>
          <w:highlight w:val="yellow"/>
        </w:rPr>
        <w:t>to take precedence over a theoretically predetermined structure; this is of course within the limitations of secondary survey data analysis with a provided battery of questions.</w:t>
      </w:r>
      <w:r>
        <w:t xml:space="preserve"> I provided background on the workings and main issues surrounding PCA, and argued how I believed these offered an improvement over the civics test approaches used by Cho (2015), Norris (2011) and Welzel (2013) in particular</w:t>
      </w:r>
      <w:r w:rsidRPr="00792038">
        <w:t xml:space="preserve"> </w:t>
      </w:r>
      <w:r>
        <w:t>(Section 4.1-4.2).</w:t>
      </w:r>
    </w:p>
    <w:p w14:paraId="6DE0DC1B" w14:textId="4E1566C7" w:rsidR="00FA779E" w:rsidRDefault="00FA779E" w:rsidP="00FA779E">
      <w:r>
        <w:t xml:space="preserve">Two dimensions of citizen understandings of democracy were then produced using principal components analysis; one which was labelled as a </w:t>
      </w:r>
      <w:r w:rsidRPr="000C3E66">
        <w:rPr>
          <w:i/>
        </w:rPr>
        <w:t>compound</w:t>
      </w:r>
      <w:r>
        <w:t xml:space="preserve"> understanding, and one which was labelled as an </w:t>
      </w:r>
      <w:r w:rsidRPr="000C3E66">
        <w:rPr>
          <w:i/>
        </w:rPr>
        <w:t>authoritarian</w:t>
      </w:r>
      <w:r>
        <w:t xml:space="preserve"> understanding (Section 4.3). The compound understanding – named after Satori’s (1987b) observation that the system of liberal democracy is a compound of ideas – showed itself to be a hodgepodge of characteristics that defied the clear-cut theoretical definitions of other civics test approaches. It demonstrated, if not a ‘everything and the kitchen sink’ approach to democracy , then at least </w:t>
      </w:r>
      <w:r w:rsidR="00BD210A">
        <w:t>a</w:t>
      </w:r>
      <w:r>
        <w:t xml:space="preserve"> broad understanding when the term is examined from an international perspective. Liberal elements constitute the core of the idea, but populist sentiments concerning economic growth and criminal punishment are also important, and there is further a space for the social notion of providing unemployment aid. Many theorists would indeed see these as potential </w:t>
      </w:r>
      <w:r w:rsidRPr="00290B8F">
        <w:rPr>
          <w:i/>
        </w:rPr>
        <w:t>outputs</w:t>
      </w:r>
      <w:r>
        <w:t xml:space="preserve"> in a democracy, not constitutive elements, yet citizens see it differently. </w:t>
      </w:r>
    </w:p>
    <w:p w14:paraId="6668E7C0" w14:textId="6642AE5E" w:rsidR="00FA779E" w:rsidRDefault="00FA779E" w:rsidP="00FA779E">
      <w:r>
        <w:t xml:space="preserve">The second element is authoritarian it that it </w:t>
      </w:r>
      <w:r w:rsidR="00C65616">
        <w:t>holds</w:t>
      </w:r>
      <w:r>
        <w:t xml:space="preserve"> essential to democracy ideas which are associated much more with authorities who do not have a</w:t>
      </w:r>
      <w:r w:rsidR="00BD210A">
        <w:t>n inherent</w:t>
      </w:r>
      <w:r>
        <w:t xml:space="preserve"> demo</w:t>
      </w:r>
      <w:r w:rsidR="00BD210A">
        <w:t>cratic notion of accountability</w:t>
      </w:r>
      <w:r>
        <w:t xml:space="preserve">: authorities from religious and military powers (Section 4.4). The results show how these understandings were mapped out across counties and how these results were also combined (Section 4.5). Highlighted was the fact that, since these are dimensional understandings, </w:t>
      </w:r>
      <w:r w:rsidR="00BD210A">
        <w:t xml:space="preserve">they </w:t>
      </w:r>
      <w:r>
        <w:t>are not compartmentalised ones such as those which would have been produced</w:t>
      </w:r>
      <w:r w:rsidR="00BD210A">
        <w:t xml:space="preserve"> by a cluster analysis approach. I</w:t>
      </w:r>
      <w:r>
        <w:t xml:space="preserve">ndividuals score on both of them. I then showed how people could simultaneously buy into </w:t>
      </w:r>
      <w:r w:rsidRPr="00F8375A">
        <w:rPr>
          <w:i/>
        </w:rPr>
        <w:t>both</w:t>
      </w:r>
      <w:r>
        <w:t xml:space="preserve"> concepts of democracy, a scenario which my analysis showed was particularly the case in countries such as Vietnam, Egypt</w:t>
      </w:r>
      <w:r w:rsidR="00C65616">
        <w:t>,</w:t>
      </w:r>
      <w:r>
        <w:t xml:space="preserve"> and Jordan. </w:t>
      </w:r>
    </w:p>
    <w:p w14:paraId="618F98D3" w14:textId="77777777" w:rsidR="00FA779E" w:rsidRDefault="00FA779E" w:rsidP="00FA779E">
      <w:r>
        <w:t xml:space="preserve">Chapter 4 then completed the first set of objectives under the first aim, and allowed me to move onto my second aim. </w:t>
      </w:r>
    </w:p>
    <w:p w14:paraId="5CE6BBF4" w14:textId="77777777" w:rsidR="00FA779E" w:rsidRDefault="00FA779E" w:rsidP="00EF6E76">
      <w:pPr>
        <w:pStyle w:val="Heading3"/>
      </w:pPr>
      <w:r>
        <w:t xml:space="preserve">Aim 2. </w:t>
      </w:r>
      <w:r w:rsidRPr="00DB2734">
        <w:t xml:space="preserve">Outline what individual characteristics, and what national contexts, explain these dimensions of understanding </w:t>
      </w:r>
    </w:p>
    <w:p w14:paraId="1AC56FA9" w14:textId="39599EF5" w:rsidR="00FA779E" w:rsidRDefault="00FA779E" w:rsidP="00FA779E">
      <w:r>
        <w:t xml:space="preserve">The second aim of this thesis was to interrogate these conceptualisations of democracy to try and explain </w:t>
      </w:r>
      <w:r w:rsidR="00BD210A">
        <w:t>how</w:t>
      </w:r>
      <w:r>
        <w:t xml:space="preserve"> they come about. Because an international perspective on democracy was produced from across different countries, I had two levels of interest which informed the two objectives of this section:</w:t>
      </w:r>
    </w:p>
    <w:p w14:paraId="23596F14" w14:textId="77777777" w:rsidR="00FA779E" w:rsidRPr="005C298E" w:rsidRDefault="00FA779E" w:rsidP="00FA779E">
      <w:pPr>
        <w:rPr>
          <w:i/>
        </w:rPr>
      </w:pPr>
      <w:r w:rsidRPr="005C298E">
        <w:rPr>
          <w:i/>
        </w:rPr>
        <w:t>2.1 With referen</w:t>
      </w:r>
      <w:r>
        <w:rPr>
          <w:i/>
        </w:rPr>
        <w:t xml:space="preserve">ce to theoretical expectations </w:t>
      </w:r>
      <w:r w:rsidRPr="005C298E">
        <w:rPr>
          <w:i/>
        </w:rPr>
        <w:t xml:space="preserve">analyse the individual variables that explain different understanding of democracy; and </w:t>
      </w:r>
    </w:p>
    <w:p w14:paraId="39070D16" w14:textId="77777777" w:rsidR="00FA779E" w:rsidRPr="005C298E" w:rsidRDefault="00FA779E" w:rsidP="00FA779E">
      <w:pPr>
        <w:rPr>
          <w:i/>
        </w:rPr>
      </w:pPr>
      <w:r w:rsidRPr="005C298E">
        <w:rPr>
          <w:i/>
        </w:rPr>
        <w:t>2.2 With referenc</w:t>
      </w:r>
      <w:r>
        <w:rPr>
          <w:i/>
        </w:rPr>
        <w:t xml:space="preserve">es to theoretical expectations </w:t>
      </w:r>
      <w:r w:rsidRPr="005C298E">
        <w:rPr>
          <w:i/>
        </w:rPr>
        <w:t>analyse the contextual variables that explain different understandings of democracy.</w:t>
      </w:r>
    </w:p>
    <w:p w14:paraId="5E8DCF05" w14:textId="79D4C8E3" w:rsidR="00FA779E" w:rsidRDefault="00FA779E" w:rsidP="00FA779E">
      <w:r>
        <w:t xml:space="preserve">Both these aims were tackled in Chapter 5 where I outlined numerous theories which might help explain these varying conceptualisations of democracy. This section demonstrated that the four areas of interest under scrutiny – modernization, social capital, </w:t>
      </w:r>
      <w:r w:rsidR="008C3178">
        <w:t>cognitive engagement</w:t>
      </w:r>
      <w:r>
        <w:t xml:space="preserve"> and religiosity – all have a part to play in helping us to understand what might inform the two different understandings of democracy.</w:t>
      </w:r>
    </w:p>
    <w:p w14:paraId="569D7C2E" w14:textId="69DC7649" w:rsidR="00FA779E" w:rsidRDefault="00FA779E" w:rsidP="00FA779E">
      <w:r>
        <w:t>Before discussing the results, I should point out again that the first half of this chapter was also important in justifying my methodological approach at this stage of the analysis. Here I introduced my use of multilevel modelling (MLM), a regression technique which allows the simultaneous examination of different ‘levels’ of analysis, and so making it well suited to my interest in the influence of both ind</w:t>
      </w:r>
      <w:r w:rsidR="00BD210A">
        <w:t>ividual and contextual factors.</w:t>
      </w:r>
    </w:p>
    <w:p w14:paraId="72B1E2FA" w14:textId="2D1F6800" w:rsidR="00FA779E" w:rsidRDefault="00FA779E" w:rsidP="00FA779E">
      <w:r>
        <w:t xml:space="preserve">Higher levels of educational attainment </w:t>
      </w:r>
      <w:r w:rsidR="00C65616">
        <w:t>is associated with</w:t>
      </w:r>
      <w:r>
        <w:t xml:space="preserve"> people </w:t>
      </w:r>
      <w:r w:rsidR="00C65616">
        <w:t xml:space="preserve">more strongly buying into the </w:t>
      </w:r>
      <w:r>
        <w:t xml:space="preserve">compound understanding, as </w:t>
      </w:r>
      <w:r w:rsidR="00C65616">
        <w:t>is</w:t>
      </w:r>
      <w:r>
        <w:t xml:space="preserve"> increased political interest, media use, and social trust. Higher institutional trust lowered a respondent’s score on the compound understanding. These effects appear robust and consistent across context.</w:t>
      </w:r>
    </w:p>
    <w:p w14:paraId="2D5D7633" w14:textId="77777777" w:rsidR="00FA779E" w:rsidRDefault="00FA779E" w:rsidP="00FA779E">
      <w:r>
        <w:t xml:space="preserve">The effect of income on the compound understanding of democracy however was contingent on income inequality and levels of development. In developing countries with low levels of inequality, there appears to be no difference in the attitudes towards the compound democracy between those who see themselves as the best off in their society and those who see themselves as the worst off – both are very high (around 9 out of 10 on the compound scale). However, as inequality increases this favouring of the compound understanding drops, but it drops much more precipitously for the best off. At the highest level of inequality it drops to 7 out of ten for the worst off, and less than 6 out of ten for the best off. This finding aligns most closely to </w:t>
      </w:r>
      <w:r>
        <w:rPr>
          <w:szCs w:val="24"/>
        </w:rPr>
        <w:t xml:space="preserve">Boix’s (2003) theorising on inequality and democratization – that in highly unequal countries the rich see themselves as having too much to lose from the redistributive effects of democracy and so will resist any kind of transition. </w:t>
      </w:r>
    </w:p>
    <w:p w14:paraId="758C5339" w14:textId="31867D3F" w:rsidR="00FA779E" w:rsidRDefault="00FA779E" w:rsidP="00FA779E">
      <w:r>
        <w:t>Religiosity had no discernible effects on the compound understanding, and neither did the different types of faith. At the contextual level, what mattered a great deal was that those in the Not Free and Partly Free countries scored much higher on this understanding of democracy in comparison to those in Free countries.</w:t>
      </w:r>
      <w:r w:rsidR="00C3775A">
        <w:t xml:space="preserve"> I</w:t>
      </w:r>
      <w:r>
        <w:t>t appear</w:t>
      </w:r>
      <w:r w:rsidR="00C3775A">
        <w:t>s</w:t>
      </w:r>
      <w:r>
        <w:t xml:space="preserve"> that not having access or experience of democracy does not limit the respondents understanding of it, when it comes to this compound understanding, which is anchored on important liberal characteristics. However, what would be interesting and what merits further examination is the degree to which this global understanding of democracy is shaped by particular countries in the dataset. I discuss this in the later section on areas for further study.</w:t>
      </w:r>
    </w:p>
    <w:p w14:paraId="2361A39A" w14:textId="48E6F367" w:rsidR="00FA779E" w:rsidRDefault="00FA779E" w:rsidP="00FA779E">
      <w:r>
        <w:t>Certain parts of this story are reversed for the authoritarian understanding of democracy. For instance, those with lower education, a lack of interest in politics, higher trust in institutions, and a lower trust in people at large were more likely to buy into this understanding. Membership in groups only seemed to have a negative effect when the respondent was in two or more groups, and media use did not seem to have an influence – however, the examinations of interaction effects provided a more nuance</w:t>
      </w:r>
      <w:r w:rsidR="00BD210A">
        <w:t>d</w:t>
      </w:r>
      <w:r>
        <w:t xml:space="preserve"> picture here, which I will discuss in a moment. The more religious an individual was the more they bought into this understanding, although those who considered themselves Protestant scored lower than those who were atheist.</w:t>
      </w:r>
      <w:r w:rsidR="00C3775A">
        <w:t xml:space="preserve"> O</w:t>
      </w:r>
      <w:r>
        <w:t xml:space="preserve">n balance, whilst it may boost an authoritarian understanding of democracy, religiosity had no effect on the compound understanding, and so it does not appear to </w:t>
      </w:r>
      <w:r w:rsidR="00BD210A">
        <w:t xml:space="preserve">be quite the concrete </w:t>
      </w:r>
      <w:r>
        <w:t>obstacle to democracy as it is sometimes painted to be, and neither do the non-Christian faiths (Huntington 1993).</w:t>
      </w:r>
    </w:p>
    <w:p w14:paraId="73CE0204" w14:textId="5823D018" w:rsidR="00FA779E" w:rsidRDefault="00FA779E" w:rsidP="00FA779E">
      <w:r>
        <w:t>At the national level, the development of a country (as measured by HDI) and the freedom of its press matter</w:t>
      </w:r>
      <w:r w:rsidR="00BD210A">
        <w:t>ed</w:t>
      </w:r>
      <w:r>
        <w:t>. In both instances, when these were lower, the authoritarian understanding of democracy was increased in comparison to more developed countries and those with a freer press.</w:t>
      </w:r>
      <w:r w:rsidR="00E4277F">
        <w:t xml:space="preserve"> In the less free countries this authoritarian understanding was also more prevalent. </w:t>
      </w:r>
    </w:p>
    <w:p w14:paraId="732EE66B" w14:textId="18D4B617" w:rsidR="00FA779E" w:rsidRDefault="00FA779E" w:rsidP="00FA779E">
      <w:r>
        <w:t xml:space="preserve">And so it was that the interactions between individual and contextual level variables also proved insightful in trying to explain these understandings of democracy, in particular the authoritarian one (I have already addressed the one on income and inequality). For instance, the information environment </w:t>
      </w:r>
      <w:r>
        <w:fldChar w:fldCharType="begin" w:fldLock="1"/>
      </w:r>
      <w:r w:rsidR="00E63CC6">
        <w:instrText>ADDIN CSL_CITATION { "citationItems" : [ { "id" : "ITEM-1", "itemData" : { "author" : [ { "dropping-particle" : "", "family" : "Jerit", "given" : "Jennifer", "non-dropping-particle" : "", "parse-names" : false, "suffix" : "" }, { "dropping-particle" : "", "family" : "Barabas", "given" : "Jason", "non-dropping-particle" : "", "parse-names" : false, "suffix" : "" }, { "dropping-particle" : "", "family" : "Bolsen", "given" : "Toby", "non-dropping-particle" : "", "parse-names" : false, "suffix" : "" } ], "container-title" : "American Journal of Political Science", "id" : "ITEM-1", "issue" : "2", "issued" : { "date-parts" : [ [ "2006" ] ] }, "page" : "266-282", "title" : "Citizens, Knowledge, and the Information Environment", "type" : "article-journal", "volume" : "50" }, "uris" : [ "http://www.mendeley.com/documents/?uuid=e7ae7df9-86d1-4370-8568-003e0505aa9e" ] } ], "mendeley" : { "formattedCitation" : "(Jerit, Barabas and Bolsen, 2006)", "plainTextFormattedCitation" : "(Jerit, Barabas and Bolsen, 2006)", "previouslyFormattedCitation" : "(Jerit, Barabas and Bolsen, 2006)" }, "properties" : { "noteIndex" : 0 }, "schema" : "https://github.com/citation-style-language/schema/raw/master/csl-citation.json" }</w:instrText>
      </w:r>
      <w:r>
        <w:fldChar w:fldCharType="separate"/>
      </w:r>
      <w:r w:rsidR="00E63CC6" w:rsidRPr="00E63CC6">
        <w:rPr>
          <w:noProof/>
        </w:rPr>
        <w:t>(Jerit, Barabas and Bolsen, 2006)</w:t>
      </w:r>
      <w:r>
        <w:fldChar w:fldCharType="end"/>
      </w:r>
      <w:r>
        <w:t xml:space="preserve">, that is the broader context in which citizens gain their information and media, was shown to have an effect on media use for the authoritarian understanding; in countries with very limited press freedom, individuals scored significantly higher on this understanding in comparison to those in countries with a free press. Therefore we might realistically posit that when a repressive regime interferes in the availability of information for its citizens, there is a potential for it to influence citizens into thinking that democracy is actually a system that requires unaccountable and strong authorities i.e. the system that is already </w:t>
      </w:r>
      <w:r w:rsidR="00D1659F">
        <w:t>present.</w:t>
      </w:r>
    </w:p>
    <w:p w14:paraId="694A9D71" w14:textId="08E3D121" w:rsidR="00FA779E" w:rsidRDefault="00FA779E" w:rsidP="00FA779E">
      <w:pPr>
        <w:rPr>
          <w:szCs w:val="24"/>
        </w:rPr>
      </w:pPr>
      <w:r>
        <w:t xml:space="preserve">Furthermore, interaction effects examining group membership and the openness of the regime (as measured by Freedom House) suggested that for the compound understanding of democracy there is some evidence that social capital as understood in this way might not have the hoped for positive effect under a repressive regime. Indeed, my analysis suggested that in such regimes, those who are highly active members in civil society groups may lean away from the compound understanding of democracy, in comparison to those who are not heavily involved at all. As </w:t>
      </w:r>
      <w:r w:rsidRPr="00671EAF">
        <w:rPr>
          <w:szCs w:val="24"/>
        </w:rPr>
        <w:fldChar w:fldCharType="begin" w:fldLock="1"/>
      </w:r>
      <w:r w:rsidR="00E63CC6">
        <w:rPr>
          <w:szCs w:val="24"/>
        </w:rPr>
        <w:instrText>ADDIN CSL_CITATION { "citationItems" : [ { "id" : "ITEM-1", "itemData" : { "DOI" : "10.1177/0002764209350835", "ISBN" : "0002-7642", "ISSN" : "0002-7642", "abstract" : "The notion of social capital has gained enthusiastic support from nongovernmental organizations, intergovernmental confederations, and supranational bodies such as the European Union, the World Bank, and the United Nations. They all believe that social capital might be a potent aid for democratization, for repairing defective democracies, and for undermining authoritarian regimes. This article examines whether social capital has such positive effects in countries where democracy is not yet established. Does social capital help in a country's move toward democratization, or is the link between democracy and social capital more dubious? Does social capital even contribute to the stabilization of nondemocratic regimes? This article analyzes 70 countries that participated in the third wave of the World Values Survey. The results are clear: Social capital functions as a stabilizer of authoritarian rule. Its effects are mainly negative. Social trust, in particular, might be a \"key resource for the market economy and democratic politics\" ( Stolle, 2003, p. 19). In nondemocratic contexts, however, it appears to throw a spanner in the works of democratization. Social participation and trust, specifically, increase the stability of nondemocratic leadership by generating popular support, by suppressing regime-threatening forms of protest activity, and by nourishing undemocratic ideals of governance.", "author" : [ { "dropping-particle" : "", "family" : "Rossteutscher", "given" : "S.", "non-dropping-particle" : "", "parse-names" : false, "suffix" : "" } ], "container-title" : "American Behavioral Scientist", "id" : "ITEM-1", "issue" : "5", "issued" : { "date-parts" : [ [ "2010" ] ] }, "page" : "737-757", "title" : "Social Capital Worldwide: Potential for Democratization or Stabilizer of Authoritarian Rule?", "type" : "article-journal", "volume" : "53" }, "uris" : [ "http://www.mendeley.com/documents/?uuid=9caed953-a9c2-4fc5-8e69-7d3e2af124ad" ] } ], "mendeley" : { "formattedCitation" : "(Rossteutscher, 2010)", "manualFormatting" : "Rossteutscher (2010, p.752)", "plainTextFormattedCitation" : "(Rossteutscher, 2010)", "previouslyFormattedCitation" : "(Rossteutscher, 2010)" }, "properties" : { "noteIndex" : 0 }, "schema" : "https://github.com/citation-style-language/schema/raw/master/csl-citation.json" }</w:instrText>
      </w:r>
      <w:r w:rsidRPr="00671EAF">
        <w:rPr>
          <w:szCs w:val="24"/>
        </w:rPr>
        <w:fldChar w:fldCharType="separate"/>
      </w:r>
      <w:r w:rsidRPr="00671EAF">
        <w:rPr>
          <w:noProof/>
          <w:szCs w:val="24"/>
        </w:rPr>
        <w:t xml:space="preserve">Rossteutscher </w:t>
      </w:r>
      <w:r>
        <w:rPr>
          <w:noProof/>
          <w:szCs w:val="24"/>
        </w:rPr>
        <w:t>(</w:t>
      </w:r>
      <w:r w:rsidRPr="00671EAF">
        <w:rPr>
          <w:noProof/>
          <w:szCs w:val="24"/>
        </w:rPr>
        <w:t>2010</w:t>
      </w:r>
      <w:r>
        <w:rPr>
          <w:noProof/>
          <w:szCs w:val="24"/>
        </w:rPr>
        <w:t>, p.752</w:t>
      </w:r>
      <w:r w:rsidRPr="00671EAF">
        <w:rPr>
          <w:noProof/>
          <w:szCs w:val="24"/>
        </w:rPr>
        <w:t>)</w:t>
      </w:r>
      <w:r w:rsidRPr="00671EAF">
        <w:rPr>
          <w:szCs w:val="24"/>
        </w:rPr>
        <w:fldChar w:fldCharType="end"/>
      </w:r>
      <w:r>
        <w:rPr>
          <w:szCs w:val="24"/>
        </w:rPr>
        <w:t xml:space="preserve"> put it, this finding could, in some contexts, be one that ‘throws a spanner in the works of democratization’.</w:t>
      </w:r>
    </w:p>
    <w:p w14:paraId="63BCBDE0" w14:textId="7CF2B531" w:rsidR="008C3178" w:rsidRDefault="00FA779E" w:rsidP="00FA779E">
      <w:r>
        <w:t xml:space="preserve">Finally then, the results showed that many of the theoretical expectations were borne out </w:t>
      </w:r>
      <w:r w:rsidR="008C3178">
        <w:t xml:space="preserve">in the analysis. Social capital, </w:t>
      </w:r>
      <w:r>
        <w:t>modernization</w:t>
      </w:r>
      <w:r w:rsidR="008C3178">
        <w:t xml:space="preserve"> and cognitive engagement</w:t>
      </w:r>
      <w:r>
        <w:t xml:space="preserve"> appe</w:t>
      </w:r>
      <w:r w:rsidR="00E4277F">
        <w:t>ared to play an important role. T</w:t>
      </w:r>
      <w:r>
        <w:t>he final step of my thesis was to then take these understandings of democracy, and see if they themselves had an in</w:t>
      </w:r>
      <w:r w:rsidR="004D0EE2">
        <w:t>fluence on political behaviour.</w:t>
      </w:r>
    </w:p>
    <w:p w14:paraId="467C5A80" w14:textId="77777777" w:rsidR="00FA779E" w:rsidRDefault="00FA779E" w:rsidP="00EF6E76">
      <w:pPr>
        <w:pStyle w:val="Heading3"/>
      </w:pPr>
      <w:r>
        <w:t>Aim 3. Examine what impact these understandings have on political participation</w:t>
      </w:r>
    </w:p>
    <w:p w14:paraId="2BA8A835" w14:textId="6532B119" w:rsidR="00FA779E" w:rsidRDefault="00FA779E" w:rsidP="00FA779E">
      <w:r>
        <w:t>The final substantive analytical section of the thesis was an attempt to show that what could have be seen as ‘academic exercise’ with limited consequence – an general interest in what individuals think democracy is – can actually be argued to have important ramifications for the political behaviour of those individuals.</w:t>
      </w:r>
      <w:r w:rsidR="00C3775A">
        <w:t xml:space="preserve"> I</w:t>
      </w:r>
      <w:r>
        <w:t>n Chapter 6 I focused on the following two objectives within my third aim:</w:t>
      </w:r>
    </w:p>
    <w:p w14:paraId="0049CC94" w14:textId="77777777" w:rsidR="00FA779E" w:rsidRPr="007C5BC1" w:rsidRDefault="00FA779E" w:rsidP="00FA779E">
      <w:pPr>
        <w:rPr>
          <w:i/>
        </w:rPr>
      </w:pPr>
      <w:r w:rsidRPr="007C5BC1">
        <w:rPr>
          <w:i/>
        </w:rPr>
        <w:t xml:space="preserve">3.1 Determine what impact the understanding components have on non-institutionalised, informal political participation; </w:t>
      </w:r>
    </w:p>
    <w:p w14:paraId="0D9E063C" w14:textId="484E4204" w:rsidR="00FA779E" w:rsidRPr="003A2AB1" w:rsidRDefault="00FA779E" w:rsidP="00FA779E">
      <w:pPr>
        <w:rPr>
          <w:i/>
        </w:rPr>
      </w:pPr>
      <w:r w:rsidRPr="007C5BC1">
        <w:rPr>
          <w:i/>
        </w:rPr>
        <w:t xml:space="preserve">3.2 Compare this impact with that of other predominant </w:t>
      </w:r>
      <w:r w:rsidR="003A2AB1">
        <w:rPr>
          <w:i/>
        </w:rPr>
        <w:t>theories in the field</w:t>
      </w:r>
    </w:p>
    <w:p w14:paraId="0261E7D2" w14:textId="69E0C8B6" w:rsidR="00FA779E" w:rsidRDefault="00FA779E" w:rsidP="00FA779E">
      <w:r>
        <w:t xml:space="preserve">I chose informal, non-institutionalised political participation as a focus in order to test the effect of the two conceptualisations of democracy at a broad a level as possible (Section 6.1). Institutionalised participation, in particular voting, was restricted to only certain countries in the dataset, and also presupposes a particular mechanism is already in existence (even if it is not free or fair). However, non-institutionalised participation offers a chance to look at something more integral to civil society, that is, citizens involving themselves in political behaviour to express their grievances or political opinions in the hope of producing an outcome that suits them (even it if is not policy change </w:t>
      </w:r>
      <w:r w:rsidRPr="00F33C30">
        <w:rPr>
          <w:i/>
        </w:rPr>
        <w:t>per se</w:t>
      </w:r>
      <w:r>
        <w:t>).</w:t>
      </w:r>
    </w:p>
    <w:p w14:paraId="0107035D" w14:textId="05328D14" w:rsidR="00FA779E" w:rsidRDefault="00FA779E" w:rsidP="00FA779E">
      <w:r>
        <w:t>In this chapter MLM was again the technique chosen, but this time it was a logit analysis, as the result had a binary outcome : ‘have</w:t>
      </w:r>
      <w:r w:rsidR="00BD210A">
        <w:t xml:space="preserve"> done</w:t>
      </w:r>
      <w:r>
        <w:t xml:space="preserve">’ </w:t>
      </w:r>
      <w:r w:rsidR="00E4277F">
        <w:t>combined with</w:t>
      </w:r>
      <w:r>
        <w:t xml:space="preserve"> ‘</w:t>
      </w:r>
      <w:r w:rsidR="00BD210A">
        <w:t>would considered</w:t>
      </w:r>
      <w:r>
        <w:t xml:space="preserve"> doing</w:t>
      </w:r>
      <w:r w:rsidR="00BD210A">
        <w:t>’</w:t>
      </w:r>
      <w:r>
        <w:t xml:space="preserve"> a type of political act versus ‘would never do’. The three acts analysed were signing a petition, boycotting</w:t>
      </w:r>
      <w:r w:rsidR="00E4277F">
        <w:t>,</w:t>
      </w:r>
      <w:r>
        <w:t xml:space="preserve"> and demonstrating (Section 6.4).</w:t>
      </w:r>
    </w:p>
    <w:p w14:paraId="0518B060" w14:textId="3771E2E4" w:rsidR="00FA779E" w:rsidRDefault="00FA779E" w:rsidP="00FA779E">
      <w:r>
        <w:t>An initial analysis of trends over time used 5 waves of the World Waves survey from the wave conducted in 1981-1984 through to the latest wave added in 2010-2014 (released during the course of this thesis – see Section 7.</w:t>
      </w:r>
      <w:r w:rsidR="003A2AB1">
        <w:t>3 below</w:t>
      </w:r>
      <w:r>
        <w:t xml:space="preserve"> for more information). The results showed limited evidence of any clear trends of behaviour (Section 6.5). Patterns were difficult to confirm as many countries did not have enough data points.</w:t>
      </w:r>
      <w:r w:rsidR="00672BC7">
        <w:t xml:space="preserve"> T</w:t>
      </w:r>
      <w:r>
        <w:t>he averages across countries appeared skewed by some very low results</w:t>
      </w:r>
      <w:r w:rsidR="00E4277F">
        <w:t>.</w:t>
      </w:r>
      <w:r>
        <w:t xml:space="preserve"> Egypt </w:t>
      </w:r>
      <w:r w:rsidR="00E4277F">
        <w:t>and Morocco in particular</w:t>
      </w:r>
      <w:r>
        <w:t xml:space="preserve"> saw a drop in activity, particularly in the final wave. This could be as a result of the political turmoil in </w:t>
      </w:r>
      <w:r w:rsidR="00386B51">
        <w:t>North</w:t>
      </w:r>
      <w:r>
        <w:t xml:space="preserve"> Africa following the Arab Spring, but it is not possible to be sure. In general, results in this section were inconclusive. However, what did seem to be the case was that the developed countries had higher levels of participation</w:t>
      </w:r>
      <w:r w:rsidR="008C3178">
        <w:t xml:space="preserve"> in boycotts and petitioning</w:t>
      </w:r>
      <w:r>
        <w:t xml:space="preserve"> then the developing countries (as classed by HDI).</w:t>
      </w:r>
    </w:p>
    <w:p w14:paraId="1F331615" w14:textId="6385ECF6" w:rsidR="00FA779E" w:rsidRDefault="00FA779E" w:rsidP="00FA779E">
      <w:r>
        <w:t xml:space="preserve">Next, to examine the influence of the democratic conceptualisations on informal political behaviour, they were examined alongside popular explanations for participation – grievance theory, resource theory, social capital, </w:t>
      </w:r>
      <w:r w:rsidR="008C3178">
        <w:t>cognitive engagement</w:t>
      </w:r>
      <w:r w:rsidR="00E4277F">
        <w:t>,</w:t>
      </w:r>
      <w:r>
        <w:t xml:space="preserve"> and religiosity (discussed in Section 6.2).  These alternative approaches in general provided consistent results with higher resources, social capital and </w:t>
      </w:r>
      <w:r w:rsidR="00386B51">
        <w:t>cognitive engagement</w:t>
      </w:r>
      <w:r>
        <w:t xml:space="preserve"> all boosting the odds that someone would participate. Grievance theory suggested that those who weren’t happy with their income would participate, but this effect was stronger for those who already had a high degree of income. And whilst higher levels of religiosity showed themselves to decrease the odds of participating, the results for different faiths were rather inconsistent and inconclusive. At the country level </w:t>
      </w:r>
      <w:r w:rsidR="00E4277F">
        <w:t>HDI, press freedom and democratic history all had positive relationships with such activity, whereas the Not Free and communist classifications tended to decrease likelihood.</w:t>
      </w:r>
    </w:p>
    <w:p w14:paraId="6CE063D2" w14:textId="65E0F2DD" w:rsidR="00FA779E" w:rsidRDefault="00E4277F" w:rsidP="00FA779E">
      <w:r>
        <w:t>T</w:t>
      </w:r>
      <w:r w:rsidR="00FA779E">
        <w:t xml:space="preserve">he understandings of democracy </w:t>
      </w:r>
      <w:r>
        <w:t xml:space="preserve">variables </w:t>
      </w:r>
      <w:r w:rsidR="00FA779E">
        <w:t>showed consistent results across all three types of political activity. The more someone bought into the compound understanding, the higher the odds of participating, and the more someone bought into the authoritarian understanding, the lower the odds of participating. Importantly, these variables had an effect above and beyond the effect that support for democracy had, measured in terms of how important the individual thought it was to live in a democracy, and whether demo</w:t>
      </w:r>
      <w:r>
        <w:t xml:space="preserve">cracy was a good system or not. </w:t>
      </w:r>
      <w:r w:rsidR="00FA779E">
        <w:t>This test then provides evidence that understandings of democracy need to be taken seriously, because they have explanatory power when it comes to informal political participation on top of those variables which examine support</w:t>
      </w:r>
      <w:r>
        <w:t xml:space="preserve"> for democracy in the abstract.</w:t>
      </w:r>
    </w:p>
    <w:p w14:paraId="7762514B" w14:textId="77777777" w:rsidR="00FA779E" w:rsidRDefault="00FA779E" w:rsidP="00FA779E">
      <w:r>
        <w:t xml:space="preserve">Taken together, my thesis has shown that taking an exploratory approach towards examining how citizens understand democracy has numerous benefits in comparison to a ‘civics test’ approach. It can provide the researcher with a dimensional understanding of democracy generated by the priorities of citizens, not limited by the theoretical frameworks imposed by the researcher. Furthermore, these different ways that citizens understand democracy have a clear effect on their political behaviour, and they should be taken seriously. They substantively move our understanding and analytical depth forward beyond only looking at support for democracy in the abstract. </w:t>
      </w:r>
    </w:p>
    <w:p w14:paraId="11D59A91" w14:textId="77777777" w:rsidR="00FA779E" w:rsidRDefault="00FA779E" w:rsidP="00FA779E">
      <w:r>
        <w:t>The following section now outlines the limitations present in this study, and looks at how these can be tackled with further research.</w:t>
      </w:r>
    </w:p>
    <w:p w14:paraId="4A976AF1" w14:textId="0A6BD0C5" w:rsidR="00FA779E" w:rsidRDefault="00A35F90" w:rsidP="00FA779E">
      <w:pPr>
        <w:pStyle w:val="Heading2"/>
        <w:numPr>
          <w:ilvl w:val="0"/>
          <w:numId w:val="0"/>
        </w:numPr>
      </w:pPr>
      <w:bookmarkStart w:id="404" w:name="_Toc494034243"/>
      <w:r>
        <w:t xml:space="preserve">7.3 </w:t>
      </w:r>
      <w:r w:rsidR="00FA779E">
        <w:t>Limitations and Further Research</w:t>
      </w:r>
      <w:bookmarkEnd w:id="404"/>
    </w:p>
    <w:p w14:paraId="556285E2" w14:textId="080D82A1" w:rsidR="00B31CD1" w:rsidRPr="003B0AB5" w:rsidRDefault="00E749E3" w:rsidP="00B31CD1">
      <w:pPr>
        <w:rPr>
          <w:highlight w:val="yellow"/>
        </w:rPr>
      </w:pPr>
      <w:r w:rsidRPr="003B0AB5">
        <w:rPr>
          <w:highlight w:val="yellow"/>
          <w:lang w:eastAsia="en-GB"/>
        </w:rPr>
        <w:t xml:space="preserve">The first limitation to consider is that raised in Chapter 4, Section 4.2, of taking a global approach which subsumes potential national level differences in democratic conceptualisations. </w:t>
      </w:r>
      <w:r w:rsidR="00B31CD1" w:rsidRPr="003B0AB5">
        <w:rPr>
          <w:highlight w:val="yellow"/>
        </w:rPr>
        <w:t xml:space="preserve">This thesis was concerned with outlining how exploratory approaches could produce understandings of democracy, explaining these understandings of democracy, and testing to see if they influenced behaviour. The thesis was an attempt to explain across broad contexts that this focus mattered </w:t>
      </w:r>
      <w:r w:rsidR="00B31CD1" w:rsidRPr="003B0AB5">
        <w:rPr>
          <w:highlight w:val="yellow"/>
        </w:rPr>
        <w:fldChar w:fldCharType="begin" w:fldLock="1"/>
      </w:r>
      <w:r w:rsidR="00F10070" w:rsidRPr="003B0AB5">
        <w:rPr>
          <w:highlight w:val="yellow"/>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"plainTextFormattedCitation" : "(Bengtsson and Christensen, 2014)", "previouslyFormattedCitation" : "(Bengtsson and Christensen, 2014)" }, "properties" : { "noteIndex" : 0 }, "schema" : "https://github.com/citation-style-language/schema/raw/master/csl-citation.json" }</w:instrText>
      </w:r>
      <w:r w:rsidR="00B31CD1" w:rsidRPr="003B0AB5">
        <w:rPr>
          <w:highlight w:val="yellow"/>
        </w:rPr>
        <w:fldChar w:fldCharType="separate"/>
      </w:r>
      <w:r w:rsidR="00F10070" w:rsidRPr="003B0AB5">
        <w:rPr>
          <w:noProof/>
          <w:highlight w:val="yellow"/>
        </w:rPr>
        <w:t>(Bengtsson and Christensen, 2014)</w:t>
      </w:r>
      <w:r w:rsidR="00B31CD1" w:rsidRPr="003B0AB5">
        <w:rPr>
          <w:highlight w:val="yellow"/>
        </w:rPr>
        <w:fldChar w:fldCharType="end"/>
      </w:r>
      <w:r w:rsidR="00B31CD1" w:rsidRPr="003B0AB5">
        <w:rPr>
          <w:highlight w:val="yellow"/>
        </w:rPr>
        <w:t>. However, by taking the broad, international perspective to</w:t>
      </w:r>
      <w:r w:rsidR="000E0882" w:rsidRPr="003B0AB5">
        <w:rPr>
          <w:highlight w:val="yellow"/>
        </w:rPr>
        <w:t>wards</w:t>
      </w:r>
      <w:r w:rsidR="00B31CD1" w:rsidRPr="003B0AB5">
        <w:rPr>
          <w:highlight w:val="yellow"/>
        </w:rPr>
        <w:t xml:space="preserve"> democratic understandings that I have, this has closed off another avenue of analysis, which is how this battery of questions could be explored on a country-by-country basis.</w:t>
      </w:r>
    </w:p>
    <w:p w14:paraId="2887BA81" w14:textId="45047936" w:rsidR="00E749E3" w:rsidRPr="003B0AB5" w:rsidRDefault="00B31CD1" w:rsidP="00FA779E">
      <w:pPr>
        <w:rPr>
          <w:highlight w:val="yellow"/>
        </w:rPr>
      </w:pPr>
      <w:r w:rsidRPr="003B0AB5">
        <w:rPr>
          <w:highlight w:val="yellow"/>
        </w:rPr>
        <w:t xml:space="preserve">In this thesis I can demonstrate how closely certain countries align with a ‘global’ understanding of democracy, and look at the explanatory factors behind this alignment. But I am not able to show if countries have in fact, at their national level, a different </w:t>
      </w:r>
      <w:r w:rsidR="00A6378A">
        <w:rPr>
          <w:highlight w:val="yellow"/>
        </w:rPr>
        <w:t>structure of democratic understanding</w:t>
      </w:r>
      <w:r w:rsidRPr="003B0AB5">
        <w:rPr>
          <w:highlight w:val="yellow"/>
        </w:rPr>
        <w:t xml:space="preserve"> completely. Different country conceptualisations are submerged within this framework. This remains an important limitation. It was felt early on in the thesis that the global level of analysis was where it was important to show how conceptualisations could be examined and impacts examined, compared to the civics test approaches </w:t>
      </w:r>
      <w:r w:rsidRPr="003B0AB5">
        <w:rPr>
          <w:highlight w:val="yellow"/>
        </w:rPr>
        <w:fldChar w:fldCharType="begin" w:fldLock="1"/>
      </w:r>
      <w:r w:rsidR="00F10070" w:rsidRPr="003B0AB5">
        <w:rPr>
          <w:highlight w:val="yellow"/>
        </w:rPr>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"id" : "ITEM-2", "itemData" : { "ISBN" : "9781107034709", "author" : [ { "dropping-particle" : "", "family" : "Welzel", "given" : "Christian", "non-dropping-particle" : "", "parse-names" : false, "suffix" : "" } ], "id" : "ITEM-2", "issued" : { "date-parts" : [ [ "2013" ] ] }, "publisher" : "Cambridge University Press", "publisher-place" : "Cambridge", "title" : "Freedom Rising Human Empowerment and the Quest for Emancipation", "type" : "book" }, "uris" : [ "http://www.mendeley.com/documents/?uuid=a04e4a97-3944-4d8e-ba77-b044563d9c7e" ] }, { "id" : "ITEM-3", "itemData" : { "author" : [ { "dropping-particle" : "", "family" : "Norris", "given" : "P", "non-dropping-particle" : "", "parse-names" : false, "suffix" : "" } ], "id" : "ITEM-3", "issued" : { "date-parts" : [ [ "2011" ] ] }, "publisher" : "Cambridge University Press", "publisher-place" : "Cambridge", "title" : "Democratic Deficit - Critical Citizens Revisited", "type" : "book" }, "uris" : [ "http://www.mendeley.com/documents/?uuid=767d7bfd-72a9-4ffe-ba7a-ed7860204ebd" ] } ], "mendeley" : { "formattedCitation" : "(Norris, 2011; Welzel, 2013; Cho, 2015)", "plainTextFormattedCitation" : "(Norris, 2011; Welzel, 2013; Cho, 2015)", "previouslyFormattedCitation" : "(Norris, 2011; Welzel, 2013; Cho, 2015)" }, "properties" : { "noteIndex" : 0 }, "schema" : "https://github.com/citation-style-language/schema/raw/master/csl-citation.json" }</w:instrText>
      </w:r>
      <w:r w:rsidRPr="003B0AB5">
        <w:rPr>
          <w:highlight w:val="yellow"/>
        </w:rPr>
        <w:fldChar w:fldCharType="separate"/>
      </w:r>
      <w:r w:rsidR="00F10070" w:rsidRPr="003B0AB5">
        <w:rPr>
          <w:noProof/>
          <w:highlight w:val="yellow"/>
        </w:rPr>
        <w:t>(Norris, 2011; Welzel, 2013; Cho, 2015)</w:t>
      </w:r>
      <w:r w:rsidRPr="003B0AB5">
        <w:rPr>
          <w:highlight w:val="yellow"/>
        </w:rPr>
        <w:fldChar w:fldCharType="end"/>
      </w:r>
      <w:r w:rsidRPr="003B0AB5">
        <w:rPr>
          <w:highlight w:val="yellow"/>
        </w:rPr>
        <w:t xml:space="preserve"> and to further bolster the fledging research in this area which had tentatively suggested that this sort of analysis would bear fruit </w:t>
      </w:r>
      <w:r w:rsidRPr="003B0AB5">
        <w:rPr>
          <w:highlight w:val="yellow"/>
        </w:rPr>
        <w:fldChar w:fldCharType="begin" w:fldLock="1"/>
      </w:r>
      <w:r w:rsidR="00F10070" w:rsidRPr="003B0AB5">
        <w:rPr>
          <w:highlight w:val="yellow"/>
        </w:rPr>
        <w:instrText>ADDIN CSL_CITATION { "citationItems" : [ { "id" : "ITEM-1", "itemData" : { "DOI" : "10.1017/gov.2014.29", "ISSN" : "0017-257X", "author" : [ { "dropping-particle" : "", "family" : "Bengtsson", "given" : "\u00c5sa", "non-dropping-particle" : "", "parse-names" : false, "suffix" : "" }, { "dropping-particle" : "", "family" : "Christensen", "given" : "Henrik", "non-dropping-particle" : "", "parse-names" : false, "suffix" : "" } ], "container-title" : "Government and Opposition", "id" : "ITEM-1", "issue" : "2", "issued" : { "date-parts" : [ [ "2014" ] ] }, "page" : "234-260", "title" : "Ideals and Actions: Do Citizens\u2019 Patterns of Political Participation Correspond to their Conceptions of Democracy?", "type" : "article-journal", "volume" : "51" }, "uris" : [ "http://www.mendeley.com/documents/?uuid=2d3043d3-f97b-4072-bdb8-5290a07fa9e9" ] } ], "mendeley" : { "formattedCitation" : "(Bengtsson and Christensen, 2014)", "plainTextFormattedCitation" : "(Bengtsson and Christensen, 2014)", "previouslyFormattedCitation" : "(Bengtsson and Christensen, 2014)" }, "properties" : { "noteIndex" : 0 }, "schema" : "https://github.com/citation-style-language/schema/raw/master/csl-citation.json" }</w:instrText>
      </w:r>
      <w:r w:rsidRPr="003B0AB5">
        <w:rPr>
          <w:highlight w:val="yellow"/>
        </w:rPr>
        <w:fldChar w:fldCharType="separate"/>
      </w:r>
      <w:r w:rsidR="00F10070" w:rsidRPr="003B0AB5">
        <w:rPr>
          <w:noProof/>
          <w:highlight w:val="yellow"/>
        </w:rPr>
        <w:t>(Bengtsson and Christensen, 2014)</w:t>
      </w:r>
      <w:r w:rsidRPr="003B0AB5">
        <w:rPr>
          <w:highlight w:val="yellow"/>
        </w:rPr>
        <w:fldChar w:fldCharType="end"/>
      </w:r>
      <w:r w:rsidR="000E0882" w:rsidRPr="003B0AB5">
        <w:rPr>
          <w:highlight w:val="yellow"/>
        </w:rPr>
        <w:t xml:space="preserve"> in demonstrating that how democracy is understood influences political participation</w:t>
      </w:r>
      <w:r w:rsidRPr="003B0AB5">
        <w:rPr>
          <w:highlight w:val="yellow"/>
        </w:rPr>
        <w:t>. Therefore</w:t>
      </w:r>
      <w:r w:rsidR="009E051D" w:rsidRPr="003B0AB5">
        <w:rPr>
          <w:highlight w:val="yellow"/>
        </w:rPr>
        <w:t>,</w:t>
      </w:r>
      <w:r w:rsidRPr="003B0AB5">
        <w:rPr>
          <w:highlight w:val="yellow"/>
        </w:rPr>
        <w:t xml:space="preserve"> if results were to be found demonstrating at the broadest possible scale that conceptualisations of democracy effected political behaviour (which they have been), then this forms an important argument for taking this approach seriously, and justifies future research at the national level. An extensive comparative-exploratory approach undertaken at the national was felt to be too cumbersome and unwieldly in the space of this thesis (for instance by running 46 PCAs and then forming a classification system), however, future research could certainly look to see if regional patterns exist, for example. In this future analysis, country experts would be able to bring their knowledge to explain why democratic conceptualisations might be different in a certain context, something I could not do with such an extensive cross-national dataset.</w:t>
      </w:r>
    </w:p>
    <w:p w14:paraId="6872A4AC" w14:textId="3072172E" w:rsidR="00FA779E" w:rsidRPr="003B0AB5" w:rsidRDefault="00FA779E" w:rsidP="00FA779E">
      <w:pPr>
        <w:rPr>
          <w:highlight w:val="yellow"/>
        </w:rPr>
      </w:pPr>
      <w:r w:rsidRPr="003B0AB5">
        <w:rPr>
          <w:highlight w:val="yellow"/>
        </w:rPr>
        <w:t xml:space="preserve">A second limitation is that this analysis is a static one. As it stands, using one survey collected at one moment in time provides only a snapshot of how people might understand democracy. This issue runs through much of the studies I outlined in my literature review on this subject </w:t>
      </w:r>
      <w:r w:rsidRPr="003B0AB5">
        <w:rPr>
          <w:highlight w:val="yellow"/>
        </w:rPr>
        <w:fldChar w:fldCharType="begin" w:fldLock="1"/>
      </w:r>
      <w:r w:rsidR="00E63CC6" w:rsidRPr="003B0AB5">
        <w:rPr>
          <w:highlight w:val="yellow"/>
        </w:rPr>
        <w:instrText>ADDIN CSL_CITATION { "citationItems" : [ { "id" : "ITEM-1", "itemData" : { "DOI" : "10.1111/1467-9248.12088", "ISSN" : "00323217", "author" : [ { "dropping-particle" : "", "family" : "Cho", "given" : "Youngho", "non-dropping-particle" : "", "parse-names" : false, "suffix" : "" } ], "container-title" : "Political Studies", "id" : "ITEM-1", "issue" : "1", "issued" : { "date-parts" : [ [ "2015" ] ] }, "page" : "240-258", "title" : "How Well are Global Citizenries Informed about Democracy? Ascertaining the Breadth and Distribution of Their Democratic Enlightenment and Its Sources", "type" : "article-journal", "volume" : "63" }, "uris" : [ "http://www.mendeley.com/documents/?uuid=2b3c35a1-f8e3-4bd8-9b94-6c913bcdc187" ] }, { "id" : "ITEM-2", "itemData" : { "ISBN" : "9781107034709", "author" : [ { "dropping-particle" : "", "family" : "Welzel", "given" : "Christian", "non-dropping-particle" : "", "parse-names" : false, "suffix" : "" } ], "id" : "ITEM-2", "issued" : { "date-parts" : [ [ "2013" ] ] }, "publisher" : "Cambridge University Press", "publisher-place" : "Cambridge", "title" : "Freedom Rising Human Empowerment and the Quest for Emancipation", "type" : "book" }, "uris" : [ "http://www.mendeley.com/documents/?uuid=a04e4a97-3944-4d8e-ba77-b044563d9c7e" ] }, { "id" : "ITEM-3", "itemData" : { "author" : [ { "dropping-particle" : "", "family" : "Norris", "given" : "P", "non-dropping-particle" : "", "parse-names" : false, "suffix" : "" } ], "id" : "ITEM-3", "issued" : { "date-parts" : [ [ "2011" ] ] }, "publisher" : "Cambridge University Press", "publisher-place" : "Cambridge", "title" : "Democratic Deficit - Critical Citizens Revisited", "type" : "book" }, "uris" : [ "http://www.mendeley.com/documents/?uuid=767d7bfd-72a9-4ffe-ba7a-ed7860204ebd" ] }, { "id" : "ITEM-4", "itemData" : { "DOI" : "10.1111/j.1548-2456.2012.00166.x", "ISSN" : "1531426X", "author" : [ { "dropping-particle" : "", "family" : "Canache", "given" : "Damarys", "non-dropping-particle" : "", "parse-names" : false, "suffix" : "" } ], "container-title" : "Latin American Politics and Society", "id" : "ITEM-4", "issue" : "3", "issued" : { "date-parts" : [ [ "2012", "9", "11" ] ] }, "page" : "95-122", "title" : "The Meanings of Democracy in Venezuela: Citizen Perceptions and Structural Change", "type" : "article-journal", "volume" : "54" }, "uris" : [ "http://www.mendeley.com/documents/?uuid=c4b55165-36a1-4199-b7b8-9bf153610793" ] }, { "id" : "ITEM-5", "itemData" : { "DOI" : "10.1177/0010414011434009", "ISSN" : "0010-4140", "author" : [ { "dropping-particle" : "", "family" : "Canache", "given" : "D", "non-dropping-particle" : "", "parse-names" : false, "suffix" : "" } ], "container-title" : "Comparative Political Studies", "id" : "ITEM-5", "issue" : "9", "issued" : { "date-parts" : [ [ "2012", "1", "24" ] ] }, "page" : "1132-1158", "title" : "Citizens' Conceptualizations of Democracy: Structural Complexity, Substantive Content, and Political Significance", "type" : "article-journal", "volume" : "45" }, "uris" : [ "http://www.mendeley.com/documents/?uuid=338e5bc3-eb6a-4664-8915-47162e791e87" ] }, { "id" : "ITEM-6", "itemData" : { "DOI" : "10.1080/13510347.2011.563113", "ISSN" : "1351-0347", "abstract" : "Measuring support for democracy in societies where democratic institutions do not exist or do not function well is a challenge faced by many researchers around the world. In societies moving either toward or away from democracy, the very meaning of \u2018democracy\u2019 is often in question and institutions and practices that go by the label of \u2018democratic\u2019 may vary widely from accepted norms. As a result, respondents are likely to interpret survey questions on democratic concepts in unpredictable ways. This article examines some of the ways respondents in non-democratic or imperfectly democratic countries may misinterpret the meaning of survey questions and consequently how their answers may mislead researchers. Previous research has focused on problems with abstract concepts like \u2018democracy\u2019. Evidence presented here \u2013 from interviews with Russians \u2013 shows that the problem is broader and covers more kinds of questions than previously thought. A strong potential for miscommunication also exists with more concrete questions about institutions and values, forced choices that encourage respondents to change the meaning of questions, and questions about trust in institutions.", "author" : [ { "dropping-particle" : "", "family" : "Carnaghan", "given" : "Ellen", "non-dropping-particle" : "", "parse-names" : false, "suffix" : "" } ], "container-title" : "Democratization", "id" : "ITEM-6", "issue" : "3", "issued" : { "date-parts" : [ [ "2011" ] ] }, "page" : "682-706", "title" : "The difficulty of measuring support for democracy in a changing society: evidence from Russia", "type" : "article-journal", "volume" : "18" }, "uris" : [ "http://www.mendeley.com/documents/?uuid=a2617336-dfba-4a10-ba8f-8a52d212e595" ] }, { "id" : "ITEM-7", "itemData" : { "DOI" : "10.1111/j.1475-6765.2007.00708.x", "ISSN" : "0304-4130", "author" : [ { "dropping-particle" : "", "family" : "Schedler", "given" : "Andreas", "non-dropping-particle" : "", "parse-names" : false, "suffix" : "" }, { "dropping-particle" : "", "family" : "Sarsfield", "given" : "Rodolfo", "non-dropping-particle" : "", "parse-names" : false, "suffix" : "" } ], "container-title" : "European Journal of Political Research", "id" : "ITEM-7", "issue" : "5", "issued" : { "date-parts" : [ [ "2007", "8" ] ] }, "page" : "637-659", "title" : "Democrats with adjectives: Linking direct and indirect measures of democratic support", "type" : "article-journal", "volume" : "46" }, "uris" : [ "http://www.mendeley.com/documents/?uuid=a78fe851-821a-4d65-8f7f-3beda8b72034" ] }, { "id" : "ITEM-8", "itemData" : { "author" : [ { "dropping-particle" : "", "family" : "Dalton", "given" : "R", "non-dropping-particle" : "", "parse-names" : false, "suffix" : "" }, { "dropping-particle" : "", "family" : "Shin", "given" : "D C", "non-dropping-particle" : "", "parse-names" : false, "suffix" : "" }, { "dropping-particle" : "", "family" : "Jou", "given" : "W", "non-dropping-particle" : "", "parse-names" : false, "suffix" : "" } ], "container-title" : "How People View Democracy", "editor" : [ { "dropping-particle" : "", "family" : "Diamond", "given" : "L", "non-dropping-particle" : "", "parse-names" : false, "suffix" : "" }, { "dropping-particle" : "", "family" : "Plattner", "given" : "MF", "non-dropping-particle" : "", "parse-names" : false, "suffix" : "" } ], "id" : "ITEM-8", "issued" : { "date-parts" : [ [ "2008" ] ] }, "page" : "1-15", "publisher" : "The Johns Hopkins University Press", "publisher-place" : "Baltimore", "title" : "How People Understand Democracy", "type" : "chapter" }, "uris" : [ "http://www.mendeley.com/documents/?uuid=9f17365d-198f-4e11-8f1a-52431e9abff9" ] }, { "id" : "ITEM-9", "itemData" : { "author" : [ { "dropping-particle" : "", "family" : "Russell", "given" : "J", "non-dropping-particle" : "", "parse-names" : false, "suffix" : "" }, { "dropping-particle" : "", "family" : "Dalton", "given" : "Russell J", "non-dropping-particle" : "", "parse-names" : false, "suffix" : "" }, { "dropping-particle" : "", "family" : "Shin", "given" : "Doh C", "non-dropping-particle" : "", "parse-names" : false, "suffix" : "" }, { "dropping-particle" : "", "family" : "Jou", "given" : "Willy", "non-dropping-particle" : "", "parse-names" : false, "suffix" : "" } ], "id" : "ITEM-9", "issue" : "4", "issued" : { "date-parts" : [ [ "2007" ] ] }, "page" : "142-156", "title" : "Understanding Democracy : Data from Unlikely Places Understanding democracy : data from Unlikely Places", "type" : "article-journal", "volume" : "18" }, "uris" : [ "http://www.mendeley.com/documents/?uuid=19566336-0bce-4a0c-902e-7d5a5e811638" ] } ], "mendeley" : { "formattedCitation" : "(Russell &lt;i&gt;et al.&lt;/i&gt;, 2007; Schedler and Sarsfield, 2007; Dalton, Shin and Jou, 2008; Carnaghan, 2011; Norris, 2011; D Canache, 2012; Damarys Canache, 2012; Welzel, 2013; Cho, 2015)", "manualFormatting" : "(Cho 2015; Welzel 2013; Norris 2011; Damarys Canache 2012; D Canache 2012b; Carnaghan 2011; Schedler &amp; Sarsfield 2007; Dalton et al. 2008; Dalton et al. 2007). ", "plainTextFormattedCitation" : "(Russell et al., 2007; Schedler and Sarsfield, 2007; Dalton, Shin and Jou, 2008; Carnaghan, 2011; Norris, 2011; D Canache, 2012; Damarys Canache, 2012; Welzel, 2013; Cho, 2015)", "previouslyFormattedCitation" : "(Russell &lt;i&gt;et al.&lt;/i&gt;, 2007; Schedler and Sarsfield, 2007; Dalton, Shin and Jou, 2008; Carnaghan, 2011; Norris, 2011; D Canache, 2012; Damarys Canache, 2012; Welzel, 2013; Cho, 2015)" }, "properties" : { "noteIndex" : 0 }, "schema" : "https://github.com/citation-style-language/schema/raw/master/csl-citation.json" }</w:instrText>
      </w:r>
      <w:r w:rsidRPr="003B0AB5">
        <w:rPr>
          <w:highlight w:val="yellow"/>
        </w:rPr>
        <w:fldChar w:fldCharType="separate"/>
      </w:r>
      <w:r w:rsidRPr="003B0AB5">
        <w:rPr>
          <w:noProof/>
          <w:highlight w:val="yellow"/>
        </w:rPr>
        <w:t xml:space="preserve">(Cho 2015; Welzel 2013; Norris 2011; Damarys Canache 2012; D Canache 2012b; Carnaghan 2011; Schedler &amp; Sarsfield 2007; Dalton </w:t>
      </w:r>
      <w:r w:rsidR="00803848" w:rsidRPr="003B0AB5">
        <w:rPr>
          <w:noProof/>
          <w:highlight w:val="yellow"/>
        </w:rPr>
        <w:t>et al</w:t>
      </w:r>
      <w:r w:rsidRPr="003B0AB5">
        <w:rPr>
          <w:noProof/>
          <w:highlight w:val="yellow"/>
        </w:rPr>
        <w:t xml:space="preserve">. 2008; </w:t>
      </w:r>
      <w:r w:rsidRPr="003B0AB5">
        <w:rPr>
          <w:noProof/>
          <w:highlight w:val="yellow"/>
        </w:rPr>
        <w:fldChar w:fldCharType="begin" w:fldLock="1"/>
      </w:r>
      <w:r w:rsidR="00E63CC6" w:rsidRPr="003B0AB5">
        <w:rPr>
          <w:noProof/>
          <w:highlight w:val="yellow"/>
        </w:rPr>
        <w:instrText>ADDIN CSL_CITATION { "citationItems" : [ { "id" : "ITEM-1", "itemData" : { "author" : [ { "dropping-particle" : "", "family" : "Dalton", "given" : "R", "non-dropping-particle" : "", "parse-names" : false, "suffix" : "" }, { "dropping-particle" : "", "family" : "Sin", "given" : "To-chl", "non-dropping-particle" : "", "parse-names" : false, "suffix" : "" }, { "dropping-particle" : "", "family" : "Jou", "given" : "Willy", "non-dropping-particle" : "", "parse-names" : false, "suffix" : "" } ], "container-title" : "Journal of Democracy", "id" : "ITEM-1", "issue" : "4", "issued" : { "date-parts" : [ [ "2007" ] ] }, "page" : "142-156", "title" : "Understanding democracy: Data from unlikely places", "type" : "article-journal", "volume" : "18" }, "uris" : [ "http://www.mendeley.com/documents/?uuid=0f15ec69-6468-4dea-b5d7-015d76bca46c" ] } ], "mendeley" : { "formattedCitation" : "(Dalton, Sin and Jou, 2007)", "manualFormatting" : "Dalton et al. 2007)", "plainTextFormattedCitation" : "(Dalton, Sin and Jou, 2007)", "previouslyFormattedCitation" : "(Dalton, Sin and Jou, 2007)" }, "properties" : { "noteIndex" : 0 }, "schema" : "https://github.com/citation-style-language/schema/raw/master/csl-citation.json" }</w:instrText>
      </w:r>
      <w:r w:rsidRPr="003B0AB5">
        <w:rPr>
          <w:noProof/>
          <w:highlight w:val="yellow"/>
        </w:rPr>
        <w:fldChar w:fldCharType="separate"/>
      </w:r>
      <w:r w:rsidRPr="003B0AB5">
        <w:rPr>
          <w:noProof/>
          <w:highlight w:val="yellow"/>
        </w:rPr>
        <w:t xml:space="preserve">Dalton </w:t>
      </w:r>
      <w:r w:rsidR="00803848" w:rsidRPr="003B0AB5">
        <w:rPr>
          <w:noProof/>
          <w:highlight w:val="yellow"/>
        </w:rPr>
        <w:t>et al</w:t>
      </w:r>
      <w:r w:rsidRPr="003B0AB5">
        <w:rPr>
          <w:noProof/>
          <w:highlight w:val="yellow"/>
        </w:rPr>
        <w:t>. 2007)</w:t>
      </w:r>
      <w:r w:rsidRPr="003B0AB5">
        <w:rPr>
          <w:noProof/>
          <w:highlight w:val="yellow"/>
        </w:rPr>
        <w:fldChar w:fldCharType="end"/>
      </w:r>
      <w:r w:rsidRPr="003B0AB5">
        <w:rPr>
          <w:noProof/>
          <w:highlight w:val="yellow"/>
        </w:rPr>
        <w:t xml:space="preserve">. </w:t>
      </w:r>
      <w:r w:rsidRPr="003B0AB5">
        <w:rPr>
          <w:highlight w:val="yellow"/>
        </w:rPr>
        <w:fldChar w:fldCharType="end"/>
      </w:r>
      <w:r w:rsidRPr="003B0AB5">
        <w:rPr>
          <w:highlight w:val="yellow"/>
        </w:rPr>
        <w:t>During the course of this thesis the follow-up World Values Survey Wave 2010-2014 was released: the first release was in April 2014, but official launch of the clean dataset was not until January 2016. Although the thesis was very far through at this point, the data potentially could have provided some sort of robustness check or comparison, however, there were two problems. Firstly, the dataset contains a different selection of countries; this would have meant significantly lowering the number of countries under examination</w:t>
      </w:r>
      <w:r w:rsidR="000E0882" w:rsidRPr="003B0AB5">
        <w:rPr>
          <w:highlight w:val="yellow"/>
        </w:rPr>
        <w:t xml:space="preserve"> to make the best comparison over time</w:t>
      </w:r>
      <w:r w:rsidRPr="003B0AB5">
        <w:rPr>
          <w:highlight w:val="yellow"/>
        </w:rPr>
        <w:t xml:space="preserve">. And secondly, </w:t>
      </w:r>
      <w:r w:rsidR="000E0882" w:rsidRPr="003B0AB5">
        <w:rPr>
          <w:highlight w:val="yellow"/>
        </w:rPr>
        <w:t xml:space="preserve">crucially, </w:t>
      </w:r>
      <w:r w:rsidRPr="003B0AB5">
        <w:rPr>
          <w:highlight w:val="yellow"/>
        </w:rPr>
        <w:t xml:space="preserve">the next survey wave did not include the same selection of questions.   </w:t>
      </w:r>
    </w:p>
    <w:p w14:paraId="11243FB7" w14:textId="5C5CB564" w:rsidR="00FA779E" w:rsidRPr="003B0AB5" w:rsidRDefault="00FA779E" w:rsidP="00FA779E">
      <w:pPr>
        <w:rPr>
          <w:highlight w:val="yellow"/>
        </w:rPr>
      </w:pPr>
      <w:r w:rsidRPr="003B0AB5">
        <w:rPr>
          <w:highlight w:val="yellow"/>
        </w:rPr>
        <w:t>The battery of questions in the follow-up wave dropped the populist characteristic</w:t>
      </w:r>
      <w:r w:rsidR="00ED66FD" w:rsidRPr="003B0AB5">
        <w:rPr>
          <w:highlight w:val="yellow"/>
        </w:rPr>
        <w:t>s</w:t>
      </w:r>
      <w:r w:rsidRPr="003B0AB5">
        <w:rPr>
          <w:highlight w:val="yellow"/>
        </w:rPr>
        <w:t xml:space="preserve"> on criminal punishment and prospering economy. This seems perhaps surprising, since these were popular answers.</w:t>
      </w:r>
      <w:r w:rsidR="000E0882" w:rsidRPr="003B0AB5">
        <w:rPr>
          <w:highlight w:val="yellow"/>
        </w:rPr>
        <w:t xml:space="preserve"> The issues around whether these variables were in fact policy preferences possibly informed this decision, but this now limits the ability to demonstrate that citizens blend policy outputs and democratic characteristics together.</w:t>
      </w:r>
      <w:r w:rsidRPr="003B0AB5">
        <w:rPr>
          <w:highlight w:val="yellow"/>
        </w:rPr>
        <w:t xml:space="preserve"> In their place is a characteristic concerning ‘people obey their rulers’ and also ‘The state makes people’s incomes more equal’</w:t>
      </w:r>
      <w:r w:rsidR="003B0AB5" w:rsidRPr="003B0AB5">
        <w:rPr>
          <w:highlight w:val="yellow"/>
        </w:rPr>
        <w:t xml:space="preserve"> (which still has a contested conceptual relationship to policy output)</w:t>
      </w:r>
      <w:r w:rsidRPr="003B0AB5">
        <w:rPr>
          <w:highlight w:val="yellow"/>
        </w:rPr>
        <w:t xml:space="preserve">. This second choice is also an unusual one perhaps, as ‘Government’s tax the rich and subsidize the poor’ remains in the battery, and there is arguably some overlap in the principle being examined </w:t>
      </w:r>
      <w:r w:rsidR="00ED66FD" w:rsidRPr="003B0AB5">
        <w:rPr>
          <w:highlight w:val="yellow"/>
        </w:rPr>
        <w:t>here</w:t>
      </w:r>
      <w:r w:rsidRPr="003B0AB5">
        <w:rPr>
          <w:highlight w:val="yellow"/>
        </w:rPr>
        <w:t xml:space="preserve">. The characteristic on referenda is also dropped, leaving the battery with </w:t>
      </w:r>
      <w:r w:rsidR="00C3775A" w:rsidRPr="003B0AB5">
        <w:rPr>
          <w:highlight w:val="yellow"/>
        </w:rPr>
        <w:t xml:space="preserve">only 9 characteristics in total; </w:t>
      </w:r>
      <w:r w:rsidRPr="003B0AB5">
        <w:rPr>
          <w:highlight w:val="yellow"/>
        </w:rPr>
        <w:t>there is</w:t>
      </w:r>
      <w:r w:rsidR="003B0AB5" w:rsidRPr="003B0AB5">
        <w:rPr>
          <w:highlight w:val="yellow"/>
        </w:rPr>
        <w:t xml:space="preserve"> therefore</w:t>
      </w:r>
      <w:r w:rsidRPr="003B0AB5">
        <w:rPr>
          <w:highlight w:val="yellow"/>
        </w:rPr>
        <w:t xml:space="preserve"> no simple way to examine the concepts of democracy across the two waves.</w:t>
      </w:r>
    </w:p>
    <w:p w14:paraId="0F4FD6C0" w14:textId="77777777" w:rsidR="002E365F" w:rsidRPr="003B0AB5" w:rsidRDefault="00FA779E" w:rsidP="002E365F">
      <w:pPr>
        <w:rPr>
          <w:highlight w:val="yellow"/>
        </w:rPr>
      </w:pPr>
      <w:r w:rsidRPr="003B0AB5">
        <w:rPr>
          <w:highlight w:val="yellow"/>
        </w:rPr>
        <w:t xml:space="preserve">However, this does not mean it could not be attempted in further research. Analysis could look at this in two ways; either whittling down the two batteries of questions so that only the same questions are used in a PCA, or, running a PCA on the new set to see if again there is evidence of a similar split into two </w:t>
      </w:r>
      <w:r w:rsidR="001E3FD2" w:rsidRPr="003B0AB5">
        <w:rPr>
          <w:highlight w:val="yellow"/>
        </w:rPr>
        <w:t>conceptualis</w:t>
      </w:r>
      <w:r w:rsidRPr="003B0AB5">
        <w:rPr>
          <w:highlight w:val="yellow"/>
        </w:rPr>
        <w:t>ations. Very preliminary analysis taking this secondary route s</w:t>
      </w:r>
      <w:r w:rsidR="002E365F">
        <w:rPr>
          <w:highlight w:val="yellow"/>
        </w:rPr>
        <w:t xml:space="preserve">uggests this might be the case (see Figure 7.1). </w:t>
      </w:r>
      <w:r w:rsidR="002E365F" w:rsidRPr="003B0AB5">
        <w:rPr>
          <w:highlight w:val="yellow"/>
        </w:rPr>
        <w:t>It seems that there is again a clear authoritarian dimension, with the ‘People obey their leaders’ also showing in that dimension. And the state interventionist social policies in income equalization straddle the two dimensions, without really shaping either too strongly. However, as with the two dimensions found in this thesis, the unemployment safety net loads along with the liberal democratic characteristics. Arguably, this notion of a compound understanding of democracy, which is not theoretically clear-cut, might again be present, opposite an authoritarian one. Therefore, this suggests a potential avenue of research in the future – how do citizens conceptualise the difference between outputs of democracy and democratic procedures, and what are the implications of this?</w:t>
      </w:r>
    </w:p>
    <w:p w14:paraId="2A538BB3" w14:textId="641A5073" w:rsidR="00FA779E" w:rsidRPr="003B0AB5" w:rsidRDefault="009A5842" w:rsidP="009A5842">
      <w:pPr>
        <w:pStyle w:val="Caption"/>
        <w:rPr>
          <w:rFonts w:ascii="Segoe UI" w:hAnsi="Segoe UI" w:cs="Segoe UI"/>
          <w:i w:val="0"/>
          <w:highlight w:val="yellow"/>
        </w:rPr>
      </w:pPr>
      <w:bookmarkStart w:id="405" w:name="_Toc494687194"/>
      <w:r w:rsidRPr="003B0AB5">
        <w:rPr>
          <w:rFonts w:ascii="Segoe UI" w:hAnsi="Segoe UI" w:cs="Segoe UI"/>
          <w:i w:val="0"/>
          <w:highlight w:val="yellow"/>
        </w:rPr>
        <w:t xml:space="preserve">Figure </w:t>
      </w:r>
      <w:r w:rsidR="00436545" w:rsidRPr="003B0AB5">
        <w:rPr>
          <w:rFonts w:ascii="Segoe UI" w:hAnsi="Segoe UI" w:cs="Segoe UI"/>
          <w:i w:val="0"/>
          <w:highlight w:val="yellow"/>
        </w:rPr>
        <w:fldChar w:fldCharType="begin"/>
      </w:r>
      <w:r w:rsidR="00436545" w:rsidRPr="003B0AB5">
        <w:rPr>
          <w:rFonts w:ascii="Segoe UI" w:hAnsi="Segoe UI" w:cs="Segoe UI"/>
          <w:i w:val="0"/>
          <w:highlight w:val="yellow"/>
        </w:rPr>
        <w:instrText xml:space="preserve"> STYLEREF 1 \s </w:instrText>
      </w:r>
      <w:r w:rsidR="00436545" w:rsidRPr="003B0AB5">
        <w:rPr>
          <w:rFonts w:ascii="Segoe UI" w:hAnsi="Segoe UI" w:cs="Segoe UI"/>
          <w:i w:val="0"/>
          <w:highlight w:val="yellow"/>
        </w:rPr>
        <w:fldChar w:fldCharType="separate"/>
      </w:r>
      <w:r w:rsidR="00306E67" w:rsidRPr="003B0AB5">
        <w:rPr>
          <w:rFonts w:ascii="Segoe UI" w:hAnsi="Segoe UI" w:cs="Segoe UI"/>
          <w:i w:val="0"/>
          <w:noProof/>
          <w:highlight w:val="yellow"/>
        </w:rPr>
        <w:t>7</w:t>
      </w:r>
      <w:r w:rsidR="00436545" w:rsidRPr="003B0AB5">
        <w:rPr>
          <w:rFonts w:ascii="Segoe UI" w:hAnsi="Segoe UI" w:cs="Segoe UI"/>
          <w:i w:val="0"/>
          <w:noProof/>
          <w:highlight w:val="yellow"/>
        </w:rPr>
        <w:fldChar w:fldCharType="end"/>
      </w:r>
      <w:r w:rsidRPr="003B0AB5">
        <w:rPr>
          <w:rFonts w:ascii="Segoe UI" w:hAnsi="Segoe UI" w:cs="Segoe UI"/>
          <w:i w:val="0"/>
          <w:highlight w:val="yellow"/>
        </w:rPr>
        <w:t>:</w:t>
      </w:r>
      <w:r w:rsidR="00436545" w:rsidRPr="003B0AB5">
        <w:rPr>
          <w:rFonts w:ascii="Segoe UI" w:hAnsi="Segoe UI" w:cs="Segoe UI"/>
          <w:i w:val="0"/>
          <w:highlight w:val="yellow"/>
        </w:rPr>
        <w:fldChar w:fldCharType="begin"/>
      </w:r>
      <w:r w:rsidR="00436545" w:rsidRPr="003B0AB5">
        <w:rPr>
          <w:rFonts w:ascii="Segoe UI" w:hAnsi="Segoe UI" w:cs="Segoe UI"/>
          <w:i w:val="0"/>
          <w:highlight w:val="yellow"/>
        </w:rPr>
        <w:instrText xml:space="preserve"> SEQ Figure \* ARABIC \s 1 </w:instrText>
      </w:r>
      <w:r w:rsidR="00436545" w:rsidRPr="003B0AB5">
        <w:rPr>
          <w:rFonts w:ascii="Segoe UI" w:hAnsi="Segoe UI" w:cs="Segoe UI"/>
          <w:i w:val="0"/>
          <w:highlight w:val="yellow"/>
        </w:rPr>
        <w:fldChar w:fldCharType="separate"/>
      </w:r>
      <w:r w:rsidR="00306E67" w:rsidRPr="003B0AB5">
        <w:rPr>
          <w:rFonts w:ascii="Segoe UI" w:hAnsi="Segoe UI" w:cs="Segoe UI"/>
          <w:i w:val="0"/>
          <w:noProof/>
          <w:highlight w:val="yellow"/>
        </w:rPr>
        <w:t>1</w:t>
      </w:r>
      <w:r w:rsidR="00436545" w:rsidRPr="003B0AB5">
        <w:rPr>
          <w:rFonts w:ascii="Segoe UI" w:hAnsi="Segoe UI" w:cs="Segoe UI"/>
          <w:i w:val="0"/>
          <w:noProof/>
          <w:highlight w:val="yellow"/>
        </w:rPr>
        <w:fldChar w:fldCharType="end"/>
      </w:r>
      <w:r w:rsidRPr="003B0AB5">
        <w:rPr>
          <w:rFonts w:ascii="Segoe UI" w:hAnsi="Segoe UI" w:cs="Segoe UI"/>
          <w:i w:val="0"/>
          <w:highlight w:val="yellow"/>
        </w:rPr>
        <w:t xml:space="preserve"> PCA loadings for Absolute Values (WVS2010-2014)</w:t>
      </w:r>
      <w:bookmarkEnd w:id="405"/>
    </w:p>
    <w:p w14:paraId="072A87D3" w14:textId="77777777" w:rsidR="00D1659F" w:rsidRPr="003B0AB5" w:rsidRDefault="00D1659F" w:rsidP="00D1659F">
      <w:pPr>
        <w:rPr>
          <w:highlight w:val="yellow"/>
        </w:rPr>
      </w:pPr>
    </w:p>
    <w:tbl>
      <w:tblPr>
        <w:tblW w:w="0" w:type="auto"/>
        <w:jc w:val="center"/>
        <w:tblCellMar>
          <w:left w:w="10" w:type="dxa"/>
          <w:right w:w="10" w:type="dxa"/>
        </w:tblCellMar>
        <w:tblLook w:val="04A0" w:firstRow="1" w:lastRow="0" w:firstColumn="1" w:lastColumn="0" w:noHBand="0" w:noVBand="1"/>
      </w:tblPr>
      <w:tblGrid>
        <w:gridCol w:w="2961"/>
        <w:gridCol w:w="1291"/>
        <w:gridCol w:w="1347"/>
      </w:tblGrid>
      <w:tr w:rsidR="00FA779E" w:rsidRPr="003B0AB5" w14:paraId="3752A5CC" w14:textId="77777777" w:rsidTr="00FA779E">
        <w:trPr>
          <w:cantSplit/>
          <w:trHeight w:val="287"/>
          <w:tblHeader/>
          <w:jc w:val="center"/>
        </w:trPr>
        <w:tc>
          <w:tcPr>
            <w:tcW w:w="2961" w:type="dxa"/>
            <w:tcBorders>
              <w:top w:val="nil"/>
              <w:left w:val="nil"/>
              <w:bottom w:val="single" w:sz="4" w:space="0" w:color="auto"/>
              <w:right w:val="nil"/>
            </w:tcBorders>
            <w:shd w:val="clear" w:color="auto" w:fill="FFFFFF"/>
          </w:tcPr>
          <w:p w14:paraId="62232B6A" w14:textId="77777777" w:rsidR="00FA779E" w:rsidRPr="003B0AB5" w:rsidRDefault="00FA779E" w:rsidP="00D1659F">
            <w:pPr>
              <w:spacing w:before="0" w:line="240" w:lineRule="auto"/>
              <w:ind w:left="57" w:right="60"/>
              <w:jc w:val="both"/>
              <w:rPr>
                <w:rFonts w:ascii="Calibri" w:hAnsi="Calibri" w:cstheme="majorBidi"/>
                <w:i/>
                <w:iCs/>
                <w:color w:val="000000"/>
                <w:szCs w:val="24"/>
                <w:highlight w:val="yellow"/>
                <w:lang w:eastAsia="zh-CN"/>
              </w:rPr>
            </w:pPr>
          </w:p>
        </w:tc>
        <w:tc>
          <w:tcPr>
            <w:tcW w:w="1291" w:type="dxa"/>
            <w:tcBorders>
              <w:top w:val="nil"/>
              <w:left w:val="nil"/>
              <w:bottom w:val="single" w:sz="4" w:space="0" w:color="auto"/>
              <w:right w:val="nil"/>
            </w:tcBorders>
            <w:shd w:val="clear" w:color="auto" w:fill="FFFFFF"/>
            <w:hideMark/>
          </w:tcPr>
          <w:p w14:paraId="7A457618"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000000"/>
                <w:szCs w:val="24"/>
                <w:highlight w:val="yellow"/>
                <w:lang w:eastAsia="zh-CN"/>
              </w:rPr>
            </w:pPr>
            <w:r w:rsidRPr="003B0AB5">
              <w:rPr>
                <w:rFonts w:ascii="Calibri" w:hAnsi="Calibri" w:cstheme="majorBidi"/>
                <w:i/>
                <w:iCs/>
                <w:color w:val="000000"/>
                <w:szCs w:val="24"/>
                <w:highlight w:val="yellow"/>
              </w:rPr>
              <w:t>1</w:t>
            </w:r>
          </w:p>
        </w:tc>
        <w:tc>
          <w:tcPr>
            <w:tcW w:w="1347" w:type="dxa"/>
            <w:tcBorders>
              <w:top w:val="nil"/>
              <w:left w:val="nil"/>
              <w:bottom w:val="single" w:sz="4" w:space="0" w:color="auto"/>
              <w:right w:val="nil"/>
            </w:tcBorders>
            <w:shd w:val="clear" w:color="auto" w:fill="FFFFFF"/>
            <w:hideMark/>
          </w:tcPr>
          <w:p w14:paraId="55D068D5" w14:textId="77777777" w:rsidR="00FA779E" w:rsidRPr="003B0AB5" w:rsidRDefault="00FA779E" w:rsidP="00D1659F">
            <w:pPr>
              <w:autoSpaceDE w:val="0"/>
              <w:adjustRightInd w:val="0"/>
              <w:spacing w:before="0" w:line="240" w:lineRule="auto"/>
              <w:ind w:left="57" w:right="60"/>
              <w:jc w:val="center"/>
              <w:rPr>
                <w:rFonts w:ascii="Calibri" w:hAnsi="Calibri" w:cstheme="majorBidi"/>
                <w:b/>
                <w:bCs/>
                <w:color w:val="000000"/>
                <w:szCs w:val="24"/>
                <w:highlight w:val="yellow"/>
                <w:lang w:eastAsia="zh-CN"/>
              </w:rPr>
            </w:pPr>
            <w:r w:rsidRPr="003B0AB5">
              <w:rPr>
                <w:rFonts w:ascii="Calibri" w:hAnsi="Calibri" w:cstheme="majorBidi"/>
                <w:i/>
                <w:iCs/>
                <w:color w:val="000000"/>
                <w:szCs w:val="24"/>
                <w:highlight w:val="yellow"/>
              </w:rPr>
              <w:t>2</w:t>
            </w:r>
          </w:p>
        </w:tc>
      </w:tr>
      <w:tr w:rsidR="00FA779E" w:rsidRPr="003B0AB5" w14:paraId="02A1F266" w14:textId="77777777" w:rsidTr="00FA779E">
        <w:trPr>
          <w:cantSplit/>
          <w:trHeight w:val="287"/>
          <w:tblHeader/>
          <w:jc w:val="center"/>
        </w:trPr>
        <w:tc>
          <w:tcPr>
            <w:tcW w:w="2961" w:type="dxa"/>
            <w:tcBorders>
              <w:top w:val="single" w:sz="4" w:space="0" w:color="auto"/>
              <w:left w:val="nil"/>
              <w:bottom w:val="nil"/>
              <w:right w:val="nil"/>
            </w:tcBorders>
            <w:shd w:val="clear" w:color="auto" w:fill="FFFFFF"/>
            <w:hideMark/>
          </w:tcPr>
          <w:p w14:paraId="78AF4498" w14:textId="77777777" w:rsidR="00FA779E" w:rsidRPr="003B0AB5" w:rsidRDefault="00FA779E" w:rsidP="00D1659F">
            <w:pPr>
              <w:spacing w:before="0" w:line="240" w:lineRule="auto"/>
              <w:ind w:left="57" w:right="60"/>
              <w:jc w:val="both"/>
              <w:rPr>
                <w:rFonts w:ascii="Calibri" w:hAnsi="Calibri" w:cstheme="majorBidi"/>
                <w:szCs w:val="24"/>
                <w:highlight w:val="yellow"/>
                <w:lang w:eastAsia="zh-CN"/>
              </w:rPr>
            </w:pPr>
            <w:r w:rsidRPr="003B0AB5">
              <w:rPr>
                <w:rFonts w:ascii="Calibri" w:hAnsi="Calibri" w:cstheme="majorBidi"/>
                <w:color w:val="000000"/>
                <w:szCs w:val="24"/>
                <w:highlight w:val="yellow"/>
              </w:rPr>
              <w:t>Free Elections</w:t>
            </w:r>
          </w:p>
        </w:tc>
        <w:tc>
          <w:tcPr>
            <w:tcW w:w="1291" w:type="dxa"/>
            <w:tcBorders>
              <w:top w:val="single" w:sz="4" w:space="0" w:color="auto"/>
              <w:left w:val="nil"/>
              <w:bottom w:val="nil"/>
              <w:right w:val="nil"/>
            </w:tcBorders>
            <w:shd w:val="clear" w:color="auto" w:fill="FFFFFF"/>
            <w:hideMark/>
          </w:tcPr>
          <w:p w14:paraId="76E771FA" w14:textId="77777777" w:rsidR="00FA779E" w:rsidRPr="003B0AB5" w:rsidRDefault="00FA779E" w:rsidP="00D1659F">
            <w:pPr>
              <w:autoSpaceDE w:val="0"/>
              <w:adjustRightInd w:val="0"/>
              <w:spacing w:before="0" w:line="240" w:lineRule="auto"/>
              <w:ind w:left="57" w:right="60"/>
              <w:jc w:val="center"/>
              <w:rPr>
                <w:rFonts w:ascii="Calibri" w:hAnsi="Calibri" w:cstheme="majorBidi"/>
                <w:b/>
                <w:bCs/>
                <w:color w:val="000000"/>
                <w:szCs w:val="24"/>
                <w:highlight w:val="yellow"/>
                <w:lang w:eastAsia="zh-CN"/>
              </w:rPr>
            </w:pPr>
            <w:r w:rsidRPr="003B0AB5">
              <w:rPr>
                <w:rFonts w:ascii="Calibri" w:hAnsi="Calibri" w:cstheme="majorBidi"/>
                <w:b/>
                <w:bCs/>
                <w:color w:val="000000"/>
                <w:szCs w:val="24"/>
                <w:highlight w:val="yellow"/>
              </w:rPr>
              <w:t>.772</w:t>
            </w:r>
          </w:p>
        </w:tc>
        <w:tc>
          <w:tcPr>
            <w:tcW w:w="1347" w:type="dxa"/>
            <w:tcBorders>
              <w:top w:val="single" w:sz="4" w:space="0" w:color="auto"/>
              <w:left w:val="nil"/>
              <w:bottom w:val="nil"/>
              <w:right w:val="nil"/>
            </w:tcBorders>
            <w:shd w:val="clear" w:color="auto" w:fill="FFFFFF"/>
            <w:hideMark/>
          </w:tcPr>
          <w:p w14:paraId="280C8047"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A6A6A6" w:themeColor="background1" w:themeShade="A6"/>
                <w:szCs w:val="24"/>
                <w:highlight w:val="yellow"/>
                <w:lang w:eastAsia="zh-CN"/>
              </w:rPr>
            </w:pPr>
            <w:r w:rsidRPr="003B0AB5">
              <w:rPr>
                <w:rFonts w:ascii="Calibri" w:hAnsi="Calibri" w:cstheme="majorBidi"/>
                <w:color w:val="A6A6A6" w:themeColor="background1" w:themeShade="A6"/>
                <w:szCs w:val="24"/>
                <w:highlight w:val="yellow"/>
              </w:rPr>
              <w:t>-.064</w:t>
            </w:r>
          </w:p>
        </w:tc>
      </w:tr>
      <w:tr w:rsidR="00FA779E" w:rsidRPr="003B0AB5" w14:paraId="4A14D4E7" w14:textId="77777777" w:rsidTr="00FA779E">
        <w:trPr>
          <w:cantSplit/>
          <w:trHeight w:val="287"/>
          <w:tblHeader/>
          <w:jc w:val="center"/>
        </w:trPr>
        <w:tc>
          <w:tcPr>
            <w:tcW w:w="2961" w:type="dxa"/>
            <w:shd w:val="clear" w:color="auto" w:fill="FFFFFF"/>
            <w:hideMark/>
          </w:tcPr>
          <w:p w14:paraId="19DCD4ED" w14:textId="77777777" w:rsidR="00FA779E" w:rsidRPr="003B0AB5" w:rsidRDefault="00FA779E" w:rsidP="00D1659F">
            <w:pPr>
              <w:spacing w:before="0" w:line="240" w:lineRule="auto"/>
              <w:ind w:left="57" w:right="60"/>
              <w:jc w:val="both"/>
              <w:rPr>
                <w:rFonts w:ascii="Calibri" w:hAnsi="Calibri" w:cstheme="majorBidi"/>
                <w:szCs w:val="24"/>
                <w:highlight w:val="yellow"/>
                <w:lang w:eastAsia="zh-CN"/>
              </w:rPr>
            </w:pPr>
            <w:r w:rsidRPr="003B0AB5">
              <w:rPr>
                <w:rFonts w:ascii="Calibri" w:hAnsi="Calibri" w:cstheme="majorBidi"/>
                <w:color w:val="000000"/>
                <w:szCs w:val="24"/>
                <w:highlight w:val="yellow"/>
              </w:rPr>
              <w:t>Equal Gender Rights</w:t>
            </w:r>
          </w:p>
        </w:tc>
        <w:tc>
          <w:tcPr>
            <w:tcW w:w="1291" w:type="dxa"/>
            <w:shd w:val="clear" w:color="auto" w:fill="FFFFFF"/>
            <w:hideMark/>
          </w:tcPr>
          <w:p w14:paraId="47E13F79" w14:textId="77777777" w:rsidR="00FA779E" w:rsidRPr="003B0AB5" w:rsidRDefault="00FA779E" w:rsidP="00D1659F">
            <w:pPr>
              <w:autoSpaceDE w:val="0"/>
              <w:adjustRightInd w:val="0"/>
              <w:spacing w:before="0" w:line="240" w:lineRule="auto"/>
              <w:ind w:left="57" w:right="60"/>
              <w:jc w:val="center"/>
              <w:rPr>
                <w:rFonts w:ascii="Calibri" w:hAnsi="Calibri" w:cstheme="majorBidi"/>
                <w:b/>
                <w:color w:val="808080" w:themeColor="background1" w:themeShade="80"/>
                <w:szCs w:val="24"/>
                <w:highlight w:val="yellow"/>
                <w:lang w:eastAsia="zh-CN"/>
              </w:rPr>
            </w:pPr>
            <w:r w:rsidRPr="003B0AB5">
              <w:rPr>
                <w:rFonts w:ascii="Calibri" w:hAnsi="Calibri" w:cstheme="majorBidi"/>
                <w:b/>
                <w:color w:val="000000" w:themeColor="text1"/>
                <w:szCs w:val="24"/>
                <w:highlight w:val="yellow"/>
              </w:rPr>
              <w:t>.728</w:t>
            </w:r>
          </w:p>
        </w:tc>
        <w:tc>
          <w:tcPr>
            <w:tcW w:w="1347" w:type="dxa"/>
            <w:shd w:val="clear" w:color="auto" w:fill="FFFFFF"/>
            <w:hideMark/>
          </w:tcPr>
          <w:p w14:paraId="274CD85B"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A6A6A6" w:themeColor="background1" w:themeShade="A6"/>
                <w:szCs w:val="24"/>
                <w:highlight w:val="yellow"/>
                <w:lang w:eastAsia="zh-CN"/>
              </w:rPr>
            </w:pPr>
            <w:r w:rsidRPr="003B0AB5">
              <w:rPr>
                <w:rFonts w:ascii="Calibri" w:hAnsi="Calibri" w:cstheme="majorBidi"/>
                <w:color w:val="A6A6A6" w:themeColor="background1" w:themeShade="A6"/>
                <w:szCs w:val="24"/>
                <w:highlight w:val="yellow"/>
              </w:rPr>
              <w:t>-.054</w:t>
            </w:r>
          </w:p>
        </w:tc>
      </w:tr>
      <w:tr w:rsidR="00FA779E" w:rsidRPr="003B0AB5" w14:paraId="1B718DEA" w14:textId="77777777" w:rsidTr="00FA779E">
        <w:trPr>
          <w:cantSplit/>
          <w:trHeight w:val="287"/>
          <w:tblHeader/>
          <w:jc w:val="center"/>
        </w:trPr>
        <w:tc>
          <w:tcPr>
            <w:tcW w:w="2961" w:type="dxa"/>
            <w:shd w:val="clear" w:color="auto" w:fill="FFFFFF"/>
            <w:hideMark/>
          </w:tcPr>
          <w:p w14:paraId="1C388474" w14:textId="77777777" w:rsidR="00FA779E" w:rsidRPr="003B0AB5" w:rsidRDefault="00FA779E" w:rsidP="00D1659F">
            <w:pPr>
              <w:autoSpaceDE w:val="0"/>
              <w:adjustRightInd w:val="0"/>
              <w:spacing w:before="0" w:line="240" w:lineRule="auto"/>
              <w:ind w:left="57" w:right="60"/>
              <w:jc w:val="both"/>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Civil Rights</w:t>
            </w:r>
          </w:p>
        </w:tc>
        <w:tc>
          <w:tcPr>
            <w:tcW w:w="1291" w:type="dxa"/>
            <w:shd w:val="clear" w:color="auto" w:fill="FFFFFF"/>
            <w:hideMark/>
          </w:tcPr>
          <w:p w14:paraId="3F3E0426" w14:textId="77777777" w:rsidR="00FA779E" w:rsidRPr="003B0AB5" w:rsidRDefault="00FA779E" w:rsidP="00D1659F">
            <w:pPr>
              <w:autoSpaceDE w:val="0"/>
              <w:adjustRightInd w:val="0"/>
              <w:spacing w:before="0" w:line="240" w:lineRule="auto"/>
              <w:ind w:left="57" w:right="60"/>
              <w:jc w:val="center"/>
              <w:rPr>
                <w:rFonts w:ascii="Calibri" w:hAnsi="Calibri" w:cstheme="majorBidi"/>
                <w:b/>
                <w:color w:val="000000"/>
                <w:szCs w:val="24"/>
                <w:highlight w:val="yellow"/>
                <w:lang w:eastAsia="zh-CN"/>
              </w:rPr>
            </w:pPr>
            <w:r w:rsidRPr="003B0AB5">
              <w:rPr>
                <w:rFonts w:ascii="Calibri" w:hAnsi="Calibri" w:cstheme="majorBidi"/>
                <w:b/>
                <w:color w:val="000000"/>
                <w:szCs w:val="24"/>
                <w:highlight w:val="yellow"/>
              </w:rPr>
              <w:t>.754</w:t>
            </w:r>
          </w:p>
        </w:tc>
        <w:tc>
          <w:tcPr>
            <w:tcW w:w="1347" w:type="dxa"/>
            <w:shd w:val="clear" w:color="auto" w:fill="FFFFFF"/>
            <w:hideMark/>
          </w:tcPr>
          <w:p w14:paraId="4931ED83" w14:textId="77777777" w:rsidR="00FA779E" w:rsidRPr="003B0AB5" w:rsidRDefault="00FA779E" w:rsidP="00D1659F">
            <w:pPr>
              <w:autoSpaceDE w:val="0"/>
              <w:adjustRightInd w:val="0"/>
              <w:spacing w:before="0" w:line="240" w:lineRule="auto"/>
              <w:ind w:left="57" w:right="60"/>
              <w:jc w:val="center"/>
              <w:rPr>
                <w:rFonts w:ascii="Calibri" w:hAnsi="Calibri" w:cstheme="majorBidi"/>
                <w:i/>
                <w:iCs/>
                <w:color w:val="A6A6A6" w:themeColor="background1" w:themeShade="A6"/>
                <w:szCs w:val="24"/>
                <w:highlight w:val="yellow"/>
                <w:lang w:eastAsia="zh-CN"/>
              </w:rPr>
            </w:pPr>
            <w:r w:rsidRPr="003B0AB5">
              <w:rPr>
                <w:rFonts w:ascii="Calibri" w:hAnsi="Calibri" w:cstheme="majorBidi"/>
                <w:i/>
                <w:iCs/>
                <w:color w:val="A6A6A6" w:themeColor="background1" w:themeShade="A6"/>
                <w:szCs w:val="24"/>
                <w:highlight w:val="yellow"/>
              </w:rPr>
              <w:t>.059</w:t>
            </w:r>
          </w:p>
        </w:tc>
      </w:tr>
      <w:tr w:rsidR="00FA779E" w:rsidRPr="003B0AB5" w14:paraId="0EDD8D67" w14:textId="77777777" w:rsidTr="00FA779E">
        <w:trPr>
          <w:cantSplit/>
          <w:trHeight w:val="287"/>
          <w:tblHeader/>
          <w:jc w:val="center"/>
        </w:trPr>
        <w:tc>
          <w:tcPr>
            <w:tcW w:w="2961" w:type="dxa"/>
            <w:shd w:val="clear" w:color="auto" w:fill="FFFFFF"/>
            <w:hideMark/>
          </w:tcPr>
          <w:p w14:paraId="6E5DFCE2" w14:textId="77777777" w:rsidR="00FA779E" w:rsidRPr="003B0AB5" w:rsidRDefault="00FA779E" w:rsidP="00D1659F">
            <w:pPr>
              <w:spacing w:before="0" w:line="240" w:lineRule="auto"/>
              <w:ind w:left="57" w:right="60"/>
              <w:jc w:val="both"/>
              <w:rPr>
                <w:rFonts w:ascii="Calibri" w:hAnsi="Calibri" w:cstheme="majorBidi"/>
                <w:szCs w:val="24"/>
                <w:highlight w:val="yellow"/>
                <w:lang w:eastAsia="zh-CN"/>
              </w:rPr>
            </w:pPr>
            <w:r w:rsidRPr="003B0AB5">
              <w:rPr>
                <w:rFonts w:ascii="Calibri" w:hAnsi="Calibri" w:cstheme="majorBidi"/>
                <w:color w:val="000000"/>
                <w:szCs w:val="24"/>
                <w:highlight w:val="yellow"/>
              </w:rPr>
              <w:t>State Aid</w:t>
            </w:r>
          </w:p>
        </w:tc>
        <w:tc>
          <w:tcPr>
            <w:tcW w:w="1291" w:type="dxa"/>
            <w:shd w:val="clear" w:color="auto" w:fill="FFFFFF"/>
            <w:hideMark/>
          </w:tcPr>
          <w:p w14:paraId="26BB50C1" w14:textId="77777777" w:rsidR="00FA779E" w:rsidRPr="003B0AB5" w:rsidRDefault="00FA779E" w:rsidP="00D1659F">
            <w:pPr>
              <w:autoSpaceDE w:val="0"/>
              <w:adjustRightInd w:val="0"/>
              <w:spacing w:before="0" w:line="240" w:lineRule="auto"/>
              <w:ind w:left="57" w:right="60"/>
              <w:jc w:val="center"/>
              <w:rPr>
                <w:rFonts w:ascii="Calibri" w:hAnsi="Calibri" w:cstheme="majorBidi"/>
                <w:b/>
                <w:bCs/>
                <w:color w:val="000000"/>
                <w:szCs w:val="24"/>
                <w:highlight w:val="yellow"/>
                <w:lang w:eastAsia="zh-CN"/>
              </w:rPr>
            </w:pPr>
            <w:r w:rsidRPr="003B0AB5">
              <w:rPr>
                <w:rFonts w:ascii="Calibri" w:hAnsi="Calibri" w:cstheme="majorBidi"/>
                <w:b/>
                <w:bCs/>
                <w:color w:val="000000"/>
                <w:szCs w:val="24"/>
                <w:highlight w:val="yellow"/>
              </w:rPr>
              <w:t>.670</w:t>
            </w:r>
          </w:p>
        </w:tc>
        <w:tc>
          <w:tcPr>
            <w:tcW w:w="1347" w:type="dxa"/>
            <w:shd w:val="clear" w:color="auto" w:fill="FFFFFF"/>
            <w:hideMark/>
          </w:tcPr>
          <w:p w14:paraId="7B15D01B"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A6A6A6" w:themeColor="background1" w:themeShade="A6"/>
                <w:szCs w:val="24"/>
                <w:highlight w:val="yellow"/>
                <w:lang w:eastAsia="zh-CN"/>
              </w:rPr>
            </w:pPr>
            <w:r w:rsidRPr="003B0AB5">
              <w:rPr>
                <w:rFonts w:ascii="Calibri" w:hAnsi="Calibri" w:cstheme="majorBidi"/>
                <w:color w:val="A6A6A6" w:themeColor="background1" w:themeShade="A6"/>
                <w:szCs w:val="24"/>
                <w:highlight w:val="yellow"/>
              </w:rPr>
              <w:t>.272</w:t>
            </w:r>
          </w:p>
        </w:tc>
      </w:tr>
      <w:tr w:rsidR="00FA779E" w:rsidRPr="003B0AB5" w14:paraId="2A61D532" w14:textId="77777777" w:rsidTr="00FA779E">
        <w:trPr>
          <w:cantSplit/>
          <w:trHeight w:val="287"/>
          <w:tblHeader/>
          <w:jc w:val="center"/>
        </w:trPr>
        <w:tc>
          <w:tcPr>
            <w:tcW w:w="2961" w:type="dxa"/>
            <w:shd w:val="clear" w:color="auto" w:fill="FFFFFF"/>
            <w:hideMark/>
          </w:tcPr>
          <w:p w14:paraId="648669FA" w14:textId="77777777" w:rsidR="00FA779E" w:rsidRPr="003B0AB5" w:rsidRDefault="00FA779E" w:rsidP="00D1659F">
            <w:pPr>
              <w:spacing w:before="0" w:line="240" w:lineRule="auto"/>
              <w:ind w:left="57" w:right="60"/>
              <w:jc w:val="both"/>
              <w:rPr>
                <w:rFonts w:ascii="Calibri" w:hAnsi="Calibri" w:cstheme="majorBidi"/>
                <w:szCs w:val="24"/>
                <w:highlight w:val="yellow"/>
                <w:lang w:eastAsia="zh-CN"/>
              </w:rPr>
            </w:pPr>
            <w:r w:rsidRPr="003B0AB5">
              <w:rPr>
                <w:rFonts w:ascii="Calibri" w:hAnsi="Calibri" w:cstheme="majorBidi"/>
                <w:color w:val="000000"/>
                <w:szCs w:val="24"/>
                <w:highlight w:val="yellow"/>
              </w:rPr>
              <w:t>Tax Subsidies</w:t>
            </w:r>
          </w:p>
        </w:tc>
        <w:tc>
          <w:tcPr>
            <w:tcW w:w="1291" w:type="dxa"/>
            <w:shd w:val="clear" w:color="auto" w:fill="FFFFFF"/>
            <w:hideMark/>
          </w:tcPr>
          <w:p w14:paraId="139C998E" w14:textId="77777777" w:rsidR="00FA779E" w:rsidRPr="003B0AB5" w:rsidRDefault="00FA779E" w:rsidP="00D1659F">
            <w:pPr>
              <w:autoSpaceDE w:val="0"/>
              <w:adjustRightInd w:val="0"/>
              <w:spacing w:before="0" w:line="240" w:lineRule="auto"/>
              <w:ind w:left="57" w:right="60"/>
              <w:jc w:val="center"/>
              <w:rPr>
                <w:rFonts w:ascii="Calibri" w:hAnsi="Calibri" w:cstheme="majorBidi"/>
                <w:b/>
                <w:color w:val="000000"/>
                <w:szCs w:val="24"/>
                <w:highlight w:val="yellow"/>
                <w:lang w:eastAsia="zh-CN"/>
              </w:rPr>
            </w:pPr>
            <w:r w:rsidRPr="003B0AB5">
              <w:rPr>
                <w:rFonts w:ascii="Calibri" w:hAnsi="Calibri" w:cstheme="majorBidi"/>
                <w:b/>
                <w:color w:val="000000"/>
                <w:szCs w:val="24"/>
                <w:highlight w:val="yellow"/>
              </w:rPr>
              <w:t>.457</w:t>
            </w:r>
          </w:p>
        </w:tc>
        <w:tc>
          <w:tcPr>
            <w:tcW w:w="1347" w:type="dxa"/>
            <w:shd w:val="clear" w:color="auto" w:fill="FFFFFF"/>
            <w:hideMark/>
          </w:tcPr>
          <w:p w14:paraId="79BB881E"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A6A6A6" w:themeColor="background1" w:themeShade="A6"/>
                <w:szCs w:val="24"/>
                <w:highlight w:val="yellow"/>
                <w:lang w:eastAsia="zh-CN"/>
              </w:rPr>
            </w:pPr>
            <w:r w:rsidRPr="003B0AB5">
              <w:rPr>
                <w:rFonts w:ascii="Calibri" w:hAnsi="Calibri" w:cstheme="majorBidi"/>
                <w:color w:val="A6A6A6" w:themeColor="background1" w:themeShade="A6"/>
                <w:szCs w:val="24"/>
                <w:highlight w:val="yellow"/>
              </w:rPr>
              <w:t>.392</w:t>
            </w:r>
          </w:p>
        </w:tc>
      </w:tr>
      <w:tr w:rsidR="00FA779E" w:rsidRPr="003B0AB5" w14:paraId="4E545FBC" w14:textId="77777777" w:rsidTr="00FA779E">
        <w:trPr>
          <w:cantSplit/>
          <w:trHeight w:val="287"/>
          <w:tblHeader/>
          <w:jc w:val="center"/>
        </w:trPr>
        <w:tc>
          <w:tcPr>
            <w:tcW w:w="2961" w:type="dxa"/>
            <w:shd w:val="clear" w:color="auto" w:fill="FFFFFF"/>
            <w:hideMark/>
          </w:tcPr>
          <w:p w14:paraId="063CA108" w14:textId="77777777" w:rsidR="00FA779E" w:rsidRPr="003B0AB5" w:rsidRDefault="00FA779E" w:rsidP="00D1659F">
            <w:pPr>
              <w:autoSpaceDE w:val="0"/>
              <w:adjustRightInd w:val="0"/>
              <w:spacing w:before="0" w:line="240" w:lineRule="auto"/>
              <w:ind w:left="57" w:right="60"/>
              <w:jc w:val="both"/>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State Equalizes Income</w:t>
            </w:r>
          </w:p>
        </w:tc>
        <w:tc>
          <w:tcPr>
            <w:tcW w:w="1291" w:type="dxa"/>
            <w:shd w:val="clear" w:color="auto" w:fill="FFFFFF"/>
            <w:hideMark/>
          </w:tcPr>
          <w:p w14:paraId="5EFA566B" w14:textId="77777777" w:rsidR="00FA779E" w:rsidRPr="003B0AB5" w:rsidRDefault="00FA779E" w:rsidP="00D1659F">
            <w:pPr>
              <w:autoSpaceDE w:val="0"/>
              <w:adjustRightInd w:val="0"/>
              <w:spacing w:before="0" w:line="240" w:lineRule="auto"/>
              <w:ind w:left="57" w:right="60"/>
              <w:jc w:val="center"/>
              <w:rPr>
                <w:rFonts w:ascii="Calibri" w:hAnsi="Calibri" w:cstheme="majorBidi"/>
                <w:bCs/>
                <w:color w:val="000000"/>
                <w:szCs w:val="24"/>
                <w:highlight w:val="yellow"/>
                <w:lang w:eastAsia="zh-CN"/>
              </w:rPr>
            </w:pPr>
            <w:r w:rsidRPr="003B0AB5">
              <w:rPr>
                <w:rFonts w:ascii="Calibri" w:hAnsi="Calibri" w:cstheme="majorBidi"/>
                <w:bCs/>
                <w:color w:val="808080" w:themeColor="background1" w:themeShade="80"/>
                <w:szCs w:val="24"/>
                <w:highlight w:val="yellow"/>
              </w:rPr>
              <w:t>.415</w:t>
            </w:r>
          </w:p>
        </w:tc>
        <w:tc>
          <w:tcPr>
            <w:tcW w:w="1347" w:type="dxa"/>
            <w:shd w:val="clear" w:color="auto" w:fill="FFFFFF"/>
            <w:hideMark/>
          </w:tcPr>
          <w:p w14:paraId="44D22EA6" w14:textId="77777777" w:rsidR="00FA779E" w:rsidRPr="003B0AB5" w:rsidRDefault="00FA779E" w:rsidP="00D1659F">
            <w:pPr>
              <w:autoSpaceDE w:val="0"/>
              <w:adjustRightInd w:val="0"/>
              <w:spacing w:before="0" w:line="240" w:lineRule="auto"/>
              <w:ind w:left="57" w:right="60"/>
              <w:jc w:val="center"/>
              <w:rPr>
                <w:rFonts w:ascii="Calibri" w:hAnsi="Calibri" w:cstheme="majorBidi"/>
                <w:b/>
                <w:color w:val="A6A6A6" w:themeColor="background1" w:themeShade="A6"/>
                <w:szCs w:val="24"/>
                <w:highlight w:val="yellow"/>
                <w:lang w:eastAsia="zh-CN"/>
              </w:rPr>
            </w:pPr>
            <w:r w:rsidRPr="003B0AB5">
              <w:rPr>
                <w:rFonts w:ascii="Calibri" w:hAnsi="Calibri" w:cstheme="majorBidi"/>
                <w:b/>
                <w:color w:val="000000" w:themeColor="text1"/>
                <w:szCs w:val="24"/>
                <w:highlight w:val="yellow"/>
              </w:rPr>
              <w:t>.547</w:t>
            </w:r>
          </w:p>
        </w:tc>
      </w:tr>
      <w:tr w:rsidR="00FA779E" w:rsidRPr="003B0AB5" w14:paraId="6FEA8218" w14:textId="77777777" w:rsidTr="00FA779E">
        <w:trPr>
          <w:cantSplit/>
          <w:trHeight w:val="287"/>
          <w:tblHeader/>
          <w:jc w:val="center"/>
        </w:trPr>
        <w:tc>
          <w:tcPr>
            <w:tcW w:w="2961" w:type="dxa"/>
            <w:shd w:val="clear" w:color="auto" w:fill="FFFFFF"/>
            <w:hideMark/>
          </w:tcPr>
          <w:p w14:paraId="15E98970" w14:textId="77777777" w:rsidR="00FA779E" w:rsidRPr="003B0AB5" w:rsidRDefault="00FA779E" w:rsidP="00D1659F">
            <w:pPr>
              <w:spacing w:before="0" w:line="240" w:lineRule="auto"/>
              <w:ind w:left="57" w:right="60"/>
              <w:jc w:val="both"/>
              <w:rPr>
                <w:rFonts w:ascii="Calibri" w:hAnsi="Calibri" w:cstheme="majorBidi"/>
                <w:szCs w:val="24"/>
                <w:highlight w:val="yellow"/>
                <w:lang w:eastAsia="zh-CN"/>
              </w:rPr>
            </w:pPr>
            <w:r w:rsidRPr="003B0AB5">
              <w:rPr>
                <w:rFonts w:ascii="Calibri" w:hAnsi="Calibri" w:cstheme="majorBidi"/>
                <w:color w:val="000000"/>
                <w:szCs w:val="24"/>
                <w:highlight w:val="yellow"/>
              </w:rPr>
              <w:t>People Obey Rulers</w:t>
            </w:r>
          </w:p>
        </w:tc>
        <w:tc>
          <w:tcPr>
            <w:tcW w:w="1291" w:type="dxa"/>
            <w:shd w:val="clear" w:color="auto" w:fill="FFFFFF"/>
            <w:hideMark/>
          </w:tcPr>
          <w:p w14:paraId="3B4A54DF"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A6A6A6" w:themeColor="background1" w:themeShade="A6"/>
                <w:szCs w:val="24"/>
                <w:highlight w:val="yellow"/>
                <w:lang w:eastAsia="zh-CN"/>
              </w:rPr>
            </w:pPr>
            <w:r w:rsidRPr="003B0AB5">
              <w:rPr>
                <w:rFonts w:ascii="Calibri" w:hAnsi="Calibri" w:cstheme="majorBidi"/>
                <w:color w:val="A6A6A6" w:themeColor="background1" w:themeShade="A6"/>
                <w:szCs w:val="24"/>
                <w:highlight w:val="yellow"/>
              </w:rPr>
              <w:t>.192</w:t>
            </w:r>
          </w:p>
        </w:tc>
        <w:tc>
          <w:tcPr>
            <w:tcW w:w="1347" w:type="dxa"/>
            <w:shd w:val="clear" w:color="auto" w:fill="FFFFFF"/>
            <w:hideMark/>
          </w:tcPr>
          <w:p w14:paraId="2DA6B7EB" w14:textId="77777777" w:rsidR="00FA779E" w:rsidRPr="003B0AB5" w:rsidRDefault="00FA779E" w:rsidP="00D1659F">
            <w:pPr>
              <w:autoSpaceDE w:val="0"/>
              <w:adjustRightInd w:val="0"/>
              <w:spacing w:before="0" w:line="240" w:lineRule="auto"/>
              <w:ind w:left="57" w:right="60"/>
              <w:jc w:val="center"/>
              <w:rPr>
                <w:rFonts w:ascii="Calibri" w:hAnsi="Calibri" w:cstheme="majorBidi"/>
                <w:b/>
                <w:color w:val="000000"/>
                <w:szCs w:val="24"/>
                <w:highlight w:val="yellow"/>
                <w:lang w:eastAsia="zh-CN"/>
              </w:rPr>
            </w:pPr>
            <w:r w:rsidRPr="003B0AB5">
              <w:rPr>
                <w:rFonts w:ascii="Calibri" w:hAnsi="Calibri" w:cstheme="majorBidi"/>
                <w:b/>
                <w:color w:val="000000"/>
                <w:szCs w:val="24"/>
                <w:highlight w:val="yellow"/>
              </w:rPr>
              <w:t>.594</w:t>
            </w:r>
          </w:p>
        </w:tc>
      </w:tr>
      <w:tr w:rsidR="00FA779E" w:rsidRPr="003B0AB5" w14:paraId="7E6F57DB" w14:textId="77777777" w:rsidTr="00FA779E">
        <w:trPr>
          <w:cantSplit/>
          <w:trHeight w:val="287"/>
          <w:tblHeader/>
          <w:jc w:val="center"/>
        </w:trPr>
        <w:tc>
          <w:tcPr>
            <w:tcW w:w="2961" w:type="dxa"/>
            <w:shd w:val="clear" w:color="auto" w:fill="FFFFFF"/>
            <w:hideMark/>
          </w:tcPr>
          <w:p w14:paraId="128DB6C0" w14:textId="77777777" w:rsidR="00FA779E" w:rsidRPr="003B0AB5" w:rsidRDefault="00FA779E" w:rsidP="00D1659F">
            <w:pPr>
              <w:spacing w:before="0" w:line="240" w:lineRule="auto"/>
              <w:ind w:left="57" w:right="60"/>
              <w:jc w:val="both"/>
              <w:rPr>
                <w:rFonts w:ascii="Calibri" w:hAnsi="Calibri" w:cstheme="majorBidi"/>
                <w:szCs w:val="24"/>
                <w:highlight w:val="yellow"/>
                <w:lang w:eastAsia="zh-CN"/>
              </w:rPr>
            </w:pPr>
            <w:r w:rsidRPr="003B0AB5">
              <w:rPr>
                <w:rFonts w:ascii="Calibri" w:hAnsi="Calibri" w:cstheme="majorBidi"/>
                <w:color w:val="000000"/>
                <w:szCs w:val="24"/>
                <w:highlight w:val="yellow"/>
              </w:rPr>
              <w:t>Army Intervention</w:t>
            </w:r>
          </w:p>
        </w:tc>
        <w:tc>
          <w:tcPr>
            <w:tcW w:w="1291" w:type="dxa"/>
            <w:shd w:val="clear" w:color="auto" w:fill="FFFFFF"/>
            <w:hideMark/>
          </w:tcPr>
          <w:p w14:paraId="61A8AA1B" w14:textId="77777777" w:rsidR="00FA779E" w:rsidRPr="003B0AB5" w:rsidRDefault="00FA779E" w:rsidP="00D1659F">
            <w:pPr>
              <w:autoSpaceDE w:val="0"/>
              <w:adjustRightInd w:val="0"/>
              <w:spacing w:before="0" w:line="240" w:lineRule="auto"/>
              <w:ind w:left="57" w:right="60"/>
              <w:jc w:val="center"/>
              <w:rPr>
                <w:rFonts w:ascii="Calibri" w:hAnsi="Calibri" w:cstheme="majorBidi"/>
                <w:bCs/>
                <w:color w:val="A6A6A6" w:themeColor="background1" w:themeShade="A6"/>
                <w:szCs w:val="24"/>
                <w:highlight w:val="yellow"/>
                <w:lang w:eastAsia="zh-CN"/>
              </w:rPr>
            </w:pPr>
            <w:r w:rsidRPr="003B0AB5">
              <w:rPr>
                <w:rFonts w:ascii="Calibri" w:hAnsi="Calibri" w:cstheme="majorBidi"/>
                <w:bCs/>
                <w:color w:val="A6A6A6" w:themeColor="background1" w:themeShade="A6"/>
                <w:szCs w:val="24"/>
                <w:highlight w:val="yellow"/>
              </w:rPr>
              <w:t>-.059</w:t>
            </w:r>
          </w:p>
        </w:tc>
        <w:tc>
          <w:tcPr>
            <w:tcW w:w="1347" w:type="dxa"/>
            <w:shd w:val="clear" w:color="auto" w:fill="FFFFFF"/>
            <w:hideMark/>
          </w:tcPr>
          <w:p w14:paraId="1E92BD28" w14:textId="77777777" w:rsidR="00FA779E" w:rsidRPr="003B0AB5" w:rsidRDefault="00FA779E" w:rsidP="00D1659F">
            <w:pPr>
              <w:autoSpaceDE w:val="0"/>
              <w:adjustRightInd w:val="0"/>
              <w:spacing w:before="0" w:line="240" w:lineRule="auto"/>
              <w:ind w:left="57" w:right="60"/>
              <w:jc w:val="center"/>
              <w:rPr>
                <w:rFonts w:ascii="Calibri" w:hAnsi="Calibri" w:cstheme="majorBidi"/>
                <w:b/>
                <w:color w:val="000000" w:themeColor="text1"/>
                <w:szCs w:val="24"/>
                <w:highlight w:val="yellow"/>
                <w:lang w:eastAsia="zh-CN"/>
              </w:rPr>
            </w:pPr>
            <w:r w:rsidRPr="003B0AB5">
              <w:rPr>
                <w:rFonts w:ascii="Calibri" w:hAnsi="Calibri" w:cstheme="majorBidi"/>
                <w:b/>
                <w:color w:val="000000" w:themeColor="text1"/>
                <w:szCs w:val="24"/>
                <w:highlight w:val="yellow"/>
              </w:rPr>
              <w:t>.726</w:t>
            </w:r>
          </w:p>
        </w:tc>
      </w:tr>
      <w:tr w:rsidR="00FA779E" w:rsidRPr="003B0AB5" w14:paraId="21B813D6" w14:textId="77777777" w:rsidTr="00FA779E">
        <w:trPr>
          <w:cantSplit/>
          <w:trHeight w:val="287"/>
          <w:tblHeader/>
          <w:jc w:val="center"/>
        </w:trPr>
        <w:tc>
          <w:tcPr>
            <w:tcW w:w="2961" w:type="dxa"/>
            <w:shd w:val="clear" w:color="auto" w:fill="FFFFFF"/>
            <w:hideMark/>
          </w:tcPr>
          <w:p w14:paraId="108A72D5" w14:textId="77777777" w:rsidR="00FA779E" w:rsidRPr="003B0AB5" w:rsidRDefault="00FA779E" w:rsidP="00D1659F">
            <w:pPr>
              <w:spacing w:before="0" w:line="240" w:lineRule="auto"/>
              <w:ind w:left="57" w:right="60"/>
              <w:jc w:val="both"/>
              <w:rPr>
                <w:rFonts w:ascii="Calibri" w:hAnsi="Calibri" w:cstheme="majorBidi"/>
                <w:szCs w:val="24"/>
                <w:highlight w:val="yellow"/>
                <w:lang w:eastAsia="zh-CN"/>
              </w:rPr>
            </w:pPr>
            <w:r w:rsidRPr="003B0AB5">
              <w:rPr>
                <w:rFonts w:ascii="Calibri" w:hAnsi="Calibri" w:cstheme="majorBidi"/>
                <w:color w:val="000000"/>
                <w:szCs w:val="24"/>
                <w:highlight w:val="yellow"/>
              </w:rPr>
              <w:t>Religious Authorities</w:t>
            </w:r>
          </w:p>
        </w:tc>
        <w:tc>
          <w:tcPr>
            <w:tcW w:w="1291" w:type="dxa"/>
            <w:shd w:val="clear" w:color="auto" w:fill="FFFFFF"/>
            <w:hideMark/>
          </w:tcPr>
          <w:p w14:paraId="2A641C0A" w14:textId="77777777" w:rsidR="00FA779E" w:rsidRPr="003B0AB5" w:rsidRDefault="00FA779E" w:rsidP="00D1659F">
            <w:pPr>
              <w:autoSpaceDE w:val="0"/>
              <w:adjustRightInd w:val="0"/>
              <w:spacing w:before="0" w:line="240" w:lineRule="auto"/>
              <w:ind w:left="57" w:right="60"/>
              <w:jc w:val="center"/>
              <w:rPr>
                <w:rFonts w:ascii="Calibri" w:hAnsi="Calibri" w:cstheme="majorBidi"/>
                <w:bCs/>
                <w:color w:val="A6A6A6" w:themeColor="background1" w:themeShade="A6"/>
                <w:szCs w:val="24"/>
                <w:highlight w:val="yellow"/>
                <w:lang w:eastAsia="zh-CN"/>
              </w:rPr>
            </w:pPr>
            <w:r w:rsidRPr="003B0AB5">
              <w:rPr>
                <w:rFonts w:ascii="Calibri" w:hAnsi="Calibri" w:cstheme="majorBidi"/>
                <w:bCs/>
                <w:color w:val="A6A6A6" w:themeColor="background1" w:themeShade="A6"/>
                <w:szCs w:val="24"/>
                <w:highlight w:val="yellow"/>
              </w:rPr>
              <w:t>-.130</w:t>
            </w:r>
          </w:p>
        </w:tc>
        <w:tc>
          <w:tcPr>
            <w:tcW w:w="1347" w:type="dxa"/>
            <w:shd w:val="clear" w:color="auto" w:fill="FFFFFF"/>
            <w:hideMark/>
          </w:tcPr>
          <w:p w14:paraId="5D946A1F" w14:textId="77777777" w:rsidR="00FA779E" w:rsidRPr="003B0AB5" w:rsidRDefault="00FA779E" w:rsidP="00D1659F">
            <w:pPr>
              <w:autoSpaceDE w:val="0"/>
              <w:adjustRightInd w:val="0"/>
              <w:spacing w:before="0" w:line="240" w:lineRule="auto"/>
              <w:ind w:left="57" w:right="60"/>
              <w:jc w:val="center"/>
              <w:rPr>
                <w:rFonts w:ascii="Calibri" w:hAnsi="Calibri" w:cstheme="majorBidi"/>
                <w:b/>
                <w:color w:val="000000" w:themeColor="text1"/>
                <w:szCs w:val="24"/>
                <w:highlight w:val="yellow"/>
                <w:lang w:eastAsia="zh-CN"/>
              </w:rPr>
            </w:pPr>
            <w:r w:rsidRPr="003B0AB5">
              <w:rPr>
                <w:rFonts w:ascii="Calibri" w:hAnsi="Calibri" w:cstheme="majorBidi"/>
                <w:b/>
                <w:color w:val="000000" w:themeColor="text1"/>
                <w:szCs w:val="24"/>
                <w:highlight w:val="yellow"/>
              </w:rPr>
              <w:t>.759</w:t>
            </w:r>
          </w:p>
        </w:tc>
      </w:tr>
      <w:tr w:rsidR="00FA779E" w:rsidRPr="003B0AB5" w14:paraId="4950FD2C" w14:textId="77777777" w:rsidTr="00FA779E">
        <w:trPr>
          <w:cantSplit/>
          <w:trHeight w:val="287"/>
          <w:tblHeader/>
          <w:jc w:val="center"/>
        </w:trPr>
        <w:tc>
          <w:tcPr>
            <w:tcW w:w="2961" w:type="dxa"/>
            <w:tcBorders>
              <w:top w:val="single" w:sz="4" w:space="0" w:color="auto"/>
              <w:left w:val="nil"/>
              <w:bottom w:val="nil"/>
              <w:right w:val="nil"/>
            </w:tcBorders>
            <w:shd w:val="clear" w:color="auto" w:fill="FFFFFF"/>
            <w:hideMark/>
          </w:tcPr>
          <w:p w14:paraId="2DDDB3CA" w14:textId="77777777" w:rsidR="00FA779E" w:rsidRPr="003B0AB5" w:rsidRDefault="00FA779E" w:rsidP="00D1659F">
            <w:pPr>
              <w:autoSpaceDE w:val="0"/>
              <w:adjustRightInd w:val="0"/>
              <w:spacing w:before="0" w:line="240" w:lineRule="auto"/>
              <w:ind w:left="57" w:right="60"/>
              <w:jc w:val="both"/>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Eigenvalue</w:t>
            </w:r>
          </w:p>
        </w:tc>
        <w:tc>
          <w:tcPr>
            <w:tcW w:w="1291" w:type="dxa"/>
            <w:tcBorders>
              <w:top w:val="single" w:sz="4" w:space="0" w:color="auto"/>
              <w:left w:val="nil"/>
              <w:bottom w:val="nil"/>
              <w:right w:val="nil"/>
            </w:tcBorders>
            <w:shd w:val="clear" w:color="auto" w:fill="FFFFFF"/>
            <w:hideMark/>
          </w:tcPr>
          <w:p w14:paraId="2D4704F5"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2.88</w:t>
            </w:r>
          </w:p>
        </w:tc>
        <w:tc>
          <w:tcPr>
            <w:tcW w:w="1347" w:type="dxa"/>
            <w:tcBorders>
              <w:top w:val="single" w:sz="4" w:space="0" w:color="auto"/>
              <w:left w:val="nil"/>
              <w:bottom w:val="nil"/>
              <w:right w:val="nil"/>
            </w:tcBorders>
            <w:shd w:val="clear" w:color="auto" w:fill="FFFFFF"/>
            <w:hideMark/>
          </w:tcPr>
          <w:p w14:paraId="1895E3CD" w14:textId="77777777" w:rsidR="00FA779E" w:rsidRPr="003B0AB5" w:rsidRDefault="00FA779E" w:rsidP="00D1659F">
            <w:pPr>
              <w:autoSpaceDE w:val="0"/>
              <w:adjustRightInd w:val="0"/>
              <w:spacing w:before="0" w:line="240" w:lineRule="auto"/>
              <w:ind w:left="57" w:right="60"/>
              <w:jc w:val="center"/>
              <w:rPr>
                <w:rFonts w:ascii="Calibri" w:hAnsi="Calibri" w:cstheme="majorBidi"/>
                <w:iCs/>
                <w:color w:val="000000"/>
                <w:szCs w:val="24"/>
                <w:highlight w:val="yellow"/>
                <w:lang w:eastAsia="zh-CN"/>
              </w:rPr>
            </w:pPr>
            <w:r w:rsidRPr="003B0AB5">
              <w:rPr>
                <w:rFonts w:ascii="Calibri" w:hAnsi="Calibri" w:cstheme="majorBidi"/>
                <w:iCs/>
                <w:color w:val="000000"/>
                <w:szCs w:val="24"/>
                <w:highlight w:val="yellow"/>
              </w:rPr>
              <w:t>1.69</w:t>
            </w:r>
          </w:p>
        </w:tc>
      </w:tr>
      <w:tr w:rsidR="00FA779E" w:rsidRPr="003B0AB5" w14:paraId="3673CF3C" w14:textId="77777777" w:rsidTr="00FA779E">
        <w:trPr>
          <w:cantSplit/>
          <w:trHeight w:val="287"/>
          <w:tblHeader/>
          <w:jc w:val="center"/>
        </w:trPr>
        <w:tc>
          <w:tcPr>
            <w:tcW w:w="2961" w:type="dxa"/>
            <w:tcBorders>
              <w:top w:val="nil"/>
              <w:left w:val="nil"/>
              <w:bottom w:val="single" w:sz="4" w:space="0" w:color="auto"/>
              <w:right w:val="nil"/>
            </w:tcBorders>
            <w:shd w:val="clear" w:color="auto" w:fill="FFFFFF"/>
            <w:hideMark/>
          </w:tcPr>
          <w:p w14:paraId="430D68AF" w14:textId="77777777" w:rsidR="00FA779E" w:rsidRPr="003B0AB5" w:rsidRDefault="00FA779E" w:rsidP="00D1659F">
            <w:pPr>
              <w:autoSpaceDE w:val="0"/>
              <w:adjustRightInd w:val="0"/>
              <w:spacing w:before="0" w:line="240" w:lineRule="auto"/>
              <w:ind w:left="57" w:right="60"/>
              <w:jc w:val="both"/>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 of Variance</w:t>
            </w:r>
          </w:p>
        </w:tc>
        <w:tc>
          <w:tcPr>
            <w:tcW w:w="1291" w:type="dxa"/>
            <w:tcBorders>
              <w:top w:val="nil"/>
              <w:left w:val="nil"/>
              <w:bottom w:val="single" w:sz="4" w:space="0" w:color="auto"/>
              <w:right w:val="nil"/>
            </w:tcBorders>
            <w:shd w:val="clear" w:color="auto" w:fill="FFFFFF"/>
            <w:hideMark/>
          </w:tcPr>
          <w:p w14:paraId="7475EA65"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32.0%</w:t>
            </w:r>
          </w:p>
        </w:tc>
        <w:tc>
          <w:tcPr>
            <w:tcW w:w="1347" w:type="dxa"/>
            <w:tcBorders>
              <w:top w:val="nil"/>
              <w:left w:val="nil"/>
              <w:bottom w:val="single" w:sz="4" w:space="0" w:color="auto"/>
              <w:right w:val="nil"/>
            </w:tcBorders>
            <w:shd w:val="clear" w:color="auto" w:fill="FFFFFF"/>
            <w:hideMark/>
          </w:tcPr>
          <w:p w14:paraId="6AAE2950"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18.8%</w:t>
            </w:r>
          </w:p>
        </w:tc>
      </w:tr>
      <w:tr w:rsidR="00FA779E" w:rsidRPr="003B0AB5" w14:paraId="578A336D" w14:textId="77777777" w:rsidTr="00FA779E">
        <w:trPr>
          <w:cantSplit/>
          <w:trHeight w:val="287"/>
          <w:tblHeader/>
          <w:jc w:val="center"/>
        </w:trPr>
        <w:tc>
          <w:tcPr>
            <w:tcW w:w="2961" w:type="dxa"/>
            <w:tcBorders>
              <w:top w:val="single" w:sz="4" w:space="0" w:color="auto"/>
              <w:left w:val="nil"/>
              <w:bottom w:val="nil"/>
              <w:right w:val="nil"/>
            </w:tcBorders>
            <w:shd w:val="clear" w:color="auto" w:fill="FFFFFF"/>
            <w:hideMark/>
          </w:tcPr>
          <w:p w14:paraId="13E1FD3A" w14:textId="77777777" w:rsidR="00FA779E" w:rsidRPr="003B0AB5" w:rsidRDefault="00FA779E" w:rsidP="00D1659F">
            <w:pPr>
              <w:autoSpaceDE w:val="0"/>
              <w:adjustRightInd w:val="0"/>
              <w:spacing w:before="0" w:line="240" w:lineRule="auto"/>
              <w:ind w:left="57" w:right="60"/>
              <w:jc w:val="both"/>
              <w:rPr>
                <w:rFonts w:ascii="Calibri" w:hAnsi="Calibri" w:cstheme="majorBidi"/>
                <w:i/>
                <w:iCs/>
                <w:color w:val="000000"/>
                <w:szCs w:val="24"/>
                <w:highlight w:val="yellow"/>
                <w:lang w:eastAsia="zh-CN"/>
              </w:rPr>
            </w:pPr>
            <w:r w:rsidRPr="003B0AB5">
              <w:rPr>
                <w:rFonts w:ascii="Calibri" w:hAnsi="Calibri" w:cstheme="majorBidi"/>
                <w:i/>
                <w:iCs/>
                <w:color w:val="000000"/>
                <w:szCs w:val="24"/>
                <w:highlight w:val="yellow"/>
              </w:rPr>
              <w:t>N</w:t>
            </w:r>
          </w:p>
        </w:tc>
        <w:tc>
          <w:tcPr>
            <w:tcW w:w="2638" w:type="dxa"/>
            <w:gridSpan w:val="2"/>
            <w:tcBorders>
              <w:top w:val="single" w:sz="4" w:space="0" w:color="auto"/>
              <w:left w:val="nil"/>
              <w:bottom w:val="nil"/>
              <w:right w:val="nil"/>
            </w:tcBorders>
            <w:shd w:val="clear" w:color="auto" w:fill="FFFFFF"/>
          </w:tcPr>
          <w:p w14:paraId="5FBC5809"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000000"/>
                <w:szCs w:val="24"/>
                <w:highlight w:val="yellow"/>
                <w:lang w:eastAsia="zh-CN"/>
              </w:rPr>
            </w:pPr>
            <w:r w:rsidRPr="003B0AB5">
              <w:rPr>
                <w:rFonts w:ascii="Calibri" w:hAnsi="Calibri" w:cstheme="majorBidi"/>
                <w:color w:val="000000"/>
                <w:szCs w:val="24"/>
                <w:highlight w:val="yellow"/>
                <w:lang w:eastAsia="zh-CN"/>
              </w:rPr>
              <w:t>78,955</w:t>
            </w:r>
          </w:p>
        </w:tc>
      </w:tr>
      <w:tr w:rsidR="00FA779E" w:rsidRPr="003B0AB5" w14:paraId="43B8B9A7" w14:textId="77777777" w:rsidTr="00FA779E">
        <w:trPr>
          <w:cantSplit/>
          <w:trHeight w:val="287"/>
          <w:tblHeader/>
          <w:jc w:val="center"/>
        </w:trPr>
        <w:tc>
          <w:tcPr>
            <w:tcW w:w="2961" w:type="dxa"/>
            <w:shd w:val="clear" w:color="auto" w:fill="FFFFFF"/>
            <w:hideMark/>
          </w:tcPr>
          <w:p w14:paraId="6BE3B47C" w14:textId="77777777" w:rsidR="00FA779E" w:rsidRPr="003B0AB5" w:rsidRDefault="00FA779E" w:rsidP="00D1659F">
            <w:pPr>
              <w:autoSpaceDE w:val="0"/>
              <w:adjustRightInd w:val="0"/>
              <w:spacing w:before="0" w:line="240" w:lineRule="auto"/>
              <w:ind w:right="60"/>
              <w:jc w:val="both"/>
              <w:rPr>
                <w:rFonts w:ascii="Calibri" w:hAnsi="Calibri" w:cstheme="majorBidi"/>
                <w:color w:val="000000"/>
                <w:szCs w:val="24"/>
                <w:highlight w:val="yellow"/>
                <w:lang w:eastAsia="zh-CN"/>
              </w:rPr>
            </w:pPr>
            <w:r w:rsidRPr="003B0AB5">
              <w:rPr>
                <w:rFonts w:ascii="Calibri" w:hAnsi="Calibri" w:cstheme="majorBidi"/>
                <w:color w:val="000000"/>
                <w:szCs w:val="24"/>
                <w:highlight w:val="yellow"/>
              </w:rPr>
              <w:t>Countries</w:t>
            </w:r>
          </w:p>
        </w:tc>
        <w:tc>
          <w:tcPr>
            <w:tcW w:w="2638" w:type="dxa"/>
            <w:gridSpan w:val="2"/>
            <w:shd w:val="clear" w:color="auto" w:fill="FFFFFF"/>
          </w:tcPr>
          <w:p w14:paraId="198FFBB9" w14:textId="77777777" w:rsidR="00FA779E" w:rsidRPr="003B0AB5" w:rsidRDefault="00FA779E" w:rsidP="00D1659F">
            <w:pPr>
              <w:autoSpaceDE w:val="0"/>
              <w:adjustRightInd w:val="0"/>
              <w:spacing w:before="0" w:line="240" w:lineRule="auto"/>
              <w:ind w:left="57" w:right="60"/>
              <w:jc w:val="center"/>
              <w:rPr>
                <w:rFonts w:ascii="Calibri" w:hAnsi="Calibri" w:cstheme="majorBidi"/>
                <w:color w:val="000000"/>
                <w:szCs w:val="24"/>
                <w:highlight w:val="yellow"/>
                <w:lang w:eastAsia="zh-CN"/>
              </w:rPr>
            </w:pPr>
            <w:r w:rsidRPr="003B0AB5">
              <w:rPr>
                <w:rFonts w:ascii="Calibri" w:hAnsi="Calibri" w:cstheme="majorBidi"/>
                <w:color w:val="000000"/>
                <w:szCs w:val="24"/>
                <w:highlight w:val="yellow"/>
                <w:lang w:eastAsia="zh-CN"/>
              </w:rPr>
              <w:t>60</w:t>
            </w:r>
          </w:p>
        </w:tc>
      </w:tr>
    </w:tbl>
    <w:p w14:paraId="20B72685" w14:textId="77777777" w:rsidR="00FA779E" w:rsidRPr="003B0AB5" w:rsidRDefault="00FA779E" w:rsidP="00FA779E">
      <w:pPr>
        <w:rPr>
          <w:highlight w:val="yellow"/>
        </w:rPr>
      </w:pPr>
    </w:p>
    <w:p w14:paraId="2D4D708B" w14:textId="42F3BBF0" w:rsidR="00FA779E" w:rsidRPr="003B0AB5" w:rsidRDefault="00FA779E" w:rsidP="00FA779E">
      <w:pPr>
        <w:rPr>
          <w:highlight w:val="yellow"/>
        </w:rPr>
      </w:pPr>
      <w:r w:rsidRPr="003B0AB5">
        <w:rPr>
          <w:highlight w:val="yellow"/>
        </w:rPr>
        <w:t xml:space="preserve">It seems that there is again a clear authoritarian dimension, with the ‘People obey their leaders’ also showing in that dimension. </w:t>
      </w:r>
      <w:r w:rsidR="00672BC7" w:rsidRPr="003B0AB5">
        <w:rPr>
          <w:highlight w:val="yellow"/>
        </w:rPr>
        <w:t>And</w:t>
      </w:r>
      <w:r w:rsidRPr="003B0AB5">
        <w:rPr>
          <w:highlight w:val="yellow"/>
        </w:rPr>
        <w:t xml:space="preserve"> </w:t>
      </w:r>
      <w:r w:rsidR="003B0AB5" w:rsidRPr="003B0AB5">
        <w:rPr>
          <w:highlight w:val="yellow"/>
        </w:rPr>
        <w:t>the</w:t>
      </w:r>
      <w:r w:rsidRPr="003B0AB5">
        <w:rPr>
          <w:highlight w:val="yellow"/>
        </w:rPr>
        <w:t xml:space="preserve"> state interventionist social policies in income equalization straddle the two dimensions, without really shaping either too strongly. However, as with the two dimensions found in this thesis, the unemployment safety net loads along with the liberal democratic characteristics. Arguably, this notion of a compound understanding of democracy, which is not theoretically clear-cut, might again be present</w:t>
      </w:r>
      <w:r w:rsidR="00ED66FD" w:rsidRPr="003B0AB5">
        <w:rPr>
          <w:highlight w:val="yellow"/>
        </w:rPr>
        <w:t>,</w:t>
      </w:r>
      <w:r w:rsidRPr="003B0AB5">
        <w:rPr>
          <w:highlight w:val="yellow"/>
        </w:rPr>
        <w:t xml:space="preserve"> opposite an authoritarian one. Therefore, this suggests a potential av</w:t>
      </w:r>
      <w:r w:rsidR="003B0AB5" w:rsidRPr="003B0AB5">
        <w:rPr>
          <w:highlight w:val="yellow"/>
        </w:rPr>
        <w:t>enue of research in the future – how do citizens conceptualise the difference between outputs of democracy and democratic procedures, and what are the implications of this?</w:t>
      </w:r>
    </w:p>
    <w:p w14:paraId="0EE34F21" w14:textId="2E7B732F" w:rsidR="00FA779E" w:rsidRPr="003B0AB5" w:rsidRDefault="00FA779E" w:rsidP="00FA779E">
      <w:pPr>
        <w:rPr>
          <w:highlight w:val="yellow"/>
        </w:rPr>
      </w:pPr>
      <w:r w:rsidRPr="003B0AB5">
        <w:rPr>
          <w:highlight w:val="yellow"/>
        </w:rPr>
        <w:t xml:space="preserve">A final limitation with this exploratory approach to conceptualisation is that the exploration is only as open as the set of questions which are available. In the case of using secondary data, the questions are pre-determined, and, as I discussed in Chapter 3, Section 2.2, they are added to the survey on the grounds of stringent theoretical </w:t>
      </w:r>
      <w:r w:rsidR="003B0AB5" w:rsidRPr="003B0AB5">
        <w:rPr>
          <w:highlight w:val="yellow"/>
        </w:rPr>
        <w:t>justification (</w:t>
      </w:r>
      <w:r w:rsidRPr="003B0AB5">
        <w:rPr>
          <w:highlight w:val="yellow"/>
        </w:rPr>
        <w:t>as would be expected</w:t>
      </w:r>
      <w:r w:rsidR="003B0AB5" w:rsidRPr="003B0AB5">
        <w:rPr>
          <w:highlight w:val="yellow"/>
        </w:rPr>
        <w:t>)</w:t>
      </w:r>
      <w:r w:rsidRPr="003B0AB5">
        <w:rPr>
          <w:highlight w:val="yellow"/>
        </w:rPr>
        <w:t xml:space="preserve">. </w:t>
      </w:r>
      <w:r w:rsidR="00F10070" w:rsidRPr="003B0AB5">
        <w:rPr>
          <w:highlight w:val="yellow"/>
        </w:rPr>
        <w:t xml:space="preserve">However, it should be </w:t>
      </w:r>
      <w:r w:rsidR="002804ED" w:rsidRPr="003B0AB5">
        <w:rPr>
          <w:highlight w:val="yellow"/>
        </w:rPr>
        <w:t>noted</w:t>
      </w:r>
      <w:r w:rsidR="00F10070" w:rsidRPr="003B0AB5">
        <w:rPr>
          <w:highlight w:val="yellow"/>
        </w:rPr>
        <w:t xml:space="preserve"> that the second component of understanding the authoritarian one explained a relatively low degree of variance in the data. Much more needs to be done untangling the two facets of religious and military authority and their relationship to democratic structures and understanding. Indeed, after popular and longstanding assumptions concerning secularism and liberal democracy </w:t>
      </w:r>
      <w:r w:rsidR="00F10070" w:rsidRPr="003B0AB5">
        <w:rPr>
          <w:highlight w:val="yellow"/>
        </w:rPr>
        <w:fldChar w:fldCharType="begin" w:fldLock="1"/>
      </w:r>
      <w:r w:rsidR="00F10070" w:rsidRPr="003B0AB5">
        <w:rPr>
          <w:highlight w:val="yellow"/>
        </w:rPr>
        <w:instrText>ADDIN CSL_CITATION { "citationItems" : [ { "id" : "ITEM-1", "itemData" : { "author" : [ { "dropping-particle" : "", "family" : "Elshtain", "given" : "Jean B", "non-dropping-particle" : "", "parse-names" : false, "suffix" : "" } ], "container-title" : "Journal of Democracy", "id" : "ITEM-1", "issue" : "2", "issued" : { "date-parts" : [ [ "2009" ] ] }, "page" : "5-17", "publisher" : "The Johns Hopkins University Press", "title" : "Religion and Democracy", "type" : "article-journal", "volume" : "20" }, "uris" : [ "http://www.mendeley.com/documents/?uuid=f0a75da8-bcf7-4c60-8a97-6dde968c9789" ] } ], "mendeley" : { "formattedCitation" : "(Elshtain, 2009)", "manualFormatting" : "(see discussion in Elshtain, 2009)", "plainTextFormattedCitation" : "(Elshtain, 2009)", "previouslyFormattedCitation" : "(Elshtain, 2009)" }, "properties" : { "noteIndex" : 0 }, "schema" : "https://github.com/citation-style-language/schema/raw/master/csl-citation.json" }</w:instrText>
      </w:r>
      <w:r w:rsidR="00F10070" w:rsidRPr="003B0AB5">
        <w:rPr>
          <w:highlight w:val="yellow"/>
        </w:rPr>
        <w:fldChar w:fldCharType="separate"/>
      </w:r>
      <w:r w:rsidR="00F10070" w:rsidRPr="003B0AB5">
        <w:rPr>
          <w:noProof/>
          <w:highlight w:val="yellow"/>
        </w:rPr>
        <w:t>(see discussion in Elshtain, 2009)</w:t>
      </w:r>
      <w:r w:rsidR="00F10070" w:rsidRPr="003B0AB5">
        <w:rPr>
          <w:highlight w:val="yellow"/>
        </w:rPr>
        <w:fldChar w:fldCharType="end"/>
      </w:r>
      <w:r w:rsidR="00F10070" w:rsidRPr="003B0AB5">
        <w:rPr>
          <w:highlight w:val="yellow"/>
        </w:rPr>
        <w:t xml:space="preserve">, it is only more recently that understanding how religious attitudes intertwine with authoritarian and democratic ones </w:t>
      </w:r>
      <w:r w:rsidR="00F938D9" w:rsidRPr="003B0AB5">
        <w:rPr>
          <w:highlight w:val="yellow"/>
        </w:rPr>
        <w:t xml:space="preserve">has re-emerged as an area of </w:t>
      </w:r>
      <w:r w:rsidR="002804ED" w:rsidRPr="003B0AB5">
        <w:rPr>
          <w:highlight w:val="yellow"/>
        </w:rPr>
        <w:t xml:space="preserve">theoretical </w:t>
      </w:r>
      <w:r w:rsidR="00F938D9" w:rsidRPr="003B0AB5">
        <w:rPr>
          <w:highlight w:val="yellow"/>
        </w:rPr>
        <w:t xml:space="preserve">concern </w:t>
      </w:r>
      <w:r w:rsidR="002804ED" w:rsidRPr="003B0AB5">
        <w:rPr>
          <w:highlight w:val="yellow"/>
        </w:rPr>
        <w:fldChar w:fldCharType="begin" w:fldLock="1"/>
      </w:r>
      <w:r w:rsidR="002804ED" w:rsidRPr="003B0AB5">
        <w:rPr>
          <w:highlight w:val="yellow"/>
        </w:rPr>
        <w:instrText>ADDIN CSL_CITATION { "citationItems" : [ { "id" : "ITEM-1", "itemData" : { "DOI" : "10.1146/annurev-polisci-033110-130442", "ISSN" : "1094-2939", "author" : [ { "dropping-particle" : "", "family" : "Grzymala-Busse", "given" : "Anna", "non-dropping-particle" : "", "parse-names" : false, "suffix" : "" } ], "container-title" : "Annual Review of Political Science", "id" : "ITEM-1", "issue" : "1", "issued" : { "date-parts" : [ [ "2012", "6", "15" ] ] }, "page" : "421-442", "title" : "Why Comparative Politics Should Take Religion (More) Seriously", "type" : "article-journal", "volume" : "15" }, "uris" : [ "http://www.mendeley.com/documents/?uuid=20072527-1008-4e45-a262-06209c6ed5b8" ] }, { "id" : "ITEM-2", "itemData" : { "DOI" : "10.1177/1065912912450554", "ISSN" : "1065-9129", "author" : [ { "dropping-particle" : "", "family" : "Collins", "given" : "K.", "non-dropping-particle" : "", "parse-names" : false, "suffix" : "" }, { "dropping-particle" : "", "family" : "Owen", "given" : "E.", "non-dropping-particle" : "", "parse-names" : false, "suffix" : "" } ], "container-title" : "Political Research Quarterly", "id" : "ITEM-2", "issue" : "3", "issued" : { "date-parts" : [ [ "2012", "7", "25" ] ] }, "page" : "499-515", "title" : "Islamic Religiosity and Regime Preferences: Explaining Support for Democracy and Political Islam in Central Asia and the Caucasus", "type" : "article-journal", "volume" : "65" }, "uris" : [ "http://www.mendeley.com/documents/?uuid=c6edd604-f992-4d51-8adf-0649b2b56a3b" ] }, { "id" : "ITEM-3", "itemData" : { "ISSN" : "0192-5121", "abstract" : "Starting from the growing importance of religion for politics, this article tests whether religion in Europe is connected with democratic attitudes. Analyzing and understanding such a relationship is essential for a better understanding of the prospects of present and future democratic consolidation. Our two-step approach aims to assess the variation and causal forces of democratic attitudes in Europe in the light of broader country-level factors and individual proclivities towards religion and politics. We use data from the European Values Study (1999) for the correlations and regression model. Our findings undermine the existing prejudices according to which Islam leads to authoritarian attitudes. Moreover, we illustrate the crucial roles played by satisfaction with democracy and confidence in the Church in shaping democratic attitudes across religions.", "author" : [ { "dropping-particle" : "", "family" : "Vlas", "given" : "N.", "non-dropping-particle" : "", "parse-names" : false, "suffix" : "" }, { "dropping-particle" : "", "family" : "Gherghina", "given" : "S.", "non-dropping-particle" : "", "parse-names" : false, "suffix" : "" } ], "container-title" : "International Political Science Review", "id" : "ITEM-3", "issue" : "3", "issued" : { "date-parts" : [ [ "2012", "5", "1" ] ] }, "page" : "336-351", "title" : "Where does religion meet democracy? A comparative analysis of attitudes in Europe", "type" : "article-journal", "volume" : "33" }, "uris" : [ "http://www.mendeley.com/documents/?uuid=0a9db6da-ec80-4efc-ba18-bd38a00090c9" ] }, { "id" : "ITEM-4", "itemData" : { "DOI" : "10.1080/13691830701432731", "ISBN" : "1369183070", "ISSN" : "1369-183X", "author" : [ { "dropping-particle" : "", "family" : "Minkenberg", "given" : "Michael", "non-dropping-particle" : "", "parse-names" : false, "suffix" : "" } ], "container-title" : "Journal of Ethnic and Migration Studies", "id" : "ITEM-4", "issue" : "6", "issued" : { "date-parts" : [ [ "2007", "8" ] ] }, "page" : "887-909", "title" : "Democracy and Religion: Theoretical and Empirical Observations on the Relationship between Christianity, Islam and Liberal Democracy", "type" : "article-journal", "volume" : "33" }, "uris" : [ "http://www.mendeley.com/documents/?uuid=f58f2153-b453-42e1-b7e0-21009e97e300" ] }, { "id" : "ITEM-5", "itemData" : { "ISSN" : "0963-7494", "abstract" : "Abstract This study examines whether states follow the religion policies they declare in their constitutions. It identifies four types of policies which officially seek to limit religion's role in government: absolute separation of religion and state (SRAS); neutral political concern; exclusion of ideals; and secularism?laicism. I determine whether states follow these policies using the religion and state (RAS) dataset and compare this to constitutional declarations that the state is secular and declarations of separation of religion and state. The results show that a majority of states which make both types of declaration do not follow these policies based on any of the four standards used in this study. However, the presence and wording of these clauses are correlated with state religion policy.\nAbstract This study examines whether states follow the religion policies they declare in their constitutions. It identifies four types of policies which officially seek to limit religion's role in government: absolute separation of religion and state (SRAS); neutral political concern; exclusion of ideals; and secularism?laicism. I determine whether states follow these policies using the religion and state (RAS) dataset and compare this to constitutional declarations that the state is secular and declarations of separation of religion and state. The results show that a majority of states which make both types of declaration do not follow these policies based on any of the four standards used in this study. However, the presence and wording of these clauses are correlated with state religion policy.", "author" : [ { "dropping-particle" : "", "family" : "Fox", "given" : "Jonathan", "non-dropping-particle" : "", "parse-names" : false, "suffix" : "" } ], "container-title" : "Religion, State and Society", "id" : "ITEM-5", "issue" : "4", "issued" : { "date-parts" : [ [ "2011" ] ] }, "page" : "384-401", "publisher" : "Routledge", "title" : "Separation of Religion and State and Secularism in Theory and in Practice", "type" : "article-journal", "volume" : "39" }, "uris" : [ "http://www.mendeley.com/documents/?uuid=dcff665d-2d25-4150-9a87-65ce1acb7eee" ] }, { "id" : "ITEM-6", "itemData" : { "DOI" : "10.1177/0010414005276310", "abstract" : "This study examines the extent of separation of religion and state (SRAS) between 1990 and 2002 in 152 states using the Religion and State database. The results show that when using a strict interpretation of SRAS\u2014nostate support for religion and no state restrictions on religion\u2013no state has full SRAS except the United States. Even when discounting moderate amounts of government involvement in religion (GIR), greater than three quarters of states do not have SRAS. The findings also show that GIR has increased slightly between 1990 and 2002, economic development is associated with higher levels of GIR, states with Muslim majorities have higher levels of government support for religion, and democracies have higher levels of SRAS than do autocratic states but rarely have full SRAS. This contradicts the idea that SRAS is an essential element of democracy and predictions that religion will cease to be an important political and social factor in modern times.", "author" : [ { "dropping-particle" : "", "family" : "Fox", "given" : "Jonathan", "non-dropping-particle" : "", "parse-names" : false, "suffix" : "" } ], "container-title" : "Comparative Political Studies", "id" : "ITEM-6", "issue" : "5", "issued" : { "date-parts" : [ [ "2006", "6" ] ] }, "page" : "537-569", "title" : "World Separation of Religion and State Into the 21st Century", "type" : "article-journal", "volume" : "39" }, "uris" : [ "http://www.mendeley.com/documents/?uuid=c7279bd5-9164-450b-9d32-abb15d48e8e1" ] }, { "id" : "ITEM-7", "itemData" : { "DOI" : "10.1353/jod.2000.0088", "ISSN" : "1086-3214", "author" : [ { "dropping-particle" : "", "family" : "Stepan", "given" : "Alfred C.", "non-dropping-particle" : "", "parse-names" : false, "suffix" : "" } ], "container-title" : "Journal of Democracy", "id" : "ITEM-7", "issue" : "4", "issued" : { "date-parts" : [ [ "2000" ] ] }, "page" : "37-57", "title" : "Religion, Democracy, and the \"Twin Tolerations\"", "type" : "article-journal", "volume" : "11" }, "uris" : [ "http://www.mendeley.com/documents/?uuid=e91bfad9-821e-45dc-bf78-316108ca9bff" ] } ], "mendeley" : { "formattedCitation" : "(Stepan, 2000; Fox, 2006, 2011; Minkenberg, 2007; Collins and Owen, 2012; Grzymala-Busse, 2012; Vlas and Gherghina, 2012)", "manualFormatting" : "(Collins and Owen, 2012; Grzymala-Busse, 2012; Vlas and Gherghina, 2012; Minkenberg, 2007; Fox, 2006, 2011; but see Stepan, 2000)", "plainTextFormattedCitation" : "(Stepan, 2000; Fox, 2006, 2011; Minkenberg, 2007; Collins and Owen, 2012; Grzymala-Busse, 2012; Vlas and Gherghina, 2012)", "previouslyFormattedCitation" : "(Stepan, 2000; Fox, 2006, 2011; Minkenberg, 2007; Collins and Owen, 2012; Grzymala-Busse, 2012; Vlas and Gherghina, 2012)" }, "properties" : { "noteIndex" : 0 }, "schema" : "https://github.com/citation-style-language/schema/raw/master/csl-citation.json" }</w:instrText>
      </w:r>
      <w:r w:rsidR="002804ED" w:rsidRPr="003B0AB5">
        <w:rPr>
          <w:highlight w:val="yellow"/>
        </w:rPr>
        <w:fldChar w:fldCharType="separate"/>
      </w:r>
      <w:r w:rsidR="002804ED" w:rsidRPr="003B0AB5">
        <w:rPr>
          <w:noProof/>
          <w:highlight w:val="yellow"/>
        </w:rPr>
        <w:t>(Collins and Owen, 2012; Grzymala-Busse, 2012; Vlas and Gherghina, 2012; Minkenberg, 2007; Fox, 2006, 2011; but see Stepan, 2000)</w:t>
      </w:r>
      <w:r w:rsidR="002804ED" w:rsidRPr="003B0AB5">
        <w:rPr>
          <w:highlight w:val="yellow"/>
        </w:rPr>
        <w:fldChar w:fldCharType="end"/>
      </w:r>
      <w:r w:rsidR="002804ED" w:rsidRPr="003B0AB5">
        <w:rPr>
          <w:highlight w:val="yellow"/>
        </w:rPr>
        <w:t xml:space="preserve">. </w:t>
      </w:r>
      <w:r w:rsidRPr="003B0AB5">
        <w:rPr>
          <w:highlight w:val="yellow"/>
        </w:rPr>
        <w:t xml:space="preserve">A deeper exploration of a citizen understanding of democracy </w:t>
      </w:r>
      <w:r w:rsidR="007D5B3E" w:rsidRPr="003B0AB5">
        <w:rPr>
          <w:highlight w:val="yellow"/>
        </w:rPr>
        <w:t>would</w:t>
      </w:r>
      <w:r w:rsidRPr="003B0AB5">
        <w:rPr>
          <w:highlight w:val="yellow"/>
        </w:rPr>
        <w:t xml:space="preserve"> require an in-depth qualitative study, but then this would limit the ability in which to make any broader comparisons or look at effects on political behaviour at the international level as done here.</w:t>
      </w:r>
      <w:r w:rsidR="003B0AB5" w:rsidRPr="003B0AB5">
        <w:rPr>
          <w:highlight w:val="yellow"/>
        </w:rPr>
        <w:t xml:space="preserve"> However, I do</w:t>
      </w:r>
      <w:r w:rsidRPr="003B0AB5">
        <w:rPr>
          <w:highlight w:val="yellow"/>
        </w:rPr>
        <w:t xml:space="preserve"> believe</w:t>
      </w:r>
      <w:r w:rsidR="003B0AB5" w:rsidRPr="003B0AB5">
        <w:rPr>
          <w:highlight w:val="yellow"/>
        </w:rPr>
        <w:t xml:space="preserve"> that</w:t>
      </w:r>
      <w:r w:rsidRPr="003B0AB5">
        <w:rPr>
          <w:highlight w:val="yellow"/>
        </w:rPr>
        <w:t xml:space="preserve"> from the findings of this thesis the case can be made </w:t>
      </w:r>
      <w:r w:rsidR="003B0AB5" w:rsidRPr="003B0AB5">
        <w:rPr>
          <w:highlight w:val="yellow"/>
        </w:rPr>
        <w:t xml:space="preserve">when </w:t>
      </w:r>
      <w:r w:rsidRPr="003B0AB5">
        <w:rPr>
          <w:highlight w:val="yellow"/>
        </w:rPr>
        <w:t>moving forward that surveys on political values and behaviours would benefit from containing questions that address the substantive understandings of democracy, and not just support for it.</w:t>
      </w:r>
    </w:p>
    <w:p w14:paraId="415F552B" w14:textId="2F0230A8" w:rsidR="00FA779E" w:rsidRPr="003B0AB5" w:rsidRDefault="00FA779E" w:rsidP="00FA779E">
      <w:pPr>
        <w:rPr>
          <w:highlight w:val="yellow"/>
        </w:rPr>
      </w:pPr>
      <w:r w:rsidRPr="003B0AB5">
        <w:rPr>
          <w:highlight w:val="yellow"/>
        </w:rPr>
        <w:t xml:space="preserve">The questions would not need to simply replicate those which were studied here (especially since they have already changed in the follow-up survey wave). But if an exploratory approach was taken, then again it could be examined to see if other results replicate the overriding findings here: that citizens draw </w:t>
      </w:r>
      <w:r w:rsidR="00ED66FD" w:rsidRPr="003B0AB5">
        <w:rPr>
          <w:highlight w:val="yellow"/>
        </w:rPr>
        <w:t>from</w:t>
      </w:r>
      <w:r w:rsidRPr="003B0AB5">
        <w:rPr>
          <w:highlight w:val="yellow"/>
        </w:rPr>
        <w:t xml:space="preserve"> different theoretical traditions when outlining their ideas on democracy, and importantly, many believe certain ideas that really cannot be classed as democratic are democratic.</w:t>
      </w:r>
    </w:p>
    <w:p w14:paraId="01532499" w14:textId="78CDA4AA" w:rsidR="00FA779E" w:rsidRPr="003B0AB5" w:rsidRDefault="00FA779E" w:rsidP="00FA779E">
      <w:pPr>
        <w:rPr>
          <w:highlight w:val="yellow"/>
        </w:rPr>
      </w:pPr>
      <w:r w:rsidRPr="003B0AB5">
        <w:rPr>
          <w:highlight w:val="yellow"/>
        </w:rPr>
        <w:t xml:space="preserve">Some recent studies have looked at the notion of ‘stealth democrats’ </w:t>
      </w:r>
      <w:r w:rsidRPr="003B0AB5">
        <w:rPr>
          <w:highlight w:val="yellow"/>
        </w:rPr>
        <w:fldChar w:fldCharType="begin" w:fldLock="1"/>
      </w:r>
      <w:r w:rsidR="00E63CC6" w:rsidRPr="003B0AB5">
        <w:rPr>
          <w:highlight w:val="yellow"/>
        </w:rPr>
        <w:instrText>ADDIN CSL_CITATION { "citationItems" : [ { "id" : "ITEM-1", "itemData" : { "DOI" : "10.1111/1475-6765.12021", "ISSN" : "03044130", "author" : [ { "dropping-particle" : "", "family" : "Webb", "given" : "Paul", "non-dropping-particle" : "", "parse-names" : false, "suffix" : "" } ], "container-title" : "European Journal of Political Research", "id" : "ITEM-1", "issue" : "6", "issued" : { "date-parts" : [ [ "2013", "10", "27" ] ] }, "page" : "747-772", "title" : "Who is willing to participate? Dissatisfied democrats, stealth democrats and populists in the United Kingdom", "type" : "article-journal", "volume" : "52" }, "uris" : [ "http://www.mendeley.com/documents/?uuid=8478c72b-7808-4aa1-9047-5c06317958e1" ] }, { "id" : "ITEM-2", "itemData" : { "author" : [ { "dropping-particle" : "", "family" : "Hibbing", "given" : "J", "non-dropping-particle" : "", "parse-names" : false, "suffix" : "" }, { "dropping-particle" : "", "family" : "Theiss-Morse", "given" : "E", "non-dropping-particle" : "", "parse-names" : false, "suffix" : "" } ], "id" : "ITEM-2", "issued" : { "date-parts" : [ [ "2002" ] ] }, "publisher" : "Cambridge University Press", "publisher-place" : "New York", "title" : "Stealth Democracy: Americans' Beliefs about How Government Should Work", "type" : "book" }, "uris" : [ "http://www.mendeley.com/documents/?uuid=32630e8e-0c42-4ffe-abbf-5a1c5f2a4a83" ] }, { "id" : "ITEM-3", "itemData" : { "ISBN" : "00030554", "ISSN" : "1537-5943", "PMID" : "17746760", "abstract" : "We present evidence of the kind of governmental processes Americans would like to see in Washington. People believe they have been excluded from current processes, but they do not want direct democracy. The extent to which individuals believe actual processes are inconsistent with their own process preferences is an important variable in understanding the current public mood. Moreover, individual-level differences in level of dissatisfaction with democratic processes help explain variations in public approval of government and in willingness to comply with the outputs of government. Of course, many political attitudes and behaviors are influenced by fondness for the policies that government produces, but it is also the case that sentiments and actions are affected by the way government produces those policies. Far from being merely a means to a policy end, governmental process is important in its own right.", "author" : [ { "dropping-particle" : "", "family" : "Hibbing", "given" : "John R.", "non-dropping-particle" : "", "parse-names" : false, "suffix" : "" } ], "container-title" : "American Political Science Review", "id" : "ITEM-3", "issue" : "01", "issued" : { "date-parts" : [ [ "2001" ] ] }, "page" : "145\u2013153", "title" : "Process Preferences and American Politics: What the People Want Government to Be", "type" : "article-journal", "volume" : "95" }, "uris" : [ "http://www.mendeley.com/documents/?uuid=4ffdf74e-8e40-4b3e-b37a-c63260690d88" ] } ], "mendeley" : { "formattedCitation" : "(Hibbing, 2001; Hibbing and Theiss-Morse, 2002; Webb, 2013)", "manualFormatting" : "(Webb 2013; Hibbing &amp; Theiss-Morse 2002)", "plainTextFormattedCitation" : "(Hibbing, 2001; Hibbing and Theiss-Morse, 2002; Webb, 2013)", "previouslyFormattedCitation" : "(Hibbing, 2001; Hibbing and Theiss-Morse, 2002; Webb, 2013)" }, "properties" : { "noteIndex" : 0 }, "schema" : "https://github.com/citation-style-language/schema/raw/master/csl-citation.json" }</w:instrText>
      </w:r>
      <w:r w:rsidRPr="003B0AB5">
        <w:rPr>
          <w:highlight w:val="yellow"/>
        </w:rPr>
        <w:fldChar w:fldCharType="separate"/>
      </w:r>
      <w:r w:rsidRPr="003B0AB5">
        <w:rPr>
          <w:noProof/>
          <w:highlight w:val="yellow"/>
        </w:rPr>
        <w:t>(Webb 2013; Hibbing &amp; Theiss-Morse 2002)</w:t>
      </w:r>
      <w:r w:rsidRPr="003B0AB5">
        <w:rPr>
          <w:highlight w:val="yellow"/>
        </w:rPr>
        <w:fldChar w:fldCharType="end"/>
      </w:r>
      <w:r w:rsidRPr="003B0AB5">
        <w:rPr>
          <w:highlight w:val="yellow"/>
        </w:rPr>
        <w:t xml:space="preserve"> that is, citizens who take the view of democracy that they want it run in the background of their lives and demand as little of them as possible. They are happy not to understand the mechanisms of policy-making, or be involved. Some have argued that this is essential</w:t>
      </w:r>
      <w:r w:rsidR="002E365F">
        <w:rPr>
          <w:highlight w:val="yellow"/>
        </w:rPr>
        <w:t>ly</w:t>
      </w:r>
      <w:r w:rsidRPr="003B0AB5">
        <w:rPr>
          <w:highlight w:val="yellow"/>
        </w:rPr>
        <w:t xml:space="preserve"> ‘populist’ </w:t>
      </w:r>
      <w:r w:rsidR="002E365F">
        <w:rPr>
          <w:highlight w:val="yellow"/>
        </w:rPr>
        <w:t xml:space="preserve">and, </w:t>
      </w:r>
      <w:r w:rsidRPr="003B0AB5">
        <w:rPr>
          <w:highlight w:val="yellow"/>
        </w:rPr>
        <w:t>should it take an anti-establishment viewpoint</w:t>
      </w:r>
      <w:r w:rsidR="002E365F">
        <w:rPr>
          <w:highlight w:val="yellow"/>
        </w:rPr>
        <w:t>, may lead to citizens</w:t>
      </w:r>
      <w:r w:rsidRPr="003B0AB5">
        <w:rPr>
          <w:highlight w:val="yellow"/>
        </w:rPr>
        <w:t xml:space="preserve"> show</w:t>
      </w:r>
      <w:r w:rsidR="002E365F">
        <w:rPr>
          <w:highlight w:val="yellow"/>
        </w:rPr>
        <w:t>ing</w:t>
      </w:r>
      <w:r w:rsidRPr="003B0AB5">
        <w:rPr>
          <w:highlight w:val="yellow"/>
        </w:rPr>
        <w:t xml:space="preserve"> little patience for political compromise (Webb 2013, p.761). Others however </w:t>
      </w:r>
      <w:r w:rsidRPr="003B0AB5">
        <w:rPr>
          <w:highlight w:val="yellow"/>
        </w:rPr>
        <w:fldChar w:fldCharType="begin" w:fldLock="1"/>
      </w:r>
      <w:r w:rsidR="00E63CC6" w:rsidRPr="003B0AB5">
        <w:rPr>
          <w:highlight w:val="yellow"/>
        </w:rPr>
        <w:instrText>ADDIN CSL_CITATION { "citationItems" : [ { "id" : "ITEM-1", "itemData" : { "DOI" : "10.1017/S0003055410000298", "ISSN" : "0003-0554", "author" : [ { "dropping-particle" : "", "family" : "Neblo", "given" : "M.A", "non-dropping-particle" : "", "parse-names" : false, "suffix" : "" }, { "dropping-particle" : "", "family" : "Esterling", "given" : "K.M", "non-dropping-particle" : "", "parse-names" : false, "suffix" : "" }, { "dropping-particle" : "", "family" : "Kennedy", "given" : "R.P", "non-dropping-particle" : "", "parse-names" : false, "suffix" : "" }, { "dropping-particle" : "", "family" : "Lazer", "given" : "D.M.J.", "non-dropping-particle" : "", "parse-names" : false, "suffix" : "" }, { "dropping-particle" : "", "family" : "Sokhey", "given" : "A.E.", "non-dropping-particle" : "", "parse-names" : false, "suffix" : "" } ], "container-title" : "American Political Science Review", "id" : "ITEM-1", "issue" : "3", "issued" : { "date-parts" : [ [ "2010" ] ] }, "page" : "566-583", "title" : "Who Wants To Deliberate\u2014And Why?", "type" : "article-journal", "volume" : "104" }, "uris" : [ "http://www.mendeley.com/documents/?uuid=0a6e7887-9d94-4087-a4ec-00c0f5b44905" ] } ], "mendeley" : { "formattedCitation" : "(Neblo &lt;i&gt;et al.&lt;/i&gt;, 2010)", "plainTextFormattedCitation" : "(Neblo et al., 2010)", "previouslyFormattedCitation" : "(Neblo &lt;i&gt;et al.&lt;/i&gt;, 2010)" }, "properties" : { "noteIndex" : 0 }, "schema" : "https://github.com/citation-style-language/schema/raw/master/csl-citation.json" }</w:instrText>
      </w:r>
      <w:r w:rsidRPr="003B0AB5">
        <w:rPr>
          <w:highlight w:val="yellow"/>
        </w:rPr>
        <w:fldChar w:fldCharType="separate"/>
      </w:r>
      <w:r w:rsidR="00E63CC6" w:rsidRPr="003B0AB5">
        <w:rPr>
          <w:noProof/>
          <w:highlight w:val="yellow"/>
        </w:rPr>
        <w:t xml:space="preserve">(Neblo </w:t>
      </w:r>
      <w:r w:rsidR="00E63CC6" w:rsidRPr="003B0AB5">
        <w:rPr>
          <w:i/>
          <w:noProof/>
          <w:highlight w:val="yellow"/>
        </w:rPr>
        <w:t>et al.</w:t>
      </w:r>
      <w:r w:rsidR="00E63CC6" w:rsidRPr="003B0AB5">
        <w:rPr>
          <w:noProof/>
          <w:highlight w:val="yellow"/>
        </w:rPr>
        <w:t>, 2010)</w:t>
      </w:r>
      <w:r w:rsidRPr="003B0AB5">
        <w:rPr>
          <w:highlight w:val="yellow"/>
        </w:rPr>
        <w:fldChar w:fldCharType="end"/>
      </w:r>
      <w:r w:rsidRPr="003B0AB5">
        <w:rPr>
          <w:highlight w:val="yellow"/>
        </w:rPr>
        <w:t xml:space="preserve"> have argued – using evidence from field experiment</w:t>
      </w:r>
      <w:r w:rsidR="00ED66FD" w:rsidRPr="003B0AB5">
        <w:rPr>
          <w:highlight w:val="yellow"/>
        </w:rPr>
        <w:t>s in the US where citizens w</w:t>
      </w:r>
      <w:r w:rsidRPr="003B0AB5">
        <w:rPr>
          <w:highlight w:val="yellow"/>
        </w:rPr>
        <w:t xml:space="preserve">ere invited into an online forum to deliberate with members of congress online – that whilst stealth democrats are demobilized by elite partisan politics and elections, they actually benefit and want to engage and participate in deliberative democratic acts. These complex and developing conceptualisations of how citizens understand democracy could certainly feed into </w:t>
      </w:r>
      <w:r w:rsidR="00ED66FD" w:rsidRPr="003B0AB5">
        <w:rPr>
          <w:highlight w:val="yellow"/>
        </w:rPr>
        <w:t>larger</w:t>
      </w:r>
      <w:r w:rsidRPr="003B0AB5">
        <w:rPr>
          <w:highlight w:val="yellow"/>
        </w:rPr>
        <w:t xml:space="preserve"> batteries of questions on the meaning of democracy for different people in different places.</w:t>
      </w:r>
    </w:p>
    <w:p w14:paraId="308FBC25" w14:textId="54ED3F06" w:rsidR="005A65A6" w:rsidRDefault="005A65A6" w:rsidP="00FA779E">
      <w:r w:rsidRPr="003B0AB5">
        <w:rPr>
          <w:highlight w:val="yellow"/>
        </w:rPr>
        <w:t xml:space="preserve">Alongside this limitation in terms of the variables examining understandings of democracy, are limitations with those variables that proxy for explanatory and alternative theories in the regression modelling. It is always worth being cautious about the degree to which survey variables capture the complexities of theories: for instance, I attempt to improve on past tests of grievance theory through an interaction effect, but the test remains simplistic. </w:t>
      </w:r>
      <w:r w:rsidR="002804ED" w:rsidRPr="003B0AB5">
        <w:rPr>
          <w:highlight w:val="yellow"/>
        </w:rPr>
        <w:t>The models that attempt to explain the compound understanding of democracy with notions of cognitive engagement, social capital, modernization and religiosity had relatively low exploratory power, and this is something to consider in the future when attempting to examine and identify alternative theories of how it is that democracy comes to be understood by citizens.</w:t>
      </w:r>
    </w:p>
    <w:p w14:paraId="6DAFAA1E" w14:textId="37F13107" w:rsidR="00FA779E" w:rsidRDefault="00A35F90" w:rsidP="00FA779E">
      <w:pPr>
        <w:pStyle w:val="Heading2"/>
      </w:pPr>
      <w:bookmarkStart w:id="406" w:name="_Toc494034244"/>
      <w:r>
        <w:t>7.4</w:t>
      </w:r>
      <w:r w:rsidR="007D5B3E">
        <w:t xml:space="preserve"> </w:t>
      </w:r>
      <w:r w:rsidR="00FA779E">
        <w:t>Concluding Statement</w:t>
      </w:r>
      <w:bookmarkEnd w:id="406"/>
    </w:p>
    <w:p w14:paraId="2A7E7028" w14:textId="7052346A" w:rsidR="00FA779E" w:rsidRPr="009F5CC0" w:rsidRDefault="00FA779E" w:rsidP="00FA779E">
      <w:r>
        <w:t>However</w:t>
      </w:r>
      <w:r w:rsidR="002E365F">
        <w:t xml:space="preserve"> it is that</w:t>
      </w:r>
      <w:r>
        <w:t xml:space="preserve"> research </w:t>
      </w:r>
      <w:r w:rsidR="002E365F">
        <w:t>into</w:t>
      </w:r>
      <w:r>
        <w:t xml:space="preserve"> democracy – whether the focus is on democratic theory, political support, political participation and b</w:t>
      </w:r>
      <w:r w:rsidR="00520A38">
        <w:t>ehaviour, democratization</w:t>
      </w:r>
      <w:r>
        <w:t>, etc. –</w:t>
      </w:r>
      <w:r w:rsidR="002E365F">
        <w:t xml:space="preserve"> </w:t>
      </w:r>
      <w:r>
        <w:t>move</w:t>
      </w:r>
      <w:r w:rsidR="002E365F">
        <w:t>s</w:t>
      </w:r>
      <w:r>
        <w:t xml:space="preserve"> forward, this thesis makes the point that </w:t>
      </w:r>
      <w:r w:rsidR="00520A38">
        <w:t>analysis</w:t>
      </w:r>
      <w:r>
        <w:t xml:space="preserve"> of how ‘the people’ understand democracy can, and should, be understood as a crucial part of the puzzle. For a system ‘</w:t>
      </w:r>
      <w:r w:rsidRPr="00930BF5">
        <w:t>of the people, by the pe</w:t>
      </w:r>
      <w:r>
        <w:t xml:space="preserve">ople, for the people’ </w:t>
      </w:r>
      <w:r>
        <w:fldChar w:fldCharType="begin" w:fldLock="1"/>
      </w:r>
      <w:r w:rsidR="00E63CC6">
        <w:instrText>ADDIN CSL_CITATION { "citationItems" : [ { "id" : "ITEM-1", "itemData" : { "URL" : "http://www.abrahamlincolnonline.org/lincoln/speeches/gettysburg.htm", "accessed" : { "date-parts" : [ [ "2016", "6", "2" ] ] }, "author" : [ { "dropping-particle" : "", "family" : "Lincoln", "given" : "A", "non-dropping-particle" : "", "parse-names" : false, "suffix" : "" } ], "container-title" : "Abraham Lincoln Online", "id" : "ITEM-1", "issued" : { "date-parts" : [ [ "1863" ] ] }, "title" : "The Gettysburg Address", "type" : "webpage" }, "uris" : [ "http://www.mendeley.com/documents/?uuid=e32c358f-0408-4962-9619-ccb253a71355" ] } ], "mendeley" : { "formattedCitation" : "(Lincoln, 1863)", "plainTextFormattedCitation" : "(Lincoln, 1863)", "previouslyFormattedCitation" : "(Lincoln, 1863)" }, "properties" : { "noteIndex" : 0 }, "schema" : "https://github.com/citation-style-language/schema/raw/master/csl-citation.json" }</w:instrText>
      </w:r>
      <w:r>
        <w:fldChar w:fldCharType="separate"/>
      </w:r>
      <w:r w:rsidR="00E63CC6" w:rsidRPr="00E63CC6">
        <w:rPr>
          <w:noProof/>
        </w:rPr>
        <w:t>(Lincoln, 1863)</w:t>
      </w:r>
      <w:r>
        <w:fldChar w:fldCharType="end"/>
      </w:r>
      <w:r>
        <w:t>, those who study it should do well to ask the people just how they m</w:t>
      </w:r>
      <w:r w:rsidR="00520A38">
        <w:t xml:space="preserve">ight </w:t>
      </w:r>
      <w:r w:rsidR="002E365F">
        <w:t xml:space="preserve">be </w:t>
      </w:r>
      <w:r w:rsidR="00520A38">
        <w:t>understand</w:t>
      </w:r>
      <w:r w:rsidR="002E365F">
        <w:t>ing</w:t>
      </w:r>
      <w:r w:rsidR="00520A38">
        <w:t xml:space="preserve"> such a thing. </w:t>
      </w:r>
    </w:p>
    <w:p w14:paraId="4FA16B5F" w14:textId="72B54C29" w:rsidR="00FA779E" w:rsidRPr="00656EC6" w:rsidRDefault="00FA779E" w:rsidP="00FA779E">
      <w:pPr>
        <w:pStyle w:val="Quote"/>
        <w:rPr>
          <w:b/>
          <w:sz w:val="20"/>
          <w:szCs w:val="20"/>
        </w:rPr>
      </w:pPr>
      <w:r w:rsidRPr="00656EC6">
        <w:rPr>
          <w:b/>
          <w:sz w:val="20"/>
          <w:szCs w:val="20"/>
        </w:rPr>
        <w:t>"People who want to understand democracy should spend less time in the library with Aristotle and more time on buses and in th</w:t>
      </w:r>
      <w:r w:rsidR="004D0EE2">
        <w:rPr>
          <w:b/>
          <w:sz w:val="20"/>
          <w:szCs w:val="20"/>
        </w:rPr>
        <w:t xml:space="preserve">e subway" (Simeon Strunsky, 1944 – </w:t>
      </w:r>
      <w:r w:rsidRPr="00656EC6">
        <w:rPr>
          <w:b/>
          <w:sz w:val="20"/>
          <w:szCs w:val="20"/>
        </w:rPr>
        <w:t>quote</w:t>
      </w:r>
      <w:r>
        <w:rPr>
          <w:b/>
          <w:sz w:val="20"/>
          <w:szCs w:val="20"/>
        </w:rPr>
        <w:t>d</w:t>
      </w:r>
      <w:r w:rsidRPr="00656EC6">
        <w:rPr>
          <w:b/>
          <w:sz w:val="20"/>
          <w:szCs w:val="20"/>
        </w:rPr>
        <w:t xml:space="preserve"> in</w:t>
      </w:r>
      <w:r w:rsidR="004D0EE2">
        <w:rPr>
          <w:b/>
          <w:sz w:val="20"/>
          <w:szCs w:val="20"/>
        </w:rPr>
        <w:t xml:space="preserve"> Jay 2012)</w:t>
      </w:r>
    </w:p>
    <w:p w14:paraId="7AAC0CD0" w14:textId="77777777" w:rsidR="00EF6E76" w:rsidRDefault="00EF6E76" w:rsidP="00EF6E76"/>
    <w:p w14:paraId="35748179" w14:textId="77777777" w:rsidR="00EF6E76" w:rsidRDefault="00EF6E76" w:rsidP="00C3775A"/>
    <w:p w14:paraId="5197C6D0" w14:textId="77777777" w:rsidR="00EF6E76" w:rsidRDefault="00EF6E76" w:rsidP="00C3775A"/>
    <w:p w14:paraId="76A1183D" w14:textId="77777777" w:rsidR="009827FA" w:rsidRDefault="009827FA" w:rsidP="00C3775A"/>
    <w:p w14:paraId="1D2BD433" w14:textId="77777777" w:rsidR="009827FA" w:rsidRDefault="009827FA" w:rsidP="00C3775A"/>
    <w:p w14:paraId="35785B8E" w14:textId="77777777" w:rsidR="009827FA" w:rsidRDefault="009827FA" w:rsidP="00C3775A"/>
    <w:p w14:paraId="05A95B55" w14:textId="77777777" w:rsidR="00D1659F" w:rsidRDefault="00D1659F" w:rsidP="00C3775A"/>
    <w:p w14:paraId="5F012983" w14:textId="0C8EFBBF" w:rsidR="00520A38" w:rsidRDefault="00520A38" w:rsidP="00C3775A"/>
    <w:p w14:paraId="1A4438CE" w14:textId="59A64723" w:rsidR="00EB1D88" w:rsidRDefault="00726C45" w:rsidP="00EB1D88">
      <w:pPr>
        <w:pStyle w:val="Heading1"/>
        <w:numPr>
          <w:ilvl w:val="0"/>
          <w:numId w:val="0"/>
        </w:numPr>
        <w:spacing w:line="480" w:lineRule="auto"/>
      </w:pPr>
      <w:bookmarkStart w:id="407" w:name="_Toc494034245"/>
      <w:r>
        <w:t>A</w:t>
      </w:r>
      <w:r w:rsidR="00EB1D88" w:rsidRPr="00D54932">
        <w:t>ppendix</w:t>
      </w:r>
      <w:bookmarkEnd w:id="407"/>
    </w:p>
    <w:p w14:paraId="531600C0" w14:textId="70CB8F48" w:rsidR="00726C45" w:rsidRPr="006F0825" w:rsidRDefault="00726C45" w:rsidP="00726C45">
      <w:pPr>
        <w:pStyle w:val="Heading2"/>
      </w:pPr>
      <w:r>
        <w:t>Section A</w:t>
      </w:r>
    </w:p>
    <w:p w14:paraId="0E27AA4F" w14:textId="77777777" w:rsidR="00726C45" w:rsidRDefault="00726C45" w:rsidP="00726C45">
      <w:pPr>
        <w:tabs>
          <w:tab w:val="left" w:pos="3264"/>
        </w:tabs>
      </w:pPr>
      <w:r>
        <w:t>The formula to calculate the intraclass correlation (ICC) for Figure 3.4 is as follows:</w:t>
      </w:r>
    </w:p>
    <w:p w14:paraId="22BD4309" w14:textId="77777777" w:rsidR="00726C45" w:rsidRDefault="00726C45" w:rsidP="00726C45">
      <w:pPr>
        <w:tabs>
          <w:tab w:val="left" w:pos="3264"/>
        </w:tabs>
      </w:pPr>
      <w:r>
        <w:rPr>
          <w:noProof/>
          <w:lang w:eastAsia="zh-CN"/>
        </w:rPr>
        <w:drawing>
          <wp:inline distT="0" distB="0" distL="0" distR="0" wp14:anchorId="475E74BB" wp14:editId="0DB11157">
            <wp:extent cx="5037257" cy="906859"/>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6-22 (2).png"/>
                    <pic:cNvPicPr/>
                  </pic:nvPicPr>
                  <pic:blipFill>
                    <a:blip r:embed="rId50">
                      <a:extLst>
                        <a:ext uri="{28A0092B-C50C-407E-A947-70E740481C1C}">
                          <a14:useLocalDpi xmlns:a14="http://schemas.microsoft.com/office/drawing/2010/main" val="0"/>
                        </a:ext>
                      </a:extLst>
                    </a:blip>
                    <a:stretch>
                      <a:fillRect/>
                    </a:stretch>
                  </pic:blipFill>
                  <pic:spPr>
                    <a:xfrm>
                      <a:off x="0" y="0"/>
                      <a:ext cx="5037257" cy="906859"/>
                    </a:xfrm>
                    <a:prstGeom prst="rect">
                      <a:avLst/>
                    </a:prstGeom>
                  </pic:spPr>
                </pic:pic>
              </a:graphicData>
            </a:graphic>
          </wp:inline>
        </w:drawing>
      </w:r>
    </w:p>
    <w:p w14:paraId="51C17BCC" w14:textId="77777777" w:rsidR="00726C45" w:rsidRDefault="00726C45" w:rsidP="00726C45">
      <w:pPr>
        <w:tabs>
          <w:tab w:val="left" w:pos="3264"/>
        </w:tabs>
      </w:pPr>
      <w:r>
        <w:t>The following figures show adapted Stata output for null models for each democratic characteristic, using a maximum likelihood mixed-effects multilevel model (mixed). The ICC is estimated using ‘estat icc’.</w:t>
      </w:r>
    </w:p>
    <w:p w14:paraId="06B71E8C" w14:textId="77777777" w:rsidR="00726C45" w:rsidRDefault="00726C45" w:rsidP="00726C45">
      <w:pPr>
        <w:tabs>
          <w:tab w:val="left" w:pos="3264"/>
        </w:tabs>
      </w:pPr>
      <w:r>
        <w:t>For each model the number of observations is 45,454 and the number of countries is 46. The minimum number of observations is 474 (Bulgaria) and the maximum is 2273 (Iran). The average number per country is 990.1</w:t>
      </w:r>
    </w:p>
    <w:p w14:paraId="3A1BA7BE" w14:textId="77777777" w:rsidR="00726C45" w:rsidRPr="009F3CC6" w:rsidRDefault="00726C45" w:rsidP="00726C45">
      <w:pPr>
        <w:tabs>
          <w:tab w:val="left" w:pos="3264"/>
        </w:tabs>
        <w:rPr>
          <w:b/>
        </w:rPr>
      </w:pPr>
      <w:r>
        <w:rPr>
          <w:b/>
        </w:rPr>
        <w:t>Figure A1</w:t>
      </w:r>
      <w:r w:rsidRPr="009F3CC6">
        <w:rPr>
          <w:b/>
        </w:rPr>
        <w:t>: Null Model - Elections (Adapted Stata output)</w:t>
      </w:r>
    </w:p>
    <w:p w14:paraId="51FEF76B" w14:textId="77777777" w:rsidR="00726C45" w:rsidRPr="006F0825" w:rsidRDefault="00726C45" w:rsidP="00726C45">
      <w:pPr>
        <w:tabs>
          <w:tab w:val="left" w:pos="3264"/>
        </w:tabs>
        <w:rPr>
          <w:sz w:val="20"/>
        </w:rPr>
      </w:pPr>
      <w:r>
        <w:rPr>
          <w:sz w:val="20"/>
        </w:rPr>
        <w:t xml:space="preserve">Log-likelihood: </w:t>
      </w:r>
      <w:r w:rsidRPr="00B44F31">
        <w:rPr>
          <w:sz w:val="20"/>
        </w:rPr>
        <w:t>-98470.908</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119"/>
        <w:gridCol w:w="160"/>
        <w:gridCol w:w="855"/>
        <w:gridCol w:w="799"/>
        <w:gridCol w:w="1050"/>
        <w:gridCol w:w="2056"/>
      </w:tblGrid>
      <w:tr w:rsidR="00726C45" w:rsidRPr="00C560DD" w14:paraId="606E1C25" w14:textId="77777777" w:rsidTr="00A37677">
        <w:trPr>
          <w:trHeight w:val="551"/>
        </w:trPr>
        <w:tc>
          <w:tcPr>
            <w:tcW w:w="1503" w:type="dxa"/>
            <w:tcBorders>
              <w:top w:val="single" w:sz="4" w:space="0" w:color="auto"/>
              <w:bottom w:val="single" w:sz="4" w:space="0" w:color="auto"/>
            </w:tcBorders>
          </w:tcPr>
          <w:p w14:paraId="3D66A414" w14:textId="77777777" w:rsidR="00726C45" w:rsidRPr="00C560DD" w:rsidRDefault="00726C45" w:rsidP="00A37677">
            <w:pPr>
              <w:tabs>
                <w:tab w:val="left" w:pos="3264"/>
              </w:tabs>
              <w:rPr>
                <w:b/>
                <w:i/>
                <w:sz w:val="20"/>
              </w:rPr>
            </w:pPr>
            <w:r>
              <w:rPr>
                <w:b/>
                <w:i/>
                <w:sz w:val="20"/>
              </w:rPr>
              <w:t>Elections</w:t>
            </w:r>
          </w:p>
        </w:tc>
        <w:tc>
          <w:tcPr>
            <w:tcW w:w="1126" w:type="dxa"/>
            <w:tcBorders>
              <w:top w:val="single" w:sz="4" w:space="0" w:color="auto"/>
              <w:bottom w:val="single" w:sz="4" w:space="0" w:color="auto"/>
            </w:tcBorders>
          </w:tcPr>
          <w:p w14:paraId="25B175CC"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2400E77B"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51BD2164"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5FB6CCA6"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02D5D58C"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27716EE8" w14:textId="77777777" w:rsidTr="00A37677">
        <w:trPr>
          <w:trHeight w:val="539"/>
        </w:trPr>
        <w:tc>
          <w:tcPr>
            <w:tcW w:w="1503" w:type="dxa"/>
            <w:tcBorders>
              <w:top w:val="single" w:sz="4" w:space="0" w:color="auto"/>
              <w:bottom w:val="single" w:sz="4" w:space="0" w:color="auto"/>
            </w:tcBorders>
          </w:tcPr>
          <w:p w14:paraId="7B3AB1CC"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15C3E7B5" w14:textId="77777777" w:rsidR="00726C45" w:rsidRPr="00C560DD" w:rsidRDefault="00726C45" w:rsidP="00A37677">
            <w:pPr>
              <w:tabs>
                <w:tab w:val="left" w:pos="3264"/>
              </w:tabs>
              <w:rPr>
                <w:sz w:val="20"/>
              </w:rPr>
            </w:pPr>
            <w:r w:rsidRPr="006702F6">
              <w:rPr>
                <w:sz w:val="20"/>
              </w:rPr>
              <w:t>8.540588</w:t>
            </w:r>
          </w:p>
        </w:tc>
        <w:tc>
          <w:tcPr>
            <w:tcW w:w="1015" w:type="dxa"/>
            <w:gridSpan w:val="2"/>
            <w:tcBorders>
              <w:top w:val="single" w:sz="4" w:space="0" w:color="auto"/>
              <w:bottom w:val="single" w:sz="4" w:space="0" w:color="auto"/>
            </w:tcBorders>
          </w:tcPr>
          <w:p w14:paraId="179CC354" w14:textId="77777777" w:rsidR="00726C45" w:rsidRPr="00C560DD" w:rsidRDefault="00726C45" w:rsidP="00A37677">
            <w:pPr>
              <w:tabs>
                <w:tab w:val="left" w:pos="3264"/>
              </w:tabs>
              <w:rPr>
                <w:sz w:val="20"/>
              </w:rPr>
            </w:pPr>
            <w:r w:rsidRPr="00B44F31">
              <w:rPr>
                <w:sz w:val="20"/>
              </w:rPr>
              <w:t>.0778876</w:t>
            </w:r>
          </w:p>
        </w:tc>
        <w:tc>
          <w:tcPr>
            <w:tcW w:w="691" w:type="dxa"/>
            <w:tcBorders>
              <w:top w:val="single" w:sz="4" w:space="0" w:color="auto"/>
              <w:bottom w:val="single" w:sz="4" w:space="0" w:color="auto"/>
            </w:tcBorders>
          </w:tcPr>
          <w:p w14:paraId="73FE264F" w14:textId="77777777" w:rsidR="00726C45" w:rsidRPr="00C560DD" w:rsidRDefault="00726C45" w:rsidP="00A37677">
            <w:pPr>
              <w:tabs>
                <w:tab w:val="left" w:pos="3264"/>
              </w:tabs>
              <w:rPr>
                <w:sz w:val="20"/>
              </w:rPr>
            </w:pPr>
            <w:r w:rsidRPr="00B44F31">
              <w:rPr>
                <w:sz w:val="20"/>
              </w:rPr>
              <w:t>109.65</w:t>
            </w:r>
          </w:p>
        </w:tc>
        <w:tc>
          <w:tcPr>
            <w:tcW w:w="1052" w:type="dxa"/>
            <w:tcBorders>
              <w:top w:val="single" w:sz="4" w:space="0" w:color="auto"/>
              <w:bottom w:val="single" w:sz="4" w:space="0" w:color="auto"/>
            </w:tcBorders>
          </w:tcPr>
          <w:p w14:paraId="781098C3" w14:textId="77777777" w:rsidR="00726C45" w:rsidRPr="00C560DD" w:rsidRDefault="00726C45" w:rsidP="00A37677">
            <w:pPr>
              <w:tabs>
                <w:tab w:val="left" w:pos="3264"/>
              </w:tabs>
              <w:rPr>
                <w:sz w:val="20"/>
              </w:rPr>
            </w:pPr>
            <w:r w:rsidRPr="00B44F31">
              <w:rPr>
                <w:sz w:val="20"/>
              </w:rPr>
              <w:t xml:space="preserve">0.000  </w:t>
            </w:r>
          </w:p>
        </w:tc>
        <w:tc>
          <w:tcPr>
            <w:tcW w:w="2126" w:type="dxa"/>
            <w:tcBorders>
              <w:top w:val="single" w:sz="4" w:space="0" w:color="auto"/>
              <w:bottom w:val="single" w:sz="4" w:space="0" w:color="auto"/>
            </w:tcBorders>
          </w:tcPr>
          <w:p w14:paraId="2FC1589E" w14:textId="77777777" w:rsidR="00726C45" w:rsidRPr="00C560DD" w:rsidRDefault="00726C45" w:rsidP="00A37677">
            <w:pPr>
              <w:tabs>
                <w:tab w:val="left" w:pos="3264"/>
              </w:tabs>
              <w:rPr>
                <w:sz w:val="20"/>
              </w:rPr>
            </w:pPr>
            <w:r w:rsidRPr="00B44F31">
              <w:rPr>
                <w:sz w:val="20"/>
              </w:rPr>
              <w:t>8.387931    8.693245</w:t>
            </w:r>
          </w:p>
        </w:tc>
      </w:tr>
      <w:tr w:rsidR="00726C45" w:rsidRPr="00C560DD" w14:paraId="0C4092E0" w14:textId="77777777" w:rsidTr="00A37677">
        <w:trPr>
          <w:trHeight w:val="539"/>
        </w:trPr>
        <w:tc>
          <w:tcPr>
            <w:tcW w:w="2789" w:type="dxa"/>
            <w:gridSpan w:val="3"/>
            <w:tcBorders>
              <w:top w:val="single" w:sz="4" w:space="0" w:color="auto"/>
              <w:bottom w:val="single" w:sz="4" w:space="0" w:color="auto"/>
            </w:tcBorders>
          </w:tcPr>
          <w:p w14:paraId="45B87506"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506E509A"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33171397"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1757540F" w14:textId="77777777" w:rsidR="00726C45" w:rsidRDefault="00726C45" w:rsidP="00A37677">
            <w:pPr>
              <w:tabs>
                <w:tab w:val="left" w:pos="3264"/>
              </w:tabs>
              <w:rPr>
                <w:b/>
                <w:sz w:val="20"/>
              </w:rPr>
            </w:pPr>
          </w:p>
        </w:tc>
      </w:tr>
      <w:tr w:rsidR="00726C45" w:rsidRPr="00C560DD" w14:paraId="0B759685" w14:textId="77777777" w:rsidTr="00A37677">
        <w:trPr>
          <w:trHeight w:val="539"/>
        </w:trPr>
        <w:tc>
          <w:tcPr>
            <w:tcW w:w="2789" w:type="dxa"/>
            <w:gridSpan w:val="3"/>
            <w:tcBorders>
              <w:top w:val="single" w:sz="4" w:space="0" w:color="auto"/>
              <w:bottom w:val="single" w:sz="4" w:space="0" w:color="auto"/>
            </w:tcBorders>
          </w:tcPr>
          <w:p w14:paraId="244F6388"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14AA2F2D"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5FE091DC"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45488DD2"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397FB856" w14:textId="77777777" w:rsidTr="00A37677">
        <w:trPr>
          <w:trHeight w:val="551"/>
        </w:trPr>
        <w:tc>
          <w:tcPr>
            <w:tcW w:w="2789" w:type="dxa"/>
            <w:gridSpan w:val="3"/>
            <w:tcBorders>
              <w:top w:val="single" w:sz="4" w:space="0" w:color="auto"/>
            </w:tcBorders>
          </w:tcPr>
          <w:p w14:paraId="391C2F01"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0944062B" w14:textId="77777777" w:rsidR="00726C45" w:rsidRPr="00C560DD" w:rsidRDefault="00726C45" w:rsidP="00A37677">
            <w:pPr>
              <w:tabs>
                <w:tab w:val="left" w:pos="3264"/>
              </w:tabs>
              <w:rPr>
                <w:sz w:val="20"/>
              </w:rPr>
            </w:pPr>
            <w:r w:rsidRPr="00B44F31">
              <w:rPr>
                <w:sz w:val="20"/>
              </w:rPr>
              <w:t xml:space="preserve">.2740261  </w:t>
            </w:r>
          </w:p>
        </w:tc>
        <w:tc>
          <w:tcPr>
            <w:tcW w:w="1052" w:type="dxa"/>
            <w:tcBorders>
              <w:top w:val="single" w:sz="4" w:space="0" w:color="auto"/>
            </w:tcBorders>
          </w:tcPr>
          <w:p w14:paraId="11AD5A11" w14:textId="77777777" w:rsidR="00726C45" w:rsidRPr="00C560DD" w:rsidRDefault="00726C45" w:rsidP="00A37677">
            <w:pPr>
              <w:tabs>
                <w:tab w:val="left" w:pos="3264"/>
              </w:tabs>
              <w:rPr>
                <w:sz w:val="20"/>
              </w:rPr>
            </w:pPr>
            <w:r w:rsidRPr="00B44F31">
              <w:rPr>
                <w:sz w:val="20"/>
              </w:rPr>
              <w:t xml:space="preserve">.057976  </w:t>
            </w:r>
          </w:p>
        </w:tc>
        <w:tc>
          <w:tcPr>
            <w:tcW w:w="2126" w:type="dxa"/>
            <w:tcBorders>
              <w:top w:val="single" w:sz="4" w:space="0" w:color="auto"/>
            </w:tcBorders>
          </w:tcPr>
          <w:p w14:paraId="42650BBA" w14:textId="77777777" w:rsidR="00726C45" w:rsidRPr="00C560DD" w:rsidRDefault="00726C45" w:rsidP="00A37677">
            <w:pPr>
              <w:tabs>
                <w:tab w:val="left" w:pos="3264"/>
              </w:tabs>
              <w:rPr>
                <w:sz w:val="20"/>
              </w:rPr>
            </w:pPr>
            <w:r w:rsidRPr="00B44F31">
              <w:rPr>
                <w:sz w:val="20"/>
              </w:rPr>
              <w:t>.1810099    .4148408</w:t>
            </w:r>
          </w:p>
        </w:tc>
      </w:tr>
      <w:tr w:rsidR="00726C45" w:rsidRPr="00C560DD" w14:paraId="1C01672E" w14:textId="77777777" w:rsidTr="00A37677">
        <w:trPr>
          <w:trHeight w:val="539"/>
        </w:trPr>
        <w:tc>
          <w:tcPr>
            <w:tcW w:w="2789" w:type="dxa"/>
            <w:gridSpan w:val="3"/>
            <w:tcBorders>
              <w:bottom w:val="single" w:sz="4" w:space="0" w:color="auto"/>
            </w:tcBorders>
          </w:tcPr>
          <w:p w14:paraId="73CF85F1"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7B52726C" w14:textId="77777777" w:rsidR="00726C45" w:rsidRPr="00C560DD" w:rsidRDefault="00726C45" w:rsidP="00A37677">
            <w:pPr>
              <w:tabs>
                <w:tab w:val="left" w:pos="3264"/>
              </w:tabs>
              <w:rPr>
                <w:sz w:val="20"/>
              </w:rPr>
            </w:pPr>
            <w:r w:rsidRPr="00B44F31">
              <w:rPr>
                <w:sz w:val="20"/>
              </w:rPr>
              <w:t>4.402282</w:t>
            </w:r>
          </w:p>
        </w:tc>
        <w:tc>
          <w:tcPr>
            <w:tcW w:w="1052" w:type="dxa"/>
            <w:tcBorders>
              <w:bottom w:val="single" w:sz="4" w:space="0" w:color="auto"/>
            </w:tcBorders>
          </w:tcPr>
          <w:p w14:paraId="24FC8D73" w14:textId="77777777" w:rsidR="00726C45" w:rsidRPr="00C560DD" w:rsidRDefault="00726C45" w:rsidP="00A37677">
            <w:pPr>
              <w:tabs>
                <w:tab w:val="left" w:pos="3264"/>
              </w:tabs>
              <w:rPr>
                <w:sz w:val="20"/>
              </w:rPr>
            </w:pPr>
            <w:r w:rsidRPr="00B44F31">
              <w:rPr>
                <w:sz w:val="20"/>
              </w:rPr>
              <w:t>.0291871</w:t>
            </w:r>
          </w:p>
        </w:tc>
        <w:tc>
          <w:tcPr>
            <w:tcW w:w="2126" w:type="dxa"/>
            <w:tcBorders>
              <w:bottom w:val="single" w:sz="4" w:space="0" w:color="auto"/>
            </w:tcBorders>
          </w:tcPr>
          <w:p w14:paraId="07CB4421" w14:textId="77777777" w:rsidR="00726C45" w:rsidRPr="00C560DD" w:rsidRDefault="00726C45" w:rsidP="00A37677">
            <w:pPr>
              <w:tabs>
                <w:tab w:val="left" w:pos="3264"/>
              </w:tabs>
              <w:rPr>
                <w:sz w:val="20"/>
              </w:rPr>
            </w:pPr>
            <w:r w:rsidRPr="00B44F31">
              <w:rPr>
                <w:sz w:val="20"/>
              </w:rPr>
              <w:t>4.345446    4.459861</w:t>
            </w:r>
          </w:p>
        </w:tc>
      </w:tr>
    </w:tbl>
    <w:p w14:paraId="7CE0043B" w14:textId="77777777" w:rsidR="00726C45" w:rsidRDefault="00726C45" w:rsidP="00726C45">
      <w:pPr>
        <w:tabs>
          <w:tab w:val="left" w:pos="3264"/>
        </w:tabs>
        <w:ind w:firstLine="720"/>
        <w:rPr>
          <w:sz w:val="18"/>
        </w:rPr>
      </w:pPr>
      <w:r w:rsidRPr="00C560DD">
        <w:rPr>
          <w:sz w:val="18"/>
        </w:rPr>
        <w:t xml:space="preserve">LR test vs. linear regression: chibar2(01) =  </w:t>
      </w:r>
      <w:r>
        <w:rPr>
          <w:sz w:val="18"/>
        </w:rPr>
        <w:t>3076.86</w:t>
      </w:r>
      <w:r w:rsidRPr="00C560DD">
        <w:rPr>
          <w:sz w:val="18"/>
        </w:rPr>
        <w:t xml:space="preserve"> Prob &gt;= chibar2 = 0.0000</w:t>
      </w:r>
    </w:p>
    <w:p w14:paraId="390F584D"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035CDA19" w14:textId="77777777" w:rsidTr="00A37677">
        <w:tc>
          <w:tcPr>
            <w:tcW w:w="2254" w:type="dxa"/>
            <w:tcBorders>
              <w:top w:val="single" w:sz="4" w:space="0" w:color="auto"/>
            </w:tcBorders>
          </w:tcPr>
          <w:p w14:paraId="1CBB4808"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57C72E60"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0F4B000E"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4B4DD122"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1762CBBC" w14:textId="77777777" w:rsidTr="00A37677">
        <w:tc>
          <w:tcPr>
            <w:tcW w:w="2254" w:type="dxa"/>
            <w:tcBorders>
              <w:bottom w:val="single" w:sz="4" w:space="0" w:color="auto"/>
            </w:tcBorders>
          </w:tcPr>
          <w:p w14:paraId="1C27B545"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3A61D6C8" w14:textId="77777777" w:rsidR="00726C45" w:rsidRPr="00C560DD" w:rsidRDefault="00726C45" w:rsidP="00A37677">
            <w:pPr>
              <w:tabs>
                <w:tab w:val="left" w:pos="3264"/>
              </w:tabs>
              <w:rPr>
                <w:sz w:val="20"/>
              </w:rPr>
            </w:pPr>
            <w:r w:rsidRPr="00B44F31">
              <w:rPr>
                <w:sz w:val="20"/>
              </w:rPr>
              <w:t>.0585988</w:t>
            </w:r>
          </w:p>
        </w:tc>
        <w:tc>
          <w:tcPr>
            <w:tcW w:w="2254" w:type="dxa"/>
            <w:tcBorders>
              <w:bottom w:val="single" w:sz="4" w:space="0" w:color="auto"/>
            </w:tcBorders>
          </w:tcPr>
          <w:p w14:paraId="567991C5" w14:textId="77777777" w:rsidR="00726C45" w:rsidRPr="00C560DD" w:rsidRDefault="00726C45" w:rsidP="00A37677">
            <w:pPr>
              <w:tabs>
                <w:tab w:val="left" w:pos="3264"/>
              </w:tabs>
              <w:rPr>
                <w:sz w:val="20"/>
              </w:rPr>
            </w:pPr>
            <w:r w:rsidRPr="00B44F31">
              <w:rPr>
                <w:sz w:val="20"/>
              </w:rPr>
              <w:t>.0585988</w:t>
            </w:r>
          </w:p>
        </w:tc>
        <w:tc>
          <w:tcPr>
            <w:tcW w:w="2254" w:type="dxa"/>
            <w:tcBorders>
              <w:bottom w:val="single" w:sz="4" w:space="0" w:color="auto"/>
            </w:tcBorders>
          </w:tcPr>
          <w:p w14:paraId="10DA079D" w14:textId="77777777" w:rsidR="00726C45" w:rsidRPr="00C560DD" w:rsidRDefault="00726C45" w:rsidP="00A37677">
            <w:pPr>
              <w:tabs>
                <w:tab w:val="left" w:pos="3264"/>
              </w:tabs>
              <w:rPr>
                <w:sz w:val="20"/>
              </w:rPr>
            </w:pPr>
            <w:r w:rsidRPr="00B44F31">
              <w:rPr>
                <w:sz w:val="20"/>
              </w:rPr>
              <w:t>.0394855    .0861343</w:t>
            </w:r>
          </w:p>
        </w:tc>
      </w:tr>
    </w:tbl>
    <w:p w14:paraId="442E9987" w14:textId="77777777" w:rsidR="00726C45" w:rsidRDefault="00726C45" w:rsidP="00726C45">
      <w:pPr>
        <w:tabs>
          <w:tab w:val="left" w:pos="3264"/>
        </w:tabs>
      </w:pPr>
    </w:p>
    <w:p w14:paraId="4AC4ACA7" w14:textId="77777777" w:rsidR="00726C45" w:rsidRDefault="00726C45" w:rsidP="00726C45">
      <w:pPr>
        <w:tabs>
          <w:tab w:val="left" w:pos="3264"/>
        </w:tabs>
      </w:pPr>
    </w:p>
    <w:p w14:paraId="76206FFC" w14:textId="77777777" w:rsidR="00726C45" w:rsidRDefault="00726C45" w:rsidP="00726C45">
      <w:pPr>
        <w:tabs>
          <w:tab w:val="left" w:pos="3264"/>
        </w:tabs>
        <w:rPr>
          <w:b/>
        </w:rPr>
      </w:pPr>
    </w:p>
    <w:p w14:paraId="55751746" w14:textId="77777777" w:rsidR="00726C45" w:rsidRPr="009F3CC6" w:rsidRDefault="00726C45" w:rsidP="00726C45">
      <w:pPr>
        <w:tabs>
          <w:tab w:val="left" w:pos="3264"/>
        </w:tabs>
        <w:rPr>
          <w:b/>
        </w:rPr>
      </w:pPr>
      <w:r w:rsidRPr="009F3CC6">
        <w:rPr>
          <w:b/>
        </w:rPr>
        <w:t xml:space="preserve">Figure </w:t>
      </w:r>
      <w:r>
        <w:rPr>
          <w:b/>
        </w:rPr>
        <w:t>A2</w:t>
      </w:r>
      <w:r w:rsidRPr="009F3CC6">
        <w:rPr>
          <w:b/>
        </w:rPr>
        <w:t>: Null Model – Gender Equality (Adapted Stata output)</w:t>
      </w:r>
    </w:p>
    <w:p w14:paraId="080AB4AC" w14:textId="77777777" w:rsidR="00726C45" w:rsidRPr="006F0825" w:rsidRDefault="00726C45" w:rsidP="00726C45">
      <w:pPr>
        <w:tabs>
          <w:tab w:val="left" w:pos="3264"/>
        </w:tabs>
        <w:rPr>
          <w:sz w:val="20"/>
        </w:rPr>
      </w:pPr>
      <w:r>
        <w:rPr>
          <w:sz w:val="20"/>
        </w:rPr>
        <w:t xml:space="preserve">Log-likelihood: </w:t>
      </w:r>
      <w:r w:rsidRPr="00B44F31">
        <w:rPr>
          <w:sz w:val="20"/>
        </w:rPr>
        <w:t>-99009.353</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4F901F7F" w14:textId="77777777" w:rsidTr="00A37677">
        <w:trPr>
          <w:trHeight w:val="551"/>
        </w:trPr>
        <w:tc>
          <w:tcPr>
            <w:tcW w:w="1503" w:type="dxa"/>
            <w:tcBorders>
              <w:top w:val="single" w:sz="4" w:space="0" w:color="auto"/>
              <w:bottom w:val="single" w:sz="4" w:space="0" w:color="auto"/>
            </w:tcBorders>
          </w:tcPr>
          <w:p w14:paraId="1DC1CE9A" w14:textId="77777777" w:rsidR="00726C45" w:rsidRPr="00C560DD" w:rsidRDefault="00726C45" w:rsidP="00A37677">
            <w:pPr>
              <w:tabs>
                <w:tab w:val="left" w:pos="3264"/>
              </w:tabs>
              <w:rPr>
                <w:b/>
                <w:i/>
                <w:sz w:val="20"/>
              </w:rPr>
            </w:pPr>
            <w:r>
              <w:rPr>
                <w:b/>
                <w:i/>
                <w:sz w:val="20"/>
              </w:rPr>
              <w:t>Equality</w:t>
            </w:r>
          </w:p>
        </w:tc>
        <w:tc>
          <w:tcPr>
            <w:tcW w:w="1126" w:type="dxa"/>
            <w:tcBorders>
              <w:top w:val="single" w:sz="4" w:space="0" w:color="auto"/>
              <w:bottom w:val="single" w:sz="4" w:space="0" w:color="auto"/>
            </w:tcBorders>
          </w:tcPr>
          <w:p w14:paraId="2F1FB28D"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6E11A56F"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360487D7"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66DC07F6"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222A65CD"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364681BA" w14:textId="77777777" w:rsidTr="00A37677">
        <w:trPr>
          <w:trHeight w:val="539"/>
        </w:trPr>
        <w:tc>
          <w:tcPr>
            <w:tcW w:w="1503" w:type="dxa"/>
            <w:tcBorders>
              <w:top w:val="single" w:sz="4" w:space="0" w:color="auto"/>
              <w:bottom w:val="single" w:sz="4" w:space="0" w:color="auto"/>
            </w:tcBorders>
          </w:tcPr>
          <w:p w14:paraId="6715238D"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3101BEF3" w14:textId="77777777" w:rsidR="00726C45" w:rsidRPr="00C560DD" w:rsidRDefault="00726C45" w:rsidP="00A37677">
            <w:pPr>
              <w:tabs>
                <w:tab w:val="left" w:pos="3264"/>
              </w:tabs>
              <w:rPr>
                <w:sz w:val="20"/>
              </w:rPr>
            </w:pPr>
            <w:r w:rsidRPr="00B44F31">
              <w:rPr>
                <w:sz w:val="20"/>
              </w:rPr>
              <w:t xml:space="preserve">8.652236  </w:t>
            </w:r>
          </w:p>
        </w:tc>
        <w:tc>
          <w:tcPr>
            <w:tcW w:w="1015" w:type="dxa"/>
            <w:gridSpan w:val="2"/>
            <w:tcBorders>
              <w:top w:val="single" w:sz="4" w:space="0" w:color="auto"/>
              <w:bottom w:val="single" w:sz="4" w:space="0" w:color="auto"/>
            </w:tcBorders>
          </w:tcPr>
          <w:p w14:paraId="2B074B3E" w14:textId="77777777" w:rsidR="00726C45" w:rsidRPr="00C560DD" w:rsidRDefault="00726C45" w:rsidP="00A37677">
            <w:pPr>
              <w:tabs>
                <w:tab w:val="left" w:pos="3264"/>
              </w:tabs>
              <w:rPr>
                <w:sz w:val="20"/>
              </w:rPr>
            </w:pPr>
            <w:r w:rsidRPr="00B44F31">
              <w:rPr>
                <w:sz w:val="20"/>
              </w:rPr>
              <w:t>.0892364</w:t>
            </w:r>
          </w:p>
        </w:tc>
        <w:tc>
          <w:tcPr>
            <w:tcW w:w="691" w:type="dxa"/>
            <w:tcBorders>
              <w:top w:val="single" w:sz="4" w:space="0" w:color="auto"/>
              <w:bottom w:val="single" w:sz="4" w:space="0" w:color="auto"/>
            </w:tcBorders>
          </w:tcPr>
          <w:p w14:paraId="51DE50A1" w14:textId="77777777" w:rsidR="00726C45" w:rsidRPr="00C560DD" w:rsidRDefault="00726C45" w:rsidP="00A37677">
            <w:pPr>
              <w:tabs>
                <w:tab w:val="left" w:pos="3264"/>
              </w:tabs>
              <w:rPr>
                <w:sz w:val="20"/>
              </w:rPr>
            </w:pPr>
            <w:r w:rsidRPr="00B44F31">
              <w:rPr>
                <w:sz w:val="20"/>
              </w:rPr>
              <w:t>96.96</w:t>
            </w:r>
          </w:p>
        </w:tc>
        <w:tc>
          <w:tcPr>
            <w:tcW w:w="1052" w:type="dxa"/>
            <w:tcBorders>
              <w:top w:val="single" w:sz="4" w:space="0" w:color="auto"/>
              <w:bottom w:val="single" w:sz="4" w:space="0" w:color="auto"/>
            </w:tcBorders>
          </w:tcPr>
          <w:p w14:paraId="58C818CA" w14:textId="77777777" w:rsidR="00726C45" w:rsidRPr="00C560DD" w:rsidRDefault="00726C45" w:rsidP="00A37677">
            <w:pPr>
              <w:tabs>
                <w:tab w:val="left" w:pos="3264"/>
              </w:tabs>
              <w:rPr>
                <w:sz w:val="20"/>
              </w:rPr>
            </w:pPr>
            <w:r w:rsidRPr="00B44F31">
              <w:rPr>
                <w:sz w:val="20"/>
              </w:rPr>
              <w:t xml:space="preserve">0.000  </w:t>
            </w:r>
          </w:p>
        </w:tc>
        <w:tc>
          <w:tcPr>
            <w:tcW w:w="2126" w:type="dxa"/>
            <w:tcBorders>
              <w:top w:val="single" w:sz="4" w:space="0" w:color="auto"/>
              <w:bottom w:val="single" w:sz="4" w:space="0" w:color="auto"/>
            </w:tcBorders>
          </w:tcPr>
          <w:p w14:paraId="0F6BD13B" w14:textId="77777777" w:rsidR="00726C45" w:rsidRPr="00C560DD" w:rsidRDefault="00726C45" w:rsidP="00A37677">
            <w:pPr>
              <w:tabs>
                <w:tab w:val="left" w:pos="3264"/>
              </w:tabs>
              <w:rPr>
                <w:sz w:val="20"/>
              </w:rPr>
            </w:pPr>
            <w:r w:rsidRPr="00B44F31">
              <w:rPr>
                <w:sz w:val="20"/>
              </w:rPr>
              <w:t>8.477336    8.827136</w:t>
            </w:r>
          </w:p>
        </w:tc>
      </w:tr>
      <w:tr w:rsidR="00726C45" w:rsidRPr="00C560DD" w14:paraId="125D3054" w14:textId="77777777" w:rsidTr="00A37677">
        <w:trPr>
          <w:trHeight w:val="539"/>
        </w:trPr>
        <w:tc>
          <w:tcPr>
            <w:tcW w:w="2789" w:type="dxa"/>
            <w:gridSpan w:val="3"/>
            <w:tcBorders>
              <w:top w:val="single" w:sz="4" w:space="0" w:color="auto"/>
              <w:bottom w:val="single" w:sz="4" w:space="0" w:color="auto"/>
            </w:tcBorders>
          </w:tcPr>
          <w:p w14:paraId="49EB8660"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6B8EE77D"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6453A5B6"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78092855" w14:textId="77777777" w:rsidR="00726C45" w:rsidRDefault="00726C45" w:rsidP="00A37677">
            <w:pPr>
              <w:tabs>
                <w:tab w:val="left" w:pos="3264"/>
              </w:tabs>
              <w:rPr>
                <w:b/>
                <w:sz w:val="20"/>
              </w:rPr>
            </w:pPr>
          </w:p>
        </w:tc>
      </w:tr>
      <w:tr w:rsidR="00726C45" w:rsidRPr="00C560DD" w14:paraId="5C519F19" w14:textId="77777777" w:rsidTr="00A37677">
        <w:trPr>
          <w:trHeight w:val="539"/>
        </w:trPr>
        <w:tc>
          <w:tcPr>
            <w:tcW w:w="2789" w:type="dxa"/>
            <w:gridSpan w:val="3"/>
            <w:tcBorders>
              <w:top w:val="single" w:sz="4" w:space="0" w:color="auto"/>
              <w:bottom w:val="single" w:sz="4" w:space="0" w:color="auto"/>
            </w:tcBorders>
          </w:tcPr>
          <w:p w14:paraId="1C13CC47"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3E907764"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474108A0"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24F4BF0A"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5217D9C6" w14:textId="77777777" w:rsidTr="00A37677">
        <w:trPr>
          <w:trHeight w:val="551"/>
        </w:trPr>
        <w:tc>
          <w:tcPr>
            <w:tcW w:w="2789" w:type="dxa"/>
            <w:gridSpan w:val="3"/>
            <w:tcBorders>
              <w:top w:val="single" w:sz="4" w:space="0" w:color="auto"/>
            </w:tcBorders>
          </w:tcPr>
          <w:p w14:paraId="42517253"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499BB7BD" w14:textId="77777777" w:rsidR="00726C45" w:rsidRPr="00C560DD" w:rsidRDefault="00726C45" w:rsidP="00A37677">
            <w:pPr>
              <w:tabs>
                <w:tab w:val="left" w:pos="3264"/>
              </w:tabs>
              <w:rPr>
                <w:sz w:val="20"/>
              </w:rPr>
            </w:pPr>
            <w:r w:rsidRPr="00B44F31">
              <w:rPr>
                <w:sz w:val="20"/>
              </w:rPr>
              <w:t>.3611504</w:t>
            </w:r>
          </w:p>
        </w:tc>
        <w:tc>
          <w:tcPr>
            <w:tcW w:w="1052" w:type="dxa"/>
            <w:tcBorders>
              <w:top w:val="single" w:sz="4" w:space="0" w:color="auto"/>
            </w:tcBorders>
          </w:tcPr>
          <w:p w14:paraId="75E4A27A" w14:textId="77777777" w:rsidR="00726C45" w:rsidRPr="00C560DD" w:rsidRDefault="00726C45" w:rsidP="00A37677">
            <w:pPr>
              <w:tabs>
                <w:tab w:val="left" w:pos="3264"/>
              </w:tabs>
              <w:rPr>
                <w:sz w:val="20"/>
              </w:rPr>
            </w:pPr>
            <w:r w:rsidRPr="00B44F31">
              <w:rPr>
                <w:sz w:val="20"/>
              </w:rPr>
              <w:t>.0762134</w:t>
            </w:r>
          </w:p>
        </w:tc>
        <w:tc>
          <w:tcPr>
            <w:tcW w:w="2126" w:type="dxa"/>
            <w:tcBorders>
              <w:top w:val="single" w:sz="4" w:space="0" w:color="auto"/>
            </w:tcBorders>
          </w:tcPr>
          <w:p w14:paraId="5F3A13D6" w14:textId="77777777" w:rsidR="00726C45" w:rsidRPr="00C560DD" w:rsidRDefault="00726C45" w:rsidP="00A37677">
            <w:pPr>
              <w:tabs>
                <w:tab w:val="left" w:pos="3264"/>
              </w:tabs>
              <w:rPr>
                <w:sz w:val="20"/>
              </w:rPr>
            </w:pPr>
            <w:r w:rsidRPr="00B44F31">
              <w:rPr>
                <w:sz w:val="20"/>
              </w:rPr>
              <w:t>.2388138    .5461561</w:t>
            </w:r>
          </w:p>
        </w:tc>
      </w:tr>
      <w:tr w:rsidR="00726C45" w:rsidRPr="00C560DD" w14:paraId="66F4D5DA" w14:textId="77777777" w:rsidTr="00A37677">
        <w:trPr>
          <w:trHeight w:val="539"/>
        </w:trPr>
        <w:tc>
          <w:tcPr>
            <w:tcW w:w="2789" w:type="dxa"/>
            <w:gridSpan w:val="3"/>
            <w:tcBorders>
              <w:bottom w:val="single" w:sz="4" w:space="0" w:color="auto"/>
            </w:tcBorders>
          </w:tcPr>
          <w:p w14:paraId="780A6362"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41939A5E" w14:textId="77777777" w:rsidR="00726C45" w:rsidRPr="00C560DD" w:rsidRDefault="00726C45" w:rsidP="00A37677">
            <w:pPr>
              <w:tabs>
                <w:tab w:val="left" w:pos="3264"/>
              </w:tabs>
              <w:rPr>
                <w:sz w:val="20"/>
              </w:rPr>
            </w:pPr>
            <w:r w:rsidRPr="00B44F31">
              <w:rPr>
                <w:sz w:val="20"/>
              </w:rPr>
              <w:t>4.50648</w:t>
            </w:r>
          </w:p>
        </w:tc>
        <w:tc>
          <w:tcPr>
            <w:tcW w:w="1052" w:type="dxa"/>
            <w:tcBorders>
              <w:bottom w:val="single" w:sz="4" w:space="0" w:color="auto"/>
            </w:tcBorders>
          </w:tcPr>
          <w:p w14:paraId="5695D40D" w14:textId="77777777" w:rsidR="00726C45" w:rsidRPr="00C560DD" w:rsidRDefault="00726C45" w:rsidP="00A37677">
            <w:pPr>
              <w:tabs>
                <w:tab w:val="left" w:pos="3264"/>
              </w:tabs>
              <w:rPr>
                <w:sz w:val="20"/>
              </w:rPr>
            </w:pPr>
            <w:r w:rsidRPr="00B44F31">
              <w:rPr>
                <w:sz w:val="20"/>
              </w:rPr>
              <w:t>.0298779</w:t>
            </w:r>
          </w:p>
        </w:tc>
        <w:tc>
          <w:tcPr>
            <w:tcW w:w="2126" w:type="dxa"/>
            <w:tcBorders>
              <w:bottom w:val="single" w:sz="4" w:space="0" w:color="auto"/>
            </w:tcBorders>
          </w:tcPr>
          <w:p w14:paraId="4CF4D0A3" w14:textId="77777777" w:rsidR="00726C45" w:rsidRPr="00C560DD" w:rsidRDefault="00726C45" w:rsidP="00A37677">
            <w:pPr>
              <w:tabs>
                <w:tab w:val="left" w:pos="3264"/>
              </w:tabs>
              <w:rPr>
                <w:sz w:val="20"/>
              </w:rPr>
            </w:pPr>
            <w:r w:rsidRPr="00B44F31">
              <w:rPr>
                <w:sz w:val="20"/>
              </w:rPr>
              <w:t>4.448299    4.565422</w:t>
            </w:r>
          </w:p>
        </w:tc>
      </w:tr>
    </w:tbl>
    <w:p w14:paraId="59BD07D3" w14:textId="77777777" w:rsidR="00726C45" w:rsidRDefault="00726C45" w:rsidP="00726C45">
      <w:pPr>
        <w:tabs>
          <w:tab w:val="left" w:pos="3264"/>
        </w:tabs>
        <w:ind w:firstLine="720"/>
        <w:rPr>
          <w:sz w:val="18"/>
        </w:rPr>
      </w:pPr>
      <w:r w:rsidRPr="00C560DD">
        <w:rPr>
          <w:sz w:val="18"/>
        </w:rPr>
        <w:t xml:space="preserve">LR test vs. linear regression: chibar2(01) =  </w:t>
      </w:r>
      <w:r>
        <w:rPr>
          <w:sz w:val="18"/>
        </w:rPr>
        <w:t>3850.67</w:t>
      </w:r>
      <w:r w:rsidRPr="00C560DD">
        <w:rPr>
          <w:sz w:val="18"/>
        </w:rPr>
        <w:t xml:space="preserve"> Prob &gt;= chibar2 = 0.0000</w:t>
      </w:r>
    </w:p>
    <w:p w14:paraId="43E21E9E"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6E6E1486" w14:textId="77777777" w:rsidTr="00A37677">
        <w:tc>
          <w:tcPr>
            <w:tcW w:w="2254" w:type="dxa"/>
            <w:tcBorders>
              <w:top w:val="single" w:sz="4" w:space="0" w:color="auto"/>
            </w:tcBorders>
          </w:tcPr>
          <w:p w14:paraId="54BD5BA1"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7F710D38"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2F152677"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5971664A"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4A890040" w14:textId="77777777" w:rsidTr="00A37677">
        <w:tc>
          <w:tcPr>
            <w:tcW w:w="2254" w:type="dxa"/>
            <w:tcBorders>
              <w:bottom w:val="single" w:sz="4" w:space="0" w:color="auto"/>
            </w:tcBorders>
          </w:tcPr>
          <w:p w14:paraId="10164B40"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42517F63" w14:textId="77777777" w:rsidR="00726C45" w:rsidRPr="00C560DD" w:rsidRDefault="00726C45" w:rsidP="00A37677">
            <w:pPr>
              <w:tabs>
                <w:tab w:val="left" w:pos="3264"/>
              </w:tabs>
              <w:rPr>
                <w:sz w:val="20"/>
              </w:rPr>
            </w:pPr>
            <w:r w:rsidRPr="00B44F31">
              <w:rPr>
                <w:sz w:val="20"/>
              </w:rPr>
              <w:t>.0741943</w:t>
            </w:r>
          </w:p>
        </w:tc>
        <w:tc>
          <w:tcPr>
            <w:tcW w:w="2254" w:type="dxa"/>
            <w:tcBorders>
              <w:bottom w:val="single" w:sz="4" w:space="0" w:color="auto"/>
            </w:tcBorders>
          </w:tcPr>
          <w:p w14:paraId="4B90C817" w14:textId="77777777" w:rsidR="00726C45" w:rsidRPr="00C560DD" w:rsidRDefault="00726C45" w:rsidP="00A37677">
            <w:pPr>
              <w:tabs>
                <w:tab w:val="left" w:pos="3264"/>
              </w:tabs>
              <w:rPr>
                <w:sz w:val="20"/>
              </w:rPr>
            </w:pPr>
            <w:r w:rsidRPr="00B44F31">
              <w:rPr>
                <w:sz w:val="20"/>
              </w:rPr>
              <w:t>.0145028</w:t>
            </w:r>
          </w:p>
        </w:tc>
        <w:tc>
          <w:tcPr>
            <w:tcW w:w="2254" w:type="dxa"/>
            <w:tcBorders>
              <w:bottom w:val="single" w:sz="4" w:space="0" w:color="auto"/>
            </w:tcBorders>
          </w:tcPr>
          <w:p w14:paraId="0C58ED01" w14:textId="77777777" w:rsidR="00726C45" w:rsidRPr="00C560DD" w:rsidRDefault="00726C45" w:rsidP="00A37677">
            <w:pPr>
              <w:tabs>
                <w:tab w:val="left" w:pos="3264"/>
              </w:tabs>
              <w:rPr>
                <w:sz w:val="20"/>
              </w:rPr>
            </w:pPr>
            <w:r w:rsidRPr="00B44F31">
              <w:rPr>
                <w:sz w:val="20"/>
              </w:rPr>
              <w:t>.0503165    .1081134</w:t>
            </w:r>
          </w:p>
        </w:tc>
      </w:tr>
    </w:tbl>
    <w:p w14:paraId="04DB7CA2" w14:textId="77777777" w:rsidR="00726C45" w:rsidRDefault="00726C45" w:rsidP="00726C45">
      <w:pPr>
        <w:tabs>
          <w:tab w:val="left" w:pos="3264"/>
        </w:tabs>
      </w:pPr>
    </w:p>
    <w:p w14:paraId="7348FD1C" w14:textId="77777777" w:rsidR="00726C45" w:rsidRPr="009F3CC6" w:rsidRDefault="00726C45" w:rsidP="00726C45">
      <w:pPr>
        <w:tabs>
          <w:tab w:val="left" w:pos="3264"/>
        </w:tabs>
        <w:rPr>
          <w:b/>
        </w:rPr>
      </w:pPr>
      <w:r>
        <w:rPr>
          <w:b/>
        </w:rPr>
        <w:t>Figure A3</w:t>
      </w:r>
      <w:r w:rsidRPr="009F3CC6">
        <w:rPr>
          <w:b/>
        </w:rPr>
        <w:t>: Null Model – Civil Rights (Adapted Stata output)</w:t>
      </w:r>
    </w:p>
    <w:p w14:paraId="52230618" w14:textId="77777777" w:rsidR="00726C45" w:rsidRPr="006F0825" w:rsidRDefault="00726C45" w:rsidP="00726C45">
      <w:pPr>
        <w:tabs>
          <w:tab w:val="left" w:pos="3264"/>
        </w:tabs>
        <w:rPr>
          <w:sz w:val="20"/>
        </w:rPr>
      </w:pPr>
      <w:r>
        <w:rPr>
          <w:sz w:val="20"/>
        </w:rPr>
        <w:t xml:space="preserve">Log-likelihood: </w:t>
      </w:r>
      <w:r w:rsidRPr="00B44F31">
        <w:rPr>
          <w:sz w:val="20"/>
        </w:rPr>
        <w:t>-102474.29</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31F4F646" w14:textId="77777777" w:rsidTr="00A37677">
        <w:trPr>
          <w:trHeight w:val="551"/>
        </w:trPr>
        <w:tc>
          <w:tcPr>
            <w:tcW w:w="1503" w:type="dxa"/>
            <w:tcBorders>
              <w:top w:val="single" w:sz="4" w:space="0" w:color="auto"/>
              <w:bottom w:val="single" w:sz="4" w:space="0" w:color="auto"/>
            </w:tcBorders>
          </w:tcPr>
          <w:p w14:paraId="24ADA85A" w14:textId="77777777" w:rsidR="00726C45" w:rsidRPr="00C560DD" w:rsidRDefault="00726C45" w:rsidP="00A37677">
            <w:pPr>
              <w:tabs>
                <w:tab w:val="left" w:pos="3264"/>
              </w:tabs>
              <w:rPr>
                <w:b/>
                <w:i/>
                <w:sz w:val="20"/>
              </w:rPr>
            </w:pPr>
            <w:r>
              <w:rPr>
                <w:b/>
                <w:i/>
                <w:sz w:val="20"/>
              </w:rPr>
              <w:t>Civ. Rights</w:t>
            </w:r>
          </w:p>
        </w:tc>
        <w:tc>
          <w:tcPr>
            <w:tcW w:w="1126" w:type="dxa"/>
            <w:tcBorders>
              <w:top w:val="single" w:sz="4" w:space="0" w:color="auto"/>
              <w:bottom w:val="single" w:sz="4" w:space="0" w:color="auto"/>
            </w:tcBorders>
          </w:tcPr>
          <w:p w14:paraId="3520522C"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33FD34C8"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13DEAB7C"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60656AD1"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2DBFCBAA"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0C229607" w14:textId="77777777" w:rsidTr="00A37677">
        <w:trPr>
          <w:trHeight w:val="539"/>
        </w:trPr>
        <w:tc>
          <w:tcPr>
            <w:tcW w:w="1503" w:type="dxa"/>
            <w:tcBorders>
              <w:top w:val="single" w:sz="4" w:space="0" w:color="auto"/>
              <w:bottom w:val="single" w:sz="4" w:space="0" w:color="auto"/>
            </w:tcBorders>
          </w:tcPr>
          <w:p w14:paraId="1D98BA24"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0729C156" w14:textId="77777777" w:rsidR="00726C45" w:rsidRPr="00C560DD" w:rsidRDefault="00726C45" w:rsidP="00A37677">
            <w:pPr>
              <w:tabs>
                <w:tab w:val="left" w:pos="3264"/>
              </w:tabs>
              <w:rPr>
                <w:sz w:val="20"/>
              </w:rPr>
            </w:pPr>
            <w:r w:rsidRPr="00B44F31">
              <w:rPr>
                <w:sz w:val="20"/>
              </w:rPr>
              <w:t>7.957743</w:t>
            </w:r>
          </w:p>
        </w:tc>
        <w:tc>
          <w:tcPr>
            <w:tcW w:w="1015" w:type="dxa"/>
            <w:gridSpan w:val="2"/>
            <w:tcBorders>
              <w:top w:val="single" w:sz="4" w:space="0" w:color="auto"/>
              <w:bottom w:val="single" w:sz="4" w:space="0" w:color="auto"/>
            </w:tcBorders>
          </w:tcPr>
          <w:p w14:paraId="67EAB3F1" w14:textId="77777777" w:rsidR="00726C45" w:rsidRPr="00C560DD" w:rsidRDefault="00726C45" w:rsidP="00A37677">
            <w:pPr>
              <w:tabs>
                <w:tab w:val="left" w:pos="3264"/>
              </w:tabs>
              <w:rPr>
                <w:sz w:val="20"/>
              </w:rPr>
            </w:pPr>
            <w:r w:rsidRPr="00B44F31">
              <w:rPr>
                <w:sz w:val="20"/>
              </w:rPr>
              <w:t>.1239429</w:t>
            </w:r>
          </w:p>
        </w:tc>
        <w:tc>
          <w:tcPr>
            <w:tcW w:w="691" w:type="dxa"/>
            <w:tcBorders>
              <w:top w:val="single" w:sz="4" w:space="0" w:color="auto"/>
              <w:bottom w:val="single" w:sz="4" w:space="0" w:color="auto"/>
            </w:tcBorders>
          </w:tcPr>
          <w:p w14:paraId="32060B21" w14:textId="77777777" w:rsidR="00726C45" w:rsidRPr="00C560DD" w:rsidRDefault="00726C45" w:rsidP="00A37677">
            <w:pPr>
              <w:tabs>
                <w:tab w:val="left" w:pos="3264"/>
              </w:tabs>
              <w:rPr>
                <w:sz w:val="20"/>
              </w:rPr>
            </w:pPr>
            <w:r w:rsidRPr="00B44F31">
              <w:rPr>
                <w:sz w:val="20"/>
              </w:rPr>
              <w:t>64.20</w:t>
            </w:r>
          </w:p>
        </w:tc>
        <w:tc>
          <w:tcPr>
            <w:tcW w:w="1052" w:type="dxa"/>
            <w:tcBorders>
              <w:top w:val="single" w:sz="4" w:space="0" w:color="auto"/>
              <w:bottom w:val="single" w:sz="4" w:space="0" w:color="auto"/>
            </w:tcBorders>
          </w:tcPr>
          <w:p w14:paraId="2CE5BE04" w14:textId="77777777" w:rsidR="00726C45" w:rsidRPr="00C560DD" w:rsidRDefault="00726C45" w:rsidP="00A37677">
            <w:pPr>
              <w:tabs>
                <w:tab w:val="left" w:pos="3264"/>
              </w:tabs>
              <w:rPr>
                <w:sz w:val="20"/>
              </w:rPr>
            </w:pPr>
            <w:r w:rsidRPr="00B44F31">
              <w:rPr>
                <w:sz w:val="20"/>
              </w:rPr>
              <w:t xml:space="preserve">0.000  </w:t>
            </w:r>
          </w:p>
        </w:tc>
        <w:tc>
          <w:tcPr>
            <w:tcW w:w="2126" w:type="dxa"/>
            <w:tcBorders>
              <w:top w:val="single" w:sz="4" w:space="0" w:color="auto"/>
              <w:bottom w:val="single" w:sz="4" w:space="0" w:color="auto"/>
            </w:tcBorders>
          </w:tcPr>
          <w:p w14:paraId="04B76ECE" w14:textId="77777777" w:rsidR="00726C45" w:rsidRPr="00C560DD" w:rsidRDefault="00726C45" w:rsidP="00A37677">
            <w:pPr>
              <w:tabs>
                <w:tab w:val="left" w:pos="3264"/>
              </w:tabs>
              <w:rPr>
                <w:sz w:val="20"/>
              </w:rPr>
            </w:pPr>
            <w:r w:rsidRPr="00B44F31">
              <w:rPr>
                <w:sz w:val="20"/>
              </w:rPr>
              <w:t>7.714819    8.200667</w:t>
            </w:r>
          </w:p>
        </w:tc>
      </w:tr>
      <w:tr w:rsidR="00726C45" w:rsidRPr="00C560DD" w14:paraId="2CEB9AD2" w14:textId="77777777" w:rsidTr="00A37677">
        <w:trPr>
          <w:trHeight w:val="539"/>
        </w:trPr>
        <w:tc>
          <w:tcPr>
            <w:tcW w:w="2789" w:type="dxa"/>
            <w:gridSpan w:val="3"/>
            <w:tcBorders>
              <w:top w:val="single" w:sz="4" w:space="0" w:color="auto"/>
              <w:bottom w:val="single" w:sz="4" w:space="0" w:color="auto"/>
            </w:tcBorders>
          </w:tcPr>
          <w:p w14:paraId="25E23F12"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739A55AD"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02D5BA46"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5C57BC9C" w14:textId="77777777" w:rsidR="00726C45" w:rsidRDefault="00726C45" w:rsidP="00A37677">
            <w:pPr>
              <w:tabs>
                <w:tab w:val="left" w:pos="3264"/>
              </w:tabs>
              <w:rPr>
                <w:b/>
                <w:sz w:val="20"/>
              </w:rPr>
            </w:pPr>
          </w:p>
        </w:tc>
      </w:tr>
      <w:tr w:rsidR="00726C45" w:rsidRPr="00C560DD" w14:paraId="315CCA49" w14:textId="77777777" w:rsidTr="00A37677">
        <w:trPr>
          <w:trHeight w:val="539"/>
        </w:trPr>
        <w:tc>
          <w:tcPr>
            <w:tcW w:w="2789" w:type="dxa"/>
            <w:gridSpan w:val="3"/>
            <w:tcBorders>
              <w:top w:val="single" w:sz="4" w:space="0" w:color="auto"/>
              <w:bottom w:val="single" w:sz="4" w:space="0" w:color="auto"/>
            </w:tcBorders>
          </w:tcPr>
          <w:p w14:paraId="659F3537"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27C97166"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7610178A"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6263FFE4"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251140D5" w14:textId="77777777" w:rsidTr="00A37677">
        <w:trPr>
          <w:trHeight w:val="551"/>
        </w:trPr>
        <w:tc>
          <w:tcPr>
            <w:tcW w:w="2789" w:type="dxa"/>
            <w:gridSpan w:val="3"/>
            <w:tcBorders>
              <w:top w:val="single" w:sz="4" w:space="0" w:color="auto"/>
            </w:tcBorders>
          </w:tcPr>
          <w:p w14:paraId="4FC9210B"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72058A9F" w14:textId="77777777" w:rsidR="00726C45" w:rsidRPr="00C560DD" w:rsidRDefault="00726C45" w:rsidP="00A37677">
            <w:pPr>
              <w:tabs>
                <w:tab w:val="left" w:pos="3264"/>
              </w:tabs>
              <w:rPr>
                <w:sz w:val="20"/>
              </w:rPr>
            </w:pPr>
            <w:r w:rsidRPr="00B44F31">
              <w:rPr>
                <w:sz w:val="20"/>
              </w:rPr>
              <w:t>.7006431</w:t>
            </w:r>
          </w:p>
        </w:tc>
        <w:tc>
          <w:tcPr>
            <w:tcW w:w="1052" w:type="dxa"/>
            <w:tcBorders>
              <w:top w:val="single" w:sz="4" w:space="0" w:color="auto"/>
            </w:tcBorders>
          </w:tcPr>
          <w:p w14:paraId="59A3D79E" w14:textId="77777777" w:rsidR="00726C45" w:rsidRPr="00C560DD" w:rsidRDefault="00726C45" w:rsidP="00A37677">
            <w:pPr>
              <w:tabs>
                <w:tab w:val="left" w:pos="3264"/>
              </w:tabs>
              <w:rPr>
                <w:sz w:val="20"/>
              </w:rPr>
            </w:pPr>
            <w:r w:rsidRPr="00B44F31">
              <w:rPr>
                <w:sz w:val="20"/>
              </w:rPr>
              <w:t xml:space="preserve">.1471002     </w:t>
            </w:r>
          </w:p>
        </w:tc>
        <w:tc>
          <w:tcPr>
            <w:tcW w:w="2126" w:type="dxa"/>
            <w:tcBorders>
              <w:top w:val="single" w:sz="4" w:space="0" w:color="auto"/>
            </w:tcBorders>
          </w:tcPr>
          <w:p w14:paraId="7D93AAED" w14:textId="77777777" w:rsidR="00726C45" w:rsidRPr="00C560DD" w:rsidRDefault="00726C45" w:rsidP="00A37677">
            <w:pPr>
              <w:tabs>
                <w:tab w:val="left" w:pos="3264"/>
              </w:tabs>
              <w:rPr>
                <w:sz w:val="20"/>
              </w:rPr>
            </w:pPr>
            <w:r w:rsidRPr="00B44F31">
              <w:rPr>
                <w:sz w:val="20"/>
              </w:rPr>
              <w:t>.4642874    1.057321</w:t>
            </w:r>
          </w:p>
        </w:tc>
      </w:tr>
      <w:tr w:rsidR="00726C45" w:rsidRPr="00C560DD" w14:paraId="1B6930DC" w14:textId="77777777" w:rsidTr="00A37677">
        <w:trPr>
          <w:trHeight w:val="539"/>
        </w:trPr>
        <w:tc>
          <w:tcPr>
            <w:tcW w:w="2789" w:type="dxa"/>
            <w:gridSpan w:val="3"/>
            <w:tcBorders>
              <w:bottom w:val="single" w:sz="4" w:space="0" w:color="auto"/>
            </w:tcBorders>
          </w:tcPr>
          <w:p w14:paraId="21F0F33D"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33B0260E" w14:textId="77777777" w:rsidR="00726C45" w:rsidRPr="00C560DD" w:rsidRDefault="00726C45" w:rsidP="00A37677">
            <w:pPr>
              <w:tabs>
                <w:tab w:val="left" w:pos="3264"/>
              </w:tabs>
              <w:rPr>
                <w:sz w:val="20"/>
              </w:rPr>
            </w:pPr>
            <w:r w:rsidRPr="00B44F31">
              <w:rPr>
                <w:sz w:val="20"/>
              </w:rPr>
              <w:t>5.244398</w:t>
            </w:r>
          </w:p>
        </w:tc>
        <w:tc>
          <w:tcPr>
            <w:tcW w:w="1052" w:type="dxa"/>
            <w:tcBorders>
              <w:bottom w:val="single" w:sz="4" w:space="0" w:color="auto"/>
            </w:tcBorders>
          </w:tcPr>
          <w:p w14:paraId="07B0B816" w14:textId="77777777" w:rsidR="00726C45" w:rsidRPr="00C560DD" w:rsidRDefault="00726C45" w:rsidP="00A37677">
            <w:pPr>
              <w:tabs>
                <w:tab w:val="left" w:pos="3264"/>
              </w:tabs>
              <w:rPr>
                <w:sz w:val="20"/>
              </w:rPr>
            </w:pPr>
            <w:r w:rsidRPr="00B44F31">
              <w:rPr>
                <w:sz w:val="20"/>
              </w:rPr>
              <w:t>.0347703</w:t>
            </w:r>
          </w:p>
        </w:tc>
        <w:tc>
          <w:tcPr>
            <w:tcW w:w="2126" w:type="dxa"/>
            <w:tcBorders>
              <w:bottom w:val="single" w:sz="4" w:space="0" w:color="auto"/>
            </w:tcBorders>
          </w:tcPr>
          <w:p w14:paraId="2192E508" w14:textId="77777777" w:rsidR="00726C45" w:rsidRPr="00C560DD" w:rsidRDefault="00726C45" w:rsidP="00A37677">
            <w:pPr>
              <w:tabs>
                <w:tab w:val="left" w:pos="3264"/>
              </w:tabs>
              <w:rPr>
                <w:sz w:val="20"/>
              </w:rPr>
            </w:pPr>
            <w:r w:rsidRPr="00B44F31">
              <w:rPr>
                <w:sz w:val="20"/>
              </w:rPr>
              <w:t>5.17669    5.312991</w:t>
            </w:r>
          </w:p>
        </w:tc>
      </w:tr>
    </w:tbl>
    <w:p w14:paraId="2D84304E" w14:textId="77777777" w:rsidR="00726C45" w:rsidRDefault="00726C45" w:rsidP="00726C45">
      <w:pPr>
        <w:tabs>
          <w:tab w:val="left" w:pos="3264"/>
        </w:tabs>
        <w:ind w:firstLine="720"/>
        <w:rPr>
          <w:sz w:val="18"/>
        </w:rPr>
      </w:pPr>
      <w:r w:rsidRPr="00C560DD">
        <w:rPr>
          <w:sz w:val="18"/>
        </w:rPr>
        <w:t xml:space="preserve">LR test vs. linear regression: chibar2(01) =  </w:t>
      </w:r>
      <w:r w:rsidRPr="00B44F31">
        <w:rPr>
          <w:sz w:val="18"/>
        </w:rPr>
        <w:t>6297.94</w:t>
      </w:r>
      <w:r w:rsidRPr="00C560DD">
        <w:rPr>
          <w:sz w:val="18"/>
        </w:rPr>
        <w:t>Prob &gt;= chibar2 = 0.0000</w:t>
      </w:r>
    </w:p>
    <w:p w14:paraId="433DE5A5"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1B98004D" w14:textId="77777777" w:rsidTr="00A37677">
        <w:tc>
          <w:tcPr>
            <w:tcW w:w="2254" w:type="dxa"/>
            <w:tcBorders>
              <w:top w:val="single" w:sz="4" w:space="0" w:color="auto"/>
            </w:tcBorders>
          </w:tcPr>
          <w:p w14:paraId="389FC575"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6466DD2A"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593F6EEB"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718F2554"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064D3A7C" w14:textId="77777777" w:rsidTr="00A37677">
        <w:tc>
          <w:tcPr>
            <w:tcW w:w="2254" w:type="dxa"/>
            <w:tcBorders>
              <w:bottom w:val="single" w:sz="4" w:space="0" w:color="auto"/>
            </w:tcBorders>
          </w:tcPr>
          <w:p w14:paraId="31505C52"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72F2812A" w14:textId="77777777" w:rsidR="00726C45" w:rsidRPr="00C560DD" w:rsidRDefault="00726C45" w:rsidP="00A37677">
            <w:pPr>
              <w:tabs>
                <w:tab w:val="left" w:pos="3264"/>
              </w:tabs>
              <w:rPr>
                <w:sz w:val="20"/>
              </w:rPr>
            </w:pPr>
            <w:r w:rsidRPr="00B44F31">
              <w:rPr>
                <w:sz w:val="20"/>
              </w:rPr>
              <w:t xml:space="preserve">.1178534  </w:t>
            </w:r>
          </w:p>
        </w:tc>
        <w:tc>
          <w:tcPr>
            <w:tcW w:w="2254" w:type="dxa"/>
            <w:tcBorders>
              <w:bottom w:val="single" w:sz="4" w:space="0" w:color="auto"/>
            </w:tcBorders>
          </w:tcPr>
          <w:p w14:paraId="5C521E1E" w14:textId="77777777" w:rsidR="00726C45" w:rsidRPr="00C560DD" w:rsidRDefault="00726C45" w:rsidP="00A37677">
            <w:pPr>
              <w:tabs>
                <w:tab w:val="left" w:pos="3264"/>
              </w:tabs>
              <w:rPr>
                <w:sz w:val="20"/>
              </w:rPr>
            </w:pPr>
            <w:r w:rsidRPr="00B44F31">
              <w:rPr>
                <w:sz w:val="20"/>
              </w:rPr>
              <w:t xml:space="preserve">.0218383  </w:t>
            </w:r>
          </w:p>
        </w:tc>
        <w:tc>
          <w:tcPr>
            <w:tcW w:w="2254" w:type="dxa"/>
            <w:tcBorders>
              <w:bottom w:val="single" w:sz="4" w:space="0" w:color="auto"/>
            </w:tcBorders>
          </w:tcPr>
          <w:p w14:paraId="555A5A76" w14:textId="77777777" w:rsidR="00726C45" w:rsidRPr="00C560DD" w:rsidRDefault="00726C45" w:rsidP="00A37677">
            <w:pPr>
              <w:tabs>
                <w:tab w:val="left" w:pos="3264"/>
              </w:tabs>
              <w:rPr>
                <w:sz w:val="20"/>
              </w:rPr>
            </w:pPr>
            <w:r w:rsidRPr="00B44F31">
              <w:rPr>
                <w:sz w:val="20"/>
              </w:rPr>
              <w:t>.0813145    .1678119</w:t>
            </w:r>
          </w:p>
        </w:tc>
      </w:tr>
    </w:tbl>
    <w:p w14:paraId="5BC963D0" w14:textId="77777777" w:rsidR="00726C45" w:rsidRDefault="00726C45" w:rsidP="00726C45">
      <w:pPr>
        <w:tabs>
          <w:tab w:val="left" w:pos="3264"/>
        </w:tabs>
      </w:pPr>
    </w:p>
    <w:p w14:paraId="58070850" w14:textId="77777777" w:rsidR="00726C45" w:rsidRPr="009F3CC6" w:rsidRDefault="00726C45" w:rsidP="00726C45">
      <w:pPr>
        <w:tabs>
          <w:tab w:val="left" w:pos="3264"/>
        </w:tabs>
        <w:rPr>
          <w:b/>
        </w:rPr>
      </w:pPr>
      <w:r>
        <w:rPr>
          <w:b/>
        </w:rPr>
        <w:t>Figure A4</w:t>
      </w:r>
      <w:r w:rsidRPr="009F3CC6">
        <w:rPr>
          <w:b/>
        </w:rPr>
        <w:t>: Null Model – Referendum (Adapted Stata output)</w:t>
      </w:r>
    </w:p>
    <w:p w14:paraId="20D6D887" w14:textId="77777777" w:rsidR="00726C45" w:rsidRPr="006F0825" w:rsidRDefault="00726C45" w:rsidP="00726C45">
      <w:pPr>
        <w:tabs>
          <w:tab w:val="left" w:pos="3264"/>
        </w:tabs>
        <w:rPr>
          <w:sz w:val="20"/>
        </w:rPr>
      </w:pPr>
      <w:r>
        <w:rPr>
          <w:sz w:val="20"/>
        </w:rPr>
        <w:t xml:space="preserve">Log-likelihood: </w:t>
      </w:r>
      <w:r w:rsidRPr="00B44F31">
        <w:rPr>
          <w:sz w:val="20"/>
        </w:rPr>
        <w:t>-103953.28</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13D54AA2" w14:textId="77777777" w:rsidTr="00A37677">
        <w:trPr>
          <w:trHeight w:val="551"/>
        </w:trPr>
        <w:tc>
          <w:tcPr>
            <w:tcW w:w="1503" w:type="dxa"/>
            <w:tcBorders>
              <w:top w:val="single" w:sz="4" w:space="0" w:color="auto"/>
              <w:bottom w:val="single" w:sz="4" w:space="0" w:color="auto"/>
            </w:tcBorders>
          </w:tcPr>
          <w:p w14:paraId="6D3D895C" w14:textId="77777777" w:rsidR="00726C45" w:rsidRPr="00C560DD" w:rsidRDefault="00726C45" w:rsidP="00A37677">
            <w:pPr>
              <w:tabs>
                <w:tab w:val="left" w:pos="3264"/>
              </w:tabs>
              <w:rPr>
                <w:b/>
                <w:i/>
                <w:sz w:val="20"/>
              </w:rPr>
            </w:pPr>
            <w:r>
              <w:rPr>
                <w:b/>
                <w:i/>
                <w:sz w:val="20"/>
              </w:rPr>
              <w:t>Referendum</w:t>
            </w:r>
          </w:p>
        </w:tc>
        <w:tc>
          <w:tcPr>
            <w:tcW w:w="1126" w:type="dxa"/>
            <w:tcBorders>
              <w:top w:val="single" w:sz="4" w:space="0" w:color="auto"/>
              <w:bottom w:val="single" w:sz="4" w:space="0" w:color="auto"/>
            </w:tcBorders>
          </w:tcPr>
          <w:p w14:paraId="6CCB71D9"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53DB9388"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29B7B26E"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074500A1"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7D35CBB8"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46F64B9D" w14:textId="77777777" w:rsidTr="00A37677">
        <w:trPr>
          <w:trHeight w:val="539"/>
        </w:trPr>
        <w:tc>
          <w:tcPr>
            <w:tcW w:w="1503" w:type="dxa"/>
            <w:tcBorders>
              <w:top w:val="single" w:sz="4" w:space="0" w:color="auto"/>
              <w:bottom w:val="single" w:sz="4" w:space="0" w:color="auto"/>
            </w:tcBorders>
          </w:tcPr>
          <w:p w14:paraId="789CD4D5"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339DE11F" w14:textId="77777777" w:rsidR="00726C45" w:rsidRPr="00C560DD" w:rsidRDefault="00726C45" w:rsidP="00A37677">
            <w:pPr>
              <w:tabs>
                <w:tab w:val="left" w:pos="3264"/>
              </w:tabs>
              <w:rPr>
                <w:sz w:val="20"/>
              </w:rPr>
            </w:pPr>
            <w:r w:rsidRPr="00B44F31">
              <w:rPr>
                <w:sz w:val="20"/>
              </w:rPr>
              <w:t>7.893523</w:t>
            </w:r>
          </w:p>
        </w:tc>
        <w:tc>
          <w:tcPr>
            <w:tcW w:w="1015" w:type="dxa"/>
            <w:gridSpan w:val="2"/>
            <w:tcBorders>
              <w:top w:val="single" w:sz="4" w:space="0" w:color="auto"/>
              <w:bottom w:val="single" w:sz="4" w:space="0" w:color="auto"/>
            </w:tcBorders>
          </w:tcPr>
          <w:p w14:paraId="4AD231E9" w14:textId="77777777" w:rsidR="00726C45" w:rsidRPr="00C560DD" w:rsidRDefault="00726C45" w:rsidP="00A37677">
            <w:pPr>
              <w:tabs>
                <w:tab w:val="left" w:pos="3264"/>
              </w:tabs>
              <w:rPr>
                <w:sz w:val="20"/>
              </w:rPr>
            </w:pPr>
            <w:r w:rsidRPr="00B44F31">
              <w:rPr>
                <w:sz w:val="20"/>
              </w:rPr>
              <w:t>.1170851</w:t>
            </w:r>
          </w:p>
        </w:tc>
        <w:tc>
          <w:tcPr>
            <w:tcW w:w="691" w:type="dxa"/>
            <w:tcBorders>
              <w:top w:val="single" w:sz="4" w:space="0" w:color="auto"/>
              <w:bottom w:val="single" w:sz="4" w:space="0" w:color="auto"/>
            </w:tcBorders>
          </w:tcPr>
          <w:p w14:paraId="7CD194B4" w14:textId="77777777" w:rsidR="00726C45" w:rsidRPr="00C560DD" w:rsidRDefault="00726C45" w:rsidP="00A37677">
            <w:pPr>
              <w:tabs>
                <w:tab w:val="left" w:pos="3264"/>
              </w:tabs>
              <w:rPr>
                <w:sz w:val="20"/>
              </w:rPr>
            </w:pPr>
            <w:r>
              <w:rPr>
                <w:sz w:val="20"/>
              </w:rPr>
              <w:t>67</w:t>
            </w:r>
            <w:r w:rsidRPr="00B44F31">
              <w:rPr>
                <w:sz w:val="20"/>
              </w:rPr>
              <w:t>.</w:t>
            </w:r>
            <w:r>
              <w:rPr>
                <w:sz w:val="20"/>
              </w:rPr>
              <w:t>42</w:t>
            </w:r>
          </w:p>
        </w:tc>
        <w:tc>
          <w:tcPr>
            <w:tcW w:w="1052" w:type="dxa"/>
            <w:tcBorders>
              <w:top w:val="single" w:sz="4" w:space="0" w:color="auto"/>
              <w:bottom w:val="single" w:sz="4" w:space="0" w:color="auto"/>
            </w:tcBorders>
          </w:tcPr>
          <w:p w14:paraId="0F42AE29" w14:textId="77777777" w:rsidR="00726C45" w:rsidRPr="00C560DD" w:rsidRDefault="00726C45" w:rsidP="00A37677">
            <w:pPr>
              <w:tabs>
                <w:tab w:val="left" w:pos="3264"/>
              </w:tabs>
              <w:rPr>
                <w:sz w:val="20"/>
              </w:rPr>
            </w:pPr>
            <w:r w:rsidRPr="00B44F31">
              <w:rPr>
                <w:sz w:val="20"/>
              </w:rPr>
              <w:t xml:space="preserve">0.000  </w:t>
            </w:r>
          </w:p>
        </w:tc>
        <w:tc>
          <w:tcPr>
            <w:tcW w:w="2126" w:type="dxa"/>
            <w:tcBorders>
              <w:top w:val="single" w:sz="4" w:space="0" w:color="auto"/>
              <w:bottom w:val="single" w:sz="4" w:space="0" w:color="auto"/>
            </w:tcBorders>
          </w:tcPr>
          <w:p w14:paraId="0C201C9C" w14:textId="77777777" w:rsidR="00726C45" w:rsidRPr="00C560DD" w:rsidRDefault="00726C45" w:rsidP="00A37677">
            <w:pPr>
              <w:tabs>
                <w:tab w:val="left" w:pos="3264"/>
              </w:tabs>
              <w:rPr>
                <w:sz w:val="20"/>
              </w:rPr>
            </w:pPr>
            <w:r w:rsidRPr="00811F86">
              <w:rPr>
                <w:sz w:val="20"/>
              </w:rPr>
              <w:t>7.664041    8.123006</w:t>
            </w:r>
          </w:p>
        </w:tc>
      </w:tr>
      <w:tr w:rsidR="00726C45" w:rsidRPr="00C560DD" w14:paraId="47F010A7" w14:textId="77777777" w:rsidTr="00A37677">
        <w:trPr>
          <w:trHeight w:val="539"/>
        </w:trPr>
        <w:tc>
          <w:tcPr>
            <w:tcW w:w="2789" w:type="dxa"/>
            <w:gridSpan w:val="3"/>
            <w:tcBorders>
              <w:top w:val="single" w:sz="4" w:space="0" w:color="auto"/>
              <w:bottom w:val="single" w:sz="4" w:space="0" w:color="auto"/>
            </w:tcBorders>
          </w:tcPr>
          <w:p w14:paraId="71BF8FB0"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5CF841FB"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3B081B84"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41146EEB" w14:textId="77777777" w:rsidR="00726C45" w:rsidRDefault="00726C45" w:rsidP="00A37677">
            <w:pPr>
              <w:tabs>
                <w:tab w:val="left" w:pos="3264"/>
              </w:tabs>
              <w:rPr>
                <w:b/>
                <w:sz w:val="20"/>
              </w:rPr>
            </w:pPr>
          </w:p>
        </w:tc>
      </w:tr>
      <w:tr w:rsidR="00726C45" w:rsidRPr="00C560DD" w14:paraId="7AE73835" w14:textId="77777777" w:rsidTr="00A37677">
        <w:trPr>
          <w:trHeight w:val="539"/>
        </w:trPr>
        <w:tc>
          <w:tcPr>
            <w:tcW w:w="2789" w:type="dxa"/>
            <w:gridSpan w:val="3"/>
            <w:tcBorders>
              <w:top w:val="single" w:sz="4" w:space="0" w:color="auto"/>
              <w:bottom w:val="single" w:sz="4" w:space="0" w:color="auto"/>
            </w:tcBorders>
          </w:tcPr>
          <w:p w14:paraId="5FBBA3FE"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3C8F327F"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5C910934"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431AEC47"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6590A0F6" w14:textId="77777777" w:rsidTr="00A37677">
        <w:trPr>
          <w:trHeight w:val="551"/>
        </w:trPr>
        <w:tc>
          <w:tcPr>
            <w:tcW w:w="2789" w:type="dxa"/>
            <w:gridSpan w:val="3"/>
            <w:tcBorders>
              <w:top w:val="single" w:sz="4" w:space="0" w:color="auto"/>
            </w:tcBorders>
          </w:tcPr>
          <w:p w14:paraId="13642FFC"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05918B3A" w14:textId="77777777" w:rsidR="00726C45" w:rsidRPr="00C560DD" w:rsidRDefault="00726C45" w:rsidP="00A37677">
            <w:pPr>
              <w:tabs>
                <w:tab w:val="left" w:pos="3264"/>
              </w:tabs>
              <w:rPr>
                <w:sz w:val="20"/>
              </w:rPr>
            </w:pPr>
            <w:r w:rsidRPr="00811F86">
              <w:rPr>
                <w:sz w:val="20"/>
              </w:rPr>
              <w:t>.6242064</w:t>
            </w:r>
          </w:p>
        </w:tc>
        <w:tc>
          <w:tcPr>
            <w:tcW w:w="1052" w:type="dxa"/>
            <w:tcBorders>
              <w:top w:val="single" w:sz="4" w:space="0" w:color="auto"/>
            </w:tcBorders>
          </w:tcPr>
          <w:p w14:paraId="3B96D7C8" w14:textId="77777777" w:rsidR="00726C45" w:rsidRPr="00C560DD" w:rsidRDefault="00726C45" w:rsidP="00A37677">
            <w:pPr>
              <w:tabs>
                <w:tab w:val="left" w:pos="3264"/>
              </w:tabs>
              <w:rPr>
                <w:sz w:val="20"/>
              </w:rPr>
            </w:pPr>
            <w:r w:rsidRPr="00811F86">
              <w:rPr>
                <w:sz w:val="20"/>
              </w:rPr>
              <w:t>.1313029</w:t>
            </w:r>
          </w:p>
        </w:tc>
        <w:tc>
          <w:tcPr>
            <w:tcW w:w="2126" w:type="dxa"/>
            <w:tcBorders>
              <w:top w:val="single" w:sz="4" w:space="0" w:color="auto"/>
            </w:tcBorders>
          </w:tcPr>
          <w:p w14:paraId="24E0F7D6" w14:textId="77777777" w:rsidR="00726C45" w:rsidRPr="00C560DD" w:rsidRDefault="00726C45" w:rsidP="00A37677">
            <w:pPr>
              <w:tabs>
                <w:tab w:val="left" w:pos="3264"/>
              </w:tabs>
              <w:rPr>
                <w:sz w:val="20"/>
              </w:rPr>
            </w:pPr>
            <w:r w:rsidRPr="00811F86">
              <w:rPr>
                <w:sz w:val="20"/>
              </w:rPr>
              <w:t>.4133106    .9427138</w:t>
            </w:r>
          </w:p>
        </w:tc>
      </w:tr>
      <w:tr w:rsidR="00726C45" w:rsidRPr="00C560DD" w14:paraId="5378D2BE" w14:textId="77777777" w:rsidTr="00A37677">
        <w:trPr>
          <w:trHeight w:val="539"/>
        </w:trPr>
        <w:tc>
          <w:tcPr>
            <w:tcW w:w="2789" w:type="dxa"/>
            <w:gridSpan w:val="3"/>
            <w:tcBorders>
              <w:bottom w:val="single" w:sz="4" w:space="0" w:color="auto"/>
            </w:tcBorders>
          </w:tcPr>
          <w:p w14:paraId="787BDD7F"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42ED5310" w14:textId="77777777" w:rsidR="00726C45" w:rsidRPr="00C560DD" w:rsidRDefault="00726C45" w:rsidP="00A37677">
            <w:pPr>
              <w:tabs>
                <w:tab w:val="left" w:pos="3264"/>
              </w:tabs>
              <w:rPr>
                <w:sz w:val="20"/>
              </w:rPr>
            </w:pPr>
            <w:r w:rsidRPr="00811F86">
              <w:rPr>
                <w:sz w:val="20"/>
              </w:rPr>
              <w:t>5.597318</w:t>
            </w:r>
          </w:p>
        </w:tc>
        <w:tc>
          <w:tcPr>
            <w:tcW w:w="1052" w:type="dxa"/>
            <w:tcBorders>
              <w:bottom w:val="single" w:sz="4" w:space="0" w:color="auto"/>
            </w:tcBorders>
          </w:tcPr>
          <w:p w14:paraId="25986574" w14:textId="77777777" w:rsidR="00726C45" w:rsidRPr="00C560DD" w:rsidRDefault="00726C45" w:rsidP="00A37677">
            <w:pPr>
              <w:tabs>
                <w:tab w:val="left" w:pos="3264"/>
              </w:tabs>
              <w:rPr>
                <w:sz w:val="20"/>
              </w:rPr>
            </w:pPr>
            <w:r w:rsidRPr="00811F86">
              <w:rPr>
                <w:sz w:val="20"/>
              </w:rPr>
              <w:t>.0371102</w:t>
            </w:r>
          </w:p>
        </w:tc>
        <w:tc>
          <w:tcPr>
            <w:tcW w:w="2126" w:type="dxa"/>
            <w:tcBorders>
              <w:bottom w:val="single" w:sz="4" w:space="0" w:color="auto"/>
            </w:tcBorders>
          </w:tcPr>
          <w:p w14:paraId="6278E868" w14:textId="77777777" w:rsidR="00726C45" w:rsidRPr="00C560DD" w:rsidRDefault="00726C45" w:rsidP="00A37677">
            <w:pPr>
              <w:tabs>
                <w:tab w:val="left" w:pos="3264"/>
              </w:tabs>
              <w:rPr>
                <w:sz w:val="20"/>
              </w:rPr>
            </w:pPr>
            <w:r w:rsidRPr="00811F86">
              <w:rPr>
                <w:sz w:val="20"/>
              </w:rPr>
              <w:t>5.525054    5.670527</w:t>
            </w:r>
          </w:p>
        </w:tc>
      </w:tr>
    </w:tbl>
    <w:p w14:paraId="5D39B19E" w14:textId="77777777" w:rsidR="00726C45" w:rsidRDefault="00726C45" w:rsidP="00726C45">
      <w:pPr>
        <w:tabs>
          <w:tab w:val="left" w:pos="3264"/>
        </w:tabs>
        <w:ind w:firstLine="720"/>
        <w:rPr>
          <w:sz w:val="18"/>
        </w:rPr>
      </w:pPr>
      <w:r w:rsidRPr="00C560DD">
        <w:rPr>
          <w:sz w:val="18"/>
        </w:rPr>
        <w:t xml:space="preserve">LR test vs. linear regression: chibar2(01) =  </w:t>
      </w:r>
      <w:r w:rsidRPr="00811F86">
        <w:rPr>
          <w:sz w:val="18"/>
        </w:rPr>
        <w:t>5117.18</w:t>
      </w:r>
      <w:r>
        <w:rPr>
          <w:sz w:val="18"/>
        </w:rPr>
        <w:t xml:space="preserve"> </w:t>
      </w:r>
      <w:r w:rsidRPr="00C560DD">
        <w:rPr>
          <w:sz w:val="18"/>
        </w:rPr>
        <w:t>Prob &gt;= chibar2 = 0.0000</w:t>
      </w:r>
    </w:p>
    <w:p w14:paraId="095FD823"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5E2BD49C" w14:textId="77777777" w:rsidTr="00A37677">
        <w:tc>
          <w:tcPr>
            <w:tcW w:w="2254" w:type="dxa"/>
            <w:tcBorders>
              <w:top w:val="single" w:sz="4" w:space="0" w:color="auto"/>
            </w:tcBorders>
          </w:tcPr>
          <w:p w14:paraId="3CF3731C"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6293BC15"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58A35356"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0CC0DEB1"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410D532D" w14:textId="77777777" w:rsidTr="00A37677">
        <w:tc>
          <w:tcPr>
            <w:tcW w:w="2254" w:type="dxa"/>
            <w:tcBorders>
              <w:bottom w:val="single" w:sz="4" w:space="0" w:color="auto"/>
            </w:tcBorders>
          </w:tcPr>
          <w:p w14:paraId="52885A3C"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53FA8969" w14:textId="77777777" w:rsidR="00726C45" w:rsidRPr="00C560DD" w:rsidRDefault="00726C45" w:rsidP="00A37677">
            <w:pPr>
              <w:tabs>
                <w:tab w:val="left" w:pos="3264"/>
              </w:tabs>
              <w:rPr>
                <w:sz w:val="20"/>
              </w:rPr>
            </w:pPr>
            <w:r w:rsidRPr="00811F86">
              <w:rPr>
                <w:sz w:val="20"/>
              </w:rPr>
              <w:t>.1003301</w:t>
            </w:r>
          </w:p>
        </w:tc>
        <w:tc>
          <w:tcPr>
            <w:tcW w:w="2254" w:type="dxa"/>
            <w:tcBorders>
              <w:bottom w:val="single" w:sz="4" w:space="0" w:color="auto"/>
            </w:tcBorders>
          </w:tcPr>
          <w:p w14:paraId="4D766446" w14:textId="77777777" w:rsidR="00726C45" w:rsidRPr="00C560DD" w:rsidRDefault="00726C45" w:rsidP="00A37677">
            <w:pPr>
              <w:tabs>
                <w:tab w:val="left" w:pos="3264"/>
              </w:tabs>
              <w:rPr>
                <w:sz w:val="20"/>
              </w:rPr>
            </w:pPr>
            <w:r w:rsidRPr="00811F86">
              <w:rPr>
                <w:sz w:val="20"/>
              </w:rPr>
              <w:t>.0189968</w:t>
            </w:r>
          </w:p>
        </w:tc>
        <w:tc>
          <w:tcPr>
            <w:tcW w:w="2254" w:type="dxa"/>
            <w:tcBorders>
              <w:bottom w:val="single" w:sz="4" w:space="0" w:color="auto"/>
            </w:tcBorders>
          </w:tcPr>
          <w:p w14:paraId="51F1B72E" w14:textId="77777777" w:rsidR="00726C45" w:rsidRPr="00C560DD" w:rsidRDefault="00726C45" w:rsidP="00A37677">
            <w:pPr>
              <w:tabs>
                <w:tab w:val="left" w:pos="3264"/>
              </w:tabs>
              <w:rPr>
                <w:sz w:val="20"/>
              </w:rPr>
            </w:pPr>
            <w:r w:rsidRPr="00B44F31">
              <w:rPr>
                <w:sz w:val="20"/>
              </w:rPr>
              <w:t>.</w:t>
            </w:r>
            <w:r>
              <w:t xml:space="preserve"> </w:t>
            </w:r>
            <w:r w:rsidRPr="00811F86">
              <w:rPr>
                <w:sz w:val="20"/>
              </w:rPr>
              <w:t>06875    .1441708</w:t>
            </w:r>
          </w:p>
        </w:tc>
      </w:tr>
    </w:tbl>
    <w:p w14:paraId="373CBBAA" w14:textId="77777777" w:rsidR="00726C45" w:rsidRDefault="00726C45" w:rsidP="00726C45">
      <w:pPr>
        <w:tabs>
          <w:tab w:val="left" w:pos="3264"/>
        </w:tabs>
      </w:pPr>
    </w:p>
    <w:p w14:paraId="2FF84C30" w14:textId="77777777" w:rsidR="00726C45" w:rsidRPr="009F3CC6" w:rsidRDefault="00726C45" w:rsidP="00726C45">
      <w:pPr>
        <w:tabs>
          <w:tab w:val="left" w:pos="3264"/>
        </w:tabs>
        <w:rPr>
          <w:b/>
        </w:rPr>
      </w:pPr>
      <w:r>
        <w:rPr>
          <w:b/>
        </w:rPr>
        <w:t>Figure A5</w:t>
      </w:r>
      <w:r w:rsidRPr="009F3CC6">
        <w:rPr>
          <w:b/>
        </w:rPr>
        <w:t>: Null Model – Economy (Adapted Stata output)</w:t>
      </w:r>
    </w:p>
    <w:p w14:paraId="638FA8B3" w14:textId="77777777" w:rsidR="00726C45" w:rsidRPr="006F0825" w:rsidRDefault="00726C45" w:rsidP="00726C45">
      <w:pPr>
        <w:tabs>
          <w:tab w:val="left" w:pos="3264"/>
        </w:tabs>
        <w:rPr>
          <w:sz w:val="20"/>
        </w:rPr>
      </w:pPr>
      <w:r>
        <w:rPr>
          <w:sz w:val="20"/>
        </w:rPr>
        <w:t xml:space="preserve">Log-likelihood: </w:t>
      </w:r>
      <w:r w:rsidRPr="00811F86">
        <w:rPr>
          <w:sz w:val="20"/>
        </w:rPr>
        <w:t>-102904.48</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5F945EDC" w14:textId="77777777" w:rsidTr="00A37677">
        <w:trPr>
          <w:trHeight w:val="551"/>
        </w:trPr>
        <w:tc>
          <w:tcPr>
            <w:tcW w:w="1503" w:type="dxa"/>
            <w:tcBorders>
              <w:top w:val="single" w:sz="4" w:space="0" w:color="auto"/>
              <w:bottom w:val="single" w:sz="4" w:space="0" w:color="auto"/>
            </w:tcBorders>
          </w:tcPr>
          <w:p w14:paraId="1947BE03" w14:textId="77777777" w:rsidR="00726C45" w:rsidRPr="00C560DD" w:rsidRDefault="00726C45" w:rsidP="00A37677">
            <w:pPr>
              <w:tabs>
                <w:tab w:val="left" w:pos="3264"/>
              </w:tabs>
              <w:rPr>
                <w:b/>
                <w:i/>
                <w:sz w:val="20"/>
              </w:rPr>
            </w:pPr>
            <w:r>
              <w:rPr>
                <w:b/>
                <w:i/>
                <w:sz w:val="20"/>
              </w:rPr>
              <w:t>Economy</w:t>
            </w:r>
          </w:p>
        </w:tc>
        <w:tc>
          <w:tcPr>
            <w:tcW w:w="1126" w:type="dxa"/>
            <w:tcBorders>
              <w:top w:val="single" w:sz="4" w:space="0" w:color="auto"/>
              <w:bottom w:val="single" w:sz="4" w:space="0" w:color="auto"/>
            </w:tcBorders>
          </w:tcPr>
          <w:p w14:paraId="70512A8A"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74D9EBD6"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67396CBF"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210DCCE8"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297A9AE0"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1629A4AA" w14:textId="77777777" w:rsidTr="00A37677">
        <w:trPr>
          <w:trHeight w:val="539"/>
        </w:trPr>
        <w:tc>
          <w:tcPr>
            <w:tcW w:w="1503" w:type="dxa"/>
            <w:tcBorders>
              <w:top w:val="single" w:sz="4" w:space="0" w:color="auto"/>
              <w:bottom w:val="single" w:sz="4" w:space="0" w:color="auto"/>
            </w:tcBorders>
          </w:tcPr>
          <w:p w14:paraId="5A0815CE"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033971A8" w14:textId="77777777" w:rsidR="00726C45" w:rsidRPr="00C560DD" w:rsidRDefault="00726C45" w:rsidP="00A37677">
            <w:pPr>
              <w:tabs>
                <w:tab w:val="left" w:pos="3264"/>
              </w:tabs>
              <w:rPr>
                <w:sz w:val="20"/>
              </w:rPr>
            </w:pPr>
            <w:r w:rsidRPr="00811F86">
              <w:rPr>
                <w:sz w:val="20"/>
              </w:rPr>
              <w:t>7.695083</w:t>
            </w:r>
          </w:p>
        </w:tc>
        <w:tc>
          <w:tcPr>
            <w:tcW w:w="1015" w:type="dxa"/>
            <w:gridSpan w:val="2"/>
            <w:tcBorders>
              <w:top w:val="single" w:sz="4" w:space="0" w:color="auto"/>
              <w:bottom w:val="single" w:sz="4" w:space="0" w:color="auto"/>
            </w:tcBorders>
          </w:tcPr>
          <w:p w14:paraId="4DC9EA22" w14:textId="77777777" w:rsidR="00726C45" w:rsidRPr="00C560DD" w:rsidRDefault="00726C45" w:rsidP="00A37677">
            <w:pPr>
              <w:tabs>
                <w:tab w:val="left" w:pos="3264"/>
              </w:tabs>
              <w:rPr>
                <w:sz w:val="20"/>
              </w:rPr>
            </w:pPr>
            <w:r w:rsidRPr="00811F86">
              <w:rPr>
                <w:sz w:val="20"/>
              </w:rPr>
              <w:t>.1303056</w:t>
            </w:r>
          </w:p>
        </w:tc>
        <w:tc>
          <w:tcPr>
            <w:tcW w:w="691" w:type="dxa"/>
            <w:tcBorders>
              <w:top w:val="single" w:sz="4" w:space="0" w:color="auto"/>
              <w:bottom w:val="single" w:sz="4" w:space="0" w:color="auto"/>
            </w:tcBorders>
          </w:tcPr>
          <w:p w14:paraId="56280BB8" w14:textId="77777777" w:rsidR="00726C45" w:rsidRPr="00C560DD" w:rsidRDefault="00726C45" w:rsidP="00A37677">
            <w:pPr>
              <w:tabs>
                <w:tab w:val="left" w:pos="3264"/>
              </w:tabs>
              <w:rPr>
                <w:sz w:val="20"/>
              </w:rPr>
            </w:pPr>
            <w:r w:rsidRPr="00811F86">
              <w:rPr>
                <w:sz w:val="20"/>
              </w:rPr>
              <w:t>59.05</w:t>
            </w:r>
          </w:p>
        </w:tc>
        <w:tc>
          <w:tcPr>
            <w:tcW w:w="1052" w:type="dxa"/>
            <w:tcBorders>
              <w:top w:val="single" w:sz="4" w:space="0" w:color="auto"/>
              <w:bottom w:val="single" w:sz="4" w:space="0" w:color="auto"/>
            </w:tcBorders>
          </w:tcPr>
          <w:p w14:paraId="59567BDE" w14:textId="77777777" w:rsidR="00726C45" w:rsidRPr="00C560DD" w:rsidRDefault="00726C45" w:rsidP="00A37677">
            <w:pPr>
              <w:tabs>
                <w:tab w:val="left" w:pos="3264"/>
              </w:tabs>
              <w:rPr>
                <w:sz w:val="20"/>
              </w:rPr>
            </w:pPr>
            <w:r w:rsidRPr="00B44F31">
              <w:rPr>
                <w:sz w:val="20"/>
              </w:rPr>
              <w:t xml:space="preserve">0.000  </w:t>
            </w:r>
          </w:p>
        </w:tc>
        <w:tc>
          <w:tcPr>
            <w:tcW w:w="2126" w:type="dxa"/>
            <w:tcBorders>
              <w:top w:val="single" w:sz="4" w:space="0" w:color="auto"/>
              <w:bottom w:val="single" w:sz="4" w:space="0" w:color="auto"/>
            </w:tcBorders>
          </w:tcPr>
          <w:p w14:paraId="65DACE4F" w14:textId="77777777" w:rsidR="00726C45" w:rsidRPr="00C560DD" w:rsidRDefault="00726C45" w:rsidP="00A37677">
            <w:pPr>
              <w:tabs>
                <w:tab w:val="left" w:pos="3264"/>
              </w:tabs>
              <w:rPr>
                <w:sz w:val="20"/>
              </w:rPr>
            </w:pPr>
            <w:r w:rsidRPr="00811F86">
              <w:rPr>
                <w:sz w:val="20"/>
              </w:rPr>
              <w:t>7.439689    7.950477</w:t>
            </w:r>
          </w:p>
        </w:tc>
      </w:tr>
      <w:tr w:rsidR="00726C45" w:rsidRPr="00C560DD" w14:paraId="0CFBEB28" w14:textId="77777777" w:rsidTr="00A37677">
        <w:trPr>
          <w:trHeight w:val="539"/>
        </w:trPr>
        <w:tc>
          <w:tcPr>
            <w:tcW w:w="2789" w:type="dxa"/>
            <w:gridSpan w:val="3"/>
            <w:tcBorders>
              <w:top w:val="single" w:sz="4" w:space="0" w:color="auto"/>
              <w:bottom w:val="single" w:sz="4" w:space="0" w:color="auto"/>
            </w:tcBorders>
          </w:tcPr>
          <w:p w14:paraId="569EB9D1"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224B5946"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3FAC9DCF"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5C2EDDB2" w14:textId="77777777" w:rsidR="00726C45" w:rsidRDefault="00726C45" w:rsidP="00A37677">
            <w:pPr>
              <w:tabs>
                <w:tab w:val="left" w:pos="3264"/>
              </w:tabs>
              <w:rPr>
                <w:b/>
                <w:sz w:val="20"/>
              </w:rPr>
            </w:pPr>
          </w:p>
        </w:tc>
      </w:tr>
      <w:tr w:rsidR="00726C45" w:rsidRPr="00C560DD" w14:paraId="74F23BE7" w14:textId="77777777" w:rsidTr="00A37677">
        <w:trPr>
          <w:trHeight w:val="539"/>
        </w:trPr>
        <w:tc>
          <w:tcPr>
            <w:tcW w:w="2789" w:type="dxa"/>
            <w:gridSpan w:val="3"/>
            <w:tcBorders>
              <w:top w:val="single" w:sz="4" w:space="0" w:color="auto"/>
              <w:bottom w:val="single" w:sz="4" w:space="0" w:color="auto"/>
            </w:tcBorders>
          </w:tcPr>
          <w:p w14:paraId="377909D1"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397A57D0"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2587ABF1"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60DC0D2C"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2916C57F" w14:textId="77777777" w:rsidTr="00A37677">
        <w:trPr>
          <w:trHeight w:val="551"/>
        </w:trPr>
        <w:tc>
          <w:tcPr>
            <w:tcW w:w="2789" w:type="dxa"/>
            <w:gridSpan w:val="3"/>
            <w:tcBorders>
              <w:top w:val="single" w:sz="4" w:space="0" w:color="auto"/>
            </w:tcBorders>
          </w:tcPr>
          <w:p w14:paraId="0BF114D7"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3AB942C3" w14:textId="77777777" w:rsidR="00726C45" w:rsidRPr="00C560DD" w:rsidRDefault="00726C45" w:rsidP="00A37677">
            <w:pPr>
              <w:tabs>
                <w:tab w:val="left" w:pos="3264"/>
              </w:tabs>
              <w:rPr>
                <w:sz w:val="20"/>
              </w:rPr>
            </w:pPr>
            <w:r w:rsidRPr="00811F86">
              <w:rPr>
                <w:sz w:val="20"/>
              </w:rPr>
              <w:t>.774943</w:t>
            </w:r>
          </w:p>
        </w:tc>
        <w:tc>
          <w:tcPr>
            <w:tcW w:w="1052" w:type="dxa"/>
            <w:tcBorders>
              <w:top w:val="single" w:sz="4" w:space="0" w:color="auto"/>
            </w:tcBorders>
          </w:tcPr>
          <w:p w14:paraId="704317B1" w14:textId="77777777" w:rsidR="00726C45" w:rsidRPr="00C560DD" w:rsidRDefault="00726C45" w:rsidP="00A37677">
            <w:pPr>
              <w:tabs>
                <w:tab w:val="left" w:pos="3264"/>
              </w:tabs>
              <w:rPr>
                <w:sz w:val="20"/>
              </w:rPr>
            </w:pPr>
            <w:r w:rsidRPr="00811F86">
              <w:rPr>
                <w:sz w:val="20"/>
              </w:rPr>
              <w:t>.1627387</w:t>
            </w:r>
          </w:p>
        </w:tc>
        <w:tc>
          <w:tcPr>
            <w:tcW w:w="2126" w:type="dxa"/>
            <w:tcBorders>
              <w:top w:val="single" w:sz="4" w:space="0" w:color="auto"/>
            </w:tcBorders>
          </w:tcPr>
          <w:p w14:paraId="58F0CDDF" w14:textId="77777777" w:rsidR="00726C45" w:rsidRPr="00C560DD" w:rsidRDefault="00726C45" w:rsidP="00A37677">
            <w:pPr>
              <w:tabs>
                <w:tab w:val="left" w:pos="3264"/>
              </w:tabs>
              <w:rPr>
                <w:sz w:val="20"/>
              </w:rPr>
            </w:pPr>
            <w:r w:rsidRPr="00811F86">
              <w:rPr>
                <w:sz w:val="20"/>
              </w:rPr>
              <w:t>.</w:t>
            </w:r>
            <w:r>
              <w:t xml:space="preserve"> </w:t>
            </w:r>
            <w:r w:rsidRPr="00811F86">
              <w:rPr>
                <w:sz w:val="20"/>
              </w:rPr>
              <w:t>513472    1.169561</w:t>
            </w:r>
          </w:p>
        </w:tc>
      </w:tr>
      <w:tr w:rsidR="00726C45" w:rsidRPr="00C560DD" w14:paraId="57C0785B" w14:textId="77777777" w:rsidTr="00A37677">
        <w:trPr>
          <w:trHeight w:val="539"/>
        </w:trPr>
        <w:tc>
          <w:tcPr>
            <w:tcW w:w="2789" w:type="dxa"/>
            <w:gridSpan w:val="3"/>
            <w:tcBorders>
              <w:bottom w:val="single" w:sz="4" w:space="0" w:color="auto"/>
            </w:tcBorders>
          </w:tcPr>
          <w:p w14:paraId="69A358AC"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3A8DBFE3" w14:textId="77777777" w:rsidR="00726C45" w:rsidRPr="00C560DD" w:rsidRDefault="00726C45" w:rsidP="00A37677">
            <w:pPr>
              <w:tabs>
                <w:tab w:val="left" w:pos="3264"/>
              </w:tabs>
              <w:rPr>
                <w:sz w:val="20"/>
              </w:rPr>
            </w:pPr>
            <w:r w:rsidRPr="00811F86">
              <w:rPr>
                <w:sz w:val="20"/>
              </w:rPr>
              <w:t>5.34397</w:t>
            </w:r>
          </w:p>
        </w:tc>
        <w:tc>
          <w:tcPr>
            <w:tcW w:w="1052" w:type="dxa"/>
            <w:tcBorders>
              <w:bottom w:val="single" w:sz="4" w:space="0" w:color="auto"/>
            </w:tcBorders>
          </w:tcPr>
          <w:p w14:paraId="6B07358A" w14:textId="77777777" w:rsidR="00726C45" w:rsidRPr="00C560DD" w:rsidRDefault="00726C45" w:rsidP="00A37677">
            <w:pPr>
              <w:tabs>
                <w:tab w:val="left" w:pos="3264"/>
              </w:tabs>
              <w:rPr>
                <w:sz w:val="20"/>
              </w:rPr>
            </w:pPr>
            <w:r w:rsidRPr="00811F86">
              <w:rPr>
                <w:sz w:val="20"/>
              </w:rPr>
              <w:t>.0354305</w:t>
            </w:r>
          </w:p>
        </w:tc>
        <w:tc>
          <w:tcPr>
            <w:tcW w:w="2126" w:type="dxa"/>
            <w:tcBorders>
              <w:bottom w:val="single" w:sz="4" w:space="0" w:color="auto"/>
            </w:tcBorders>
          </w:tcPr>
          <w:p w14:paraId="0E9DD351" w14:textId="77777777" w:rsidR="00726C45" w:rsidRPr="00C560DD" w:rsidRDefault="00726C45" w:rsidP="00A37677">
            <w:pPr>
              <w:tabs>
                <w:tab w:val="left" w:pos="3264"/>
              </w:tabs>
              <w:rPr>
                <w:sz w:val="20"/>
              </w:rPr>
            </w:pPr>
            <w:r w:rsidRPr="00811F86">
              <w:rPr>
                <w:sz w:val="20"/>
              </w:rPr>
              <w:t>5.274977    5.413866</w:t>
            </w:r>
          </w:p>
        </w:tc>
      </w:tr>
    </w:tbl>
    <w:p w14:paraId="0DD6222A" w14:textId="77777777" w:rsidR="00726C45" w:rsidRDefault="00726C45" w:rsidP="00726C45">
      <w:pPr>
        <w:tabs>
          <w:tab w:val="left" w:pos="3264"/>
        </w:tabs>
        <w:ind w:firstLine="720"/>
        <w:rPr>
          <w:sz w:val="18"/>
        </w:rPr>
      </w:pPr>
      <w:r w:rsidRPr="00C560DD">
        <w:rPr>
          <w:sz w:val="18"/>
        </w:rPr>
        <w:t xml:space="preserve">LR test vs. linear regression: chibar2(01) =  </w:t>
      </w:r>
      <w:r w:rsidRPr="00811F86">
        <w:rPr>
          <w:sz w:val="18"/>
        </w:rPr>
        <w:t xml:space="preserve">6143.05 </w:t>
      </w:r>
      <w:r w:rsidRPr="00C560DD">
        <w:rPr>
          <w:sz w:val="18"/>
        </w:rPr>
        <w:t>Prob &gt;= chibar2 = 0.0000</w:t>
      </w:r>
    </w:p>
    <w:p w14:paraId="6AE95655"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3A256E74" w14:textId="77777777" w:rsidTr="00A37677">
        <w:tc>
          <w:tcPr>
            <w:tcW w:w="2254" w:type="dxa"/>
            <w:tcBorders>
              <w:top w:val="single" w:sz="4" w:space="0" w:color="auto"/>
            </w:tcBorders>
          </w:tcPr>
          <w:p w14:paraId="14A1FA1C"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2504C822"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437E9086"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697B4C27"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1381CF59" w14:textId="77777777" w:rsidTr="00A37677">
        <w:tc>
          <w:tcPr>
            <w:tcW w:w="2254" w:type="dxa"/>
            <w:tcBorders>
              <w:bottom w:val="single" w:sz="4" w:space="0" w:color="auto"/>
            </w:tcBorders>
          </w:tcPr>
          <w:p w14:paraId="490B1C66"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4A4D611A" w14:textId="77777777" w:rsidR="00726C45" w:rsidRPr="00C560DD" w:rsidRDefault="00726C45" w:rsidP="00A37677">
            <w:pPr>
              <w:tabs>
                <w:tab w:val="left" w:pos="3264"/>
              </w:tabs>
              <w:rPr>
                <w:sz w:val="20"/>
              </w:rPr>
            </w:pPr>
            <w:r w:rsidRPr="00811F86">
              <w:rPr>
                <w:sz w:val="20"/>
              </w:rPr>
              <w:t>.1266472</w:t>
            </w:r>
          </w:p>
        </w:tc>
        <w:tc>
          <w:tcPr>
            <w:tcW w:w="2254" w:type="dxa"/>
            <w:tcBorders>
              <w:bottom w:val="single" w:sz="4" w:space="0" w:color="auto"/>
            </w:tcBorders>
          </w:tcPr>
          <w:p w14:paraId="1592F971" w14:textId="77777777" w:rsidR="00726C45" w:rsidRPr="00C560DD" w:rsidRDefault="00726C45" w:rsidP="00A37677">
            <w:pPr>
              <w:tabs>
                <w:tab w:val="left" w:pos="3264"/>
              </w:tabs>
              <w:rPr>
                <w:sz w:val="20"/>
              </w:rPr>
            </w:pPr>
            <w:r w:rsidRPr="00811F86">
              <w:rPr>
                <w:sz w:val="20"/>
              </w:rPr>
              <w:t>.0232394</w:t>
            </w:r>
          </w:p>
        </w:tc>
        <w:tc>
          <w:tcPr>
            <w:tcW w:w="2254" w:type="dxa"/>
            <w:tcBorders>
              <w:bottom w:val="single" w:sz="4" w:space="0" w:color="auto"/>
            </w:tcBorders>
          </w:tcPr>
          <w:p w14:paraId="4278131B" w14:textId="77777777" w:rsidR="00726C45" w:rsidRPr="00C560DD" w:rsidRDefault="00726C45" w:rsidP="00A37677">
            <w:pPr>
              <w:tabs>
                <w:tab w:val="left" w:pos="3264"/>
              </w:tabs>
              <w:rPr>
                <w:sz w:val="20"/>
              </w:rPr>
            </w:pPr>
            <w:r w:rsidRPr="00811F86">
              <w:rPr>
                <w:sz w:val="20"/>
              </w:rPr>
              <w:t>.0876449    .1795892</w:t>
            </w:r>
          </w:p>
        </w:tc>
      </w:tr>
    </w:tbl>
    <w:p w14:paraId="75FC4951" w14:textId="77777777" w:rsidR="00726C45" w:rsidRDefault="00726C45" w:rsidP="00726C45">
      <w:pPr>
        <w:tabs>
          <w:tab w:val="left" w:pos="3264"/>
        </w:tabs>
      </w:pPr>
    </w:p>
    <w:p w14:paraId="6A95AD45" w14:textId="77777777" w:rsidR="00726C45" w:rsidRPr="009F3CC6" w:rsidRDefault="00726C45" w:rsidP="00726C45">
      <w:pPr>
        <w:tabs>
          <w:tab w:val="left" w:pos="3264"/>
        </w:tabs>
        <w:rPr>
          <w:b/>
        </w:rPr>
      </w:pPr>
      <w:r>
        <w:rPr>
          <w:b/>
        </w:rPr>
        <w:t>Figure A6</w:t>
      </w:r>
      <w:r w:rsidRPr="009F3CC6">
        <w:rPr>
          <w:b/>
        </w:rPr>
        <w:t>: Null Model – Criminal Punishment (Adapted Stata output)</w:t>
      </w:r>
    </w:p>
    <w:p w14:paraId="0B253238" w14:textId="77777777" w:rsidR="00726C45" w:rsidRPr="006F0825" w:rsidRDefault="00726C45" w:rsidP="00726C45">
      <w:pPr>
        <w:tabs>
          <w:tab w:val="left" w:pos="3264"/>
        </w:tabs>
        <w:rPr>
          <w:sz w:val="20"/>
        </w:rPr>
      </w:pPr>
      <w:r>
        <w:rPr>
          <w:sz w:val="20"/>
        </w:rPr>
        <w:t xml:space="preserve">Log-likelihood: </w:t>
      </w:r>
      <w:r w:rsidRPr="006163C2">
        <w:rPr>
          <w:sz w:val="20"/>
        </w:rPr>
        <w:t>-108290.23</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7B4347D3" w14:textId="77777777" w:rsidTr="00A37677">
        <w:trPr>
          <w:trHeight w:val="551"/>
        </w:trPr>
        <w:tc>
          <w:tcPr>
            <w:tcW w:w="1503" w:type="dxa"/>
            <w:tcBorders>
              <w:top w:val="single" w:sz="4" w:space="0" w:color="auto"/>
              <w:bottom w:val="single" w:sz="4" w:space="0" w:color="auto"/>
            </w:tcBorders>
          </w:tcPr>
          <w:p w14:paraId="2D045561" w14:textId="77777777" w:rsidR="00726C45" w:rsidRPr="00C560DD" w:rsidRDefault="00726C45" w:rsidP="00A37677">
            <w:pPr>
              <w:tabs>
                <w:tab w:val="left" w:pos="3264"/>
              </w:tabs>
              <w:rPr>
                <w:b/>
                <w:i/>
                <w:sz w:val="20"/>
              </w:rPr>
            </w:pPr>
            <w:r>
              <w:rPr>
                <w:b/>
                <w:i/>
                <w:sz w:val="20"/>
              </w:rPr>
              <w:t>Punish</w:t>
            </w:r>
          </w:p>
        </w:tc>
        <w:tc>
          <w:tcPr>
            <w:tcW w:w="1126" w:type="dxa"/>
            <w:tcBorders>
              <w:top w:val="single" w:sz="4" w:space="0" w:color="auto"/>
              <w:bottom w:val="single" w:sz="4" w:space="0" w:color="auto"/>
            </w:tcBorders>
          </w:tcPr>
          <w:p w14:paraId="1A4C2536"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763C3A37"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7F92599F"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2C851C87"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09A432F3"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1A020784" w14:textId="77777777" w:rsidTr="00A37677">
        <w:trPr>
          <w:trHeight w:val="539"/>
        </w:trPr>
        <w:tc>
          <w:tcPr>
            <w:tcW w:w="1503" w:type="dxa"/>
            <w:tcBorders>
              <w:top w:val="single" w:sz="4" w:space="0" w:color="auto"/>
              <w:bottom w:val="single" w:sz="4" w:space="0" w:color="auto"/>
            </w:tcBorders>
          </w:tcPr>
          <w:p w14:paraId="5F2768A7"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05E6CA61" w14:textId="77777777" w:rsidR="00726C45" w:rsidRPr="00C560DD" w:rsidRDefault="00726C45" w:rsidP="00A37677">
            <w:pPr>
              <w:tabs>
                <w:tab w:val="left" w:pos="3264"/>
              </w:tabs>
              <w:rPr>
                <w:sz w:val="20"/>
              </w:rPr>
            </w:pPr>
            <w:r w:rsidRPr="006163C2">
              <w:rPr>
                <w:sz w:val="20"/>
              </w:rPr>
              <w:t>7.525752</w:t>
            </w:r>
          </w:p>
        </w:tc>
        <w:tc>
          <w:tcPr>
            <w:tcW w:w="1015" w:type="dxa"/>
            <w:gridSpan w:val="2"/>
            <w:tcBorders>
              <w:top w:val="single" w:sz="4" w:space="0" w:color="auto"/>
              <w:bottom w:val="single" w:sz="4" w:space="0" w:color="auto"/>
            </w:tcBorders>
          </w:tcPr>
          <w:p w14:paraId="01EE9A72" w14:textId="77777777" w:rsidR="00726C45" w:rsidRPr="00C560DD" w:rsidRDefault="00726C45" w:rsidP="00A37677">
            <w:pPr>
              <w:tabs>
                <w:tab w:val="left" w:pos="3264"/>
              </w:tabs>
              <w:rPr>
                <w:sz w:val="20"/>
              </w:rPr>
            </w:pPr>
            <w:r w:rsidRPr="006163C2">
              <w:rPr>
                <w:sz w:val="20"/>
              </w:rPr>
              <w:t>.1405976</w:t>
            </w:r>
          </w:p>
        </w:tc>
        <w:tc>
          <w:tcPr>
            <w:tcW w:w="691" w:type="dxa"/>
            <w:tcBorders>
              <w:top w:val="single" w:sz="4" w:space="0" w:color="auto"/>
              <w:bottom w:val="single" w:sz="4" w:space="0" w:color="auto"/>
            </w:tcBorders>
          </w:tcPr>
          <w:p w14:paraId="39A7CB86" w14:textId="77777777" w:rsidR="00726C45" w:rsidRPr="00C560DD" w:rsidRDefault="00726C45" w:rsidP="00A37677">
            <w:pPr>
              <w:tabs>
                <w:tab w:val="left" w:pos="3264"/>
              </w:tabs>
              <w:rPr>
                <w:sz w:val="20"/>
              </w:rPr>
            </w:pPr>
            <w:r w:rsidRPr="006163C2">
              <w:rPr>
                <w:sz w:val="20"/>
              </w:rPr>
              <w:t>53.53</w:t>
            </w:r>
          </w:p>
        </w:tc>
        <w:tc>
          <w:tcPr>
            <w:tcW w:w="1052" w:type="dxa"/>
            <w:tcBorders>
              <w:top w:val="single" w:sz="4" w:space="0" w:color="auto"/>
              <w:bottom w:val="single" w:sz="4" w:space="0" w:color="auto"/>
            </w:tcBorders>
          </w:tcPr>
          <w:p w14:paraId="7537B1CA" w14:textId="77777777" w:rsidR="00726C45" w:rsidRPr="00C560DD" w:rsidRDefault="00726C45" w:rsidP="00A37677">
            <w:pPr>
              <w:tabs>
                <w:tab w:val="left" w:pos="3264"/>
              </w:tabs>
              <w:rPr>
                <w:sz w:val="20"/>
              </w:rPr>
            </w:pPr>
            <w:r w:rsidRPr="00B44F31">
              <w:rPr>
                <w:sz w:val="20"/>
              </w:rPr>
              <w:t xml:space="preserve">0.000  </w:t>
            </w:r>
          </w:p>
        </w:tc>
        <w:tc>
          <w:tcPr>
            <w:tcW w:w="2126" w:type="dxa"/>
            <w:tcBorders>
              <w:top w:val="single" w:sz="4" w:space="0" w:color="auto"/>
              <w:bottom w:val="single" w:sz="4" w:space="0" w:color="auto"/>
            </w:tcBorders>
          </w:tcPr>
          <w:p w14:paraId="74AC889E" w14:textId="77777777" w:rsidR="00726C45" w:rsidRPr="00C560DD" w:rsidRDefault="00726C45" w:rsidP="00A37677">
            <w:pPr>
              <w:tabs>
                <w:tab w:val="left" w:pos="3264"/>
              </w:tabs>
              <w:rPr>
                <w:sz w:val="20"/>
              </w:rPr>
            </w:pPr>
            <w:r w:rsidRPr="006163C2">
              <w:rPr>
                <w:sz w:val="20"/>
              </w:rPr>
              <w:t>7.250185    7.801318</w:t>
            </w:r>
          </w:p>
        </w:tc>
      </w:tr>
      <w:tr w:rsidR="00726C45" w:rsidRPr="00C560DD" w14:paraId="1D5DA168" w14:textId="77777777" w:rsidTr="00A37677">
        <w:trPr>
          <w:trHeight w:val="539"/>
        </w:trPr>
        <w:tc>
          <w:tcPr>
            <w:tcW w:w="2789" w:type="dxa"/>
            <w:gridSpan w:val="3"/>
            <w:tcBorders>
              <w:top w:val="single" w:sz="4" w:space="0" w:color="auto"/>
              <w:bottom w:val="single" w:sz="4" w:space="0" w:color="auto"/>
            </w:tcBorders>
          </w:tcPr>
          <w:p w14:paraId="5AE71F01"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6F9D5136"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01417B62"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48270E55" w14:textId="77777777" w:rsidR="00726C45" w:rsidRDefault="00726C45" w:rsidP="00A37677">
            <w:pPr>
              <w:tabs>
                <w:tab w:val="left" w:pos="3264"/>
              </w:tabs>
              <w:rPr>
                <w:b/>
                <w:sz w:val="20"/>
              </w:rPr>
            </w:pPr>
          </w:p>
        </w:tc>
      </w:tr>
      <w:tr w:rsidR="00726C45" w:rsidRPr="00C560DD" w14:paraId="36D0FBAD" w14:textId="77777777" w:rsidTr="00A37677">
        <w:trPr>
          <w:trHeight w:val="539"/>
        </w:trPr>
        <w:tc>
          <w:tcPr>
            <w:tcW w:w="2789" w:type="dxa"/>
            <w:gridSpan w:val="3"/>
            <w:tcBorders>
              <w:top w:val="single" w:sz="4" w:space="0" w:color="auto"/>
              <w:bottom w:val="single" w:sz="4" w:space="0" w:color="auto"/>
            </w:tcBorders>
          </w:tcPr>
          <w:p w14:paraId="2C05DF82"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785C5810"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09AB55DA"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0D093F60"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2D7EFF6D" w14:textId="77777777" w:rsidTr="00A37677">
        <w:trPr>
          <w:trHeight w:val="551"/>
        </w:trPr>
        <w:tc>
          <w:tcPr>
            <w:tcW w:w="2789" w:type="dxa"/>
            <w:gridSpan w:val="3"/>
            <w:tcBorders>
              <w:top w:val="single" w:sz="4" w:space="0" w:color="auto"/>
            </w:tcBorders>
          </w:tcPr>
          <w:p w14:paraId="0A53DF5D"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4EAC9926" w14:textId="77777777" w:rsidR="00726C45" w:rsidRPr="00C560DD" w:rsidRDefault="00726C45" w:rsidP="00A37677">
            <w:pPr>
              <w:tabs>
                <w:tab w:val="left" w:pos="3264"/>
              </w:tabs>
              <w:rPr>
                <w:sz w:val="20"/>
              </w:rPr>
            </w:pPr>
            <w:r w:rsidRPr="006163C2">
              <w:rPr>
                <w:sz w:val="20"/>
              </w:rPr>
              <w:t>.9015657</w:t>
            </w:r>
          </w:p>
        </w:tc>
        <w:tc>
          <w:tcPr>
            <w:tcW w:w="1052" w:type="dxa"/>
            <w:tcBorders>
              <w:top w:val="single" w:sz="4" w:space="0" w:color="auto"/>
            </w:tcBorders>
          </w:tcPr>
          <w:p w14:paraId="4E7C20A5" w14:textId="77777777" w:rsidR="00726C45" w:rsidRPr="00C560DD" w:rsidRDefault="00726C45" w:rsidP="00A37677">
            <w:pPr>
              <w:tabs>
                <w:tab w:val="left" w:pos="3264"/>
              </w:tabs>
              <w:rPr>
                <w:sz w:val="20"/>
              </w:rPr>
            </w:pPr>
            <w:r w:rsidRPr="006163C2">
              <w:rPr>
                <w:sz w:val="20"/>
              </w:rPr>
              <w:t>.1894938</w:t>
            </w:r>
          </w:p>
        </w:tc>
        <w:tc>
          <w:tcPr>
            <w:tcW w:w="2126" w:type="dxa"/>
            <w:tcBorders>
              <w:top w:val="single" w:sz="4" w:space="0" w:color="auto"/>
            </w:tcBorders>
          </w:tcPr>
          <w:p w14:paraId="0AFD2B9E" w14:textId="77777777" w:rsidR="00726C45" w:rsidRPr="00C560DD" w:rsidRDefault="00726C45" w:rsidP="00A37677">
            <w:pPr>
              <w:tabs>
                <w:tab w:val="left" w:pos="3264"/>
              </w:tabs>
              <w:rPr>
                <w:sz w:val="20"/>
              </w:rPr>
            </w:pPr>
            <w:r w:rsidRPr="006163C2">
              <w:rPr>
                <w:sz w:val="20"/>
              </w:rPr>
              <w:t>.5971581    1.361148</w:t>
            </w:r>
          </w:p>
        </w:tc>
      </w:tr>
      <w:tr w:rsidR="00726C45" w:rsidRPr="00C560DD" w14:paraId="45F82FD5" w14:textId="77777777" w:rsidTr="00A37677">
        <w:trPr>
          <w:trHeight w:val="539"/>
        </w:trPr>
        <w:tc>
          <w:tcPr>
            <w:tcW w:w="2789" w:type="dxa"/>
            <w:gridSpan w:val="3"/>
            <w:tcBorders>
              <w:bottom w:val="single" w:sz="4" w:space="0" w:color="auto"/>
            </w:tcBorders>
          </w:tcPr>
          <w:p w14:paraId="7C19C6D2"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03ED5869" w14:textId="77777777" w:rsidR="00726C45" w:rsidRPr="00C560DD" w:rsidRDefault="00726C45" w:rsidP="00A37677">
            <w:pPr>
              <w:tabs>
                <w:tab w:val="left" w:pos="3264"/>
              </w:tabs>
              <w:rPr>
                <w:sz w:val="20"/>
              </w:rPr>
            </w:pPr>
            <w:r w:rsidRPr="006163C2">
              <w:rPr>
                <w:sz w:val="20"/>
              </w:rPr>
              <w:t>6.770376</w:t>
            </w:r>
          </w:p>
        </w:tc>
        <w:tc>
          <w:tcPr>
            <w:tcW w:w="1052" w:type="dxa"/>
            <w:tcBorders>
              <w:bottom w:val="single" w:sz="4" w:space="0" w:color="auto"/>
            </w:tcBorders>
          </w:tcPr>
          <w:p w14:paraId="436559D5" w14:textId="77777777" w:rsidR="00726C45" w:rsidRPr="00C560DD" w:rsidRDefault="00726C45" w:rsidP="00A37677">
            <w:pPr>
              <w:tabs>
                <w:tab w:val="left" w:pos="3264"/>
              </w:tabs>
              <w:rPr>
                <w:sz w:val="20"/>
              </w:rPr>
            </w:pPr>
            <w:r w:rsidRPr="006163C2">
              <w:rPr>
                <w:sz w:val="20"/>
              </w:rPr>
              <w:t xml:space="preserve">.0448876  </w:t>
            </w:r>
          </w:p>
        </w:tc>
        <w:tc>
          <w:tcPr>
            <w:tcW w:w="2126" w:type="dxa"/>
            <w:tcBorders>
              <w:bottom w:val="single" w:sz="4" w:space="0" w:color="auto"/>
            </w:tcBorders>
          </w:tcPr>
          <w:p w14:paraId="2234283B" w14:textId="77777777" w:rsidR="00726C45" w:rsidRPr="00C560DD" w:rsidRDefault="00726C45" w:rsidP="00A37677">
            <w:pPr>
              <w:tabs>
                <w:tab w:val="left" w:pos="3264"/>
              </w:tabs>
              <w:rPr>
                <w:sz w:val="20"/>
              </w:rPr>
            </w:pPr>
            <w:r w:rsidRPr="006163C2">
              <w:rPr>
                <w:sz w:val="20"/>
              </w:rPr>
              <w:t>6.682967    6.858928</w:t>
            </w:r>
          </w:p>
        </w:tc>
      </w:tr>
    </w:tbl>
    <w:p w14:paraId="5D4FD465" w14:textId="77777777" w:rsidR="00726C45" w:rsidRDefault="00726C45" w:rsidP="00726C45">
      <w:pPr>
        <w:tabs>
          <w:tab w:val="left" w:pos="3264"/>
        </w:tabs>
        <w:ind w:firstLine="720"/>
        <w:rPr>
          <w:sz w:val="18"/>
        </w:rPr>
      </w:pPr>
      <w:r w:rsidRPr="00C560DD">
        <w:rPr>
          <w:sz w:val="18"/>
        </w:rPr>
        <w:t xml:space="preserve">LR test vs. linear regression: chibar2(01) =  </w:t>
      </w:r>
      <w:r w:rsidRPr="006163C2">
        <w:rPr>
          <w:sz w:val="18"/>
        </w:rPr>
        <w:t xml:space="preserve">5548.15 </w:t>
      </w:r>
      <w:r w:rsidRPr="00C560DD">
        <w:rPr>
          <w:sz w:val="18"/>
        </w:rPr>
        <w:t>Prob &gt;= chibar2 = 0.0000</w:t>
      </w:r>
    </w:p>
    <w:p w14:paraId="5A94149C"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2170"/>
        <w:gridCol w:w="2162"/>
        <w:gridCol w:w="2170"/>
      </w:tblGrid>
      <w:tr w:rsidR="00726C45" w:rsidRPr="00C560DD" w14:paraId="0688C7BB" w14:textId="77777777" w:rsidTr="00A37677">
        <w:tc>
          <w:tcPr>
            <w:tcW w:w="2254" w:type="dxa"/>
            <w:tcBorders>
              <w:top w:val="single" w:sz="4" w:space="0" w:color="auto"/>
            </w:tcBorders>
          </w:tcPr>
          <w:p w14:paraId="7DE7906A"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379C3A5B"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7F7774AB"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24C3CC7E"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5D69752F" w14:textId="77777777" w:rsidTr="00A37677">
        <w:tc>
          <w:tcPr>
            <w:tcW w:w="2254" w:type="dxa"/>
            <w:tcBorders>
              <w:bottom w:val="single" w:sz="4" w:space="0" w:color="auto"/>
            </w:tcBorders>
          </w:tcPr>
          <w:p w14:paraId="48630F20"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1B480F53" w14:textId="77777777" w:rsidR="00726C45" w:rsidRPr="00C560DD" w:rsidRDefault="00726C45" w:rsidP="00A37677">
            <w:pPr>
              <w:tabs>
                <w:tab w:val="left" w:pos="3264"/>
              </w:tabs>
              <w:rPr>
                <w:sz w:val="20"/>
              </w:rPr>
            </w:pPr>
            <w:r w:rsidRPr="006163C2">
              <w:rPr>
                <w:sz w:val="20"/>
              </w:rPr>
              <w:t>.1175147</w:t>
            </w:r>
          </w:p>
        </w:tc>
        <w:tc>
          <w:tcPr>
            <w:tcW w:w="2254" w:type="dxa"/>
            <w:tcBorders>
              <w:bottom w:val="single" w:sz="4" w:space="0" w:color="auto"/>
            </w:tcBorders>
          </w:tcPr>
          <w:p w14:paraId="3680AEAE" w14:textId="77777777" w:rsidR="00726C45" w:rsidRPr="00C560DD" w:rsidRDefault="00726C45" w:rsidP="00A37677">
            <w:pPr>
              <w:tabs>
                <w:tab w:val="left" w:pos="3264"/>
              </w:tabs>
              <w:rPr>
                <w:sz w:val="20"/>
              </w:rPr>
            </w:pPr>
            <w:r w:rsidRPr="006163C2">
              <w:rPr>
                <w:sz w:val="20"/>
              </w:rPr>
              <w:t xml:space="preserve">.021808  </w:t>
            </w:r>
          </w:p>
        </w:tc>
        <w:tc>
          <w:tcPr>
            <w:tcW w:w="2254" w:type="dxa"/>
            <w:tcBorders>
              <w:bottom w:val="single" w:sz="4" w:space="0" w:color="auto"/>
            </w:tcBorders>
          </w:tcPr>
          <w:p w14:paraId="01BA26A7" w14:textId="77777777" w:rsidR="00726C45" w:rsidRPr="00C560DD" w:rsidRDefault="00726C45" w:rsidP="00A37677">
            <w:pPr>
              <w:tabs>
                <w:tab w:val="left" w:pos="3264"/>
              </w:tabs>
              <w:rPr>
                <w:sz w:val="20"/>
              </w:rPr>
            </w:pPr>
            <w:r w:rsidRPr="006163C2">
              <w:rPr>
                <w:sz w:val="20"/>
              </w:rPr>
              <w:t>.0810371    .1674205</w:t>
            </w:r>
          </w:p>
        </w:tc>
      </w:tr>
    </w:tbl>
    <w:p w14:paraId="31C185D6" w14:textId="77777777" w:rsidR="00726C45" w:rsidRDefault="00726C45" w:rsidP="00726C45">
      <w:pPr>
        <w:tabs>
          <w:tab w:val="left" w:pos="3264"/>
        </w:tabs>
      </w:pPr>
    </w:p>
    <w:p w14:paraId="68383396" w14:textId="77777777" w:rsidR="00726C45" w:rsidRPr="009F3CC6" w:rsidRDefault="00726C45" w:rsidP="00726C45">
      <w:pPr>
        <w:tabs>
          <w:tab w:val="left" w:pos="3264"/>
        </w:tabs>
        <w:rPr>
          <w:b/>
        </w:rPr>
      </w:pPr>
      <w:r>
        <w:rPr>
          <w:b/>
        </w:rPr>
        <w:t>Figure A7</w:t>
      </w:r>
      <w:r w:rsidRPr="009F3CC6">
        <w:rPr>
          <w:b/>
        </w:rPr>
        <w:t>: Null Model – Unemployment Aid (Adapted Stata output)</w:t>
      </w:r>
    </w:p>
    <w:p w14:paraId="4F200152" w14:textId="77777777" w:rsidR="00726C45" w:rsidRPr="006F0825" w:rsidRDefault="00726C45" w:rsidP="00726C45">
      <w:pPr>
        <w:tabs>
          <w:tab w:val="left" w:pos="3264"/>
        </w:tabs>
        <w:rPr>
          <w:sz w:val="20"/>
        </w:rPr>
      </w:pPr>
      <w:r>
        <w:rPr>
          <w:sz w:val="20"/>
        </w:rPr>
        <w:t>Log-likelihood:</w:t>
      </w:r>
      <w:r w:rsidRPr="006163C2">
        <w:t xml:space="preserve"> </w:t>
      </w:r>
      <w:r w:rsidRPr="006163C2">
        <w:rPr>
          <w:sz w:val="20"/>
        </w:rPr>
        <w:t>-106671.84</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1BC7DE65" w14:textId="77777777" w:rsidTr="00A37677">
        <w:trPr>
          <w:trHeight w:val="551"/>
        </w:trPr>
        <w:tc>
          <w:tcPr>
            <w:tcW w:w="1503" w:type="dxa"/>
            <w:tcBorders>
              <w:top w:val="single" w:sz="4" w:space="0" w:color="auto"/>
              <w:bottom w:val="single" w:sz="4" w:space="0" w:color="auto"/>
            </w:tcBorders>
          </w:tcPr>
          <w:p w14:paraId="19DF7BFC" w14:textId="77777777" w:rsidR="00726C45" w:rsidRPr="00C560DD" w:rsidRDefault="00726C45" w:rsidP="00A37677">
            <w:pPr>
              <w:tabs>
                <w:tab w:val="left" w:pos="3264"/>
              </w:tabs>
              <w:rPr>
                <w:b/>
                <w:i/>
                <w:sz w:val="20"/>
              </w:rPr>
            </w:pPr>
            <w:r>
              <w:rPr>
                <w:b/>
                <w:i/>
                <w:sz w:val="20"/>
              </w:rPr>
              <w:t>Aid</w:t>
            </w:r>
          </w:p>
        </w:tc>
        <w:tc>
          <w:tcPr>
            <w:tcW w:w="1126" w:type="dxa"/>
            <w:tcBorders>
              <w:top w:val="single" w:sz="4" w:space="0" w:color="auto"/>
              <w:bottom w:val="single" w:sz="4" w:space="0" w:color="auto"/>
            </w:tcBorders>
          </w:tcPr>
          <w:p w14:paraId="2DA43A2E"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1058C311"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38401A2D"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0E38F044"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396611DB"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4B0271B2" w14:textId="77777777" w:rsidTr="00A37677">
        <w:trPr>
          <w:trHeight w:val="539"/>
        </w:trPr>
        <w:tc>
          <w:tcPr>
            <w:tcW w:w="1503" w:type="dxa"/>
            <w:tcBorders>
              <w:top w:val="single" w:sz="4" w:space="0" w:color="auto"/>
              <w:bottom w:val="single" w:sz="4" w:space="0" w:color="auto"/>
            </w:tcBorders>
          </w:tcPr>
          <w:p w14:paraId="5DAB8861"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189BDA37" w14:textId="77777777" w:rsidR="00726C45" w:rsidRPr="00C560DD" w:rsidRDefault="00726C45" w:rsidP="00A37677">
            <w:pPr>
              <w:tabs>
                <w:tab w:val="left" w:pos="3264"/>
              </w:tabs>
              <w:rPr>
                <w:sz w:val="20"/>
              </w:rPr>
            </w:pPr>
            <w:r w:rsidRPr="006163C2">
              <w:rPr>
                <w:sz w:val="20"/>
              </w:rPr>
              <w:t>7.319228</w:t>
            </w:r>
          </w:p>
        </w:tc>
        <w:tc>
          <w:tcPr>
            <w:tcW w:w="1015" w:type="dxa"/>
            <w:gridSpan w:val="2"/>
            <w:tcBorders>
              <w:top w:val="single" w:sz="4" w:space="0" w:color="auto"/>
              <w:bottom w:val="single" w:sz="4" w:space="0" w:color="auto"/>
            </w:tcBorders>
          </w:tcPr>
          <w:p w14:paraId="2E0F35D1" w14:textId="77777777" w:rsidR="00726C45" w:rsidRPr="00C560DD" w:rsidRDefault="00726C45" w:rsidP="00A37677">
            <w:pPr>
              <w:tabs>
                <w:tab w:val="left" w:pos="3264"/>
              </w:tabs>
              <w:rPr>
                <w:sz w:val="20"/>
              </w:rPr>
            </w:pPr>
            <w:r w:rsidRPr="006163C2">
              <w:rPr>
                <w:sz w:val="20"/>
              </w:rPr>
              <w:t>.1300591</w:t>
            </w:r>
          </w:p>
        </w:tc>
        <w:tc>
          <w:tcPr>
            <w:tcW w:w="691" w:type="dxa"/>
            <w:tcBorders>
              <w:top w:val="single" w:sz="4" w:space="0" w:color="auto"/>
              <w:bottom w:val="single" w:sz="4" w:space="0" w:color="auto"/>
            </w:tcBorders>
          </w:tcPr>
          <w:p w14:paraId="1890517E" w14:textId="77777777" w:rsidR="00726C45" w:rsidRPr="00C560DD" w:rsidRDefault="00726C45" w:rsidP="00A37677">
            <w:pPr>
              <w:tabs>
                <w:tab w:val="left" w:pos="3264"/>
              </w:tabs>
              <w:rPr>
                <w:sz w:val="20"/>
              </w:rPr>
            </w:pPr>
            <w:r w:rsidRPr="006163C2">
              <w:rPr>
                <w:sz w:val="20"/>
              </w:rPr>
              <w:t>56.28</w:t>
            </w:r>
          </w:p>
        </w:tc>
        <w:tc>
          <w:tcPr>
            <w:tcW w:w="1052" w:type="dxa"/>
            <w:tcBorders>
              <w:top w:val="single" w:sz="4" w:space="0" w:color="auto"/>
              <w:bottom w:val="single" w:sz="4" w:space="0" w:color="auto"/>
            </w:tcBorders>
          </w:tcPr>
          <w:p w14:paraId="73931BF2" w14:textId="77777777" w:rsidR="00726C45" w:rsidRPr="00C560DD" w:rsidRDefault="00726C45" w:rsidP="00A37677">
            <w:pPr>
              <w:tabs>
                <w:tab w:val="left" w:pos="3264"/>
              </w:tabs>
              <w:rPr>
                <w:sz w:val="20"/>
              </w:rPr>
            </w:pPr>
            <w:r w:rsidRPr="006163C2">
              <w:rPr>
                <w:sz w:val="20"/>
              </w:rPr>
              <w:t>0.000</w:t>
            </w:r>
          </w:p>
        </w:tc>
        <w:tc>
          <w:tcPr>
            <w:tcW w:w="2126" w:type="dxa"/>
            <w:tcBorders>
              <w:top w:val="single" w:sz="4" w:space="0" w:color="auto"/>
              <w:bottom w:val="single" w:sz="4" w:space="0" w:color="auto"/>
            </w:tcBorders>
          </w:tcPr>
          <w:p w14:paraId="6DA41690" w14:textId="77777777" w:rsidR="00726C45" w:rsidRPr="00C560DD" w:rsidRDefault="00726C45" w:rsidP="00A37677">
            <w:pPr>
              <w:tabs>
                <w:tab w:val="left" w:pos="3264"/>
              </w:tabs>
              <w:rPr>
                <w:sz w:val="20"/>
              </w:rPr>
            </w:pPr>
            <w:r w:rsidRPr="006163C2">
              <w:rPr>
                <w:sz w:val="20"/>
              </w:rPr>
              <w:t>7.064317    7.574139</w:t>
            </w:r>
          </w:p>
        </w:tc>
      </w:tr>
      <w:tr w:rsidR="00726C45" w:rsidRPr="00C560DD" w14:paraId="73B8E78E" w14:textId="77777777" w:rsidTr="00A37677">
        <w:trPr>
          <w:trHeight w:val="539"/>
        </w:trPr>
        <w:tc>
          <w:tcPr>
            <w:tcW w:w="2789" w:type="dxa"/>
            <w:gridSpan w:val="3"/>
            <w:tcBorders>
              <w:top w:val="single" w:sz="4" w:space="0" w:color="auto"/>
              <w:bottom w:val="single" w:sz="4" w:space="0" w:color="auto"/>
            </w:tcBorders>
          </w:tcPr>
          <w:p w14:paraId="37D09C58"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590ABE46"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0C326943"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04FCDD0D" w14:textId="77777777" w:rsidR="00726C45" w:rsidRDefault="00726C45" w:rsidP="00A37677">
            <w:pPr>
              <w:tabs>
                <w:tab w:val="left" w:pos="3264"/>
              </w:tabs>
              <w:rPr>
                <w:b/>
                <w:sz w:val="20"/>
              </w:rPr>
            </w:pPr>
          </w:p>
        </w:tc>
      </w:tr>
      <w:tr w:rsidR="00726C45" w:rsidRPr="00C560DD" w14:paraId="7E2632C2" w14:textId="77777777" w:rsidTr="00A37677">
        <w:trPr>
          <w:trHeight w:val="539"/>
        </w:trPr>
        <w:tc>
          <w:tcPr>
            <w:tcW w:w="2789" w:type="dxa"/>
            <w:gridSpan w:val="3"/>
            <w:tcBorders>
              <w:top w:val="single" w:sz="4" w:space="0" w:color="auto"/>
              <w:bottom w:val="single" w:sz="4" w:space="0" w:color="auto"/>
            </w:tcBorders>
          </w:tcPr>
          <w:p w14:paraId="17981665"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409FD212"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4E4ACAEA"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26574CB3"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3EA9A955" w14:textId="77777777" w:rsidTr="00A37677">
        <w:trPr>
          <w:trHeight w:val="551"/>
        </w:trPr>
        <w:tc>
          <w:tcPr>
            <w:tcW w:w="2789" w:type="dxa"/>
            <w:gridSpan w:val="3"/>
            <w:tcBorders>
              <w:top w:val="single" w:sz="4" w:space="0" w:color="auto"/>
            </w:tcBorders>
          </w:tcPr>
          <w:p w14:paraId="1A764479"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462DA382" w14:textId="77777777" w:rsidR="00726C45" w:rsidRPr="00C560DD" w:rsidRDefault="00726C45" w:rsidP="00A37677">
            <w:pPr>
              <w:tabs>
                <w:tab w:val="left" w:pos="3264"/>
              </w:tabs>
              <w:rPr>
                <w:sz w:val="20"/>
              </w:rPr>
            </w:pPr>
            <w:r w:rsidRPr="006163C2">
              <w:rPr>
                <w:sz w:val="20"/>
              </w:rPr>
              <w:t>.7708911</w:t>
            </w:r>
          </w:p>
        </w:tc>
        <w:tc>
          <w:tcPr>
            <w:tcW w:w="1052" w:type="dxa"/>
            <w:tcBorders>
              <w:top w:val="single" w:sz="4" w:space="0" w:color="auto"/>
            </w:tcBorders>
          </w:tcPr>
          <w:p w14:paraId="5FE68BFD" w14:textId="77777777" w:rsidR="00726C45" w:rsidRPr="00C560DD" w:rsidRDefault="00726C45" w:rsidP="00A37677">
            <w:pPr>
              <w:tabs>
                <w:tab w:val="left" w:pos="3264"/>
              </w:tabs>
              <w:rPr>
                <w:sz w:val="20"/>
              </w:rPr>
            </w:pPr>
            <w:r w:rsidRPr="006163C2">
              <w:rPr>
                <w:sz w:val="20"/>
              </w:rPr>
              <w:t>.1620391</w:t>
            </w:r>
          </w:p>
        </w:tc>
        <w:tc>
          <w:tcPr>
            <w:tcW w:w="2126" w:type="dxa"/>
            <w:tcBorders>
              <w:top w:val="single" w:sz="4" w:space="0" w:color="auto"/>
            </w:tcBorders>
          </w:tcPr>
          <w:p w14:paraId="2A9559FB" w14:textId="77777777" w:rsidR="00726C45" w:rsidRPr="00C560DD" w:rsidRDefault="00726C45" w:rsidP="00A37677">
            <w:pPr>
              <w:tabs>
                <w:tab w:val="left" w:pos="3264"/>
              </w:tabs>
              <w:rPr>
                <w:sz w:val="20"/>
              </w:rPr>
            </w:pPr>
            <w:r w:rsidRPr="006163C2">
              <w:rPr>
                <w:sz w:val="20"/>
              </w:rPr>
              <w:t>.5105908    1.163893</w:t>
            </w:r>
          </w:p>
        </w:tc>
      </w:tr>
      <w:tr w:rsidR="00726C45" w:rsidRPr="00C560DD" w14:paraId="53833CE0" w14:textId="77777777" w:rsidTr="00A37677">
        <w:trPr>
          <w:trHeight w:val="539"/>
        </w:trPr>
        <w:tc>
          <w:tcPr>
            <w:tcW w:w="2789" w:type="dxa"/>
            <w:gridSpan w:val="3"/>
            <w:tcBorders>
              <w:bottom w:val="single" w:sz="4" w:space="0" w:color="auto"/>
            </w:tcBorders>
          </w:tcPr>
          <w:p w14:paraId="0DD1EFBC"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49E6A835" w14:textId="77777777" w:rsidR="00726C45" w:rsidRPr="00C560DD" w:rsidRDefault="00726C45" w:rsidP="00A37677">
            <w:pPr>
              <w:tabs>
                <w:tab w:val="left" w:pos="3264"/>
              </w:tabs>
              <w:rPr>
                <w:sz w:val="20"/>
              </w:rPr>
            </w:pPr>
            <w:r w:rsidRPr="006163C2">
              <w:rPr>
                <w:sz w:val="20"/>
              </w:rPr>
              <w:t>6.306461</w:t>
            </w:r>
          </w:p>
        </w:tc>
        <w:tc>
          <w:tcPr>
            <w:tcW w:w="1052" w:type="dxa"/>
            <w:tcBorders>
              <w:bottom w:val="single" w:sz="4" w:space="0" w:color="auto"/>
            </w:tcBorders>
          </w:tcPr>
          <w:p w14:paraId="30CFD9D6" w14:textId="77777777" w:rsidR="00726C45" w:rsidRPr="00C560DD" w:rsidRDefault="00726C45" w:rsidP="00A37677">
            <w:pPr>
              <w:tabs>
                <w:tab w:val="left" w:pos="3264"/>
              </w:tabs>
              <w:rPr>
                <w:sz w:val="20"/>
              </w:rPr>
            </w:pPr>
            <w:r w:rsidRPr="006163C2">
              <w:rPr>
                <w:sz w:val="20"/>
              </w:rPr>
              <w:t>.0418118</w:t>
            </w:r>
          </w:p>
        </w:tc>
        <w:tc>
          <w:tcPr>
            <w:tcW w:w="2126" w:type="dxa"/>
            <w:tcBorders>
              <w:bottom w:val="single" w:sz="4" w:space="0" w:color="auto"/>
            </w:tcBorders>
          </w:tcPr>
          <w:p w14:paraId="30E4C5C1" w14:textId="77777777" w:rsidR="00726C45" w:rsidRPr="00C560DD" w:rsidRDefault="00726C45" w:rsidP="00A37677">
            <w:pPr>
              <w:tabs>
                <w:tab w:val="left" w:pos="3264"/>
              </w:tabs>
              <w:rPr>
                <w:sz w:val="20"/>
              </w:rPr>
            </w:pPr>
            <w:r w:rsidRPr="006163C2">
              <w:rPr>
                <w:sz w:val="20"/>
              </w:rPr>
              <w:t>6.225041    6.388945</w:t>
            </w:r>
          </w:p>
        </w:tc>
      </w:tr>
    </w:tbl>
    <w:p w14:paraId="6CC34D51" w14:textId="77777777" w:rsidR="00726C45" w:rsidRDefault="00726C45" w:rsidP="00726C45">
      <w:pPr>
        <w:tabs>
          <w:tab w:val="left" w:pos="3264"/>
        </w:tabs>
        <w:ind w:firstLine="720"/>
        <w:rPr>
          <w:sz w:val="18"/>
        </w:rPr>
      </w:pPr>
      <w:r w:rsidRPr="00C560DD">
        <w:rPr>
          <w:sz w:val="18"/>
        </w:rPr>
        <w:t xml:space="preserve">LR test vs. linear regression: chibar2(01) =  </w:t>
      </w:r>
      <w:r w:rsidRPr="006163C2">
        <w:rPr>
          <w:sz w:val="18"/>
        </w:rPr>
        <w:t xml:space="preserve">5424.45 </w:t>
      </w:r>
      <w:r w:rsidRPr="00C560DD">
        <w:rPr>
          <w:sz w:val="18"/>
        </w:rPr>
        <w:t>Prob &gt;= chibar2 = 0.0000</w:t>
      </w:r>
    </w:p>
    <w:p w14:paraId="1B7A0481"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46DD618D" w14:textId="77777777" w:rsidTr="00A37677">
        <w:tc>
          <w:tcPr>
            <w:tcW w:w="2254" w:type="dxa"/>
            <w:tcBorders>
              <w:top w:val="single" w:sz="4" w:space="0" w:color="auto"/>
            </w:tcBorders>
          </w:tcPr>
          <w:p w14:paraId="330B87E1"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5C68935C"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32EA1B58"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5A27E086"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76C9741C" w14:textId="77777777" w:rsidTr="00A37677">
        <w:tc>
          <w:tcPr>
            <w:tcW w:w="2254" w:type="dxa"/>
            <w:tcBorders>
              <w:bottom w:val="single" w:sz="4" w:space="0" w:color="auto"/>
            </w:tcBorders>
          </w:tcPr>
          <w:p w14:paraId="35F43524"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74A77486" w14:textId="77777777" w:rsidR="00726C45" w:rsidRPr="00C560DD" w:rsidRDefault="00726C45" w:rsidP="00A37677">
            <w:pPr>
              <w:tabs>
                <w:tab w:val="left" w:pos="3264"/>
              </w:tabs>
              <w:rPr>
                <w:sz w:val="20"/>
              </w:rPr>
            </w:pPr>
            <w:r w:rsidRPr="006163C2">
              <w:rPr>
                <w:sz w:val="20"/>
              </w:rPr>
              <w:t>.1089237</w:t>
            </w:r>
          </w:p>
        </w:tc>
        <w:tc>
          <w:tcPr>
            <w:tcW w:w="2254" w:type="dxa"/>
            <w:tcBorders>
              <w:bottom w:val="single" w:sz="4" w:space="0" w:color="auto"/>
            </w:tcBorders>
          </w:tcPr>
          <w:p w14:paraId="572E3FB3" w14:textId="77777777" w:rsidR="00726C45" w:rsidRPr="00C560DD" w:rsidRDefault="00726C45" w:rsidP="00A37677">
            <w:pPr>
              <w:tabs>
                <w:tab w:val="left" w:pos="3264"/>
              </w:tabs>
              <w:rPr>
                <w:sz w:val="20"/>
              </w:rPr>
            </w:pPr>
            <w:r w:rsidRPr="006163C2">
              <w:rPr>
                <w:sz w:val="20"/>
              </w:rPr>
              <w:t>.0204119</w:t>
            </w:r>
          </w:p>
        </w:tc>
        <w:tc>
          <w:tcPr>
            <w:tcW w:w="2254" w:type="dxa"/>
            <w:tcBorders>
              <w:bottom w:val="single" w:sz="4" w:space="0" w:color="auto"/>
            </w:tcBorders>
          </w:tcPr>
          <w:p w14:paraId="244E9C28" w14:textId="77777777" w:rsidR="00726C45" w:rsidRPr="00C560DD" w:rsidRDefault="00726C45" w:rsidP="00A37677">
            <w:pPr>
              <w:tabs>
                <w:tab w:val="left" w:pos="3264"/>
              </w:tabs>
              <w:rPr>
                <w:sz w:val="20"/>
              </w:rPr>
            </w:pPr>
            <w:r w:rsidRPr="006163C2">
              <w:rPr>
                <w:sz w:val="20"/>
              </w:rPr>
              <w:t>.0748847    .1558289</w:t>
            </w:r>
          </w:p>
        </w:tc>
      </w:tr>
    </w:tbl>
    <w:p w14:paraId="29783E40" w14:textId="77777777" w:rsidR="00726C45" w:rsidRDefault="00726C45" w:rsidP="00726C45">
      <w:pPr>
        <w:tabs>
          <w:tab w:val="left" w:pos="3264"/>
        </w:tabs>
      </w:pPr>
    </w:p>
    <w:p w14:paraId="04F8DC45" w14:textId="77777777" w:rsidR="00726C45" w:rsidRPr="009F3CC6" w:rsidRDefault="00726C45" w:rsidP="00726C45">
      <w:pPr>
        <w:tabs>
          <w:tab w:val="left" w:pos="3264"/>
        </w:tabs>
        <w:rPr>
          <w:b/>
        </w:rPr>
      </w:pPr>
      <w:r>
        <w:rPr>
          <w:b/>
        </w:rPr>
        <w:t>Figure A8</w:t>
      </w:r>
      <w:r w:rsidRPr="009F3CC6">
        <w:rPr>
          <w:b/>
        </w:rPr>
        <w:t>: Null Model – Tax Subsidies (Adapted Stata output)</w:t>
      </w:r>
    </w:p>
    <w:p w14:paraId="5A26ED53" w14:textId="77777777" w:rsidR="00726C45" w:rsidRPr="006F0825" w:rsidRDefault="00726C45" w:rsidP="00726C45">
      <w:pPr>
        <w:tabs>
          <w:tab w:val="left" w:pos="3264"/>
        </w:tabs>
        <w:rPr>
          <w:sz w:val="20"/>
        </w:rPr>
      </w:pPr>
      <w:r>
        <w:rPr>
          <w:sz w:val="20"/>
        </w:rPr>
        <w:t xml:space="preserve">Log-likelihood: </w:t>
      </w:r>
      <w:r w:rsidRPr="00A36E69">
        <w:rPr>
          <w:sz w:val="20"/>
        </w:rPr>
        <w:t>-110864.88</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3D2F3644" w14:textId="77777777" w:rsidTr="00A37677">
        <w:trPr>
          <w:trHeight w:val="551"/>
        </w:trPr>
        <w:tc>
          <w:tcPr>
            <w:tcW w:w="1503" w:type="dxa"/>
            <w:tcBorders>
              <w:top w:val="single" w:sz="4" w:space="0" w:color="auto"/>
              <w:bottom w:val="single" w:sz="4" w:space="0" w:color="auto"/>
            </w:tcBorders>
          </w:tcPr>
          <w:p w14:paraId="226B7414" w14:textId="77777777" w:rsidR="00726C45" w:rsidRPr="00C560DD" w:rsidRDefault="00726C45" w:rsidP="00A37677">
            <w:pPr>
              <w:tabs>
                <w:tab w:val="left" w:pos="3264"/>
              </w:tabs>
              <w:rPr>
                <w:b/>
                <w:i/>
                <w:sz w:val="20"/>
              </w:rPr>
            </w:pPr>
            <w:r>
              <w:rPr>
                <w:b/>
                <w:i/>
                <w:sz w:val="20"/>
              </w:rPr>
              <w:t>Tax</w:t>
            </w:r>
          </w:p>
        </w:tc>
        <w:tc>
          <w:tcPr>
            <w:tcW w:w="1126" w:type="dxa"/>
            <w:tcBorders>
              <w:top w:val="single" w:sz="4" w:space="0" w:color="auto"/>
              <w:bottom w:val="single" w:sz="4" w:space="0" w:color="auto"/>
            </w:tcBorders>
          </w:tcPr>
          <w:p w14:paraId="0F50DE76"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2C731B60"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56EE08CA"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04D42233"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5930B8D2"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463A3EBB" w14:textId="77777777" w:rsidTr="00A37677">
        <w:trPr>
          <w:trHeight w:val="539"/>
        </w:trPr>
        <w:tc>
          <w:tcPr>
            <w:tcW w:w="1503" w:type="dxa"/>
            <w:tcBorders>
              <w:top w:val="single" w:sz="4" w:space="0" w:color="auto"/>
              <w:bottom w:val="single" w:sz="4" w:space="0" w:color="auto"/>
            </w:tcBorders>
          </w:tcPr>
          <w:p w14:paraId="5741B0B5"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0E250013" w14:textId="77777777" w:rsidR="00726C45" w:rsidRPr="00C560DD" w:rsidRDefault="00726C45" w:rsidP="00A37677">
            <w:pPr>
              <w:tabs>
                <w:tab w:val="left" w:pos="3264"/>
              </w:tabs>
              <w:rPr>
                <w:sz w:val="20"/>
              </w:rPr>
            </w:pPr>
            <w:r w:rsidRPr="006163C2">
              <w:rPr>
                <w:sz w:val="20"/>
              </w:rPr>
              <w:t>6.474192</w:t>
            </w:r>
          </w:p>
        </w:tc>
        <w:tc>
          <w:tcPr>
            <w:tcW w:w="1015" w:type="dxa"/>
            <w:gridSpan w:val="2"/>
            <w:tcBorders>
              <w:top w:val="single" w:sz="4" w:space="0" w:color="auto"/>
              <w:bottom w:val="single" w:sz="4" w:space="0" w:color="auto"/>
            </w:tcBorders>
          </w:tcPr>
          <w:p w14:paraId="3C809718" w14:textId="77777777" w:rsidR="00726C45" w:rsidRPr="00C560DD" w:rsidRDefault="00726C45" w:rsidP="00A37677">
            <w:pPr>
              <w:tabs>
                <w:tab w:val="left" w:pos="3264"/>
              </w:tabs>
              <w:rPr>
                <w:sz w:val="20"/>
              </w:rPr>
            </w:pPr>
            <w:r w:rsidRPr="006163C2">
              <w:rPr>
                <w:sz w:val="20"/>
              </w:rPr>
              <w:t>.1352197</w:t>
            </w:r>
          </w:p>
        </w:tc>
        <w:tc>
          <w:tcPr>
            <w:tcW w:w="691" w:type="dxa"/>
            <w:tcBorders>
              <w:top w:val="single" w:sz="4" w:space="0" w:color="auto"/>
              <w:bottom w:val="single" w:sz="4" w:space="0" w:color="auto"/>
            </w:tcBorders>
          </w:tcPr>
          <w:p w14:paraId="2C31446B" w14:textId="77777777" w:rsidR="00726C45" w:rsidRPr="00C560DD" w:rsidRDefault="00726C45" w:rsidP="00A37677">
            <w:pPr>
              <w:tabs>
                <w:tab w:val="left" w:pos="3264"/>
              </w:tabs>
              <w:rPr>
                <w:sz w:val="20"/>
              </w:rPr>
            </w:pPr>
            <w:r w:rsidRPr="006163C2">
              <w:rPr>
                <w:sz w:val="20"/>
              </w:rPr>
              <w:t>47.88</w:t>
            </w:r>
          </w:p>
        </w:tc>
        <w:tc>
          <w:tcPr>
            <w:tcW w:w="1052" w:type="dxa"/>
            <w:tcBorders>
              <w:top w:val="single" w:sz="4" w:space="0" w:color="auto"/>
              <w:bottom w:val="single" w:sz="4" w:space="0" w:color="auto"/>
            </w:tcBorders>
          </w:tcPr>
          <w:p w14:paraId="791A8865" w14:textId="77777777" w:rsidR="00726C45" w:rsidRPr="00C560DD" w:rsidRDefault="00726C45" w:rsidP="00A37677">
            <w:pPr>
              <w:tabs>
                <w:tab w:val="left" w:pos="3264"/>
              </w:tabs>
              <w:rPr>
                <w:sz w:val="20"/>
              </w:rPr>
            </w:pPr>
            <w:r w:rsidRPr="006163C2">
              <w:rPr>
                <w:sz w:val="20"/>
              </w:rPr>
              <w:t>0.000</w:t>
            </w:r>
          </w:p>
        </w:tc>
        <w:tc>
          <w:tcPr>
            <w:tcW w:w="2126" w:type="dxa"/>
            <w:tcBorders>
              <w:top w:val="single" w:sz="4" w:space="0" w:color="auto"/>
              <w:bottom w:val="single" w:sz="4" w:space="0" w:color="auto"/>
            </w:tcBorders>
          </w:tcPr>
          <w:p w14:paraId="09EF8E7E" w14:textId="77777777" w:rsidR="00726C45" w:rsidRPr="00C560DD" w:rsidRDefault="00726C45" w:rsidP="00A37677">
            <w:pPr>
              <w:tabs>
                <w:tab w:val="left" w:pos="3264"/>
              </w:tabs>
              <w:rPr>
                <w:sz w:val="20"/>
              </w:rPr>
            </w:pPr>
            <w:r w:rsidRPr="006163C2">
              <w:rPr>
                <w:sz w:val="20"/>
              </w:rPr>
              <w:t>6.209166    6.739217</w:t>
            </w:r>
          </w:p>
        </w:tc>
      </w:tr>
      <w:tr w:rsidR="00726C45" w:rsidRPr="00C560DD" w14:paraId="4654F2EE" w14:textId="77777777" w:rsidTr="00A37677">
        <w:trPr>
          <w:trHeight w:val="539"/>
        </w:trPr>
        <w:tc>
          <w:tcPr>
            <w:tcW w:w="2789" w:type="dxa"/>
            <w:gridSpan w:val="3"/>
            <w:tcBorders>
              <w:top w:val="single" w:sz="4" w:space="0" w:color="auto"/>
              <w:bottom w:val="single" w:sz="4" w:space="0" w:color="auto"/>
            </w:tcBorders>
          </w:tcPr>
          <w:p w14:paraId="4385664C"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6FB24DB2"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265B8892"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209319E4" w14:textId="77777777" w:rsidR="00726C45" w:rsidRDefault="00726C45" w:rsidP="00A37677">
            <w:pPr>
              <w:tabs>
                <w:tab w:val="left" w:pos="3264"/>
              </w:tabs>
              <w:rPr>
                <w:b/>
                <w:sz w:val="20"/>
              </w:rPr>
            </w:pPr>
          </w:p>
        </w:tc>
      </w:tr>
      <w:tr w:rsidR="00726C45" w:rsidRPr="00C560DD" w14:paraId="1FB32DB0" w14:textId="77777777" w:rsidTr="00A37677">
        <w:trPr>
          <w:trHeight w:val="539"/>
        </w:trPr>
        <w:tc>
          <w:tcPr>
            <w:tcW w:w="2789" w:type="dxa"/>
            <w:gridSpan w:val="3"/>
            <w:tcBorders>
              <w:top w:val="single" w:sz="4" w:space="0" w:color="auto"/>
              <w:bottom w:val="single" w:sz="4" w:space="0" w:color="auto"/>
            </w:tcBorders>
          </w:tcPr>
          <w:p w14:paraId="43F869A8"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2BFA19AA"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34B75B1C"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792F1E88"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535E3A2B" w14:textId="77777777" w:rsidTr="00A37677">
        <w:trPr>
          <w:trHeight w:val="551"/>
        </w:trPr>
        <w:tc>
          <w:tcPr>
            <w:tcW w:w="2789" w:type="dxa"/>
            <w:gridSpan w:val="3"/>
            <w:tcBorders>
              <w:top w:val="single" w:sz="4" w:space="0" w:color="auto"/>
            </w:tcBorders>
          </w:tcPr>
          <w:p w14:paraId="37EC6A2B"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03B1B410" w14:textId="77777777" w:rsidR="00726C45" w:rsidRPr="00C560DD" w:rsidRDefault="00726C45" w:rsidP="00A37677">
            <w:pPr>
              <w:tabs>
                <w:tab w:val="left" w:pos="3264"/>
              </w:tabs>
              <w:rPr>
                <w:sz w:val="20"/>
              </w:rPr>
            </w:pPr>
            <w:r w:rsidRPr="006163C2">
              <w:rPr>
                <w:sz w:val="20"/>
              </w:rPr>
              <w:t>.8324052</w:t>
            </w:r>
          </w:p>
        </w:tc>
        <w:tc>
          <w:tcPr>
            <w:tcW w:w="1052" w:type="dxa"/>
            <w:tcBorders>
              <w:top w:val="single" w:sz="4" w:space="0" w:color="auto"/>
            </w:tcBorders>
          </w:tcPr>
          <w:p w14:paraId="53558561" w14:textId="77777777" w:rsidR="00726C45" w:rsidRPr="00C560DD" w:rsidRDefault="00726C45" w:rsidP="00A37677">
            <w:pPr>
              <w:tabs>
                <w:tab w:val="left" w:pos="3264"/>
              </w:tabs>
              <w:rPr>
                <w:sz w:val="20"/>
              </w:rPr>
            </w:pPr>
            <w:r w:rsidRPr="006163C2">
              <w:rPr>
                <w:sz w:val="20"/>
              </w:rPr>
              <w:t>.1752608</w:t>
            </w:r>
          </w:p>
        </w:tc>
        <w:tc>
          <w:tcPr>
            <w:tcW w:w="2126" w:type="dxa"/>
            <w:tcBorders>
              <w:top w:val="single" w:sz="4" w:space="0" w:color="auto"/>
            </w:tcBorders>
          </w:tcPr>
          <w:p w14:paraId="12EAC397" w14:textId="77777777" w:rsidR="00726C45" w:rsidRPr="00C560DD" w:rsidRDefault="00726C45" w:rsidP="00A37677">
            <w:pPr>
              <w:tabs>
                <w:tab w:val="left" w:pos="3264"/>
              </w:tabs>
              <w:rPr>
                <w:sz w:val="20"/>
              </w:rPr>
            </w:pPr>
            <w:r w:rsidRPr="006163C2">
              <w:rPr>
                <w:sz w:val="20"/>
              </w:rPr>
              <w:t>.5509555    1.257631</w:t>
            </w:r>
          </w:p>
        </w:tc>
      </w:tr>
      <w:tr w:rsidR="00726C45" w:rsidRPr="00C560DD" w14:paraId="3B3A3E2C" w14:textId="77777777" w:rsidTr="00A37677">
        <w:trPr>
          <w:trHeight w:val="539"/>
        </w:trPr>
        <w:tc>
          <w:tcPr>
            <w:tcW w:w="2789" w:type="dxa"/>
            <w:gridSpan w:val="3"/>
            <w:tcBorders>
              <w:bottom w:val="single" w:sz="4" w:space="0" w:color="auto"/>
            </w:tcBorders>
          </w:tcPr>
          <w:p w14:paraId="60EA53F1"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18A339F7" w14:textId="77777777" w:rsidR="00726C45" w:rsidRPr="00C560DD" w:rsidRDefault="00726C45" w:rsidP="00A37677">
            <w:pPr>
              <w:tabs>
                <w:tab w:val="left" w:pos="3264"/>
              </w:tabs>
              <w:rPr>
                <w:sz w:val="20"/>
              </w:rPr>
            </w:pPr>
            <w:r w:rsidRPr="006163C2">
              <w:rPr>
                <w:sz w:val="20"/>
              </w:rPr>
              <w:t>7.582246</w:t>
            </w:r>
          </w:p>
        </w:tc>
        <w:tc>
          <w:tcPr>
            <w:tcW w:w="1052" w:type="dxa"/>
            <w:tcBorders>
              <w:bottom w:val="single" w:sz="4" w:space="0" w:color="auto"/>
            </w:tcBorders>
          </w:tcPr>
          <w:p w14:paraId="48F38468" w14:textId="77777777" w:rsidR="00726C45" w:rsidRPr="00C560DD" w:rsidRDefault="00726C45" w:rsidP="00A37677">
            <w:pPr>
              <w:tabs>
                <w:tab w:val="left" w:pos="3264"/>
              </w:tabs>
              <w:rPr>
                <w:sz w:val="20"/>
              </w:rPr>
            </w:pPr>
            <w:r w:rsidRPr="006163C2">
              <w:rPr>
                <w:sz w:val="20"/>
              </w:rPr>
              <w:t>.0502703</w:t>
            </w:r>
          </w:p>
        </w:tc>
        <w:tc>
          <w:tcPr>
            <w:tcW w:w="2126" w:type="dxa"/>
            <w:tcBorders>
              <w:bottom w:val="single" w:sz="4" w:space="0" w:color="auto"/>
            </w:tcBorders>
          </w:tcPr>
          <w:p w14:paraId="412B7527" w14:textId="77777777" w:rsidR="00726C45" w:rsidRPr="00C560DD" w:rsidRDefault="00726C45" w:rsidP="00A37677">
            <w:pPr>
              <w:tabs>
                <w:tab w:val="left" w:pos="3264"/>
              </w:tabs>
              <w:rPr>
                <w:sz w:val="20"/>
              </w:rPr>
            </w:pPr>
            <w:r w:rsidRPr="006163C2">
              <w:rPr>
                <w:sz w:val="20"/>
              </w:rPr>
              <w:t>7.484355    7.681417</w:t>
            </w:r>
          </w:p>
        </w:tc>
      </w:tr>
    </w:tbl>
    <w:p w14:paraId="446FF221" w14:textId="77777777" w:rsidR="00726C45" w:rsidRDefault="00726C45" w:rsidP="00726C45">
      <w:pPr>
        <w:tabs>
          <w:tab w:val="left" w:pos="3264"/>
        </w:tabs>
        <w:ind w:firstLine="720"/>
        <w:rPr>
          <w:sz w:val="18"/>
        </w:rPr>
      </w:pPr>
      <w:r w:rsidRPr="00C560DD">
        <w:rPr>
          <w:sz w:val="18"/>
        </w:rPr>
        <w:t xml:space="preserve">LR test vs. linear regression: chibar2(01) =  </w:t>
      </w:r>
      <w:r w:rsidRPr="006163C2">
        <w:rPr>
          <w:sz w:val="18"/>
        </w:rPr>
        <w:t xml:space="preserve">4820.30 </w:t>
      </w:r>
      <w:r w:rsidRPr="00C560DD">
        <w:rPr>
          <w:sz w:val="18"/>
        </w:rPr>
        <w:t>Prob &gt;= chibar2 = 0.0000</w:t>
      </w:r>
    </w:p>
    <w:p w14:paraId="15A8B528"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2E93A01D" w14:textId="77777777" w:rsidTr="00A37677">
        <w:tc>
          <w:tcPr>
            <w:tcW w:w="2254" w:type="dxa"/>
            <w:tcBorders>
              <w:top w:val="single" w:sz="4" w:space="0" w:color="auto"/>
            </w:tcBorders>
          </w:tcPr>
          <w:p w14:paraId="043A78DB"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523B1B4F"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409396EB"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79117A74"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0B23B0FA" w14:textId="77777777" w:rsidTr="00A37677">
        <w:tc>
          <w:tcPr>
            <w:tcW w:w="2254" w:type="dxa"/>
            <w:tcBorders>
              <w:bottom w:val="single" w:sz="4" w:space="0" w:color="auto"/>
            </w:tcBorders>
          </w:tcPr>
          <w:p w14:paraId="707248A2"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6B594F5B" w14:textId="77777777" w:rsidR="00726C45" w:rsidRPr="00C560DD" w:rsidRDefault="00726C45" w:rsidP="00A37677">
            <w:pPr>
              <w:tabs>
                <w:tab w:val="left" w:pos="3264"/>
              </w:tabs>
              <w:rPr>
                <w:sz w:val="20"/>
              </w:rPr>
            </w:pPr>
            <w:r w:rsidRPr="006163C2">
              <w:rPr>
                <w:sz w:val="20"/>
              </w:rPr>
              <w:t>.0989233</w:t>
            </w:r>
          </w:p>
        </w:tc>
        <w:tc>
          <w:tcPr>
            <w:tcW w:w="2254" w:type="dxa"/>
            <w:tcBorders>
              <w:bottom w:val="single" w:sz="4" w:space="0" w:color="auto"/>
            </w:tcBorders>
          </w:tcPr>
          <w:p w14:paraId="5C465476" w14:textId="77777777" w:rsidR="00726C45" w:rsidRPr="00C560DD" w:rsidRDefault="00726C45" w:rsidP="00A37677">
            <w:pPr>
              <w:tabs>
                <w:tab w:val="left" w:pos="3264"/>
              </w:tabs>
              <w:rPr>
                <w:sz w:val="20"/>
              </w:rPr>
            </w:pPr>
            <w:r w:rsidRPr="006163C2">
              <w:rPr>
                <w:sz w:val="20"/>
              </w:rPr>
              <w:t>.0187771</w:t>
            </w:r>
          </w:p>
        </w:tc>
        <w:tc>
          <w:tcPr>
            <w:tcW w:w="2254" w:type="dxa"/>
            <w:tcBorders>
              <w:bottom w:val="single" w:sz="4" w:space="0" w:color="auto"/>
            </w:tcBorders>
          </w:tcPr>
          <w:p w14:paraId="11231D32" w14:textId="77777777" w:rsidR="00726C45" w:rsidRPr="00C560DD" w:rsidRDefault="00726C45" w:rsidP="00A37677">
            <w:pPr>
              <w:tabs>
                <w:tab w:val="left" w:pos="3264"/>
              </w:tabs>
              <w:rPr>
                <w:sz w:val="20"/>
              </w:rPr>
            </w:pPr>
            <w:r w:rsidRPr="006163C2">
              <w:rPr>
                <w:sz w:val="20"/>
              </w:rPr>
              <w:t>.0677284    .1422933</w:t>
            </w:r>
          </w:p>
        </w:tc>
      </w:tr>
    </w:tbl>
    <w:p w14:paraId="734927EE" w14:textId="77777777" w:rsidR="00726C45" w:rsidRDefault="00726C45" w:rsidP="00726C45">
      <w:pPr>
        <w:tabs>
          <w:tab w:val="left" w:pos="3264"/>
        </w:tabs>
      </w:pPr>
    </w:p>
    <w:p w14:paraId="588DCFBE" w14:textId="77777777" w:rsidR="00726C45" w:rsidRPr="009F3CC6" w:rsidRDefault="00726C45" w:rsidP="00726C45">
      <w:pPr>
        <w:tabs>
          <w:tab w:val="left" w:pos="3264"/>
        </w:tabs>
        <w:rPr>
          <w:b/>
        </w:rPr>
      </w:pPr>
      <w:r w:rsidRPr="009F3CC6">
        <w:rPr>
          <w:b/>
        </w:rPr>
        <w:t>Figure A</w:t>
      </w:r>
      <w:r>
        <w:rPr>
          <w:b/>
        </w:rPr>
        <w:t>9</w:t>
      </w:r>
      <w:r w:rsidRPr="009F3CC6">
        <w:rPr>
          <w:b/>
        </w:rPr>
        <w:t>: Null Model - Army (Adapted Stata output)</w:t>
      </w:r>
    </w:p>
    <w:p w14:paraId="536796A5" w14:textId="77777777" w:rsidR="00726C45" w:rsidRPr="006F0825" w:rsidRDefault="00726C45" w:rsidP="00726C45">
      <w:pPr>
        <w:tabs>
          <w:tab w:val="left" w:pos="3264"/>
        </w:tabs>
        <w:rPr>
          <w:sz w:val="20"/>
        </w:rPr>
      </w:pPr>
      <w:r>
        <w:rPr>
          <w:sz w:val="20"/>
        </w:rPr>
        <w:t xml:space="preserve">Log-likelihood: </w:t>
      </w:r>
      <w:r w:rsidRPr="00EA3BE3">
        <w:rPr>
          <w:sz w:val="20"/>
        </w:rPr>
        <w:t xml:space="preserve">-113551  </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133B1434" w14:textId="77777777" w:rsidTr="00A37677">
        <w:trPr>
          <w:trHeight w:val="551"/>
        </w:trPr>
        <w:tc>
          <w:tcPr>
            <w:tcW w:w="1503" w:type="dxa"/>
            <w:tcBorders>
              <w:top w:val="single" w:sz="4" w:space="0" w:color="auto"/>
              <w:bottom w:val="single" w:sz="4" w:space="0" w:color="auto"/>
            </w:tcBorders>
          </w:tcPr>
          <w:p w14:paraId="480B23FD" w14:textId="77777777" w:rsidR="00726C45" w:rsidRPr="00C560DD" w:rsidRDefault="00726C45" w:rsidP="00A37677">
            <w:pPr>
              <w:tabs>
                <w:tab w:val="left" w:pos="3264"/>
              </w:tabs>
              <w:rPr>
                <w:b/>
                <w:i/>
                <w:sz w:val="20"/>
              </w:rPr>
            </w:pPr>
            <w:r w:rsidRPr="00C560DD">
              <w:rPr>
                <w:b/>
                <w:i/>
                <w:sz w:val="20"/>
              </w:rPr>
              <w:t>Army</w:t>
            </w:r>
          </w:p>
        </w:tc>
        <w:tc>
          <w:tcPr>
            <w:tcW w:w="1126" w:type="dxa"/>
            <w:tcBorders>
              <w:top w:val="single" w:sz="4" w:space="0" w:color="auto"/>
              <w:bottom w:val="single" w:sz="4" w:space="0" w:color="auto"/>
            </w:tcBorders>
          </w:tcPr>
          <w:p w14:paraId="6E7077E6"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6BB4AE55"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0D90F5C8"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0D31B9B9"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47AEAD4C"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02603E27" w14:textId="77777777" w:rsidTr="00A37677">
        <w:trPr>
          <w:trHeight w:val="539"/>
        </w:trPr>
        <w:tc>
          <w:tcPr>
            <w:tcW w:w="1503" w:type="dxa"/>
            <w:tcBorders>
              <w:top w:val="single" w:sz="4" w:space="0" w:color="auto"/>
              <w:bottom w:val="single" w:sz="4" w:space="0" w:color="auto"/>
            </w:tcBorders>
          </w:tcPr>
          <w:p w14:paraId="5C82CF54"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2158AB73" w14:textId="77777777" w:rsidR="00726C45" w:rsidRPr="00C560DD" w:rsidRDefault="00726C45" w:rsidP="00A37677">
            <w:pPr>
              <w:tabs>
                <w:tab w:val="left" w:pos="3264"/>
              </w:tabs>
              <w:rPr>
                <w:sz w:val="20"/>
              </w:rPr>
            </w:pPr>
            <w:r w:rsidRPr="00C560DD">
              <w:rPr>
                <w:sz w:val="20"/>
              </w:rPr>
              <w:t>4.239797</w:t>
            </w:r>
          </w:p>
        </w:tc>
        <w:tc>
          <w:tcPr>
            <w:tcW w:w="1015" w:type="dxa"/>
            <w:gridSpan w:val="2"/>
            <w:tcBorders>
              <w:top w:val="single" w:sz="4" w:space="0" w:color="auto"/>
              <w:bottom w:val="single" w:sz="4" w:space="0" w:color="auto"/>
            </w:tcBorders>
          </w:tcPr>
          <w:p w14:paraId="61B61DC3" w14:textId="77777777" w:rsidR="00726C45" w:rsidRPr="00C560DD" w:rsidRDefault="00726C45" w:rsidP="00A37677">
            <w:pPr>
              <w:tabs>
                <w:tab w:val="left" w:pos="3264"/>
              </w:tabs>
              <w:rPr>
                <w:sz w:val="20"/>
              </w:rPr>
            </w:pPr>
            <w:r w:rsidRPr="00C560DD">
              <w:rPr>
                <w:sz w:val="20"/>
              </w:rPr>
              <w:t>.1831212</w:t>
            </w:r>
          </w:p>
        </w:tc>
        <w:tc>
          <w:tcPr>
            <w:tcW w:w="691" w:type="dxa"/>
            <w:tcBorders>
              <w:top w:val="single" w:sz="4" w:space="0" w:color="auto"/>
              <w:bottom w:val="single" w:sz="4" w:space="0" w:color="auto"/>
            </w:tcBorders>
          </w:tcPr>
          <w:p w14:paraId="22A0AA84" w14:textId="77777777" w:rsidR="00726C45" w:rsidRPr="00C560DD" w:rsidRDefault="00726C45" w:rsidP="00A37677">
            <w:pPr>
              <w:tabs>
                <w:tab w:val="left" w:pos="3264"/>
              </w:tabs>
              <w:rPr>
                <w:sz w:val="20"/>
              </w:rPr>
            </w:pPr>
            <w:r w:rsidRPr="00C560DD">
              <w:rPr>
                <w:sz w:val="20"/>
              </w:rPr>
              <w:t>23.15</w:t>
            </w:r>
          </w:p>
        </w:tc>
        <w:tc>
          <w:tcPr>
            <w:tcW w:w="1052" w:type="dxa"/>
            <w:tcBorders>
              <w:top w:val="single" w:sz="4" w:space="0" w:color="auto"/>
              <w:bottom w:val="single" w:sz="4" w:space="0" w:color="auto"/>
            </w:tcBorders>
          </w:tcPr>
          <w:p w14:paraId="08BA5A48" w14:textId="77777777" w:rsidR="00726C45" w:rsidRPr="00C560DD" w:rsidRDefault="00726C45" w:rsidP="00A37677">
            <w:pPr>
              <w:tabs>
                <w:tab w:val="left" w:pos="3264"/>
              </w:tabs>
              <w:rPr>
                <w:sz w:val="20"/>
              </w:rPr>
            </w:pPr>
            <w:r w:rsidRPr="00C560DD">
              <w:rPr>
                <w:sz w:val="20"/>
              </w:rPr>
              <w:t>0.00</w:t>
            </w:r>
          </w:p>
        </w:tc>
        <w:tc>
          <w:tcPr>
            <w:tcW w:w="2126" w:type="dxa"/>
            <w:tcBorders>
              <w:top w:val="single" w:sz="4" w:space="0" w:color="auto"/>
              <w:bottom w:val="single" w:sz="4" w:space="0" w:color="auto"/>
            </w:tcBorders>
          </w:tcPr>
          <w:p w14:paraId="702624D7" w14:textId="77777777" w:rsidR="00726C45" w:rsidRPr="00C560DD" w:rsidRDefault="00726C45" w:rsidP="00A37677">
            <w:pPr>
              <w:tabs>
                <w:tab w:val="left" w:pos="3264"/>
              </w:tabs>
              <w:rPr>
                <w:sz w:val="20"/>
              </w:rPr>
            </w:pPr>
            <w:r w:rsidRPr="00C560DD">
              <w:rPr>
                <w:sz w:val="20"/>
              </w:rPr>
              <w:t>3.880886    4.598708</w:t>
            </w:r>
          </w:p>
        </w:tc>
      </w:tr>
      <w:tr w:rsidR="00726C45" w:rsidRPr="00C560DD" w14:paraId="0D71E400" w14:textId="77777777" w:rsidTr="00A37677">
        <w:trPr>
          <w:trHeight w:val="539"/>
        </w:trPr>
        <w:tc>
          <w:tcPr>
            <w:tcW w:w="2789" w:type="dxa"/>
            <w:gridSpan w:val="3"/>
            <w:tcBorders>
              <w:top w:val="single" w:sz="4" w:space="0" w:color="auto"/>
              <w:bottom w:val="single" w:sz="4" w:space="0" w:color="auto"/>
            </w:tcBorders>
          </w:tcPr>
          <w:p w14:paraId="413CFCF7"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5BC15C4F"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23FF259B"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0E527C29" w14:textId="77777777" w:rsidR="00726C45" w:rsidRDefault="00726C45" w:rsidP="00A37677">
            <w:pPr>
              <w:tabs>
                <w:tab w:val="left" w:pos="3264"/>
              </w:tabs>
              <w:rPr>
                <w:b/>
                <w:sz w:val="20"/>
              </w:rPr>
            </w:pPr>
          </w:p>
        </w:tc>
      </w:tr>
      <w:tr w:rsidR="00726C45" w:rsidRPr="00C560DD" w14:paraId="6114D66C" w14:textId="77777777" w:rsidTr="00A37677">
        <w:trPr>
          <w:trHeight w:val="539"/>
        </w:trPr>
        <w:tc>
          <w:tcPr>
            <w:tcW w:w="2789" w:type="dxa"/>
            <w:gridSpan w:val="3"/>
            <w:tcBorders>
              <w:top w:val="single" w:sz="4" w:space="0" w:color="auto"/>
              <w:bottom w:val="single" w:sz="4" w:space="0" w:color="auto"/>
            </w:tcBorders>
          </w:tcPr>
          <w:p w14:paraId="654482D4"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105BED03"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31A05871"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6F6DC469"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40283D24" w14:textId="77777777" w:rsidTr="00A37677">
        <w:trPr>
          <w:trHeight w:val="551"/>
        </w:trPr>
        <w:tc>
          <w:tcPr>
            <w:tcW w:w="2789" w:type="dxa"/>
            <w:gridSpan w:val="3"/>
            <w:tcBorders>
              <w:top w:val="single" w:sz="4" w:space="0" w:color="auto"/>
            </w:tcBorders>
          </w:tcPr>
          <w:p w14:paraId="7772C4D3"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08F5B975" w14:textId="77777777" w:rsidR="00726C45" w:rsidRPr="00C560DD" w:rsidRDefault="00726C45" w:rsidP="00A37677">
            <w:pPr>
              <w:tabs>
                <w:tab w:val="left" w:pos="3264"/>
              </w:tabs>
              <w:rPr>
                <w:sz w:val="20"/>
              </w:rPr>
            </w:pPr>
            <w:r w:rsidRPr="00C560DD">
              <w:rPr>
                <w:sz w:val="20"/>
              </w:rPr>
              <w:t>1.24</w:t>
            </w:r>
          </w:p>
        </w:tc>
        <w:tc>
          <w:tcPr>
            <w:tcW w:w="1052" w:type="dxa"/>
            <w:tcBorders>
              <w:top w:val="single" w:sz="4" w:space="0" w:color="auto"/>
            </w:tcBorders>
          </w:tcPr>
          <w:p w14:paraId="55D87912" w14:textId="77777777" w:rsidR="00726C45" w:rsidRPr="00C560DD" w:rsidRDefault="00726C45" w:rsidP="00A37677">
            <w:pPr>
              <w:tabs>
                <w:tab w:val="left" w:pos="3264"/>
              </w:tabs>
              <w:rPr>
                <w:sz w:val="20"/>
              </w:rPr>
            </w:pPr>
            <w:r w:rsidRPr="00C560DD">
              <w:rPr>
                <w:sz w:val="20"/>
              </w:rPr>
              <w:t>0.13</w:t>
            </w:r>
          </w:p>
        </w:tc>
        <w:tc>
          <w:tcPr>
            <w:tcW w:w="2126" w:type="dxa"/>
            <w:tcBorders>
              <w:top w:val="single" w:sz="4" w:space="0" w:color="auto"/>
            </w:tcBorders>
          </w:tcPr>
          <w:p w14:paraId="6CA990E3" w14:textId="77777777" w:rsidR="00726C45" w:rsidRPr="00C560DD" w:rsidRDefault="00726C45" w:rsidP="00A37677">
            <w:pPr>
              <w:tabs>
                <w:tab w:val="left" w:pos="3264"/>
              </w:tabs>
              <w:rPr>
                <w:sz w:val="20"/>
              </w:rPr>
            </w:pPr>
            <w:r w:rsidRPr="00C560DD">
              <w:rPr>
                <w:sz w:val="20"/>
              </w:rPr>
              <w:t>1.01-1.52</w:t>
            </w:r>
          </w:p>
        </w:tc>
      </w:tr>
      <w:tr w:rsidR="00726C45" w:rsidRPr="00C560DD" w14:paraId="114CB210" w14:textId="77777777" w:rsidTr="00A37677">
        <w:trPr>
          <w:trHeight w:val="539"/>
        </w:trPr>
        <w:tc>
          <w:tcPr>
            <w:tcW w:w="2789" w:type="dxa"/>
            <w:gridSpan w:val="3"/>
            <w:tcBorders>
              <w:bottom w:val="single" w:sz="4" w:space="0" w:color="auto"/>
            </w:tcBorders>
          </w:tcPr>
          <w:p w14:paraId="62BE5E79"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3C3B4457" w14:textId="77777777" w:rsidR="00726C45" w:rsidRPr="00C560DD" w:rsidRDefault="00726C45" w:rsidP="00A37677">
            <w:pPr>
              <w:tabs>
                <w:tab w:val="left" w:pos="3264"/>
              </w:tabs>
              <w:rPr>
                <w:sz w:val="20"/>
              </w:rPr>
            </w:pPr>
            <w:r w:rsidRPr="00C560DD">
              <w:rPr>
                <w:sz w:val="20"/>
              </w:rPr>
              <w:t>2.92</w:t>
            </w:r>
          </w:p>
        </w:tc>
        <w:tc>
          <w:tcPr>
            <w:tcW w:w="1052" w:type="dxa"/>
            <w:tcBorders>
              <w:bottom w:val="single" w:sz="4" w:space="0" w:color="auto"/>
            </w:tcBorders>
          </w:tcPr>
          <w:p w14:paraId="48B98529" w14:textId="77777777" w:rsidR="00726C45" w:rsidRPr="00C560DD" w:rsidRDefault="00726C45" w:rsidP="00A37677">
            <w:pPr>
              <w:tabs>
                <w:tab w:val="left" w:pos="3264"/>
              </w:tabs>
              <w:rPr>
                <w:sz w:val="20"/>
              </w:rPr>
            </w:pPr>
            <w:r w:rsidRPr="00C560DD">
              <w:rPr>
                <w:sz w:val="20"/>
              </w:rPr>
              <w:t>0.01</w:t>
            </w:r>
          </w:p>
        </w:tc>
        <w:tc>
          <w:tcPr>
            <w:tcW w:w="2126" w:type="dxa"/>
            <w:tcBorders>
              <w:bottom w:val="single" w:sz="4" w:space="0" w:color="auto"/>
            </w:tcBorders>
          </w:tcPr>
          <w:p w14:paraId="103661A5" w14:textId="77777777" w:rsidR="00726C45" w:rsidRPr="00C560DD" w:rsidRDefault="00726C45" w:rsidP="00A37677">
            <w:pPr>
              <w:tabs>
                <w:tab w:val="left" w:pos="3264"/>
              </w:tabs>
              <w:rPr>
                <w:sz w:val="20"/>
              </w:rPr>
            </w:pPr>
            <w:r w:rsidRPr="00C560DD">
              <w:rPr>
                <w:sz w:val="20"/>
              </w:rPr>
              <w:t>2.90-2.93</w:t>
            </w:r>
          </w:p>
        </w:tc>
      </w:tr>
    </w:tbl>
    <w:p w14:paraId="4657CF5A" w14:textId="77777777" w:rsidR="00726C45" w:rsidRDefault="00726C45" w:rsidP="00726C45">
      <w:pPr>
        <w:tabs>
          <w:tab w:val="left" w:pos="3264"/>
        </w:tabs>
        <w:ind w:firstLine="720"/>
        <w:rPr>
          <w:sz w:val="18"/>
        </w:rPr>
      </w:pPr>
      <w:r w:rsidRPr="00C560DD">
        <w:rPr>
          <w:sz w:val="18"/>
        </w:rPr>
        <w:t>LR test vs. linear regression: chibar2(01) =  7489.17 Prob &gt;= chibar2 = 0.0000</w:t>
      </w:r>
    </w:p>
    <w:p w14:paraId="31BA8ABC"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2E901357" w14:textId="77777777" w:rsidTr="00A37677">
        <w:tc>
          <w:tcPr>
            <w:tcW w:w="2254" w:type="dxa"/>
            <w:tcBorders>
              <w:top w:val="single" w:sz="4" w:space="0" w:color="auto"/>
            </w:tcBorders>
          </w:tcPr>
          <w:p w14:paraId="5C691C5F"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47724CB1"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06F4F686"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7EA22C72"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6B81FDDD" w14:textId="77777777" w:rsidTr="00A37677">
        <w:tc>
          <w:tcPr>
            <w:tcW w:w="2254" w:type="dxa"/>
            <w:tcBorders>
              <w:bottom w:val="single" w:sz="4" w:space="0" w:color="auto"/>
            </w:tcBorders>
          </w:tcPr>
          <w:p w14:paraId="6842C93E"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652F4B27" w14:textId="77777777" w:rsidR="00726C45" w:rsidRPr="00C560DD" w:rsidRDefault="00726C45" w:rsidP="00A37677">
            <w:pPr>
              <w:tabs>
                <w:tab w:val="left" w:pos="3264"/>
              </w:tabs>
              <w:rPr>
                <w:sz w:val="20"/>
              </w:rPr>
            </w:pPr>
            <w:r w:rsidRPr="00C560DD">
              <w:rPr>
                <w:sz w:val="20"/>
              </w:rPr>
              <w:t>.1523625</w:t>
            </w:r>
          </w:p>
        </w:tc>
        <w:tc>
          <w:tcPr>
            <w:tcW w:w="2254" w:type="dxa"/>
            <w:tcBorders>
              <w:bottom w:val="single" w:sz="4" w:space="0" w:color="auto"/>
            </w:tcBorders>
          </w:tcPr>
          <w:p w14:paraId="62630C21" w14:textId="77777777" w:rsidR="00726C45" w:rsidRPr="00C560DD" w:rsidRDefault="00726C45" w:rsidP="00A37677">
            <w:pPr>
              <w:tabs>
                <w:tab w:val="left" w:pos="3264"/>
              </w:tabs>
              <w:rPr>
                <w:sz w:val="20"/>
              </w:rPr>
            </w:pPr>
            <w:r w:rsidRPr="00C560DD">
              <w:rPr>
                <w:sz w:val="20"/>
              </w:rPr>
              <w:t>.0271089</w:t>
            </w:r>
          </w:p>
        </w:tc>
        <w:tc>
          <w:tcPr>
            <w:tcW w:w="2254" w:type="dxa"/>
            <w:tcBorders>
              <w:bottom w:val="single" w:sz="4" w:space="0" w:color="auto"/>
            </w:tcBorders>
          </w:tcPr>
          <w:p w14:paraId="0CD53C96" w14:textId="77777777" w:rsidR="00726C45" w:rsidRPr="00C560DD" w:rsidRDefault="00726C45" w:rsidP="00A37677">
            <w:pPr>
              <w:tabs>
                <w:tab w:val="left" w:pos="3264"/>
              </w:tabs>
              <w:rPr>
                <w:sz w:val="20"/>
              </w:rPr>
            </w:pPr>
            <w:r w:rsidRPr="00C560DD">
              <w:rPr>
                <w:sz w:val="20"/>
              </w:rPr>
              <w:t>.1064432    .2133611</w:t>
            </w:r>
          </w:p>
        </w:tc>
      </w:tr>
    </w:tbl>
    <w:p w14:paraId="74F4EA0A" w14:textId="77777777" w:rsidR="00726C45" w:rsidRDefault="00726C45" w:rsidP="00726C45">
      <w:pPr>
        <w:tabs>
          <w:tab w:val="left" w:pos="3264"/>
        </w:tabs>
        <w:ind w:firstLine="720"/>
      </w:pPr>
    </w:p>
    <w:p w14:paraId="72C36B0E" w14:textId="77777777" w:rsidR="00726C45" w:rsidRPr="009F3CC6" w:rsidRDefault="00726C45" w:rsidP="00726C45">
      <w:pPr>
        <w:tabs>
          <w:tab w:val="left" w:pos="3264"/>
        </w:tabs>
        <w:rPr>
          <w:b/>
        </w:rPr>
      </w:pPr>
      <w:r>
        <w:rPr>
          <w:b/>
        </w:rPr>
        <w:t>Figure A10</w:t>
      </w:r>
      <w:r w:rsidRPr="009F3CC6">
        <w:rPr>
          <w:b/>
        </w:rPr>
        <w:t>: Null Model – Religious Authorities (Adapted Stata output)</w:t>
      </w:r>
    </w:p>
    <w:p w14:paraId="4DEEE7CE" w14:textId="77777777" w:rsidR="00726C45" w:rsidRPr="006F0825" w:rsidRDefault="00726C45" w:rsidP="00726C45">
      <w:pPr>
        <w:tabs>
          <w:tab w:val="left" w:pos="3264"/>
        </w:tabs>
        <w:rPr>
          <w:sz w:val="20"/>
        </w:rPr>
      </w:pPr>
      <w:r>
        <w:rPr>
          <w:sz w:val="20"/>
        </w:rPr>
        <w:t xml:space="preserve">Log-likelihood: </w:t>
      </w:r>
      <w:r w:rsidRPr="009959E7">
        <w:rPr>
          <w:sz w:val="20"/>
        </w:rPr>
        <w:t xml:space="preserve">-108201.4    </w:t>
      </w: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126"/>
        <w:gridCol w:w="160"/>
        <w:gridCol w:w="855"/>
        <w:gridCol w:w="691"/>
        <w:gridCol w:w="1052"/>
        <w:gridCol w:w="2126"/>
      </w:tblGrid>
      <w:tr w:rsidR="00726C45" w:rsidRPr="00C560DD" w14:paraId="75C5868B" w14:textId="77777777" w:rsidTr="00A37677">
        <w:trPr>
          <w:trHeight w:val="551"/>
        </w:trPr>
        <w:tc>
          <w:tcPr>
            <w:tcW w:w="1503" w:type="dxa"/>
            <w:tcBorders>
              <w:top w:val="single" w:sz="4" w:space="0" w:color="auto"/>
              <w:bottom w:val="single" w:sz="4" w:space="0" w:color="auto"/>
            </w:tcBorders>
          </w:tcPr>
          <w:p w14:paraId="613F9D14" w14:textId="77777777" w:rsidR="00726C45" w:rsidRPr="00C560DD" w:rsidRDefault="00726C45" w:rsidP="00A37677">
            <w:pPr>
              <w:tabs>
                <w:tab w:val="left" w:pos="3264"/>
              </w:tabs>
              <w:rPr>
                <w:b/>
                <w:i/>
                <w:sz w:val="20"/>
              </w:rPr>
            </w:pPr>
            <w:r>
              <w:rPr>
                <w:b/>
                <w:i/>
                <w:sz w:val="20"/>
              </w:rPr>
              <w:t>Relig. Auth.</w:t>
            </w:r>
          </w:p>
        </w:tc>
        <w:tc>
          <w:tcPr>
            <w:tcW w:w="1126" w:type="dxa"/>
            <w:tcBorders>
              <w:top w:val="single" w:sz="4" w:space="0" w:color="auto"/>
              <w:bottom w:val="single" w:sz="4" w:space="0" w:color="auto"/>
            </w:tcBorders>
          </w:tcPr>
          <w:p w14:paraId="607A00E6" w14:textId="77777777" w:rsidR="00726C45" w:rsidRPr="00C560DD" w:rsidRDefault="00726C45" w:rsidP="00A37677">
            <w:pPr>
              <w:tabs>
                <w:tab w:val="left" w:pos="3264"/>
              </w:tabs>
              <w:rPr>
                <w:b/>
                <w:sz w:val="20"/>
              </w:rPr>
            </w:pPr>
            <w:r w:rsidRPr="00C560DD">
              <w:rPr>
                <w:b/>
                <w:sz w:val="20"/>
              </w:rPr>
              <w:t>Coef.</w:t>
            </w:r>
          </w:p>
        </w:tc>
        <w:tc>
          <w:tcPr>
            <w:tcW w:w="1015" w:type="dxa"/>
            <w:gridSpan w:val="2"/>
            <w:tcBorders>
              <w:top w:val="single" w:sz="4" w:space="0" w:color="auto"/>
              <w:bottom w:val="single" w:sz="4" w:space="0" w:color="auto"/>
            </w:tcBorders>
          </w:tcPr>
          <w:p w14:paraId="43816254" w14:textId="77777777" w:rsidR="00726C45" w:rsidRPr="00C560DD" w:rsidRDefault="00726C45" w:rsidP="00A37677">
            <w:pPr>
              <w:tabs>
                <w:tab w:val="left" w:pos="3264"/>
              </w:tabs>
              <w:rPr>
                <w:b/>
                <w:sz w:val="20"/>
              </w:rPr>
            </w:pPr>
            <w:r w:rsidRPr="00C560DD">
              <w:rPr>
                <w:b/>
                <w:sz w:val="20"/>
              </w:rPr>
              <w:t>Std. Err.</w:t>
            </w:r>
          </w:p>
        </w:tc>
        <w:tc>
          <w:tcPr>
            <w:tcW w:w="691" w:type="dxa"/>
            <w:tcBorders>
              <w:top w:val="single" w:sz="4" w:space="0" w:color="auto"/>
              <w:bottom w:val="single" w:sz="4" w:space="0" w:color="auto"/>
            </w:tcBorders>
          </w:tcPr>
          <w:p w14:paraId="55A60422" w14:textId="77777777" w:rsidR="00726C45" w:rsidRPr="00C560DD" w:rsidRDefault="00726C45" w:rsidP="00A37677">
            <w:pPr>
              <w:tabs>
                <w:tab w:val="left" w:pos="3264"/>
              </w:tabs>
              <w:rPr>
                <w:b/>
                <w:sz w:val="20"/>
              </w:rPr>
            </w:pPr>
            <w:r w:rsidRPr="00C560DD">
              <w:rPr>
                <w:b/>
                <w:sz w:val="20"/>
              </w:rPr>
              <w:t>z</w:t>
            </w:r>
          </w:p>
        </w:tc>
        <w:tc>
          <w:tcPr>
            <w:tcW w:w="1052" w:type="dxa"/>
            <w:tcBorders>
              <w:top w:val="single" w:sz="4" w:space="0" w:color="auto"/>
              <w:bottom w:val="single" w:sz="4" w:space="0" w:color="auto"/>
            </w:tcBorders>
          </w:tcPr>
          <w:p w14:paraId="5CF98177" w14:textId="77777777" w:rsidR="00726C45" w:rsidRPr="00C560DD" w:rsidRDefault="00726C45" w:rsidP="00A37677">
            <w:pPr>
              <w:tabs>
                <w:tab w:val="left" w:pos="3264"/>
              </w:tabs>
              <w:rPr>
                <w:b/>
                <w:sz w:val="20"/>
              </w:rPr>
            </w:pPr>
            <w:r w:rsidRPr="00C560DD">
              <w:rPr>
                <w:b/>
                <w:sz w:val="20"/>
              </w:rPr>
              <w:t>P&gt;|z|</w:t>
            </w:r>
          </w:p>
        </w:tc>
        <w:tc>
          <w:tcPr>
            <w:tcW w:w="2126" w:type="dxa"/>
            <w:tcBorders>
              <w:top w:val="single" w:sz="4" w:space="0" w:color="auto"/>
              <w:bottom w:val="single" w:sz="4" w:space="0" w:color="auto"/>
            </w:tcBorders>
          </w:tcPr>
          <w:p w14:paraId="6AE88865"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5A74D274" w14:textId="77777777" w:rsidTr="00A37677">
        <w:trPr>
          <w:trHeight w:val="539"/>
        </w:trPr>
        <w:tc>
          <w:tcPr>
            <w:tcW w:w="1503" w:type="dxa"/>
            <w:tcBorders>
              <w:top w:val="single" w:sz="4" w:space="0" w:color="auto"/>
              <w:bottom w:val="single" w:sz="4" w:space="0" w:color="auto"/>
            </w:tcBorders>
          </w:tcPr>
          <w:p w14:paraId="35C78C71" w14:textId="77777777" w:rsidR="00726C45" w:rsidRPr="00C560DD" w:rsidRDefault="00726C45" w:rsidP="00A37677">
            <w:pPr>
              <w:tabs>
                <w:tab w:val="left" w:pos="3264"/>
              </w:tabs>
              <w:rPr>
                <w:b/>
                <w:sz w:val="20"/>
              </w:rPr>
            </w:pPr>
            <w:r w:rsidRPr="00C560DD">
              <w:rPr>
                <w:b/>
                <w:sz w:val="20"/>
              </w:rPr>
              <w:t>Constant</w:t>
            </w:r>
          </w:p>
        </w:tc>
        <w:tc>
          <w:tcPr>
            <w:tcW w:w="1126" w:type="dxa"/>
            <w:tcBorders>
              <w:top w:val="single" w:sz="4" w:space="0" w:color="auto"/>
              <w:bottom w:val="single" w:sz="4" w:space="0" w:color="auto"/>
            </w:tcBorders>
          </w:tcPr>
          <w:p w14:paraId="43638DF6" w14:textId="77777777" w:rsidR="00726C45" w:rsidRPr="00C560DD" w:rsidRDefault="00726C45" w:rsidP="00A37677">
            <w:pPr>
              <w:tabs>
                <w:tab w:val="left" w:pos="3264"/>
              </w:tabs>
              <w:rPr>
                <w:sz w:val="20"/>
              </w:rPr>
            </w:pPr>
            <w:r w:rsidRPr="009959E7">
              <w:rPr>
                <w:sz w:val="20"/>
              </w:rPr>
              <w:t>4.067546</w:t>
            </w:r>
          </w:p>
        </w:tc>
        <w:tc>
          <w:tcPr>
            <w:tcW w:w="1015" w:type="dxa"/>
            <w:gridSpan w:val="2"/>
            <w:tcBorders>
              <w:top w:val="single" w:sz="4" w:space="0" w:color="auto"/>
              <w:bottom w:val="single" w:sz="4" w:space="0" w:color="auto"/>
            </w:tcBorders>
          </w:tcPr>
          <w:p w14:paraId="5D49F812" w14:textId="77777777" w:rsidR="00726C45" w:rsidRPr="00C560DD" w:rsidRDefault="00726C45" w:rsidP="00A37677">
            <w:pPr>
              <w:tabs>
                <w:tab w:val="left" w:pos="3264"/>
              </w:tabs>
              <w:rPr>
                <w:sz w:val="20"/>
              </w:rPr>
            </w:pPr>
            <w:r w:rsidRPr="009959E7">
              <w:rPr>
                <w:sz w:val="20"/>
              </w:rPr>
              <w:t>.2105495</w:t>
            </w:r>
          </w:p>
        </w:tc>
        <w:tc>
          <w:tcPr>
            <w:tcW w:w="691" w:type="dxa"/>
            <w:tcBorders>
              <w:top w:val="single" w:sz="4" w:space="0" w:color="auto"/>
              <w:bottom w:val="single" w:sz="4" w:space="0" w:color="auto"/>
            </w:tcBorders>
          </w:tcPr>
          <w:p w14:paraId="79BEC558" w14:textId="77777777" w:rsidR="00726C45" w:rsidRPr="00C560DD" w:rsidRDefault="00726C45" w:rsidP="00A37677">
            <w:pPr>
              <w:tabs>
                <w:tab w:val="left" w:pos="3264"/>
              </w:tabs>
              <w:rPr>
                <w:sz w:val="20"/>
              </w:rPr>
            </w:pPr>
            <w:r w:rsidRPr="009959E7">
              <w:rPr>
                <w:sz w:val="20"/>
              </w:rPr>
              <w:t>19.32</w:t>
            </w:r>
          </w:p>
        </w:tc>
        <w:tc>
          <w:tcPr>
            <w:tcW w:w="1052" w:type="dxa"/>
            <w:tcBorders>
              <w:top w:val="single" w:sz="4" w:space="0" w:color="auto"/>
              <w:bottom w:val="single" w:sz="4" w:space="0" w:color="auto"/>
            </w:tcBorders>
          </w:tcPr>
          <w:p w14:paraId="26A5B602" w14:textId="77777777" w:rsidR="00726C45" w:rsidRPr="00C560DD" w:rsidRDefault="00726C45" w:rsidP="00A37677">
            <w:pPr>
              <w:tabs>
                <w:tab w:val="left" w:pos="3264"/>
              </w:tabs>
              <w:rPr>
                <w:sz w:val="20"/>
              </w:rPr>
            </w:pPr>
            <w:r w:rsidRPr="00C560DD">
              <w:rPr>
                <w:sz w:val="20"/>
              </w:rPr>
              <w:t>0.00</w:t>
            </w:r>
          </w:p>
        </w:tc>
        <w:tc>
          <w:tcPr>
            <w:tcW w:w="2126" w:type="dxa"/>
            <w:tcBorders>
              <w:top w:val="single" w:sz="4" w:space="0" w:color="auto"/>
              <w:bottom w:val="single" w:sz="4" w:space="0" w:color="auto"/>
            </w:tcBorders>
          </w:tcPr>
          <w:p w14:paraId="3E443A13" w14:textId="77777777" w:rsidR="00726C45" w:rsidRPr="00C560DD" w:rsidRDefault="00726C45" w:rsidP="00A37677">
            <w:pPr>
              <w:tabs>
                <w:tab w:val="left" w:pos="3264"/>
              </w:tabs>
              <w:rPr>
                <w:sz w:val="20"/>
              </w:rPr>
            </w:pPr>
            <w:r w:rsidRPr="009959E7">
              <w:rPr>
                <w:sz w:val="20"/>
              </w:rPr>
              <w:t>3.654877    4.480215</w:t>
            </w:r>
          </w:p>
        </w:tc>
      </w:tr>
      <w:tr w:rsidR="00726C45" w:rsidRPr="00C560DD" w14:paraId="142F74C9" w14:textId="77777777" w:rsidTr="00A37677">
        <w:trPr>
          <w:trHeight w:val="539"/>
        </w:trPr>
        <w:tc>
          <w:tcPr>
            <w:tcW w:w="2789" w:type="dxa"/>
            <w:gridSpan w:val="3"/>
            <w:tcBorders>
              <w:top w:val="single" w:sz="4" w:space="0" w:color="auto"/>
              <w:bottom w:val="single" w:sz="4" w:space="0" w:color="auto"/>
            </w:tcBorders>
          </w:tcPr>
          <w:p w14:paraId="4EBA8707" w14:textId="77777777" w:rsidR="00726C45" w:rsidRDefault="00726C45" w:rsidP="00A37677">
            <w:pPr>
              <w:tabs>
                <w:tab w:val="left" w:pos="3264"/>
              </w:tabs>
              <w:rPr>
                <w:b/>
                <w:sz w:val="20"/>
              </w:rPr>
            </w:pPr>
          </w:p>
        </w:tc>
        <w:tc>
          <w:tcPr>
            <w:tcW w:w="1546" w:type="dxa"/>
            <w:gridSpan w:val="2"/>
            <w:tcBorders>
              <w:top w:val="single" w:sz="4" w:space="0" w:color="auto"/>
              <w:bottom w:val="single" w:sz="4" w:space="0" w:color="auto"/>
            </w:tcBorders>
          </w:tcPr>
          <w:p w14:paraId="64DAFE0B" w14:textId="77777777" w:rsidR="00726C45" w:rsidRDefault="00726C45" w:rsidP="00A37677">
            <w:pPr>
              <w:tabs>
                <w:tab w:val="left" w:pos="3264"/>
              </w:tabs>
              <w:rPr>
                <w:b/>
                <w:sz w:val="20"/>
              </w:rPr>
            </w:pPr>
          </w:p>
        </w:tc>
        <w:tc>
          <w:tcPr>
            <w:tcW w:w="1052" w:type="dxa"/>
            <w:tcBorders>
              <w:top w:val="single" w:sz="4" w:space="0" w:color="auto"/>
              <w:bottom w:val="single" w:sz="4" w:space="0" w:color="auto"/>
            </w:tcBorders>
          </w:tcPr>
          <w:p w14:paraId="4050D86B" w14:textId="77777777" w:rsidR="00726C45" w:rsidRDefault="00726C45" w:rsidP="00A37677">
            <w:pPr>
              <w:tabs>
                <w:tab w:val="left" w:pos="3264"/>
              </w:tabs>
              <w:rPr>
                <w:b/>
                <w:sz w:val="20"/>
              </w:rPr>
            </w:pPr>
          </w:p>
        </w:tc>
        <w:tc>
          <w:tcPr>
            <w:tcW w:w="2126" w:type="dxa"/>
            <w:tcBorders>
              <w:top w:val="single" w:sz="4" w:space="0" w:color="auto"/>
              <w:bottom w:val="single" w:sz="4" w:space="0" w:color="auto"/>
            </w:tcBorders>
          </w:tcPr>
          <w:p w14:paraId="788B5457" w14:textId="77777777" w:rsidR="00726C45" w:rsidRDefault="00726C45" w:rsidP="00A37677">
            <w:pPr>
              <w:tabs>
                <w:tab w:val="left" w:pos="3264"/>
              </w:tabs>
              <w:rPr>
                <w:b/>
                <w:sz w:val="20"/>
              </w:rPr>
            </w:pPr>
          </w:p>
        </w:tc>
      </w:tr>
      <w:tr w:rsidR="00726C45" w:rsidRPr="00C560DD" w14:paraId="7C6DCE41" w14:textId="77777777" w:rsidTr="00A37677">
        <w:trPr>
          <w:trHeight w:val="539"/>
        </w:trPr>
        <w:tc>
          <w:tcPr>
            <w:tcW w:w="2789" w:type="dxa"/>
            <w:gridSpan w:val="3"/>
            <w:tcBorders>
              <w:top w:val="single" w:sz="4" w:space="0" w:color="auto"/>
              <w:bottom w:val="single" w:sz="4" w:space="0" w:color="auto"/>
            </w:tcBorders>
          </w:tcPr>
          <w:p w14:paraId="7B9FFB23" w14:textId="77777777" w:rsidR="00726C45" w:rsidRPr="00C560DD" w:rsidRDefault="00726C45" w:rsidP="00A37677">
            <w:pPr>
              <w:tabs>
                <w:tab w:val="left" w:pos="3264"/>
              </w:tabs>
              <w:rPr>
                <w:b/>
                <w:sz w:val="20"/>
              </w:rPr>
            </w:pPr>
            <w:r w:rsidRPr="00C560DD">
              <w:rPr>
                <w:b/>
                <w:sz w:val="20"/>
              </w:rPr>
              <w:t>Random Effect Parameters</w:t>
            </w:r>
          </w:p>
        </w:tc>
        <w:tc>
          <w:tcPr>
            <w:tcW w:w="1546" w:type="dxa"/>
            <w:gridSpan w:val="2"/>
            <w:tcBorders>
              <w:top w:val="single" w:sz="4" w:space="0" w:color="auto"/>
              <w:bottom w:val="single" w:sz="4" w:space="0" w:color="auto"/>
            </w:tcBorders>
          </w:tcPr>
          <w:p w14:paraId="43726FCA" w14:textId="77777777" w:rsidR="00726C45" w:rsidRPr="00C560DD" w:rsidRDefault="00726C45" w:rsidP="00A37677">
            <w:pPr>
              <w:tabs>
                <w:tab w:val="left" w:pos="3264"/>
              </w:tabs>
              <w:rPr>
                <w:b/>
                <w:sz w:val="20"/>
              </w:rPr>
            </w:pPr>
            <w:r w:rsidRPr="00C560DD">
              <w:rPr>
                <w:b/>
                <w:sz w:val="20"/>
              </w:rPr>
              <w:t>Estimate</w:t>
            </w:r>
          </w:p>
        </w:tc>
        <w:tc>
          <w:tcPr>
            <w:tcW w:w="1052" w:type="dxa"/>
            <w:tcBorders>
              <w:top w:val="single" w:sz="4" w:space="0" w:color="auto"/>
              <w:bottom w:val="single" w:sz="4" w:space="0" w:color="auto"/>
            </w:tcBorders>
          </w:tcPr>
          <w:p w14:paraId="18377ED0" w14:textId="77777777" w:rsidR="00726C45" w:rsidRPr="00C560DD" w:rsidRDefault="00726C45" w:rsidP="00A37677">
            <w:pPr>
              <w:tabs>
                <w:tab w:val="left" w:pos="3264"/>
              </w:tabs>
              <w:rPr>
                <w:b/>
                <w:sz w:val="20"/>
              </w:rPr>
            </w:pPr>
            <w:r w:rsidRPr="00C560DD">
              <w:rPr>
                <w:b/>
                <w:sz w:val="20"/>
              </w:rPr>
              <w:t>Std.Err.</w:t>
            </w:r>
          </w:p>
        </w:tc>
        <w:tc>
          <w:tcPr>
            <w:tcW w:w="2126" w:type="dxa"/>
            <w:tcBorders>
              <w:top w:val="single" w:sz="4" w:space="0" w:color="auto"/>
              <w:bottom w:val="single" w:sz="4" w:space="0" w:color="auto"/>
            </w:tcBorders>
          </w:tcPr>
          <w:p w14:paraId="2408B0A7"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72859E29" w14:textId="77777777" w:rsidTr="00A37677">
        <w:trPr>
          <w:trHeight w:val="551"/>
        </w:trPr>
        <w:tc>
          <w:tcPr>
            <w:tcW w:w="2789" w:type="dxa"/>
            <w:gridSpan w:val="3"/>
            <w:tcBorders>
              <w:top w:val="single" w:sz="4" w:space="0" w:color="auto"/>
            </w:tcBorders>
          </w:tcPr>
          <w:p w14:paraId="1B8EA0C8" w14:textId="77777777" w:rsidR="00726C45" w:rsidRPr="00C560DD" w:rsidRDefault="00726C45" w:rsidP="00A37677">
            <w:pPr>
              <w:tabs>
                <w:tab w:val="left" w:pos="3264"/>
              </w:tabs>
              <w:rPr>
                <w:b/>
                <w:sz w:val="20"/>
              </w:rPr>
            </w:pPr>
            <w:r w:rsidRPr="00C560DD">
              <w:rPr>
                <w:b/>
                <w:sz w:val="20"/>
              </w:rPr>
              <w:t xml:space="preserve">Country </w:t>
            </w:r>
            <w:r>
              <w:rPr>
                <w:b/>
                <w:sz w:val="20"/>
              </w:rPr>
              <w:t xml:space="preserve">             sd(_cons)                          </w:t>
            </w:r>
          </w:p>
        </w:tc>
        <w:tc>
          <w:tcPr>
            <w:tcW w:w="1546" w:type="dxa"/>
            <w:gridSpan w:val="2"/>
            <w:tcBorders>
              <w:top w:val="single" w:sz="4" w:space="0" w:color="auto"/>
            </w:tcBorders>
          </w:tcPr>
          <w:p w14:paraId="49BAD439" w14:textId="77777777" w:rsidR="00726C45" w:rsidRPr="00C560DD" w:rsidRDefault="00726C45" w:rsidP="00A37677">
            <w:pPr>
              <w:tabs>
                <w:tab w:val="left" w:pos="3264"/>
              </w:tabs>
              <w:rPr>
                <w:sz w:val="20"/>
              </w:rPr>
            </w:pPr>
            <w:r w:rsidRPr="009959E7">
              <w:rPr>
                <w:sz w:val="20"/>
              </w:rPr>
              <w:t>2.031514</w:t>
            </w:r>
          </w:p>
        </w:tc>
        <w:tc>
          <w:tcPr>
            <w:tcW w:w="1052" w:type="dxa"/>
            <w:tcBorders>
              <w:top w:val="single" w:sz="4" w:space="0" w:color="auto"/>
            </w:tcBorders>
          </w:tcPr>
          <w:p w14:paraId="1F6C780F" w14:textId="77777777" w:rsidR="00726C45" w:rsidRPr="00C560DD" w:rsidRDefault="00726C45" w:rsidP="00A37677">
            <w:pPr>
              <w:tabs>
                <w:tab w:val="left" w:pos="3264"/>
              </w:tabs>
              <w:rPr>
                <w:sz w:val="20"/>
              </w:rPr>
            </w:pPr>
            <w:r w:rsidRPr="009959E7">
              <w:rPr>
                <w:sz w:val="20"/>
              </w:rPr>
              <w:t>.4249828</w:t>
            </w:r>
          </w:p>
        </w:tc>
        <w:tc>
          <w:tcPr>
            <w:tcW w:w="2126" w:type="dxa"/>
            <w:tcBorders>
              <w:top w:val="single" w:sz="4" w:space="0" w:color="auto"/>
            </w:tcBorders>
          </w:tcPr>
          <w:p w14:paraId="1F4699C3" w14:textId="77777777" w:rsidR="00726C45" w:rsidRPr="00C560DD" w:rsidRDefault="00726C45" w:rsidP="00A37677">
            <w:pPr>
              <w:tabs>
                <w:tab w:val="left" w:pos="3264"/>
              </w:tabs>
              <w:rPr>
                <w:sz w:val="20"/>
              </w:rPr>
            </w:pPr>
            <w:r w:rsidRPr="009959E7">
              <w:rPr>
                <w:sz w:val="20"/>
              </w:rPr>
              <w:t>1.348195    3.061167</w:t>
            </w:r>
          </w:p>
        </w:tc>
      </w:tr>
      <w:tr w:rsidR="00726C45" w:rsidRPr="00C560DD" w14:paraId="4911182D" w14:textId="77777777" w:rsidTr="00A37677">
        <w:trPr>
          <w:trHeight w:val="539"/>
        </w:trPr>
        <w:tc>
          <w:tcPr>
            <w:tcW w:w="2789" w:type="dxa"/>
            <w:gridSpan w:val="3"/>
            <w:tcBorders>
              <w:bottom w:val="single" w:sz="4" w:space="0" w:color="auto"/>
            </w:tcBorders>
          </w:tcPr>
          <w:p w14:paraId="0B118050" w14:textId="77777777" w:rsidR="00726C45" w:rsidRPr="00C560DD" w:rsidRDefault="00726C45" w:rsidP="00A37677">
            <w:pPr>
              <w:tabs>
                <w:tab w:val="left" w:pos="3264"/>
              </w:tabs>
              <w:jc w:val="right"/>
              <w:rPr>
                <w:b/>
                <w:sz w:val="20"/>
              </w:rPr>
            </w:pPr>
            <w:r w:rsidRPr="00C560DD">
              <w:rPr>
                <w:b/>
                <w:sz w:val="20"/>
              </w:rPr>
              <w:t>sd(residual)</w:t>
            </w:r>
          </w:p>
        </w:tc>
        <w:tc>
          <w:tcPr>
            <w:tcW w:w="1546" w:type="dxa"/>
            <w:gridSpan w:val="2"/>
            <w:tcBorders>
              <w:bottom w:val="single" w:sz="4" w:space="0" w:color="auto"/>
            </w:tcBorders>
          </w:tcPr>
          <w:p w14:paraId="39742274" w14:textId="77777777" w:rsidR="00726C45" w:rsidRPr="00C560DD" w:rsidRDefault="00726C45" w:rsidP="00A37677">
            <w:pPr>
              <w:tabs>
                <w:tab w:val="left" w:pos="3264"/>
              </w:tabs>
              <w:rPr>
                <w:sz w:val="20"/>
              </w:rPr>
            </w:pPr>
            <w:r w:rsidRPr="009959E7">
              <w:rPr>
                <w:sz w:val="20"/>
              </w:rPr>
              <w:t>6.738489</w:t>
            </w:r>
          </w:p>
        </w:tc>
        <w:tc>
          <w:tcPr>
            <w:tcW w:w="1052" w:type="dxa"/>
            <w:tcBorders>
              <w:bottom w:val="single" w:sz="4" w:space="0" w:color="auto"/>
            </w:tcBorders>
          </w:tcPr>
          <w:p w14:paraId="375A881E" w14:textId="77777777" w:rsidR="00726C45" w:rsidRPr="00C560DD" w:rsidRDefault="00726C45" w:rsidP="00A37677">
            <w:pPr>
              <w:tabs>
                <w:tab w:val="left" w:pos="3264"/>
              </w:tabs>
              <w:rPr>
                <w:sz w:val="20"/>
              </w:rPr>
            </w:pPr>
            <w:r w:rsidRPr="009959E7">
              <w:rPr>
                <w:sz w:val="20"/>
              </w:rPr>
              <w:t>.0446762</w:t>
            </w:r>
          </w:p>
        </w:tc>
        <w:tc>
          <w:tcPr>
            <w:tcW w:w="2126" w:type="dxa"/>
            <w:tcBorders>
              <w:bottom w:val="single" w:sz="4" w:space="0" w:color="auto"/>
            </w:tcBorders>
          </w:tcPr>
          <w:p w14:paraId="2724C7C8" w14:textId="77777777" w:rsidR="00726C45" w:rsidRPr="00C560DD" w:rsidRDefault="00726C45" w:rsidP="00A37677">
            <w:pPr>
              <w:tabs>
                <w:tab w:val="left" w:pos="3264"/>
              </w:tabs>
              <w:rPr>
                <w:sz w:val="20"/>
              </w:rPr>
            </w:pPr>
            <w:r w:rsidRPr="009959E7">
              <w:rPr>
                <w:sz w:val="20"/>
              </w:rPr>
              <w:t>6.651492    6.826624</w:t>
            </w:r>
          </w:p>
        </w:tc>
      </w:tr>
    </w:tbl>
    <w:p w14:paraId="2FD94BFE" w14:textId="77777777" w:rsidR="00726C45" w:rsidRDefault="00726C45" w:rsidP="00726C45">
      <w:pPr>
        <w:tabs>
          <w:tab w:val="left" w:pos="3264"/>
        </w:tabs>
        <w:ind w:firstLine="720"/>
        <w:rPr>
          <w:sz w:val="18"/>
        </w:rPr>
      </w:pPr>
      <w:r w:rsidRPr="00C560DD">
        <w:rPr>
          <w:sz w:val="18"/>
        </w:rPr>
        <w:t xml:space="preserve">LR test vs. linear regression: chibar2(01) =  </w:t>
      </w:r>
      <w:r w:rsidRPr="009959E7">
        <w:rPr>
          <w:sz w:val="18"/>
        </w:rPr>
        <w:t>13341.92</w:t>
      </w:r>
      <w:r>
        <w:rPr>
          <w:sz w:val="18"/>
        </w:rPr>
        <w:t xml:space="preserve"> </w:t>
      </w:r>
      <w:r w:rsidRPr="00C560DD">
        <w:rPr>
          <w:sz w:val="18"/>
        </w:rPr>
        <w:t>Prob &gt;= chibar2 = 0.0000</w:t>
      </w:r>
    </w:p>
    <w:p w14:paraId="3E451A5A" w14:textId="77777777" w:rsidR="00726C45" w:rsidRPr="00C560DD" w:rsidRDefault="00726C45" w:rsidP="00726C45">
      <w:pPr>
        <w:tabs>
          <w:tab w:val="left" w:pos="3264"/>
        </w:tabs>
        <w:ind w:firstLine="7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68"/>
        <w:gridCol w:w="2168"/>
        <w:gridCol w:w="2168"/>
      </w:tblGrid>
      <w:tr w:rsidR="00726C45" w:rsidRPr="00C560DD" w14:paraId="6598D448" w14:textId="77777777" w:rsidTr="00A37677">
        <w:tc>
          <w:tcPr>
            <w:tcW w:w="2254" w:type="dxa"/>
            <w:tcBorders>
              <w:top w:val="single" w:sz="4" w:space="0" w:color="auto"/>
            </w:tcBorders>
          </w:tcPr>
          <w:p w14:paraId="7C10C8AE" w14:textId="77777777" w:rsidR="00726C45" w:rsidRPr="00C560DD" w:rsidRDefault="00726C45" w:rsidP="00A37677">
            <w:pPr>
              <w:tabs>
                <w:tab w:val="left" w:pos="3264"/>
              </w:tabs>
              <w:rPr>
                <w:b/>
                <w:sz w:val="20"/>
              </w:rPr>
            </w:pPr>
            <w:r w:rsidRPr="00C560DD">
              <w:rPr>
                <w:b/>
                <w:sz w:val="20"/>
              </w:rPr>
              <w:t>Level</w:t>
            </w:r>
          </w:p>
        </w:tc>
        <w:tc>
          <w:tcPr>
            <w:tcW w:w="2254" w:type="dxa"/>
            <w:tcBorders>
              <w:top w:val="single" w:sz="4" w:space="0" w:color="auto"/>
            </w:tcBorders>
          </w:tcPr>
          <w:p w14:paraId="2AEFC12F" w14:textId="77777777" w:rsidR="00726C45" w:rsidRPr="00C560DD" w:rsidRDefault="00726C45" w:rsidP="00A37677">
            <w:pPr>
              <w:tabs>
                <w:tab w:val="left" w:pos="3264"/>
              </w:tabs>
              <w:rPr>
                <w:b/>
                <w:sz w:val="20"/>
              </w:rPr>
            </w:pPr>
            <w:r w:rsidRPr="00C560DD">
              <w:rPr>
                <w:b/>
                <w:sz w:val="20"/>
              </w:rPr>
              <w:t>ICC</w:t>
            </w:r>
          </w:p>
        </w:tc>
        <w:tc>
          <w:tcPr>
            <w:tcW w:w="2254" w:type="dxa"/>
            <w:tcBorders>
              <w:top w:val="single" w:sz="4" w:space="0" w:color="auto"/>
            </w:tcBorders>
          </w:tcPr>
          <w:p w14:paraId="4AD2F939" w14:textId="77777777" w:rsidR="00726C45" w:rsidRPr="00C560DD" w:rsidRDefault="00726C45" w:rsidP="00A37677">
            <w:pPr>
              <w:tabs>
                <w:tab w:val="left" w:pos="3264"/>
              </w:tabs>
              <w:rPr>
                <w:b/>
                <w:sz w:val="20"/>
              </w:rPr>
            </w:pPr>
            <w:r w:rsidRPr="00C560DD">
              <w:rPr>
                <w:b/>
                <w:sz w:val="20"/>
              </w:rPr>
              <w:t>Std. Error</w:t>
            </w:r>
          </w:p>
        </w:tc>
        <w:tc>
          <w:tcPr>
            <w:tcW w:w="2254" w:type="dxa"/>
            <w:tcBorders>
              <w:top w:val="single" w:sz="4" w:space="0" w:color="auto"/>
            </w:tcBorders>
          </w:tcPr>
          <w:p w14:paraId="1AAFCEAF" w14:textId="77777777" w:rsidR="00726C45" w:rsidRPr="00C560DD" w:rsidRDefault="00726C45" w:rsidP="00A37677">
            <w:pPr>
              <w:tabs>
                <w:tab w:val="left" w:pos="3264"/>
              </w:tabs>
              <w:rPr>
                <w:b/>
                <w:sz w:val="20"/>
              </w:rPr>
            </w:pPr>
            <w:r w:rsidRPr="00C560DD">
              <w:rPr>
                <w:b/>
                <w:sz w:val="20"/>
              </w:rPr>
              <w:t>95% Conf. Interval</w:t>
            </w:r>
          </w:p>
        </w:tc>
      </w:tr>
      <w:tr w:rsidR="00726C45" w:rsidRPr="00C560DD" w14:paraId="06BC3087" w14:textId="77777777" w:rsidTr="00A37677">
        <w:tc>
          <w:tcPr>
            <w:tcW w:w="2254" w:type="dxa"/>
            <w:tcBorders>
              <w:bottom w:val="single" w:sz="4" w:space="0" w:color="auto"/>
            </w:tcBorders>
          </w:tcPr>
          <w:p w14:paraId="3314BDA7" w14:textId="77777777" w:rsidR="00726C45" w:rsidRPr="00C560DD" w:rsidRDefault="00726C45" w:rsidP="00A37677">
            <w:pPr>
              <w:tabs>
                <w:tab w:val="left" w:pos="3264"/>
              </w:tabs>
              <w:rPr>
                <w:b/>
                <w:sz w:val="20"/>
              </w:rPr>
            </w:pPr>
            <w:r w:rsidRPr="00C560DD">
              <w:rPr>
                <w:b/>
                <w:sz w:val="20"/>
              </w:rPr>
              <w:t>Country</w:t>
            </w:r>
          </w:p>
        </w:tc>
        <w:tc>
          <w:tcPr>
            <w:tcW w:w="2254" w:type="dxa"/>
            <w:tcBorders>
              <w:bottom w:val="single" w:sz="4" w:space="0" w:color="auto"/>
            </w:tcBorders>
          </w:tcPr>
          <w:p w14:paraId="3DBC6DEF" w14:textId="77777777" w:rsidR="00726C45" w:rsidRPr="00C560DD" w:rsidRDefault="00726C45" w:rsidP="00A37677">
            <w:pPr>
              <w:tabs>
                <w:tab w:val="left" w:pos="3264"/>
              </w:tabs>
              <w:rPr>
                <w:sz w:val="20"/>
              </w:rPr>
            </w:pPr>
            <w:r w:rsidRPr="00EA3BE3">
              <w:rPr>
                <w:sz w:val="20"/>
              </w:rPr>
              <w:t>.2316435</w:t>
            </w:r>
          </w:p>
        </w:tc>
        <w:tc>
          <w:tcPr>
            <w:tcW w:w="2254" w:type="dxa"/>
            <w:tcBorders>
              <w:bottom w:val="single" w:sz="4" w:space="0" w:color="auto"/>
            </w:tcBorders>
          </w:tcPr>
          <w:p w14:paraId="00D2417F" w14:textId="77777777" w:rsidR="00726C45" w:rsidRPr="00C560DD" w:rsidRDefault="00726C45" w:rsidP="00A37677">
            <w:pPr>
              <w:tabs>
                <w:tab w:val="left" w:pos="3264"/>
              </w:tabs>
              <w:rPr>
                <w:sz w:val="20"/>
              </w:rPr>
            </w:pPr>
            <w:r w:rsidRPr="00EA3BE3">
              <w:rPr>
                <w:sz w:val="20"/>
              </w:rPr>
              <w:t>.0372523</w:t>
            </w:r>
          </w:p>
        </w:tc>
        <w:tc>
          <w:tcPr>
            <w:tcW w:w="2254" w:type="dxa"/>
            <w:tcBorders>
              <w:bottom w:val="single" w:sz="4" w:space="0" w:color="auto"/>
            </w:tcBorders>
          </w:tcPr>
          <w:p w14:paraId="1D27462F" w14:textId="77777777" w:rsidR="00726C45" w:rsidRPr="00C560DD" w:rsidRDefault="00726C45" w:rsidP="00A37677">
            <w:pPr>
              <w:tabs>
                <w:tab w:val="left" w:pos="3264"/>
              </w:tabs>
              <w:rPr>
                <w:sz w:val="20"/>
              </w:rPr>
            </w:pPr>
            <w:r w:rsidRPr="00EA3BE3">
              <w:rPr>
                <w:sz w:val="20"/>
              </w:rPr>
              <w:t>.1666891    .3124194</w:t>
            </w:r>
          </w:p>
        </w:tc>
      </w:tr>
    </w:tbl>
    <w:p w14:paraId="7C9E538A" w14:textId="77777777" w:rsidR="00726C45" w:rsidRDefault="00726C45" w:rsidP="00726C45"/>
    <w:p w14:paraId="60F7C8EF" w14:textId="77777777" w:rsidR="00726C45" w:rsidRPr="009F3CC6" w:rsidRDefault="00726C45" w:rsidP="00726C45">
      <w:pPr>
        <w:rPr>
          <w:b/>
        </w:rPr>
      </w:pPr>
      <w:r>
        <w:rPr>
          <w:b/>
        </w:rPr>
        <w:t xml:space="preserve">Figure </w:t>
      </w:r>
      <w:r w:rsidRPr="009F3CC6">
        <w:rPr>
          <w:b/>
        </w:rPr>
        <w:t>A</w:t>
      </w:r>
      <w:r>
        <w:rPr>
          <w:b/>
        </w:rPr>
        <w:t>11</w:t>
      </w:r>
      <w:r w:rsidRPr="009F3CC6">
        <w:rPr>
          <w:b/>
        </w:rPr>
        <w:t>. Correlation analysis between national level variables</w:t>
      </w:r>
    </w:p>
    <w:tbl>
      <w:tblPr>
        <w:tblStyle w:val="TableGrid"/>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6"/>
        <w:gridCol w:w="1134"/>
        <w:gridCol w:w="1134"/>
        <w:gridCol w:w="3153"/>
      </w:tblGrid>
      <w:tr w:rsidR="00726C45" w14:paraId="5F9A0F6C" w14:textId="77777777" w:rsidTr="00A37677">
        <w:trPr>
          <w:cantSplit/>
          <w:trHeight w:val="2164"/>
        </w:trPr>
        <w:tc>
          <w:tcPr>
            <w:tcW w:w="2410" w:type="dxa"/>
          </w:tcPr>
          <w:p w14:paraId="1CE45B5B" w14:textId="77777777" w:rsidR="00726C45" w:rsidRDefault="00726C45" w:rsidP="00A37677"/>
        </w:tc>
        <w:tc>
          <w:tcPr>
            <w:tcW w:w="1276" w:type="dxa"/>
            <w:textDirection w:val="btLr"/>
          </w:tcPr>
          <w:p w14:paraId="7F91866D" w14:textId="77777777" w:rsidR="00726C45" w:rsidRPr="001A02D2" w:rsidRDefault="00726C45" w:rsidP="00A37677">
            <w:pPr>
              <w:ind w:left="113" w:right="113"/>
              <w:rPr>
                <w:b/>
              </w:rPr>
            </w:pPr>
            <w:r w:rsidRPr="001A02D2">
              <w:rPr>
                <w:b/>
              </w:rPr>
              <w:t>HDI</w:t>
            </w:r>
          </w:p>
        </w:tc>
        <w:tc>
          <w:tcPr>
            <w:tcW w:w="1134" w:type="dxa"/>
            <w:textDirection w:val="btLr"/>
          </w:tcPr>
          <w:p w14:paraId="0CDEF1AC" w14:textId="77777777" w:rsidR="00726C45" w:rsidRPr="001A02D2" w:rsidRDefault="00726C45" w:rsidP="00A37677">
            <w:pPr>
              <w:ind w:left="113" w:right="113"/>
              <w:rPr>
                <w:b/>
              </w:rPr>
            </w:pPr>
            <w:r w:rsidRPr="001A02D2">
              <w:rPr>
                <w:b/>
              </w:rPr>
              <w:t>Press Freedom</w:t>
            </w:r>
          </w:p>
        </w:tc>
        <w:tc>
          <w:tcPr>
            <w:tcW w:w="1134" w:type="dxa"/>
            <w:textDirection w:val="btLr"/>
          </w:tcPr>
          <w:p w14:paraId="5FEA0084" w14:textId="77777777" w:rsidR="00726C45" w:rsidRPr="001A02D2" w:rsidRDefault="00726C45" w:rsidP="00A37677">
            <w:pPr>
              <w:ind w:left="113" w:right="113"/>
              <w:rPr>
                <w:b/>
              </w:rPr>
            </w:pPr>
            <w:r w:rsidRPr="001A02D2">
              <w:rPr>
                <w:b/>
              </w:rPr>
              <w:t>Democratic History</w:t>
            </w:r>
          </w:p>
        </w:tc>
        <w:tc>
          <w:tcPr>
            <w:tcW w:w="3153" w:type="dxa"/>
            <w:textDirection w:val="btLr"/>
          </w:tcPr>
          <w:p w14:paraId="2F22A82A" w14:textId="77777777" w:rsidR="00726C45" w:rsidRPr="001A02D2" w:rsidRDefault="00726C45" w:rsidP="00A37677">
            <w:pPr>
              <w:ind w:left="113" w:right="113"/>
              <w:rPr>
                <w:b/>
              </w:rPr>
            </w:pPr>
            <w:r w:rsidRPr="001A02D2">
              <w:rPr>
                <w:b/>
              </w:rPr>
              <w:t>GINI</w:t>
            </w:r>
          </w:p>
        </w:tc>
      </w:tr>
      <w:tr w:rsidR="00726C45" w14:paraId="3C6982AC" w14:textId="77777777" w:rsidTr="00A37677">
        <w:trPr>
          <w:trHeight w:val="524"/>
        </w:trPr>
        <w:tc>
          <w:tcPr>
            <w:tcW w:w="2410" w:type="dxa"/>
          </w:tcPr>
          <w:p w14:paraId="344E9CF8" w14:textId="77777777" w:rsidR="00726C45" w:rsidRPr="001A02D2" w:rsidRDefault="00726C45" w:rsidP="00A37677">
            <w:pPr>
              <w:rPr>
                <w:b/>
              </w:rPr>
            </w:pPr>
            <w:r w:rsidRPr="001A02D2">
              <w:rPr>
                <w:b/>
              </w:rPr>
              <w:t>HDI</w:t>
            </w:r>
          </w:p>
        </w:tc>
        <w:tc>
          <w:tcPr>
            <w:tcW w:w="1276" w:type="dxa"/>
          </w:tcPr>
          <w:p w14:paraId="46E89DCD" w14:textId="77777777" w:rsidR="00726C45" w:rsidRDefault="00726C45" w:rsidP="00A37677">
            <w:r>
              <w:t>1.00</w:t>
            </w:r>
          </w:p>
        </w:tc>
        <w:tc>
          <w:tcPr>
            <w:tcW w:w="1134" w:type="dxa"/>
          </w:tcPr>
          <w:p w14:paraId="64FA94CA" w14:textId="77777777" w:rsidR="00726C45" w:rsidRDefault="00726C45" w:rsidP="00A37677"/>
        </w:tc>
        <w:tc>
          <w:tcPr>
            <w:tcW w:w="1134" w:type="dxa"/>
          </w:tcPr>
          <w:p w14:paraId="7C2B08FB" w14:textId="77777777" w:rsidR="00726C45" w:rsidRDefault="00726C45" w:rsidP="00A37677"/>
        </w:tc>
        <w:tc>
          <w:tcPr>
            <w:tcW w:w="3153" w:type="dxa"/>
          </w:tcPr>
          <w:p w14:paraId="1A049234" w14:textId="77777777" w:rsidR="00726C45" w:rsidRDefault="00726C45" w:rsidP="00A37677"/>
        </w:tc>
      </w:tr>
      <w:tr w:rsidR="00726C45" w14:paraId="079AADD7" w14:textId="77777777" w:rsidTr="00A37677">
        <w:trPr>
          <w:trHeight w:val="467"/>
        </w:trPr>
        <w:tc>
          <w:tcPr>
            <w:tcW w:w="2410" w:type="dxa"/>
          </w:tcPr>
          <w:p w14:paraId="36C6D9A6" w14:textId="77777777" w:rsidR="00726C45" w:rsidRPr="001A02D2" w:rsidRDefault="00726C45" w:rsidP="00A37677">
            <w:pPr>
              <w:rPr>
                <w:b/>
              </w:rPr>
            </w:pPr>
            <w:r w:rsidRPr="001A02D2">
              <w:rPr>
                <w:b/>
              </w:rPr>
              <w:t>Press Freedom</w:t>
            </w:r>
          </w:p>
        </w:tc>
        <w:tc>
          <w:tcPr>
            <w:tcW w:w="1276" w:type="dxa"/>
          </w:tcPr>
          <w:p w14:paraId="059894FE" w14:textId="77777777" w:rsidR="00726C45" w:rsidRDefault="00726C45" w:rsidP="00A37677">
            <w:r>
              <w:t>0.40</w:t>
            </w:r>
          </w:p>
        </w:tc>
        <w:tc>
          <w:tcPr>
            <w:tcW w:w="1134" w:type="dxa"/>
          </w:tcPr>
          <w:p w14:paraId="49988607" w14:textId="77777777" w:rsidR="00726C45" w:rsidRDefault="00726C45" w:rsidP="00A37677">
            <w:r>
              <w:t>1.00</w:t>
            </w:r>
          </w:p>
        </w:tc>
        <w:tc>
          <w:tcPr>
            <w:tcW w:w="1134" w:type="dxa"/>
          </w:tcPr>
          <w:p w14:paraId="7B5A8565" w14:textId="77777777" w:rsidR="00726C45" w:rsidRDefault="00726C45" w:rsidP="00A37677"/>
        </w:tc>
        <w:tc>
          <w:tcPr>
            <w:tcW w:w="3153" w:type="dxa"/>
          </w:tcPr>
          <w:p w14:paraId="5ABC5F23" w14:textId="77777777" w:rsidR="00726C45" w:rsidRDefault="00726C45" w:rsidP="00A37677"/>
        </w:tc>
      </w:tr>
      <w:tr w:rsidR="00726C45" w14:paraId="50DCBECD" w14:textId="77777777" w:rsidTr="00A37677">
        <w:trPr>
          <w:trHeight w:val="599"/>
        </w:trPr>
        <w:tc>
          <w:tcPr>
            <w:tcW w:w="2410" w:type="dxa"/>
          </w:tcPr>
          <w:p w14:paraId="540BC8B4" w14:textId="77777777" w:rsidR="00726C45" w:rsidRPr="001A02D2" w:rsidRDefault="00726C45" w:rsidP="00A37677">
            <w:pPr>
              <w:rPr>
                <w:b/>
              </w:rPr>
            </w:pPr>
            <w:r w:rsidRPr="001A02D2">
              <w:rPr>
                <w:b/>
              </w:rPr>
              <w:t>Democratic History</w:t>
            </w:r>
          </w:p>
        </w:tc>
        <w:tc>
          <w:tcPr>
            <w:tcW w:w="1276" w:type="dxa"/>
          </w:tcPr>
          <w:p w14:paraId="631F72B0" w14:textId="77777777" w:rsidR="00726C45" w:rsidRDefault="00726C45" w:rsidP="00A37677">
            <w:r>
              <w:t>0.68</w:t>
            </w:r>
          </w:p>
        </w:tc>
        <w:tc>
          <w:tcPr>
            <w:tcW w:w="1134" w:type="dxa"/>
          </w:tcPr>
          <w:p w14:paraId="487FA6D9" w14:textId="77777777" w:rsidR="00726C45" w:rsidRDefault="00726C45" w:rsidP="00A37677">
            <w:r>
              <w:t>0.65</w:t>
            </w:r>
          </w:p>
        </w:tc>
        <w:tc>
          <w:tcPr>
            <w:tcW w:w="1134" w:type="dxa"/>
          </w:tcPr>
          <w:p w14:paraId="6430B5A9" w14:textId="77777777" w:rsidR="00726C45" w:rsidRDefault="00726C45" w:rsidP="00A37677">
            <w:r>
              <w:t>1.00</w:t>
            </w:r>
          </w:p>
        </w:tc>
        <w:tc>
          <w:tcPr>
            <w:tcW w:w="3153" w:type="dxa"/>
          </w:tcPr>
          <w:p w14:paraId="3BB604A3" w14:textId="77777777" w:rsidR="00726C45" w:rsidRDefault="00726C45" w:rsidP="00A37677"/>
        </w:tc>
      </w:tr>
      <w:tr w:rsidR="00726C45" w14:paraId="49B03456" w14:textId="77777777" w:rsidTr="00A37677">
        <w:trPr>
          <w:trHeight w:val="62"/>
        </w:trPr>
        <w:tc>
          <w:tcPr>
            <w:tcW w:w="2410" w:type="dxa"/>
          </w:tcPr>
          <w:p w14:paraId="3F90934B" w14:textId="77777777" w:rsidR="00726C45" w:rsidRPr="001A02D2" w:rsidRDefault="00726C45" w:rsidP="00A37677">
            <w:pPr>
              <w:rPr>
                <w:b/>
              </w:rPr>
            </w:pPr>
            <w:r w:rsidRPr="001A02D2">
              <w:rPr>
                <w:b/>
              </w:rPr>
              <w:t>GINI</w:t>
            </w:r>
          </w:p>
        </w:tc>
        <w:tc>
          <w:tcPr>
            <w:tcW w:w="1276" w:type="dxa"/>
          </w:tcPr>
          <w:p w14:paraId="286F6F67" w14:textId="77777777" w:rsidR="00726C45" w:rsidRDefault="00726C45" w:rsidP="00A37677">
            <w:r>
              <w:t>-0.36</w:t>
            </w:r>
          </w:p>
        </w:tc>
        <w:tc>
          <w:tcPr>
            <w:tcW w:w="1134" w:type="dxa"/>
          </w:tcPr>
          <w:p w14:paraId="56117D03" w14:textId="77777777" w:rsidR="00726C45" w:rsidRDefault="00726C45" w:rsidP="00A37677">
            <w:r>
              <w:t>-0.08</w:t>
            </w:r>
          </w:p>
        </w:tc>
        <w:tc>
          <w:tcPr>
            <w:tcW w:w="1134" w:type="dxa"/>
          </w:tcPr>
          <w:p w14:paraId="77F5B793" w14:textId="77777777" w:rsidR="00726C45" w:rsidRDefault="00726C45" w:rsidP="00A37677">
            <w:r>
              <w:t>-0.26</w:t>
            </w:r>
          </w:p>
        </w:tc>
        <w:tc>
          <w:tcPr>
            <w:tcW w:w="3153" w:type="dxa"/>
          </w:tcPr>
          <w:p w14:paraId="28907A4A" w14:textId="77777777" w:rsidR="00726C45" w:rsidRDefault="00726C45" w:rsidP="00A37677">
            <w:r>
              <w:t>1.00</w:t>
            </w:r>
          </w:p>
        </w:tc>
      </w:tr>
    </w:tbl>
    <w:p w14:paraId="0C957F3E" w14:textId="388E9416" w:rsidR="00726C45" w:rsidRDefault="00726C45" w:rsidP="00726C45">
      <w:pPr>
        <w:pStyle w:val="Heading2"/>
      </w:pPr>
      <w:r>
        <w:t>Section B</w:t>
      </w:r>
      <w:r w:rsidRPr="006F0825">
        <w:t xml:space="preserve"> </w:t>
      </w:r>
    </w:p>
    <w:p w14:paraId="5E3F36F4" w14:textId="77777777" w:rsidR="00726C45" w:rsidRDefault="00726C45" w:rsidP="00726C45">
      <w:pPr>
        <w:rPr>
          <w:b/>
        </w:rPr>
      </w:pPr>
      <w:r>
        <w:rPr>
          <w:b/>
        </w:rPr>
        <w:t>This analysis is discussed in in Chapter 4 (Section 4:2 – Missing Data</w:t>
      </w:r>
      <w:r w:rsidRPr="006F0825">
        <w:rPr>
          <w:b/>
        </w:rPr>
        <w:t>)</w:t>
      </w:r>
      <w:r>
        <w:rPr>
          <w:b/>
        </w:rPr>
        <w:t xml:space="preserve"> </w:t>
      </w:r>
    </w:p>
    <w:p w14:paraId="3A2C08C8" w14:textId="77777777" w:rsidR="00726C45" w:rsidRPr="00DF757B" w:rsidRDefault="00726C45" w:rsidP="00726C45">
      <w:pPr>
        <w:rPr>
          <w:b/>
          <w:i/>
        </w:rPr>
      </w:pPr>
      <w:r w:rsidRPr="00DF757B">
        <w:rPr>
          <w:b/>
          <w:i/>
        </w:rPr>
        <w:t>Figure B1: Percentage of respondents not answering each question, and overall sample used in the final PCA</w:t>
      </w:r>
    </w:p>
    <w:tbl>
      <w:tblPr>
        <w:tblStyle w:val="TableGrid"/>
        <w:tblW w:w="10347" w:type="dxa"/>
        <w:tblLayout w:type="fixed"/>
        <w:tblLook w:val="04A0" w:firstRow="1" w:lastRow="0" w:firstColumn="1" w:lastColumn="0" w:noHBand="0" w:noVBand="1"/>
      </w:tblPr>
      <w:tblGrid>
        <w:gridCol w:w="1418"/>
        <w:gridCol w:w="709"/>
        <w:gridCol w:w="708"/>
        <w:gridCol w:w="993"/>
        <w:gridCol w:w="567"/>
        <w:gridCol w:w="708"/>
        <w:gridCol w:w="993"/>
        <w:gridCol w:w="992"/>
        <w:gridCol w:w="850"/>
        <w:gridCol w:w="567"/>
        <w:gridCol w:w="709"/>
        <w:gridCol w:w="1133"/>
      </w:tblGrid>
      <w:tr w:rsidR="00726C45" w:rsidRPr="00BD6DBC" w14:paraId="45141597" w14:textId="77777777" w:rsidTr="00A37677">
        <w:trPr>
          <w:trHeight w:val="284"/>
        </w:trPr>
        <w:tc>
          <w:tcPr>
            <w:tcW w:w="1418" w:type="dxa"/>
            <w:tcBorders>
              <w:top w:val="single" w:sz="4" w:space="0" w:color="auto"/>
              <w:left w:val="single" w:sz="4" w:space="0" w:color="auto"/>
              <w:bottom w:val="single" w:sz="4" w:space="0" w:color="auto"/>
              <w:right w:val="single" w:sz="4" w:space="0" w:color="auto"/>
            </w:tcBorders>
            <w:vAlign w:val="bottom"/>
          </w:tcPr>
          <w:p w14:paraId="4659A7D7" w14:textId="77777777" w:rsidR="00726C45" w:rsidRPr="00BD6DBC" w:rsidRDefault="00726C45" w:rsidP="00A37677">
            <w:pPr>
              <w:spacing w:before="0" w:line="240" w:lineRule="auto"/>
              <w:rPr>
                <w:rFonts w:eastAsia="Times New Roman" w:cs="Segoe UI"/>
                <w:b/>
                <w:bCs/>
                <w:sz w:val="16"/>
                <w:szCs w:val="16"/>
              </w:rPr>
            </w:pPr>
          </w:p>
        </w:tc>
        <w:tc>
          <w:tcPr>
            <w:tcW w:w="7796" w:type="dxa"/>
            <w:gridSpan w:val="10"/>
            <w:tcBorders>
              <w:top w:val="single" w:sz="4" w:space="0" w:color="auto"/>
              <w:left w:val="single" w:sz="4" w:space="0" w:color="auto"/>
              <w:bottom w:val="single" w:sz="4" w:space="0" w:color="auto"/>
              <w:right w:val="single" w:sz="4" w:space="0" w:color="auto"/>
            </w:tcBorders>
            <w:vAlign w:val="bottom"/>
          </w:tcPr>
          <w:p w14:paraId="7888AC02" w14:textId="77777777" w:rsidR="00726C45" w:rsidRDefault="00726C45" w:rsidP="00A37677">
            <w:pPr>
              <w:spacing w:before="0" w:line="240" w:lineRule="auto"/>
              <w:jc w:val="center"/>
              <w:rPr>
                <w:rFonts w:cs="Segoe UI"/>
                <w:b/>
                <w:bCs/>
                <w:sz w:val="16"/>
                <w:szCs w:val="16"/>
              </w:rPr>
            </w:pPr>
            <w:r>
              <w:rPr>
                <w:rFonts w:cs="Segoe UI"/>
                <w:b/>
                <w:bCs/>
                <w:sz w:val="16"/>
                <w:szCs w:val="16"/>
              </w:rPr>
              <w:t>% of respondents with a missing answer</w:t>
            </w:r>
          </w:p>
        </w:tc>
        <w:tc>
          <w:tcPr>
            <w:tcW w:w="1133" w:type="dxa"/>
            <w:vMerge w:val="restart"/>
            <w:tcBorders>
              <w:top w:val="single" w:sz="4" w:space="0" w:color="auto"/>
              <w:left w:val="single" w:sz="4" w:space="0" w:color="auto"/>
              <w:right w:val="single" w:sz="4" w:space="0" w:color="auto"/>
            </w:tcBorders>
            <w:vAlign w:val="bottom"/>
          </w:tcPr>
          <w:p w14:paraId="2E3BBED1" w14:textId="77777777" w:rsidR="00726C45" w:rsidRDefault="00726C45" w:rsidP="00A37677">
            <w:pPr>
              <w:spacing w:before="0" w:line="240" w:lineRule="auto"/>
              <w:rPr>
                <w:rFonts w:cs="Segoe UI"/>
                <w:b/>
                <w:bCs/>
                <w:sz w:val="16"/>
                <w:szCs w:val="16"/>
              </w:rPr>
            </w:pPr>
            <w:r>
              <w:rPr>
                <w:rFonts w:cs="Segoe UI"/>
                <w:b/>
                <w:bCs/>
                <w:sz w:val="16"/>
                <w:szCs w:val="16"/>
              </w:rPr>
              <w:t>Overall % sample after PCA</w:t>
            </w:r>
          </w:p>
        </w:tc>
      </w:tr>
      <w:tr w:rsidR="00726C45" w:rsidRPr="00BD6DBC" w14:paraId="21087A7A" w14:textId="77777777" w:rsidTr="00A37677">
        <w:trPr>
          <w:trHeight w:val="284"/>
        </w:trPr>
        <w:tc>
          <w:tcPr>
            <w:tcW w:w="1418" w:type="dxa"/>
            <w:tcBorders>
              <w:top w:val="nil"/>
              <w:left w:val="single" w:sz="4" w:space="0" w:color="auto"/>
              <w:bottom w:val="single" w:sz="4" w:space="0" w:color="auto"/>
              <w:right w:val="single" w:sz="4" w:space="0" w:color="auto"/>
            </w:tcBorders>
            <w:vAlign w:val="bottom"/>
          </w:tcPr>
          <w:p w14:paraId="2E8D2E81" w14:textId="77777777" w:rsidR="00726C45" w:rsidRPr="00BD6DBC" w:rsidRDefault="00726C45" w:rsidP="00A37677">
            <w:pPr>
              <w:spacing w:before="0" w:line="240" w:lineRule="auto"/>
              <w:rPr>
                <w:rFonts w:eastAsia="Times New Roman" w:cs="Segoe UI"/>
                <w:b/>
                <w:bCs/>
                <w:sz w:val="16"/>
                <w:szCs w:val="16"/>
              </w:rPr>
            </w:pPr>
            <w:r w:rsidRPr="00BD6DBC">
              <w:rPr>
                <w:rFonts w:eastAsia="Times New Roman" w:cs="Segoe UI"/>
                <w:b/>
                <w:bCs/>
                <w:sz w:val="16"/>
                <w:szCs w:val="16"/>
              </w:rPr>
              <w:t>Country</w:t>
            </w:r>
          </w:p>
        </w:tc>
        <w:tc>
          <w:tcPr>
            <w:tcW w:w="709" w:type="dxa"/>
            <w:tcBorders>
              <w:top w:val="nil"/>
              <w:left w:val="single" w:sz="4" w:space="0" w:color="auto"/>
              <w:bottom w:val="single" w:sz="4" w:space="0" w:color="auto"/>
              <w:right w:val="single" w:sz="4" w:space="0" w:color="auto"/>
            </w:tcBorders>
            <w:vAlign w:val="bottom"/>
          </w:tcPr>
          <w:p w14:paraId="793DCCDF" w14:textId="77777777" w:rsidR="00726C45" w:rsidRPr="00BD6DBC" w:rsidRDefault="00726C45" w:rsidP="00A37677">
            <w:pPr>
              <w:spacing w:before="0" w:line="240" w:lineRule="auto"/>
              <w:rPr>
                <w:rFonts w:cs="Segoe UI"/>
                <w:b/>
                <w:bCs/>
                <w:sz w:val="16"/>
                <w:szCs w:val="16"/>
              </w:rPr>
            </w:pPr>
            <w:r>
              <w:rPr>
                <w:rFonts w:cs="Segoe UI"/>
                <w:b/>
                <w:bCs/>
                <w:sz w:val="16"/>
                <w:szCs w:val="16"/>
              </w:rPr>
              <w:t>Tax</w:t>
            </w:r>
          </w:p>
        </w:tc>
        <w:tc>
          <w:tcPr>
            <w:tcW w:w="708" w:type="dxa"/>
            <w:tcBorders>
              <w:top w:val="nil"/>
              <w:left w:val="single" w:sz="4" w:space="0" w:color="auto"/>
              <w:bottom w:val="single" w:sz="4" w:space="0" w:color="auto"/>
              <w:right w:val="single" w:sz="4" w:space="0" w:color="auto"/>
            </w:tcBorders>
            <w:vAlign w:val="bottom"/>
          </w:tcPr>
          <w:p w14:paraId="52E98830" w14:textId="77777777" w:rsidR="00726C45" w:rsidRPr="00BD6DBC" w:rsidRDefault="00726C45" w:rsidP="00A37677">
            <w:pPr>
              <w:spacing w:before="0" w:line="240" w:lineRule="auto"/>
              <w:rPr>
                <w:rFonts w:cs="Segoe UI"/>
                <w:b/>
                <w:bCs/>
                <w:sz w:val="16"/>
                <w:szCs w:val="16"/>
              </w:rPr>
            </w:pPr>
            <w:r>
              <w:rPr>
                <w:rFonts w:cs="Segoe UI"/>
                <w:b/>
                <w:bCs/>
                <w:sz w:val="16"/>
                <w:szCs w:val="16"/>
              </w:rPr>
              <w:t>Relig.</w:t>
            </w:r>
          </w:p>
        </w:tc>
        <w:tc>
          <w:tcPr>
            <w:tcW w:w="993" w:type="dxa"/>
            <w:tcBorders>
              <w:top w:val="nil"/>
              <w:left w:val="single" w:sz="4" w:space="0" w:color="auto"/>
              <w:bottom w:val="single" w:sz="4" w:space="0" w:color="auto"/>
              <w:right w:val="single" w:sz="4" w:space="0" w:color="auto"/>
            </w:tcBorders>
            <w:vAlign w:val="bottom"/>
          </w:tcPr>
          <w:p w14:paraId="641A78F8" w14:textId="77777777" w:rsidR="00726C45" w:rsidRPr="00BD6DBC" w:rsidRDefault="00726C45" w:rsidP="00A37677">
            <w:pPr>
              <w:spacing w:before="0" w:line="240" w:lineRule="auto"/>
              <w:rPr>
                <w:rFonts w:cs="Segoe UI"/>
                <w:b/>
                <w:bCs/>
                <w:sz w:val="16"/>
                <w:szCs w:val="16"/>
              </w:rPr>
            </w:pPr>
            <w:r>
              <w:rPr>
                <w:rFonts w:cs="Segoe UI"/>
                <w:b/>
                <w:bCs/>
                <w:sz w:val="16"/>
                <w:szCs w:val="16"/>
              </w:rPr>
              <w:t>Elections</w:t>
            </w:r>
          </w:p>
        </w:tc>
        <w:tc>
          <w:tcPr>
            <w:tcW w:w="567" w:type="dxa"/>
            <w:tcBorders>
              <w:top w:val="nil"/>
              <w:left w:val="single" w:sz="4" w:space="0" w:color="auto"/>
              <w:bottom w:val="single" w:sz="4" w:space="0" w:color="auto"/>
              <w:right w:val="single" w:sz="4" w:space="0" w:color="auto"/>
            </w:tcBorders>
            <w:vAlign w:val="bottom"/>
          </w:tcPr>
          <w:p w14:paraId="669FB2A2" w14:textId="77777777" w:rsidR="00726C45" w:rsidRPr="00BD6DBC" w:rsidRDefault="00726C45" w:rsidP="00A37677">
            <w:pPr>
              <w:spacing w:before="0" w:line="240" w:lineRule="auto"/>
              <w:rPr>
                <w:rFonts w:cs="Segoe UI"/>
                <w:b/>
                <w:bCs/>
                <w:sz w:val="16"/>
                <w:szCs w:val="16"/>
              </w:rPr>
            </w:pPr>
            <w:r>
              <w:rPr>
                <w:rFonts w:cs="Segoe UI"/>
                <w:b/>
                <w:bCs/>
                <w:sz w:val="16"/>
                <w:szCs w:val="16"/>
              </w:rPr>
              <w:t>Aid</w:t>
            </w:r>
          </w:p>
        </w:tc>
        <w:tc>
          <w:tcPr>
            <w:tcW w:w="708" w:type="dxa"/>
            <w:tcBorders>
              <w:top w:val="nil"/>
              <w:left w:val="single" w:sz="4" w:space="0" w:color="auto"/>
              <w:bottom w:val="single" w:sz="4" w:space="0" w:color="auto"/>
              <w:right w:val="single" w:sz="4" w:space="0" w:color="auto"/>
            </w:tcBorders>
            <w:vAlign w:val="bottom"/>
          </w:tcPr>
          <w:p w14:paraId="1794EA50" w14:textId="77777777" w:rsidR="00726C45" w:rsidRPr="00BD6DBC" w:rsidRDefault="00726C45" w:rsidP="00A37677">
            <w:pPr>
              <w:spacing w:before="0" w:line="240" w:lineRule="auto"/>
              <w:rPr>
                <w:rFonts w:cs="Segoe UI"/>
                <w:b/>
                <w:bCs/>
                <w:sz w:val="16"/>
                <w:szCs w:val="16"/>
              </w:rPr>
            </w:pPr>
            <w:r>
              <w:rPr>
                <w:rFonts w:cs="Segoe UI"/>
                <w:b/>
                <w:bCs/>
                <w:sz w:val="16"/>
                <w:szCs w:val="16"/>
              </w:rPr>
              <w:t>Army</w:t>
            </w:r>
          </w:p>
        </w:tc>
        <w:tc>
          <w:tcPr>
            <w:tcW w:w="993" w:type="dxa"/>
            <w:tcBorders>
              <w:top w:val="nil"/>
              <w:left w:val="single" w:sz="4" w:space="0" w:color="auto"/>
              <w:bottom w:val="single" w:sz="4" w:space="0" w:color="auto"/>
              <w:right w:val="single" w:sz="4" w:space="0" w:color="auto"/>
            </w:tcBorders>
            <w:vAlign w:val="bottom"/>
          </w:tcPr>
          <w:p w14:paraId="46EDC366" w14:textId="77777777" w:rsidR="00726C45" w:rsidRPr="00BD6DBC" w:rsidRDefault="00726C45" w:rsidP="00A37677">
            <w:pPr>
              <w:spacing w:before="0" w:line="240" w:lineRule="auto"/>
              <w:rPr>
                <w:rFonts w:cs="Segoe UI"/>
                <w:b/>
                <w:bCs/>
                <w:sz w:val="16"/>
                <w:szCs w:val="16"/>
              </w:rPr>
            </w:pPr>
            <w:r>
              <w:rPr>
                <w:rFonts w:cs="Segoe UI"/>
                <w:b/>
                <w:bCs/>
                <w:sz w:val="16"/>
                <w:szCs w:val="16"/>
              </w:rPr>
              <w:t>Civ.Rights</w:t>
            </w:r>
          </w:p>
        </w:tc>
        <w:tc>
          <w:tcPr>
            <w:tcW w:w="992" w:type="dxa"/>
            <w:tcBorders>
              <w:top w:val="nil"/>
              <w:left w:val="single" w:sz="4" w:space="0" w:color="auto"/>
              <w:bottom w:val="single" w:sz="4" w:space="0" w:color="auto"/>
              <w:right w:val="single" w:sz="4" w:space="0" w:color="auto"/>
            </w:tcBorders>
            <w:vAlign w:val="bottom"/>
          </w:tcPr>
          <w:p w14:paraId="2A6DECB5" w14:textId="77777777" w:rsidR="00726C45" w:rsidRPr="002738FA" w:rsidRDefault="00726C45" w:rsidP="00A37677">
            <w:pPr>
              <w:spacing w:before="0" w:line="240" w:lineRule="auto"/>
              <w:rPr>
                <w:rFonts w:cs="Segoe UI"/>
                <w:b/>
                <w:bCs/>
                <w:sz w:val="16"/>
                <w:szCs w:val="16"/>
                <w:highlight w:val="yellow"/>
              </w:rPr>
            </w:pPr>
            <w:r>
              <w:rPr>
                <w:rFonts w:cs="Segoe UI"/>
                <w:b/>
                <w:bCs/>
                <w:sz w:val="16"/>
                <w:szCs w:val="16"/>
              </w:rPr>
              <w:t>Economy</w:t>
            </w:r>
          </w:p>
        </w:tc>
        <w:tc>
          <w:tcPr>
            <w:tcW w:w="850" w:type="dxa"/>
            <w:tcBorders>
              <w:top w:val="nil"/>
              <w:left w:val="single" w:sz="4" w:space="0" w:color="auto"/>
              <w:bottom w:val="single" w:sz="4" w:space="0" w:color="auto"/>
              <w:right w:val="single" w:sz="4" w:space="0" w:color="auto"/>
            </w:tcBorders>
            <w:vAlign w:val="bottom"/>
          </w:tcPr>
          <w:p w14:paraId="561EAEA0" w14:textId="77777777" w:rsidR="00726C45" w:rsidRDefault="00726C45" w:rsidP="00A37677">
            <w:pPr>
              <w:spacing w:before="0" w:line="240" w:lineRule="auto"/>
              <w:rPr>
                <w:rFonts w:cs="Segoe UI"/>
                <w:b/>
                <w:bCs/>
                <w:sz w:val="16"/>
                <w:szCs w:val="16"/>
              </w:rPr>
            </w:pPr>
            <w:r>
              <w:rPr>
                <w:rFonts w:cs="Segoe UI"/>
                <w:b/>
                <w:bCs/>
                <w:sz w:val="16"/>
                <w:szCs w:val="16"/>
              </w:rPr>
              <w:t>Criminal</w:t>
            </w:r>
          </w:p>
        </w:tc>
        <w:tc>
          <w:tcPr>
            <w:tcW w:w="567" w:type="dxa"/>
            <w:tcBorders>
              <w:top w:val="nil"/>
              <w:left w:val="single" w:sz="4" w:space="0" w:color="auto"/>
              <w:bottom w:val="single" w:sz="4" w:space="0" w:color="auto"/>
              <w:right w:val="single" w:sz="4" w:space="0" w:color="auto"/>
            </w:tcBorders>
            <w:vAlign w:val="bottom"/>
          </w:tcPr>
          <w:p w14:paraId="721E05EA" w14:textId="77777777" w:rsidR="00726C45" w:rsidRDefault="00726C45" w:rsidP="00A37677">
            <w:pPr>
              <w:spacing w:before="0" w:line="240" w:lineRule="auto"/>
              <w:rPr>
                <w:rFonts w:cs="Segoe UI"/>
                <w:b/>
                <w:bCs/>
                <w:sz w:val="16"/>
                <w:szCs w:val="16"/>
              </w:rPr>
            </w:pPr>
            <w:r>
              <w:rPr>
                <w:rFonts w:cs="Segoe UI"/>
                <w:b/>
                <w:bCs/>
                <w:sz w:val="16"/>
                <w:szCs w:val="16"/>
              </w:rPr>
              <w:t>Ref</w:t>
            </w:r>
          </w:p>
        </w:tc>
        <w:tc>
          <w:tcPr>
            <w:tcW w:w="709" w:type="dxa"/>
            <w:tcBorders>
              <w:top w:val="nil"/>
              <w:left w:val="single" w:sz="4" w:space="0" w:color="auto"/>
              <w:bottom w:val="single" w:sz="4" w:space="0" w:color="auto"/>
              <w:right w:val="single" w:sz="4" w:space="0" w:color="auto"/>
            </w:tcBorders>
            <w:vAlign w:val="bottom"/>
          </w:tcPr>
          <w:p w14:paraId="04D5E164" w14:textId="77777777" w:rsidR="00726C45" w:rsidRDefault="00726C45" w:rsidP="00A37677">
            <w:pPr>
              <w:spacing w:before="0" w:line="240" w:lineRule="auto"/>
              <w:rPr>
                <w:rFonts w:cs="Segoe UI"/>
                <w:b/>
                <w:bCs/>
                <w:sz w:val="16"/>
                <w:szCs w:val="16"/>
              </w:rPr>
            </w:pPr>
            <w:r>
              <w:rPr>
                <w:rFonts w:cs="Segoe UI"/>
                <w:b/>
                <w:bCs/>
                <w:sz w:val="16"/>
                <w:szCs w:val="16"/>
              </w:rPr>
              <w:t>Equal.</w:t>
            </w:r>
          </w:p>
        </w:tc>
        <w:tc>
          <w:tcPr>
            <w:tcW w:w="1133" w:type="dxa"/>
            <w:vMerge/>
            <w:tcBorders>
              <w:left w:val="single" w:sz="4" w:space="0" w:color="auto"/>
              <w:bottom w:val="single" w:sz="4" w:space="0" w:color="auto"/>
              <w:right w:val="single" w:sz="4" w:space="0" w:color="auto"/>
            </w:tcBorders>
            <w:vAlign w:val="bottom"/>
          </w:tcPr>
          <w:p w14:paraId="1C3464B7" w14:textId="77777777" w:rsidR="00726C45" w:rsidRDefault="00726C45" w:rsidP="00A37677">
            <w:pPr>
              <w:spacing w:before="0" w:line="240" w:lineRule="auto"/>
              <w:rPr>
                <w:rFonts w:cs="Segoe UI"/>
                <w:b/>
                <w:bCs/>
                <w:sz w:val="16"/>
                <w:szCs w:val="16"/>
              </w:rPr>
            </w:pPr>
          </w:p>
        </w:tc>
      </w:tr>
      <w:tr w:rsidR="00726C45" w:rsidRPr="00BD6DBC" w14:paraId="3111417B" w14:textId="77777777" w:rsidTr="00A37677">
        <w:tc>
          <w:tcPr>
            <w:tcW w:w="1418" w:type="dxa"/>
            <w:tcBorders>
              <w:top w:val="single" w:sz="4" w:space="0" w:color="auto"/>
              <w:left w:val="single" w:sz="4" w:space="0" w:color="auto"/>
              <w:bottom w:val="nil"/>
              <w:right w:val="single" w:sz="4" w:space="0" w:color="auto"/>
            </w:tcBorders>
            <w:vAlign w:val="bottom"/>
          </w:tcPr>
          <w:p w14:paraId="5D4F646C"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Australia</w:t>
            </w:r>
          </w:p>
        </w:tc>
        <w:tc>
          <w:tcPr>
            <w:tcW w:w="709" w:type="dxa"/>
            <w:tcBorders>
              <w:top w:val="single" w:sz="4" w:space="0" w:color="auto"/>
              <w:left w:val="single" w:sz="4" w:space="0" w:color="auto"/>
              <w:bottom w:val="nil"/>
              <w:right w:val="single" w:sz="4" w:space="0" w:color="auto"/>
            </w:tcBorders>
          </w:tcPr>
          <w:p w14:paraId="49CC75B9" w14:textId="77777777" w:rsidR="00726C45" w:rsidRPr="00BD6DBC" w:rsidRDefault="00726C45" w:rsidP="00A37677">
            <w:pPr>
              <w:spacing w:before="0" w:line="240" w:lineRule="auto"/>
              <w:jc w:val="right"/>
              <w:rPr>
                <w:rFonts w:cs="Segoe UI"/>
                <w:sz w:val="16"/>
                <w:szCs w:val="16"/>
              </w:rPr>
            </w:pPr>
            <w:r>
              <w:rPr>
                <w:rFonts w:cs="Segoe UI"/>
                <w:sz w:val="16"/>
                <w:szCs w:val="16"/>
              </w:rPr>
              <w:t>2.9</w:t>
            </w:r>
          </w:p>
        </w:tc>
        <w:tc>
          <w:tcPr>
            <w:tcW w:w="708" w:type="dxa"/>
            <w:tcBorders>
              <w:top w:val="single" w:sz="4" w:space="0" w:color="auto"/>
              <w:left w:val="single" w:sz="4" w:space="0" w:color="auto"/>
              <w:bottom w:val="nil"/>
              <w:right w:val="single" w:sz="4" w:space="0" w:color="auto"/>
            </w:tcBorders>
          </w:tcPr>
          <w:p w14:paraId="43CD2907" w14:textId="77777777" w:rsidR="00726C45" w:rsidRPr="00BD6DBC" w:rsidRDefault="00726C45" w:rsidP="00A37677">
            <w:pPr>
              <w:spacing w:before="0" w:line="240" w:lineRule="auto"/>
              <w:jc w:val="right"/>
              <w:rPr>
                <w:rFonts w:cs="Segoe UI"/>
                <w:sz w:val="16"/>
                <w:szCs w:val="16"/>
              </w:rPr>
            </w:pPr>
            <w:r>
              <w:rPr>
                <w:rFonts w:cs="Segoe UI"/>
                <w:sz w:val="16"/>
                <w:szCs w:val="16"/>
              </w:rPr>
              <w:t>2.9</w:t>
            </w:r>
          </w:p>
        </w:tc>
        <w:tc>
          <w:tcPr>
            <w:tcW w:w="993" w:type="dxa"/>
            <w:tcBorders>
              <w:top w:val="single" w:sz="4" w:space="0" w:color="auto"/>
              <w:left w:val="single" w:sz="4" w:space="0" w:color="auto"/>
              <w:bottom w:val="nil"/>
              <w:right w:val="single" w:sz="4" w:space="0" w:color="auto"/>
            </w:tcBorders>
          </w:tcPr>
          <w:p w14:paraId="30ABBDD2" w14:textId="77777777" w:rsidR="00726C45" w:rsidRPr="00BD6DBC" w:rsidRDefault="00726C45" w:rsidP="00A37677">
            <w:pPr>
              <w:spacing w:before="0" w:line="240" w:lineRule="auto"/>
              <w:jc w:val="right"/>
              <w:rPr>
                <w:rFonts w:cs="Segoe UI"/>
                <w:sz w:val="16"/>
                <w:szCs w:val="16"/>
              </w:rPr>
            </w:pPr>
            <w:r>
              <w:rPr>
                <w:rFonts w:cs="Segoe UI"/>
                <w:sz w:val="16"/>
                <w:szCs w:val="16"/>
              </w:rPr>
              <w:t>2.7</w:t>
            </w:r>
          </w:p>
        </w:tc>
        <w:tc>
          <w:tcPr>
            <w:tcW w:w="567" w:type="dxa"/>
            <w:tcBorders>
              <w:top w:val="single" w:sz="4" w:space="0" w:color="auto"/>
              <w:left w:val="single" w:sz="4" w:space="0" w:color="auto"/>
              <w:bottom w:val="nil"/>
              <w:right w:val="single" w:sz="4" w:space="0" w:color="auto"/>
            </w:tcBorders>
            <w:vAlign w:val="bottom"/>
          </w:tcPr>
          <w:p w14:paraId="479DF7AE" w14:textId="77777777" w:rsidR="00726C45" w:rsidRPr="00BD6DBC" w:rsidRDefault="00726C45" w:rsidP="00A37677">
            <w:pPr>
              <w:spacing w:before="0" w:line="240" w:lineRule="auto"/>
              <w:jc w:val="right"/>
              <w:rPr>
                <w:rFonts w:cs="Segoe UI"/>
                <w:sz w:val="16"/>
                <w:szCs w:val="16"/>
              </w:rPr>
            </w:pPr>
            <w:r>
              <w:rPr>
                <w:rFonts w:cs="Segoe UI"/>
                <w:sz w:val="16"/>
                <w:szCs w:val="16"/>
              </w:rPr>
              <w:t>2.4</w:t>
            </w:r>
          </w:p>
        </w:tc>
        <w:tc>
          <w:tcPr>
            <w:tcW w:w="708" w:type="dxa"/>
            <w:tcBorders>
              <w:top w:val="single" w:sz="4" w:space="0" w:color="auto"/>
              <w:left w:val="single" w:sz="4" w:space="0" w:color="auto"/>
              <w:bottom w:val="nil"/>
              <w:right w:val="single" w:sz="4" w:space="0" w:color="auto"/>
            </w:tcBorders>
          </w:tcPr>
          <w:p w14:paraId="1233B89D" w14:textId="77777777" w:rsidR="00726C45" w:rsidRPr="00BD6DBC" w:rsidRDefault="00726C45" w:rsidP="00A37677">
            <w:pPr>
              <w:spacing w:before="0" w:line="240" w:lineRule="auto"/>
              <w:jc w:val="right"/>
              <w:rPr>
                <w:rFonts w:cs="Segoe UI"/>
                <w:sz w:val="16"/>
                <w:szCs w:val="16"/>
              </w:rPr>
            </w:pPr>
            <w:r>
              <w:rPr>
                <w:rFonts w:cs="Segoe UI"/>
                <w:sz w:val="16"/>
                <w:szCs w:val="16"/>
              </w:rPr>
              <w:t>2.7</w:t>
            </w:r>
          </w:p>
        </w:tc>
        <w:tc>
          <w:tcPr>
            <w:tcW w:w="993" w:type="dxa"/>
            <w:tcBorders>
              <w:top w:val="single" w:sz="4" w:space="0" w:color="auto"/>
              <w:left w:val="single" w:sz="4" w:space="0" w:color="auto"/>
              <w:bottom w:val="nil"/>
              <w:right w:val="single" w:sz="4" w:space="0" w:color="auto"/>
            </w:tcBorders>
          </w:tcPr>
          <w:p w14:paraId="653E0FD0" w14:textId="77777777" w:rsidR="00726C45" w:rsidRPr="00BD6DBC" w:rsidRDefault="00726C45" w:rsidP="00A37677">
            <w:pPr>
              <w:spacing w:before="0" w:line="240" w:lineRule="auto"/>
              <w:jc w:val="right"/>
              <w:rPr>
                <w:rFonts w:cs="Segoe UI"/>
                <w:sz w:val="16"/>
                <w:szCs w:val="16"/>
              </w:rPr>
            </w:pPr>
            <w:r>
              <w:rPr>
                <w:rFonts w:cs="Segoe UI"/>
                <w:sz w:val="16"/>
                <w:szCs w:val="16"/>
              </w:rPr>
              <w:t>2.9</w:t>
            </w:r>
          </w:p>
        </w:tc>
        <w:tc>
          <w:tcPr>
            <w:tcW w:w="992" w:type="dxa"/>
            <w:tcBorders>
              <w:top w:val="single" w:sz="4" w:space="0" w:color="auto"/>
              <w:left w:val="single" w:sz="4" w:space="0" w:color="auto"/>
              <w:bottom w:val="nil"/>
              <w:right w:val="single" w:sz="4" w:space="0" w:color="auto"/>
            </w:tcBorders>
          </w:tcPr>
          <w:p w14:paraId="18F181EC" w14:textId="77777777" w:rsidR="00726C45" w:rsidRPr="002738FA" w:rsidRDefault="00726C45" w:rsidP="00A37677">
            <w:pPr>
              <w:spacing w:before="0" w:line="240" w:lineRule="auto"/>
              <w:jc w:val="right"/>
              <w:rPr>
                <w:rFonts w:cs="Segoe UI"/>
                <w:sz w:val="16"/>
                <w:szCs w:val="16"/>
                <w:highlight w:val="yellow"/>
              </w:rPr>
            </w:pPr>
            <w:r w:rsidRPr="00F37A41">
              <w:rPr>
                <w:rFonts w:cs="Segoe UI"/>
                <w:sz w:val="16"/>
                <w:szCs w:val="16"/>
              </w:rPr>
              <w:t>2.7</w:t>
            </w:r>
          </w:p>
        </w:tc>
        <w:tc>
          <w:tcPr>
            <w:tcW w:w="850" w:type="dxa"/>
            <w:tcBorders>
              <w:top w:val="single" w:sz="4" w:space="0" w:color="auto"/>
              <w:left w:val="single" w:sz="4" w:space="0" w:color="auto"/>
              <w:bottom w:val="nil"/>
              <w:right w:val="single" w:sz="4" w:space="0" w:color="auto"/>
            </w:tcBorders>
          </w:tcPr>
          <w:p w14:paraId="0411E8AB" w14:textId="77777777" w:rsidR="00726C45" w:rsidRPr="00F37A41" w:rsidRDefault="00726C45" w:rsidP="00A37677">
            <w:pPr>
              <w:spacing w:before="0" w:line="240" w:lineRule="auto"/>
              <w:jc w:val="right"/>
              <w:rPr>
                <w:rFonts w:cs="Segoe UI"/>
                <w:sz w:val="16"/>
                <w:szCs w:val="16"/>
              </w:rPr>
            </w:pPr>
            <w:r>
              <w:rPr>
                <w:rFonts w:cs="Segoe UI"/>
                <w:sz w:val="16"/>
                <w:szCs w:val="16"/>
              </w:rPr>
              <w:t>2.3</w:t>
            </w:r>
          </w:p>
        </w:tc>
        <w:tc>
          <w:tcPr>
            <w:tcW w:w="567" w:type="dxa"/>
            <w:tcBorders>
              <w:top w:val="single" w:sz="4" w:space="0" w:color="auto"/>
              <w:left w:val="single" w:sz="4" w:space="0" w:color="auto"/>
              <w:bottom w:val="nil"/>
              <w:right w:val="single" w:sz="4" w:space="0" w:color="auto"/>
            </w:tcBorders>
          </w:tcPr>
          <w:p w14:paraId="3E17A8DC" w14:textId="77777777" w:rsidR="00726C45" w:rsidRPr="00F37A41" w:rsidRDefault="00726C45" w:rsidP="00A37677">
            <w:pPr>
              <w:spacing w:before="0" w:line="240" w:lineRule="auto"/>
              <w:jc w:val="right"/>
              <w:rPr>
                <w:rFonts w:cs="Segoe UI"/>
                <w:sz w:val="16"/>
                <w:szCs w:val="16"/>
              </w:rPr>
            </w:pPr>
            <w:r>
              <w:rPr>
                <w:rFonts w:cs="Segoe UI"/>
                <w:sz w:val="16"/>
                <w:szCs w:val="16"/>
              </w:rPr>
              <w:t>2.3</w:t>
            </w:r>
          </w:p>
        </w:tc>
        <w:tc>
          <w:tcPr>
            <w:tcW w:w="709" w:type="dxa"/>
            <w:tcBorders>
              <w:top w:val="single" w:sz="4" w:space="0" w:color="auto"/>
              <w:left w:val="single" w:sz="4" w:space="0" w:color="auto"/>
              <w:bottom w:val="nil"/>
              <w:right w:val="single" w:sz="4" w:space="0" w:color="auto"/>
            </w:tcBorders>
          </w:tcPr>
          <w:p w14:paraId="2CB5D75D" w14:textId="77777777" w:rsidR="00726C45" w:rsidRDefault="00726C45" w:rsidP="00A37677">
            <w:pPr>
              <w:spacing w:before="0" w:line="240" w:lineRule="auto"/>
              <w:jc w:val="right"/>
              <w:rPr>
                <w:rFonts w:cs="Segoe UI"/>
                <w:sz w:val="16"/>
                <w:szCs w:val="16"/>
              </w:rPr>
            </w:pPr>
            <w:r>
              <w:rPr>
                <w:rFonts w:cs="Segoe UI"/>
                <w:sz w:val="16"/>
                <w:szCs w:val="16"/>
              </w:rPr>
              <w:t>2.1</w:t>
            </w:r>
          </w:p>
        </w:tc>
        <w:tc>
          <w:tcPr>
            <w:tcW w:w="1133" w:type="dxa"/>
            <w:tcBorders>
              <w:top w:val="single" w:sz="4" w:space="0" w:color="auto"/>
              <w:left w:val="single" w:sz="4" w:space="0" w:color="auto"/>
              <w:bottom w:val="nil"/>
              <w:right w:val="single" w:sz="4" w:space="0" w:color="auto"/>
            </w:tcBorders>
          </w:tcPr>
          <w:p w14:paraId="5713E3A6" w14:textId="77777777" w:rsidR="00726C45" w:rsidRDefault="00726C45" w:rsidP="00A37677">
            <w:pPr>
              <w:spacing w:before="0" w:line="240" w:lineRule="auto"/>
              <w:jc w:val="right"/>
              <w:rPr>
                <w:rFonts w:cs="Segoe UI"/>
                <w:sz w:val="16"/>
                <w:szCs w:val="16"/>
              </w:rPr>
            </w:pPr>
            <w:r>
              <w:rPr>
                <w:rFonts w:cs="Segoe UI"/>
                <w:sz w:val="16"/>
                <w:szCs w:val="16"/>
              </w:rPr>
              <w:t>95.8</w:t>
            </w:r>
          </w:p>
        </w:tc>
      </w:tr>
      <w:tr w:rsidR="00726C45" w:rsidRPr="00BD6DBC" w14:paraId="683735BA" w14:textId="77777777" w:rsidTr="00A37677">
        <w:tc>
          <w:tcPr>
            <w:tcW w:w="1418" w:type="dxa"/>
            <w:tcBorders>
              <w:top w:val="nil"/>
              <w:left w:val="single" w:sz="4" w:space="0" w:color="auto"/>
              <w:bottom w:val="nil"/>
              <w:right w:val="single" w:sz="4" w:space="0" w:color="auto"/>
            </w:tcBorders>
            <w:vAlign w:val="bottom"/>
          </w:tcPr>
          <w:p w14:paraId="7E09CDEB"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 xml:space="preserve">Brazil </w:t>
            </w:r>
          </w:p>
        </w:tc>
        <w:tc>
          <w:tcPr>
            <w:tcW w:w="709" w:type="dxa"/>
            <w:tcBorders>
              <w:top w:val="nil"/>
              <w:left w:val="single" w:sz="4" w:space="0" w:color="auto"/>
              <w:bottom w:val="nil"/>
              <w:right w:val="single" w:sz="4" w:space="0" w:color="auto"/>
            </w:tcBorders>
          </w:tcPr>
          <w:p w14:paraId="592DA017" w14:textId="77777777" w:rsidR="00726C45" w:rsidRPr="00BD6DBC" w:rsidRDefault="00726C45" w:rsidP="00A37677">
            <w:pPr>
              <w:spacing w:before="0" w:line="240" w:lineRule="auto"/>
              <w:jc w:val="right"/>
              <w:rPr>
                <w:rFonts w:cs="Segoe UI"/>
                <w:sz w:val="16"/>
                <w:szCs w:val="16"/>
              </w:rPr>
            </w:pPr>
            <w:r>
              <w:rPr>
                <w:rFonts w:cs="Segoe UI"/>
                <w:sz w:val="16"/>
                <w:szCs w:val="16"/>
              </w:rPr>
              <w:t>6.5</w:t>
            </w:r>
          </w:p>
        </w:tc>
        <w:tc>
          <w:tcPr>
            <w:tcW w:w="708" w:type="dxa"/>
            <w:tcBorders>
              <w:top w:val="nil"/>
              <w:left w:val="single" w:sz="4" w:space="0" w:color="auto"/>
              <w:bottom w:val="nil"/>
              <w:right w:val="single" w:sz="4" w:space="0" w:color="auto"/>
            </w:tcBorders>
          </w:tcPr>
          <w:p w14:paraId="4663659A" w14:textId="77777777" w:rsidR="00726C45" w:rsidRPr="00BD6DBC" w:rsidRDefault="00726C45" w:rsidP="00A37677">
            <w:pPr>
              <w:spacing w:before="0" w:line="240" w:lineRule="auto"/>
              <w:jc w:val="right"/>
              <w:rPr>
                <w:rFonts w:cs="Segoe UI"/>
                <w:sz w:val="16"/>
                <w:szCs w:val="16"/>
              </w:rPr>
            </w:pPr>
            <w:r>
              <w:rPr>
                <w:rFonts w:cs="Segoe UI"/>
                <w:sz w:val="16"/>
                <w:szCs w:val="16"/>
              </w:rPr>
              <w:t>8.0</w:t>
            </w:r>
          </w:p>
        </w:tc>
        <w:tc>
          <w:tcPr>
            <w:tcW w:w="993" w:type="dxa"/>
            <w:tcBorders>
              <w:top w:val="nil"/>
              <w:left w:val="single" w:sz="4" w:space="0" w:color="auto"/>
              <w:bottom w:val="nil"/>
              <w:right w:val="single" w:sz="4" w:space="0" w:color="auto"/>
            </w:tcBorders>
          </w:tcPr>
          <w:p w14:paraId="6E3D9737" w14:textId="77777777" w:rsidR="00726C45" w:rsidRPr="00BD6DBC" w:rsidRDefault="00726C45" w:rsidP="00A37677">
            <w:pPr>
              <w:spacing w:before="0" w:line="240" w:lineRule="auto"/>
              <w:jc w:val="right"/>
              <w:rPr>
                <w:rFonts w:cs="Segoe UI"/>
                <w:sz w:val="16"/>
                <w:szCs w:val="16"/>
              </w:rPr>
            </w:pPr>
            <w:r>
              <w:rPr>
                <w:rFonts w:cs="Segoe UI"/>
                <w:sz w:val="16"/>
                <w:szCs w:val="16"/>
              </w:rPr>
              <w:t>4.6</w:t>
            </w:r>
          </w:p>
        </w:tc>
        <w:tc>
          <w:tcPr>
            <w:tcW w:w="567" w:type="dxa"/>
            <w:tcBorders>
              <w:top w:val="nil"/>
              <w:left w:val="single" w:sz="4" w:space="0" w:color="auto"/>
              <w:bottom w:val="nil"/>
              <w:right w:val="single" w:sz="4" w:space="0" w:color="auto"/>
            </w:tcBorders>
            <w:vAlign w:val="bottom"/>
          </w:tcPr>
          <w:p w14:paraId="4BDF03C1" w14:textId="77777777" w:rsidR="00726C45" w:rsidRPr="00BD6DBC" w:rsidRDefault="00726C45" w:rsidP="00A37677">
            <w:pPr>
              <w:spacing w:before="0" w:line="240" w:lineRule="auto"/>
              <w:jc w:val="right"/>
              <w:rPr>
                <w:rFonts w:cs="Segoe UI"/>
                <w:sz w:val="16"/>
                <w:szCs w:val="16"/>
              </w:rPr>
            </w:pPr>
            <w:r>
              <w:rPr>
                <w:rFonts w:cs="Segoe UI"/>
                <w:sz w:val="16"/>
                <w:szCs w:val="16"/>
              </w:rPr>
              <w:t>5.3</w:t>
            </w:r>
          </w:p>
        </w:tc>
        <w:tc>
          <w:tcPr>
            <w:tcW w:w="708" w:type="dxa"/>
            <w:tcBorders>
              <w:top w:val="nil"/>
              <w:left w:val="single" w:sz="4" w:space="0" w:color="auto"/>
              <w:bottom w:val="nil"/>
              <w:right w:val="single" w:sz="4" w:space="0" w:color="auto"/>
            </w:tcBorders>
          </w:tcPr>
          <w:p w14:paraId="459FD6CF" w14:textId="77777777" w:rsidR="00726C45" w:rsidRPr="00BD6DBC" w:rsidRDefault="00726C45" w:rsidP="00A37677">
            <w:pPr>
              <w:spacing w:before="0" w:line="240" w:lineRule="auto"/>
              <w:jc w:val="right"/>
              <w:rPr>
                <w:rFonts w:cs="Segoe UI"/>
                <w:sz w:val="16"/>
                <w:szCs w:val="16"/>
              </w:rPr>
            </w:pPr>
            <w:r>
              <w:rPr>
                <w:rFonts w:cs="Segoe UI"/>
                <w:sz w:val="16"/>
                <w:szCs w:val="16"/>
              </w:rPr>
              <w:t>7.2</w:t>
            </w:r>
          </w:p>
        </w:tc>
        <w:tc>
          <w:tcPr>
            <w:tcW w:w="993" w:type="dxa"/>
            <w:tcBorders>
              <w:top w:val="nil"/>
              <w:left w:val="single" w:sz="4" w:space="0" w:color="auto"/>
              <w:bottom w:val="nil"/>
              <w:right w:val="single" w:sz="4" w:space="0" w:color="auto"/>
            </w:tcBorders>
          </w:tcPr>
          <w:p w14:paraId="200098EB" w14:textId="77777777" w:rsidR="00726C45" w:rsidRPr="00BD6DBC" w:rsidRDefault="00726C45" w:rsidP="00A37677">
            <w:pPr>
              <w:spacing w:before="0" w:line="240" w:lineRule="auto"/>
              <w:jc w:val="right"/>
              <w:rPr>
                <w:rFonts w:cs="Segoe UI"/>
                <w:sz w:val="16"/>
                <w:szCs w:val="16"/>
              </w:rPr>
            </w:pPr>
            <w:r>
              <w:rPr>
                <w:rFonts w:cs="Segoe UI"/>
                <w:sz w:val="16"/>
                <w:szCs w:val="16"/>
              </w:rPr>
              <w:t>7.4</w:t>
            </w:r>
          </w:p>
        </w:tc>
        <w:tc>
          <w:tcPr>
            <w:tcW w:w="992" w:type="dxa"/>
            <w:tcBorders>
              <w:top w:val="nil"/>
              <w:left w:val="single" w:sz="4" w:space="0" w:color="auto"/>
              <w:bottom w:val="nil"/>
              <w:right w:val="single" w:sz="4" w:space="0" w:color="auto"/>
            </w:tcBorders>
          </w:tcPr>
          <w:p w14:paraId="51F7416B"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6.9</w:t>
            </w:r>
          </w:p>
        </w:tc>
        <w:tc>
          <w:tcPr>
            <w:tcW w:w="850" w:type="dxa"/>
            <w:tcBorders>
              <w:top w:val="nil"/>
              <w:left w:val="single" w:sz="4" w:space="0" w:color="auto"/>
              <w:bottom w:val="nil"/>
              <w:right w:val="single" w:sz="4" w:space="0" w:color="auto"/>
            </w:tcBorders>
          </w:tcPr>
          <w:p w14:paraId="15957BBE" w14:textId="77777777" w:rsidR="00726C45" w:rsidRPr="00F37A41" w:rsidRDefault="00726C45" w:rsidP="00A37677">
            <w:pPr>
              <w:spacing w:before="0" w:line="240" w:lineRule="auto"/>
              <w:jc w:val="right"/>
              <w:rPr>
                <w:rFonts w:cs="Segoe UI"/>
                <w:sz w:val="16"/>
                <w:szCs w:val="16"/>
              </w:rPr>
            </w:pPr>
            <w:r>
              <w:rPr>
                <w:rFonts w:cs="Segoe UI"/>
                <w:sz w:val="16"/>
                <w:szCs w:val="16"/>
              </w:rPr>
              <w:t>7.3</w:t>
            </w:r>
          </w:p>
        </w:tc>
        <w:tc>
          <w:tcPr>
            <w:tcW w:w="567" w:type="dxa"/>
            <w:tcBorders>
              <w:top w:val="nil"/>
              <w:left w:val="single" w:sz="4" w:space="0" w:color="auto"/>
              <w:bottom w:val="nil"/>
              <w:right w:val="single" w:sz="4" w:space="0" w:color="auto"/>
            </w:tcBorders>
          </w:tcPr>
          <w:p w14:paraId="22B8E1A5" w14:textId="77777777" w:rsidR="00726C45" w:rsidRPr="00F37A41" w:rsidRDefault="00726C45" w:rsidP="00A37677">
            <w:pPr>
              <w:spacing w:before="0" w:line="240" w:lineRule="auto"/>
              <w:jc w:val="right"/>
              <w:rPr>
                <w:rFonts w:cs="Segoe UI"/>
                <w:sz w:val="16"/>
                <w:szCs w:val="16"/>
              </w:rPr>
            </w:pPr>
            <w:r>
              <w:rPr>
                <w:rFonts w:cs="Segoe UI"/>
                <w:sz w:val="16"/>
                <w:szCs w:val="16"/>
              </w:rPr>
              <w:t>5.8</w:t>
            </w:r>
          </w:p>
        </w:tc>
        <w:tc>
          <w:tcPr>
            <w:tcW w:w="709" w:type="dxa"/>
            <w:tcBorders>
              <w:top w:val="nil"/>
              <w:left w:val="single" w:sz="4" w:space="0" w:color="auto"/>
              <w:bottom w:val="nil"/>
              <w:right w:val="single" w:sz="4" w:space="0" w:color="auto"/>
            </w:tcBorders>
          </w:tcPr>
          <w:p w14:paraId="29B54492" w14:textId="77777777" w:rsidR="00726C45" w:rsidRDefault="00726C45" w:rsidP="00A37677">
            <w:pPr>
              <w:spacing w:before="0" w:line="240" w:lineRule="auto"/>
              <w:jc w:val="right"/>
              <w:rPr>
                <w:rFonts w:cs="Segoe UI"/>
                <w:sz w:val="16"/>
                <w:szCs w:val="16"/>
              </w:rPr>
            </w:pPr>
            <w:r>
              <w:rPr>
                <w:rFonts w:cs="Segoe UI"/>
                <w:sz w:val="16"/>
                <w:szCs w:val="16"/>
              </w:rPr>
              <w:t>4.4</w:t>
            </w:r>
          </w:p>
        </w:tc>
        <w:tc>
          <w:tcPr>
            <w:tcW w:w="1133" w:type="dxa"/>
            <w:tcBorders>
              <w:top w:val="nil"/>
              <w:left w:val="single" w:sz="4" w:space="0" w:color="auto"/>
              <w:bottom w:val="nil"/>
              <w:right w:val="single" w:sz="4" w:space="0" w:color="auto"/>
            </w:tcBorders>
          </w:tcPr>
          <w:p w14:paraId="2A144F69" w14:textId="77777777" w:rsidR="00726C45" w:rsidRDefault="00726C45" w:rsidP="00A37677">
            <w:pPr>
              <w:spacing w:before="0" w:line="240" w:lineRule="auto"/>
              <w:jc w:val="right"/>
              <w:rPr>
                <w:rFonts w:cs="Segoe UI"/>
                <w:sz w:val="16"/>
                <w:szCs w:val="16"/>
              </w:rPr>
            </w:pPr>
            <w:r>
              <w:rPr>
                <w:rFonts w:cs="Segoe UI"/>
                <w:sz w:val="16"/>
                <w:szCs w:val="16"/>
              </w:rPr>
              <w:t>84.5</w:t>
            </w:r>
          </w:p>
        </w:tc>
      </w:tr>
      <w:tr w:rsidR="00726C45" w:rsidRPr="00BD6DBC" w14:paraId="1614C9AC" w14:textId="77777777" w:rsidTr="00A37677">
        <w:tc>
          <w:tcPr>
            <w:tcW w:w="1418" w:type="dxa"/>
            <w:tcBorders>
              <w:top w:val="nil"/>
              <w:left w:val="single" w:sz="4" w:space="0" w:color="auto"/>
              <w:bottom w:val="nil"/>
              <w:right w:val="single" w:sz="4" w:space="0" w:color="auto"/>
            </w:tcBorders>
            <w:vAlign w:val="bottom"/>
          </w:tcPr>
          <w:p w14:paraId="2914FE75"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 xml:space="preserve">Britain </w:t>
            </w:r>
          </w:p>
        </w:tc>
        <w:tc>
          <w:tcPr>
            <w:tcW w:w="709" w:type="dxa"/>
            <w:tcBorders>
              <w:top w:val="nil"/>
              <w:left w:val="single" w:sz="4" w:space="0" w:color="auto"/>
              <w:bottom w:val="nil"/>
              <w:right w:val="single" w:sz="4" w:space="0" w:color="auto"/>
            </w:tcBorders>
          </w:tcPr>
          <w:p w14:paraId="257298D6" w14:textId="77777777" w:rsidR="00726C45" w:rsidRPr="00BD6DBC" w:rsidRDefault="00726C45" w:rsidP="00A37677">
            <w:pPr>
              <w:spacing w:before="0" w:line="240" w:lineRule="auto"/>
              <w:jc w:val="right"/>
              <w:rPr>
                <w:rFonts w:cs="Segoe UI"/>
                <w:sz w:val="16"/>
                <w:szCs w:val="16"/>
              </w:rPr>
            </w:pPr>
            <w:r>
              <w:rPr>
                <w:rFonts w:cs="Segoe UI"/>
                <w:sz w:val="16"/>
                <w:szCs w:val="16"/>
              </w:rPr>
              <w:t>3.6</w:t>
            </w:r>
          </w:p>
        </w:tc>
        <w:tc>
          <w:tcPr>
            <w:tcW w:w="708" w:type="dxa"/>
            <w:tcBorders>
              <w:top w:val="nil"/>
              <w:left w:val="single" w:sz="4" w:space="0" w:color="auto"/>
              <w:bottom w:val="nil"/>
              <w:right w:val="single" w:sz="4" w:space="0" w:color="auto"/>
            </w:tcBorders>
          </w:tcPr>
          <w:p w14:paraId="385E0469" w14:textId="77777777" w:rsidR="00726C45" w:rsidRPr="00BD6DBC" w:rsidRDefault="00726C45" w:rsidP="00A37677">
            <w:pPr>
              <w:spacing w:before="0" w:line="240" w:lineRule="auto"/>
              <w:jc w:val="right"/>
              <w:rPr>
                <w:rFonts w:cs="Segoe UI"/>
                <w:sz w:val="16"/>
                <w:szCs w:val="16"/>
              </w:rPr>
            </w:pPr>
            <w:r>
              <w:rPr>
                <w:rFonts w:cs="Segoe UI"/>
                <w:sz w:val="16"/>
                <w:szCs w:val="16"/>
              </w:rPr>
              <w:t>5.9</w:t>
            </w:r>
          </w:p>
        </w:tc>
        <w:tc>
          <w:tcPr>
            <w:tcW w:w="993" w:type="dxa"/>
            <w:tcBorders>
              <w:top w:val="nil"/>
              <w:left w:val="single" w:sz="4" w:space="0" w:color="auto"/>
              <w:bottom w:val="nil"/>
              <w:right w:val="single" w:sz="4" w:space="0" w:color="auto"/>
            </w:tcBorders>
          </w:tcPr>
          <w:p w14:paraId="09DC129B" w14:textId="77777777" w:rsidR="00726C45" w:rsidRPr="00BD6DBC" w:rsidRDefault="00726C45" w:rsidP="00A37677">
            <w:pPr>
              <w:spacing w:before="0" w:line="240" w:lineRule="auto"/>
              <w:jc w:val="right"/>
              <w:rPr>
                <w:rFonts w:cs="Segoe UI"/>
                <w:sz w:val="16"/>
                <w:szCs w:val="16"/>
              </w:rPr>
            </w:pPr>
            <w:r>
              <w:rPr>
                <w:rFonts w:cs="Segoe UI"/>
                <w:sz w:val="16"/>
                <w:szCs w:val="16"/>
              </w:rPr>
              <w:t>3.4</w:t>
            </w:r>
          </w:p>
        </w:tc>
        <w:tc>
          <w:tcPr>
            <w:tcW w:w="567" w:type="dxa"/>
            <w:tcBorders>
              <w:top w:val="nil"/>
              <w:left w:val="single" w:sz="4" w:space="0" w:color="auto"/>
              <w:bottom w:val="nil"/>
              <w:right w:val="single" w:sz="4" w:space="0" w:color="auto"/>
            </w:tcBorders>
            <w:vAlign w:val="bottom"/>
          </w:tcPr>
          <w:p w14:paraId="5AC26B58" w14:textId="77777777" w:rsidR="00726C45" w:rsidRPr="00BD6DBC" w:rsidRDefault="00726C45" w:rsidP="00A37677">
            <w:pPr>
              <w:spacing w:before="0" w:line="240" w:lineRule="auto"/>
              <w:jc w:val="right"/>
              <w:rPr>
                <w:rFonts w:cs="Segoe UI"/>
                <w:sz w:val="16"/>
                <w:szCs w:val="16"/>
              </w:rPr>
            </w:pPr>
            <w:r>
              <w:rPr>
                <w:rFonts w:cs="Segoe UI"/>
                <w:sz w:val="16"/>
                <w:szCs w:val="16"/>
              </w:rPr>
              <w:t>4.0</w:t>
            </w:r>
          </w:p>
        </w:tc>
        <w:tc>
          <w:tcPr>
            <w:tcW w:w="708" w:type="dxa"/>
            <w:tcBorders>
              <w:top w:val="nil"/>
              <w:left w:val="single" w:sz="4" w:space="0" w:color="auto"/>
              <w:bottom w:val="nil"/>
              <w:right w:val="single" w:sz="4" w:space="0" w:color="auto"/>
            </w:tcBorders>
          </w:tcPr>
          <w:p w14:paraId="6F9D0128" w14:textId="77777777" w:rsidR="00726C45" w:rsidRPr="00BD6DBC" w:rsidRDefault="00726C45" w:rsidP="00A37677">
            <w:pPr>
              <w:spacing w:before="0" w:line="240" w:lineRule="auto"/>
              <w:jc w:val="right"/>
              <w:rPr>
                <w:rFonts w:cs="Segoe UI"/>
                <w:sz w:val="16"/>
                <w:szCs w:val="16"/>
              </w:rPr>
            </w:pPr>
            <w:r>
              <w:rPr>
                <w:rFonts w:cs="Segoe UI"/>
                <w:sz w:val="16"/>
                <w:szCs w:val="16"/>
              </w:rPr>
              <w:t>4.9</w:t>
            </w:r>
          </w:p>
        </w:tc>
        <w:tc>
          <w:tcPr>
            <w:tcW w:w="993" w:type="dxa"/>
            <w:tcBorders>
              <w:top w:val="nil"/>
              <w:left w:val="single" w:sz="4" w:space="0" w:color="auto"/>
              <w:bottom w:val="nil"/>
              <w:right w:val="single" w:sz="4" w:space="0" w:color="auto"/>
            </w:tcBorders>
          </w:tcPr>
          <w:p w14:paraId="754254D6" w14:textId="77777777" w:rsidR="00726C45" w:rsidRPr="00BD6DBC" w:rsidRDefault="00726C45" w:rsidP="00A37677">
            <w:pPr>
              <w:spacing w:before="0" w:line="240" w:lineRule="auto"/>
              <w:jc w:val="right"/>
              <w:rPr>
                <w:rFonts w:cs="Segoe UI"/>
                <w:sz w:val="16"/>
                <w:szCs w:val="16"/>
              </w:rPr>
            </w:pPr>
            <w:r>
              <w:rPr>
                <w:rFonts w:cs="Segoe UI"/>
                <w:sz w:val="16"/>
                <w:szCs w:val="16"/>
              </w:rPr>
              <w:t>6.8</w:t>
            </w:r>
          </w:p>
        </w:tc>
        <w:tc>
          <w:tcPr>
            <w:tcW w:w="992" w:type="dxa"/>
            <w:tcBorders>
              <w:top w:val="nil"/>
              <w:left w:val="single" w:sz="4" w:space="0" w:color="auto"/>
              <w:bottom w:val="nil"/>
              <w:right w:val="single" w:sz="4" w:space="0" w:color="auto"/>
            </w:tcBorders>
          </w:tcPr>
          <w:p w14:paraId="0CBD98F2"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6.1</w:t>
            </w:r>
          </w:p>
        </w:tc>
        <w:tc>
          <w:tcPr>
            <w:tcW w:w="850" w:type="dxa"/>
            <w:tcBorders>
              <w:top w:val="nil"/>
              <w:left w:val="single" w:sz="4" w:space="0" w:color="auto"/>
              <w:bottom w:val="nil"/>
              <w:right w:val="single" w:sz="4" w:space="0" w:color="auto"/>
            </w:tcBorders>
          </w:tcPr>
          <w:p w14:paraId="60A1317C" w14:textId="77777777" w:rsidR="00726C45" w:rsidRPr="00F37A41" w:rsidRDefault="00726C45" w:rsidP="00A37677">
            <w:pPr>
              <w:spacing w:before="0" w:line="240" w:lineRule="auto"/>
              <w:jc w:val="right"/>
              <w:rPr>
                <w:rFonts w:cs="Segoe UI"/>
                <w:sz w:val="16"/>
                <w:szCs w:val="16"/>
              </w:rPr>
            </w:pPr>
            <w:r>
              <w:rPr>
                <w:rFonts w:cs="Segoe UI"/>
                <w:sz w:val="16"/>
                <w:szCs w:val="16"/>
              </w:rPr>
              <w:t>3.2</w:t>
            </w:r>
          </w:p>
        </w:tc>
        <w:tc>
          <w:tcPr>
            <w:tcW w:w="567" w:type="dxa"/>
            <w:tcBorders>
              <w:top w:val="nil"/>
              <w:left w:val="single" w:sz="4" w:space="0" w:color="auto"/>
              <w:bottom w:val="nil"/>
              <w:right w:val="single" w:sz="4" w:space="0" w:color="auto"/>
            </w:tcBorders>
          </w:tcPr>
          <w:p w14:paraId="22F45D62" w14:textId="77777777" w:rsidR="00726C45" w:rsidRPr="00F37A41" w:rsidRDefault="00726C45" w:rsidP="00A37677">
            <w:pPr>
              <w:spacing w:before="0" w:line="240" w:lineRule="auto"/>
              <w:jc w:val="right"/>
              <w:rPr>
                <w:rFonts w:cs="Segoe UI"/>
                <w:sz w:val="16"/>
                <w:szCs w:val="16"/>
              </w:rPr>
            </w:pPr>
            <w:r>
              <w:rPr>
                <w:rFonts w:cs="Segoe UI"/>
                <w:sz w:val="16"/>
                <w:szCs w:val="16"/>
              </w:rPr>
              <w:t>5.1</w:t>
            </w:r>
          </w:p>
        </w:tc>
        <w:tc>
          <w:tcPr>
            <w:tcW w:w="709" w:type="dxa"/>
            <w:tcBorders>
              <w:top w:val="nil"/>
              <w:left w:val="single" w:sz="4" w:space="0" w:color="auto"/>
              <w:bottom w:val="nil"/>
              <w:right w:val="single" w:sz="4" w:space="0" w:color="auto"/>
            </w:tcBorders>
          </w:tcPr>
          <w:p w14:paraId="13AF2B55" w14:textId="77777777" w:rsidR="00726C45" w:rsidRDefault="00726C45" w:rsidP="00A37677">
            <w:pPr>
              <w:spacing w:before="0" w:line="240" w:lineRule="auto"/>
              <w:jc w:val="right"/>
              <w:rPr>
                <w:rFonts w:cs="Segoe UI"/>
                <w:sz w:val="16"/>
                <w:szCs w:val="16"/>
              </w:rPr>
            </w:pPr>
            <w:r>
              <w:rPr>
                <w:rFonts w:cs="Segoe UI"/>
                <w:sz w:val="16"/>
                <w:szCs w:val="16"/>
              </w:rPr>
              <w:t>1.7</w:t>
            </w:r>
          </w:p>
        </w:tc>
        <w:tc>
          <w:tcPr>
            <w:tcW w:w="1133" w:type="dxa"/>
            <w:tcBorders>
              <w:top w:val="nil"/>
              <w:left w:val="single" w:sz="4" w:space="0" w:color="auto"/>
              <w:bottom w:val="nil"/>
              <w:right w:val="single" w:sz="4" w:space="0" w:color="auto"/>
            </w:tcBorders>
          </w:tcPr>
          <w:p w14:paraId="421E0E3B" w14:textId="77777777" w:rsidR="00726C45" w:rsidRDefault="00726C45" w:rsidP="00A37677">
            <w:pPr>
              <w:spacing w:before="0" w:line="240" w:lineRule="auto"/>
              <w:jc w:val="right"/>
              <w:rPr>
                <w:rFonts w:cs="Segoe UI"/>
                <w:sz w:val="16"/>
                <w:szCs w:val="16"/>
              </w:rPr>
            </w:pPr>
            <w:r>
              <w:rPr>
                <w:rFonts w:cs="Segoe UI"/>
                <w:sz w:val="16"/>
                <w:szCs w:val="16"/>
              </w:rPr>
              <w:t>86.6</w:t>
            </w:r>
          </w:p>
        </w:tc>
      </w:tr>
      <w:tr w:rsidR="00726C45" w:rsidRPr="00BD6DBC" w14:paraId="0E73C218" w14:textId="77777777" w:rsidTr="00A37677">
        <w:tc>
          <w:tcPr>
            <w:tcW w:w="1418" w:type="dxa"/>
            <w:tcBorders>
              <w:top w:val="nil"/>
              <w:left w:val="single" w:sz="4" w:space="0" w:color="auto"/>
              <w:bottom w:val="nil"/>
              <w:right w:val="single" w:sz="4" w:space="0" w:color="auto"/>
            </w:tcBorders>
            <w:vAlign w:val="bottom"/>
          </w:tcPr>
          <w:p w14:paraId="368995F7" w14:textId="77777777" w:rsidR="00726C45" w:rsidRPr="00084A3F" w:rsidRDefault="00726C45" w:rsidP="00A37677">
            <w:pPr>
              <w:spacing w:before="0" w:line="240" w:lineRule="auto"/>
              <w:rPr>
                <w:rFonts w:eastAsia="Times New Roman" w:cs="Segoe UI"/>
                <w:sz w:val="16"/>
                <w:szCs w:val="16"/>
              </w:rPr>
            </w:pPr>
            <w:r w:rsidRPr="00084A3F">
              <w:rPr>
                <w:rFonts w:eastAsia="Times New Roman" w:cs="Segoe UI"/>
                <w:sz w:val="16"/>
                <w:szCs w:val="16"/>
              </w:rPr>
              <w:t xml:space="preserve">Bulgaria </w:t>
            </w:r>
          </w:p>
        </w:tc>
        <w:tc>
          <w:tcPr>
            <w:tcW w:w="709" w:type="dxa"/>
            <w:tcBorders>
              <w:top w:val="nil"/>
              <w:left w:val="single" w:sz="4" w:space="0" w:color="auto"/>
              <w:bottom w:val="nil"/>
              <w:right w:val="single" w:sz="4" w:space="0" w:color="auto"/>
            </w:tcBorders>
          </w:tcPr>
          <w:p w14:paraId="574AED56"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10.4</w:t>
            </w:r>
          </w:p>
        </w:tc>
        <w:tc>
          <w:tcPr>
            <w:tcW w:w="708" w:type="dxa"/>
            <w:tcBorders>
              <w:top w:val="nil"/>
              <w:left w:val="single" w:sz="4" w:space="0" w:color="auto"/>
              <w:bottom w:val="nil"/>
              <w:right w:val="single" w:sz="4" w:space="0" w:color="auto"/>
            </w:tcBorders>
          </w:tcPr>
          <w:p w14:paraId="707FD674"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18.6</w:t>
            </w:r>
          </w:p>
        </w:tc>
        <w:tc>
          <w:tcPr>
            <w:tcW w:w="993" w:type="dxa"/>
            <w:tcBorders>
              <w:top w:val="nil"/>
              <w:left w:val="single" w:sz="4" w:space="0" w:color="auto"/>
              <w:bottom w:val="nil"/>
              <w:right w:val="single" w:sz="4" w:space="0" w:color="auto"/>
            </w:tcBorders>
          </w:tcPr>
          <w:p w14:paraId="735314A7"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5.3</w:t>
            </w:r>
          </w:p>
        </w:tc>
        <w:tc>
          <w:tcPr>
            <w:tcW w:w="567" w:type="dxa"/>
            <w:tcBorders>
              <w:top w:val="nil"/>
              <w:left w:val="single" w:sz="4" w:space="0" w:color="auto"/>
              <w:bottom w:val="nil"/>
              <w:right w:val="single" w:sz="4" w:space="0" w:color="auto"/>
            </w:tcBorders>
            <w:vAlign w:val="bottom"/>
          </w:tcPr>
          <w:p w14:paraId="554C35E4"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5.2</w:t>
            </w:r>
          </w:p>
        </w:tc>
        <w:tc>
          <w:tcPr>
            <w:tcW w:w="708" w:type="dxa"/>
            <w:tcBorders>
              <w:top w:val="nil"/>
              <w:left w:val="single" w:sz="4" w:space="0" w:color="auto"/>
              <w:bottom w:val="nil"/>
              <w:right w:val="single" w:sz="4" w:space="0" w:color="auto"/>
            </w:tcBorders>
          </w:tcPr>
          <w:p w14:paraId="67BC42F8"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17.3</w:t>
            </w:r>
          </w:p>
        </w:tc>
        <w:tc>
          <w:tcPr>
            <w:tcW w:w="993" w:type="dxa"/>
            <w:tcBorders>
              <w:top w:val="nil"/>
              <w:left w:val="single" w:sz="4" w:space="0" w:color="auto"/>
              <w:bottom w:val="nil"/>
              <w:right w:val="single" w:sz="4" w:space="0" w:color="auto"/>
            </w:tcBorders>
          </w:tcPr>
          <w:p w14:paraId="3C620773"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12.5</w:t>
            </w:r>
          </w:p>
        </w:tc>
        <w:tc>
          <w:tcPr>
            <w:tcW w:w="992" w:type="dxa"/>
            <w:tcBorders>
              <w:top w:val="nil"/>
              <w:left w:val="single" w:sz="4" w:space="0" w:color="auto"/>
              <w:bottom w:val="nil"/>
              <w:right w:val="single" w:sz="4" w:space="0" w:color="auto"/>
            </w:tcBorders>
          </w:tcPr>
          <w:p w14:paraId="17C49B13"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7.6</w:t>
            </w:r>
          </w:p>
        </w:tc>
        <w:tc>
          <w:tcPr>
            <w:tcW w:w="850" w:type="dxa"/>
            <w:tcBorders>
              <w:top w:val="nil"/>
              <w:left w:val="single" w:sz="4" w:space="0" w:color="auto"/>
              <w:bottom w:val="nil"/>
              <w:right w:val="single" w:sz="4" w:space="0" w:color="auto"/>
            </w:tcBorders>
          </w:tcPr>
          <w:p w14:paraId="6C7DE8A3"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6.0</w:t>
            </w:r>
          </w:p>
        </w:tc>
        <w:tc>
          <w:tcPr>
            <w:tcW w:w="567" w:type="dxa"/>
            <w:tcBorders>
              <w:top w:val="nil"/>
              <w:left w:val="single" w:sz="4" w:space="0" w:color="auto"/>
              <w:bottom w:val="nil"/>
              <w:right w:val="single" w:sz="4" w:space="0" w:color="auto"/>
            </w:tcBorders>
          </w:tcPr>
          <w:p w14:paraId="3552B305"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11.2</w:t>
            </w:r>
          </w:p>
        </w:tc>
        <w:tc>
          <w:tcPr>
            <w:tcW w:w="709" w:type="dxa"/>
            <w:tcBorders>
              <w:top w:val="nil"/>
              <w:left w:val="single" w:sz="4" w:space="0" w:color="auto"/>
              <w:bottom w:val="nil"/>
              <w:right w:val="single" w:sz="4" w:space="0" w:color="auto"/>
            </w:tcBorders>
          </w:tcPr>
          <w:p w14:paraId="40AA9FC2"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5.0</w:t>
            </w:r>
          </w:p>
        </w:tc>
        <w:tc>
          <w:tcPr>
            <w:tcW w:w="1133" w:type="dxa"/>
            <w:tcBorders>
              <w:top w:val="nil"/>
              <w:left w:val="single" w:sz="4" w:space="0" w:color="auto"/>
              <w:bottom w:val="nil"/>
              <w:right w:val="single" w:sz="4" w:space="0" w:color="auto"/>
            </w:tcBorders>
          </w:tcPr>
          <w:p w14:paraId="6CBFA041" w14:textId="77777777" w:rsidR="00726C45" w:rsidRPr="00084A3F" w:rsidRDefault="00726C45" w:rsidP="00A37677">
            <w:pPr>
              <w:spacing w:before="0" w:line="240" w:lineRule="auto"/>
              <w:jc w:val="right"/>
              <w:rPr>
                <w:rFonts w:cs="Segoe UI"/>
                <w:sz w:val="16"/>
                <w:szCs w:val="16"/>
              </w:rPr>
            </w:pPr>
            <w:r w:rsidRPr="00084A3F">
              <w:rPr>
                <w:rFonts w:cs="Segoe UI"/>
                <w:sz w:val="16"/>
                <w:szCs w:val="16"/>
              </w:rPr>
              <w:t>69.4</w:t>
            </w:r>
          </w:p>
        </w:tc>
      </w:tr>
      <w:tr w:rsidR="00726C45" w:rsidRPr="00BD6DBC" w14:paraId="5CF64134" w14:textId="77777777" w:rsidTr="00A37677">
        <w:tc>
          <w:tcPr>
            <w:tcW w:w="1418" w:type="dxa"/>
            <w:tcBorders>
              <w:top w:val="nil"/>
              <w:left w:val="single" w:sz="4" w:space="0" w:color="auto"/>
              <w:bottom w:val="nil"/>
              <w:right w:val="single" w:sz="4" w:space="0" w:color="auto"/>
            </w:tcBorders>
            <w:vAlign w:val="bottom"/>
          </w:tcPr>
          <w:p w14:paraId="09E9DC87"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 xml:space="preserve">Burkina Faso </w:t>
            </w:r>
          </w:p>
        </w:tc>
        <w:tc>
          <w:tcPr>
            <w:tcW w:w="709" w:type="dxa"/>
            <w:tcBorders>
              <w:top w:val="nil"/>
              <w:left w:val="single" w:sz="4" w:space="0" w:color="auto"/>
              <w:bottom w:val="nil"/>
              <w:right w:val="single" w:sz="4" w:space="0" w:color="auto"/>
            </w:tcBorders>
          </w:tcPr>
          <w:p w14:paraId="6BBDD74B" w14:textId="77777777" w:rsidR="00726C45" w:rsidRPr="00BD6DBC" w:rsidRDefault="00726C45" w:rsidP="00A37677">
            <w:pPr>
              <w:spacing w:before="0" w:line="240" w:lineRule="auto"/>
              <w:jc w:val="right"/>
              <w:rPr>
                <w:rFonts w:cs="Segoe UI"/>
                <w:sz w:val="16"/>
                <w:szCs w:val="16"/>
              </w:rPr>
            </w:pPr>
            <w:r>
              <w:rPr>
                <w:rFonts w:cs="Segoe UI"/>
                <w:sz w:val="16"/>
                <w:szCs w:val="16"/>
              </w:rPr>
              <w:t>13.1</w:t>
            </w:r>
          </w:p>
        </w:tc>
        <w:tc>
          <w:tcPr>
            <w:tcW w:w="708" w:type="dxa"/>
            <w:tcBorders>
              <w:top w:val="nil"/>
              <w:left w:val="single" w:sz="4" w:space="0" w:color="auto"/>
              <w:bottom w:val="nil"/>
              <w:right w:val="single" w:sz="4" w:space="0" w:color="auto"/>
            </w:tcBorders>
          </w:tcPr>
          <w:p w14:paraId="6CF9578C" w14:textId="77777777" w:rsidR="00726C45" w:rsidRPr="00BD6DBC" w:rsidRDefault="00726C45" w:rsidP="00A37677">
            <w:pPr>
              <w:spacing w:before="0" w:line="240" w:lineRule="auto"/>
              <w:jc w:val="right"/>
              <w:rPr>
                <w:rFonts w:cs="Segoe UI"/>
                <w:sz w:val="16"/>
                <w:szCs w:val="16"/>
              </w:rPr>
            </w:pPr>
            <w:r>
              <w:rPr>
                <w:rFonts w:cs="Segoe UI"/>
                <w:sz w:val="16"/>
                <w:szCs w:val="16"/>
              </w:rPr>
              <w:t>16.4</w:t>
            </w:r>
          </w:p>
        </w:tc>
        <w:tc>
          <w:tcPr>
            <w:tcW w:w="993" w:type="dxa"/>
            <w:tcBorders>
              <w:top w:val="nil"/>
              <w:left w:val="single" w:sz="4" w:space="0" w:color="auto"/>
              <w:bottom w:val="nil"/>
              <w:right w:val="single" w:sz="4" w:space="0" w:color="auto"/>
            </w:tcBorders>
          </w:tcPr>
          <w:p w14:paraId="34A08714" w14:textId="77777777" w:rsidR="00726C45" w:rsidRPr="00BD6DBC" w:rsidRDefault="00726C45" w:rsidP="00A37677">
            <w:pPr>
              <w:spacing w:before="0" w:line="240" w:lineRule="auto"/>
              <w:jc w:val="right"/>
              <w:rPr>
                <w:rFonts w:cs="Segoe UI"/>
                <w:sz w:val="16"/>
                <w:szCs w:val="16"/>
              </w:rPr>
            </w:pPr>
            <w:r>
              <w:rPr>
                <w:rFonts w:cs="Segoe UI"/>
                <w:sz w:val="16"/>
                <w:szCs w:val="16"/>
              </w:rPr>
              <w:t>9.0</w:t>
            </w:r>
          </w:p>
        </w:tc>
        <w:tc>
          <w:tcPr>
            <w:tcW w:w="567" w:type="dxa"/>
            <w:tcBorders>
              <w:top w:val="nil"/>
              <w:left w:val="single" w:sz="4" w:space="0" w:color="auto"/>
              <w:bottom w:val="nil"/>
              <w:right w:val="single" w:sz="4" w:space="0" w:color="auto"/>
            </w:tcBorders>
            <w:vAlign w:val="bottom"/>
          </w:tcPr>
          <w:p w14:paraId="0D6ACF6E" w14:textId="77777777" w:rsidR="00726C45" w:rsidRPr="00BD6DBC" w:rsidRDefault="00726C45" w:rsidP="00A37677">
            <w:pPr>
              <w:spacing w:before="0" w:line="240" w:lineRule="auto"/>
              <w:jc w:val="right"/>
              <w:rPr>
                <w:rFonts w:cs="Segoe UI"/>
                <w:sz w:val="16"/>
                <w:szCs w:val="16"/>
              </w:rPr>
            </w:pPr>
            <w:r>
              <w:rPr>
                <w:rFonts w:cs="Segoe UI"/>
                <w:sz w:val="16"/>
                <w:szCs w:val="16"/>
              </w:rPr>
              <w:t>12.4</w:t>
            </w:r>
          </w:p>
        </w:tc>
        <w:tc>
          <w:tcPr>
            <w:tcW w:w="708" w:type="dxa"/>
            <w:tcBorders>
              <w:top w:val="nil"/>
              <w:left w:val="single" w:sz="4" w:space="0" w:color="auto"/>
              <w:bottom w:val="nil"/>
              <w:right w:val="single" w:sz="4" w:space="0" w:color="auto"/>
            </w:tcBorders>
          </w:tcPr>
          <w:p w14:paraId="55A4552C" w14:textId="77777777" w:rsidR="00726C45" w:rsidRPr="00BD6DBC" w:rsidRDefault="00726C45" w:rsidP="00A37677">
            <w:pPr>
              <w:spacing w:before="0" w:line="240" w:lineRule="auto"/>
              <w:jc w:val="right"/>
              <w:rPr>
                <w:rFonts w:cs="Segoe UI"/>
                <w:sz w:val="16"/>
                <w:szCs w:val="16"/>
              </w:rPr>
            </w:pPr>
            <w:r>
              <w:rPr>
                <w:rFonts w:cs="Segoe UI"/>
                <w:sz w:val="16"/>
                <w:szCs w:val="16"/>
              </w:rPr>
              <w:t>14.6</w:t>
            </w:r>
          </w:p>
        </w:tc>
        <w:tc>
          <w:tcPr>
            <w:tcW w:w="993" w:type="dxa"/>
            <w:tcBorders>
              <w:top w:val="nil"/>
              <w:left w:val="single" w:sz="4" w:space="0" w:color="auto"/>
              <w:bottom w:val="nil"/>
              <w:right w:val="single" w:sz="4" w:space="0" w:color="auto"/>
            </w:tcBorders>
          </w:tcPr>
          <w:p w14:paraId="1C646B41" w14:textId="77777777" w:rsidR="00726C45" w:rsidRPr="00BD6DBC" w:rsidRDefault="00726C45" w:rsidP="00A37677">
            <w:pPr>
              <w:spacing w:before="0" w:line="240" w:lineRule="auto"/>
              <w:jc w:val="right"/>
              <w:rPr>
                <w:rFonts w:cs="Segoe UI"/>
                <w:sz w:val="16"/>
                <w:szCs w:val="16"/>
              </w:rPr>
            </w:pPr>
            <w:r>
              <w:rPr>
                <w:rFonts w:cs="Segoe UI"/>
                <w:sz w:val="16"/>
                <w:szCs w:val="16"/>
              </w:rPr>
              <w:t>14.7</w:t>
            </w:r>
          </w:p>
        </w:tc>
        <w:tc>
          <w:tcPr>
            <w:tcW w:w="992" w:type="dxa"/>
            <w:tcBorders>
              <w:top w:val="nil"/>
              <w:left w:val="single" w:sz="4" w:space="0" w:color="auto"/>
              <w:bottom w:val="nil"/>
              <w:right w:val="single" w:sz="4" w:space="0" w:color="auto"/>
            </w:tcBorders>
          </w:tcPr>
          <w:p w14:paraId="5373502A"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12.0</w:t>
            </w:r>
          </w:p>
        </w:tc>
        <w:tc>
          <w:tcPr>
            <w:tcW w:w="850" w:type="dxa"/>
            <w:tcBorders>
              <w:top w:val="nil"/>
              <w:left w:val="single" w:sz="4" w:space="0" w:color="auto"/>
              <w:bottom w:val="nil"/>
              <w:right w:val="single" w:sz="4" w:space="0" w:color="auto"/>
            </w:tcBorders>
          </w:tcPr>
          <w:p w14:paraId="09D733E7" w14:textId="77777777" w:rsidR="00726C45" w:rsidRPr="00F37A41" w:rsidRDefault="00726C45" w:rsidP="00A37677">
            <w:pPr>
              <w:spacing w:before="0" w:line="240" w:lineRule="auto"/>
              <w:jc w:val="right"/>
              <w:rPr>
                <w:rFonts w:cs="Segoe UI"/>
                <w:sz w:val="16"/>
                <w:szCs w:val="16"/>
              </w:rPr>
            </w:pPr>
            <w:r>
              <w:rPr>
                <w:rFonts w:cs="Segoe UI"/>
                <w:sz w:val="16"/>
                <w:szCs w:val="16"/>
              </w:rPr>
              <w:t>10.6</w:t>
            </w:r>
          </w:p>
        </w:tc>
        <w:tc>
          <w:tcPr>
            <w:tcW w:w="567" w:type="dxa"/>
            <w:tcBorders>
              <w:top w:val="nil"/>
              <w:left w:val="single" w:sz="4" w:space="0" w:color="auto"/>
              <w:bottom w:val="nil"/>
              <w:right w:val="single" w:sz="4" w:space="0" w:color="auto"/>
            </w:tcBorders>
          </w:tcPr>
          <w:p w14:paraId="1FEED3D3" w14:textId="77777777" w:rsidR="00726C45" w:rsidRPr="00F37A41" w:rsidRDefault="00726C45" w:rsidP="00A37677">
            <w:pPr>
              <w:spacing w:before="0" w:line="240" w:lineRule="auto"/>
              <w:jc w:val="right"/>
              <w:rPr>
                <w:rFonts w:cs="Segoe UI"/>
                <w:sz w:val="16"/>
                <w:szCs w:val="16"/>
              </w:rPr>
            </w:pPr>
            <w:r>
              <w:rPr>
                <w:rFonts w:cs="Segoe UI"/>
                <w:sz w:val="16"/>
                <w:szCs w:val="16"/>
              </w:rPr>
              <w:t>15.0</w:t>
            </w:r>
          </w:p>
        </w:tc>
        <w:tc>
          <w:tcPr>
            <w:tcW w:w="709" w:type="dxa"/>
            <w:tcBorders>
              <w:top w:val="nil"/>
              <w:left w:val="single" w:sz="4" w:space="0" w:color="auto"/>
              <w:bottom w:val="nil"/>
              <w:right w:val="single" w:sz="4" w:space="0" w:color="auto"/>
            </w:tcBorders>
          </w:tcPr>
          <w:p w14:paraId="28411441" w14:textId="77777777" w:rsidR="00726C45" w:rsidRDefault="00726C45" w:rsidP="00A37677">
            <w:pPr>
              <w:spacing w:before="0" w:line="240" w:lineRule="auto"/>
              <w:jc w:val="right"/>
              <w:rPr>
                <w:rFonts w:cs="Segoe UI"/>
                <w:sz w:val="16"/>
                <w:szCs w:val="16"/>
              </w:rPr>
            </w:pPr>
            <w:r>
              <w:rPr>
                <w:rFonts w:cs="Segoe UI"/>
                <w:sz w:val="16"/>
                <w:szCs w:val="16"/>
              </w:rPr>
              <w:t>8.9</w:t>
            </w:r>
          </w:p>
        </w:tc>
        <w:tc>
          <w:tcPr>
            <w:tcW w:w="1133" w:type="dxa"/>
            <w:tcBorders>
              <w:top w:val="nil"/>
              <w:left w:val="single" w:sz="4" w:space="0" w:color="auto"/>
              <w:bottom w:val="nil"/>
              <w:right w:val="single" w:sz="4" w:space="0" w:color="auto"/>
            </w:tcBorders>
          </w:tcPr>
          <w:p w14:paraId="63B2C9D8" w14:textId="77777777" w:rsidR="00726C45" w:rsidRDefault="00726C45" w:rsidP="00A37677">
            <w:pPr>
              <w:spacing w:before="0" w:line="240" w:lineRule="auto"/>
              <w:jc w:val="right"/>
              <w:rPr>
                <w:rFonts w:cs="Segoe UI"/>
                <w:sz w:val="16"/>
                <w:szCs w:val="16"/>
              </w:rPr>
            </w:pPr>
            <w:r>
              <w:rPr>
                <w:rFonts w:cs="Segoe UI"/>
                <w:sz w:val="16"/>
                <w:szCs w:val="16"/>
              </w:rPr>
              <w:t>80.2</w:t>
            </w:r>
          </w:p>
        </w:tc>
      </w:tr>
      <w:tr w:rsidR="00726C45" w:rsidRPr="00BD6DBC" w14:paraId="3557799F" w14:textId="77777777" w:rsidTr="00A37677">
        <w:tc>
          <w:tcPr>
            <w:tcW w:w="1418" w:type="dxa"/>
            <w:tcBorders>
              <w:top w:val="nil"/>
              <w:left w:val="single" w:sz="4" w:space="0" w:color="auto"/>
              <w:bottom w:val="nil"/>
              <w:right w:val="single" w:sz="4" w:space="0" w:color="auto"/>
            </w:tcBorders>
            <w:vAlign w:val="bottom"/>
          </w:tcPr>
          <w:p w14:paraId="6E304AA5"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 xml:space="preserve">Canada </w:t>
            </w:r>
          </w:p>
        </w:tc>
        <w:tc>
          <w:tcPr>
            <w:tcW w:w="709" w:type="dxa"/>
            <w:tcBorders>
              <w:top w:val="nil"/>
              <w:left w:val="single" w:sz="4" w:space="0" w:color="auto"/>
              <w:bottom w:val="nil"/>
              <w:right w:val="single" w:sz="4" w:space="0" w:color="auto"/>
            </w:tcBorders>
          </w:tcPr>
          <w:p w14:paraId="4DAC8537" w14:textId="77777777" w:rsidR="00726C45" w:rsidRPr="00BD6DBC" w:rsidRDefault="00726C45" w:rsidP="00A37677">
            <w:pPr>
              <w:spacing w:before="0" w:line="240" w:lineRule="auto"/>
              <w:jc w:val="right"/>
              <w:rPr>
                <w:rFonts w:cs="Segoe UI"/>
                <w:sz w:val="16"/>
                <w:szCs w:val="16"/>
              </w:rPr>
            </w:pPr>
            <w:r>
              <w:rPr>
                <w:rFonts w:cs="Segoe UI"/>
                <w:sz w:val="16"/>
                <w:szCs w:val="16"/>
              </w:rPr>
              <w:t>4.4</w:t>
            </w:r>
          </w:p>
        </w:tc>
        <w:tc>
          <w:tcPr>
            <w:tcW w:w="708" w:type="dxa"/>
            <w:tcBorders>
              <w:top w:val="nil"/>
              <w:left w:val="single" w:sz="4" w:space="0" w:color="auto"/>
              <w:bottom w:val="nil"/>
              <w:right w:val="single" w:sz="4" w:space="0" w:color="auto"/>
            </w:tcBorders>
          </w:tcPr>
          <w:p w14:paraId="6E7F70C2" w14:textId="77777777" w:rsidR="00726C45" w:rsidRPr="00BD6DBC" w:rsidRDefault="00726C45" w:rsidP="00A37677">
            <w:pPr>
              <w:spacing w:before="0" w:line="240" w:lineRule="auto"/>
              <w:jc w:val="right"/>
              <w:rPr>
                <w:rFonts w:cs="Segoe UI"/>
                <w:sz w:val="16"/>
                <w:szCs w:val="16"/>
              </w:rPr>
            </w:pPr>
            <w:r>
              <w:rPr>
                <w:rFonts w:cs="Segoe UI"/>
                <w:sz w:val="16"/>
                <w:szCs w:val="16"/>
              </w:rPr>
              <w:t>5.3</w:t>
            </w:r>
          </w:p>
        </w:tc>
        <w:tc>
          <w:tcPr>
            <w:tcW w:w="993" w:type="dxa"/>
            <w:tcBorders>
              <w:top w:val="nil"/>
              <w:left w:val="single" w:sz="4" w:space="0" w:color="auto"/>
              <w:bottom w:val="nil"/>
              <w:right w:val="single" w:sz="4" w:space="0" w:color="auto"/>
            </w:tcBorders>
          </w:tcPr>
          <w:p w14:paraId="2A15C441" w14:textId="77777777" w:rsidR="00726C45" w:rsidRPr="00BD6DBC" w:rsidRDefault="00726C45" w:rsidP="00A37677">
            <w:pPr>
              <w:spacing w:before="0" w:line="240" w:lineRule="auto"/>
              <w:jc w:val="right"/>
              <w:rPr>
                <w:rFonts w:cs="Segoe UI"/>
                <w:sz w:val="16"/>
                <w:szCs w:val="16"/>
              </w:rPr>
            </w:pPr>
            <w:r>
              <w:rPr>
                <w:rFonts w:cs="Segoe UI"/>
                <w:sz w:val="16"/>
                <w:szCs w:val="16"/>
              </w:rPr>
              <w:t>2.0</w:t>
            </w:r>
          </w:p>
        </w:tc>
        <w:tc>
          <w:tcPr>
            <w:tcW w:w="567" w:type="dxa"/>
            <w:tcBorders>
              <w:top w:val="nil"/>
              <w:left w:val="single" w:sz="4" w:space="0" w:color="auto"/>
              <w:bottom w:val="nil"/>
              <w:right w:val="single" w:sz="4" w:space="0" w:color="auto"/>
            </w:tcBorders>
            <w:vAlign w:val="bottom"/>
          </w:tcPr>
          <w:p w14:paraId="2016BC2B" w14:textId="77777777" w:rsidR="00726C45" w:rsidRPr="00BD6DBC" w:rsidRDefault="00726C45" w:rsidP="00A37677">
            <w:pPr>
              <w:spacing w:before="0" w:line="240" w:lineRule="auto"/>
              <w:jc w:val="right"/>
              <w:rPr>
                <w:rFonts w:cs="Segoe UI"/>
                <w:sz w:val="16"/>
                <w:szCs w:val="16"/>
              </w:rPr>
            </w:pPr>
            <w:r>
              <w:rPr>
                <w:rFonts w:cs="Segoe UI"/>
                <w:sz w:val="16"/>
                <w:szCs w:val="16"/>
              </w:rPr>
              <w:t>2.2</w:t>
            </w:r>
          </w:p>
        </w:tc>
        <w:tc>
          <w:tcPr>
            <w:tcW w:w="708" w:type="dxa"/>
            <w:tcBorders>
              <w:top w:val="nil"/>
              <w:left w:val="single" w:sz="4" w:space="0" w:color="auto"/>
              <w:bottom w:val="nil"/>
              <w:right w:val="single" w:sz="4" w:space="0" w:color="auto"/>
            </w:tcBorders>
          </w:tcPr>
          <w:p w14:paraId="233D8D32" w14:textId="77777777" w:rsidR="00726C45" w:rsidRPr="00BD6DBC" w:rsidRDefault="00726C45" w:rsidP="00A37677">
            <w:pPr>
              <w:spacing w:before="0" w:line="240" w:lineRule="auto"/>
              <w:jc w:val="right"/>
              <w:rPr>
                <w:rFonts w:cs="Segoe UI"/>
                <w:sz w:val="16"/>
                <w:szCs w:val="16"/>
              </w:rPr>
            </w:pPr>
            <w:r>
              <w:rPr>
                <w:rFonts w:cs="Segoe UI"/>
                <w:sz w:val="16"/>
                <w:szCs w:val="16"/>
              </w:rPr>
              <w:t>6.9</w:t>
            </w:r>
          </w:p>
        </w:tc>
        <w:tc>
          <w:tcPr>
            <w:tcW w:w="993" w:type="dxa"/>
            <w:tcBorders>
              <w:top w:val="nil"/>
              <w:left w:val="single" w:sz="4" w:space="0" w:color="auto"/>
              <w:bottom w:val="nil"/>
              <w:right w:val="single" w:sz="4" w:space="0" w:color="auto"/>
            </w:tcBorders>
          </w:tcPr>
          <w:p w14:paraId="0B5E8D43" w14:textId="77777777" w:rsidR="00726C45" w:rsidRPr="00BD6DBC" w:rsidRDefault="00726C45" w:rsidP="00A37677">
            <w:pPr>
              <w:spacing w:before="0" w:line="240" w:lineRule="auto"/>
              <w:jc w:val="right"/>
              <w:rPr>
                <w:rFonts w:cs="Segoe UI"/>
                <w:sz w:val="16"/>
                <w:szCs w:val="16"/>
              </w:rPr>
            </w:pPr>
            <w:r>
              <w:rPr>
                <w:rFonts w:cs="Segoe UI"/>
                <w:sz w:val="16"/>
                <w:szCs w:val="16"/>
              </w:rPr>
              <w:t>8.8</w:t>
            </w:r>
          </w:p>
        </w:tc>
        <w:tc>
          <w:tcPr>
            <w:tcW w:w="992" w:type="dxa"/>
            <w:tcBorders>
              <w:top w:val="nil"/>
              <w:left w:val="single" w:sz="4" w:space="0" w:color="auto"/>
              <w:bottom w:val="nil"/>
              <w:right w:val="single" w:sz="4" w:space="0" w:color="auto"/>
            </w:tcBorders>
          </w:tcPr>
          <w:p w14:paraId="455DEB80"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5.1</w:t>
            </w:r>
          </w:p>
        </w:tc>
        <w:tc>
          <w:tcPr>
            <w:tcW w:w="850" w:type="dxa"/>
            <w:tcBorders>
              <w:top w:val="nil"/>
              <w:left w:val="single" w:sz="4" w:space="0" w:color="auto"/>
              <w:bottom w:val="nil"/>
              <w:right w:val="single" w:sz="4" w:space="0" w:color="auto"/>
            </w:tcBorders>
          </w:tcPr>
          <w:p w14:paraId="3F207520" w14:textId="77777777" w:rsidR="00726C45" w:rsidRPr="00F37A41" w:rsidRDefault="00726C45" w:rsidP="00A37677">
            <w:pPr>
              <w:spacing w:before="0" w:line="240" w:lineRule="auto"/>
              <w:jc w:val="right"/>
              <w:rPr>
                <w:rFonts w:cs="Segoe UI"/>
                <w:sz w:val="16"/>
                <w:szCs w:val="16"/>
              </w:rPr>
            </w:pPr>
            <w:r>
              <w:rPr>
                <w:rFonts w:cs="Segoe UI"/>
                <w:sz w:val="16"/>
                <w:szCs w:val="16"/>
              </w:rPr>
              <w:t>3.8</w:t>
            </w:r>
          </w:p>
        </w:tc>
        <w:tc>
          <w:tcPr>
            <w:tcW w:w="567" w:type="dxa"/>
            <w:tcBorders>
              <w:top w:val="nil"/>
              <w:left w:val="single" w:sz="4" w:space="0" w:color="auto"/>
              <w:bottom w:val="nil"/>
              <w:right w:val="single" w:sz="4" w:space="0" w:color="auto"/>
            </w:tcBorders>
          </w:tcPr>
          <w:p w14:paraId="5B3A2E7B" w14:textId="77777777" w:rsidR="00726C45" w:rsidRPr="00F37A41" w:rsidRDefault="00726C45" w:rsidP="00A37677">
            <w:pPr>
              <w:spacing w:before="0" w:line="240" w:lineRule="auto"/>
              <w:jc w:val="right"/>
              <w:rPr>
                <w:rFonts w:cs="Segoe UI"/>
                <w:sz w:val="16"/>
                <w:szCs w:val="16"/>
              </w:rPr>
            </w:pPr>
            <w:r>
              <w:rPr>
                <w:rFonts w:cs="Segoe UI"/>
                <w:sz w:val="16"/>
                <w:szCs w:val="16"/>
              </w:rPr>
              <w:t>6.3</w:t>
            </w:r>
          </w:p>
        </w:tc>
        <w:tc>
          <w:tcPr>
            <w:tcW w:w="709" w:type="dxa"/>
            <w:tcBorders>
              <w:top w:val="nil"/>
              <w:left w:val="single" w:sz="4" w:space="0" w:color="auto"/>
              <w:bottom w:val="nil"/>
              <w:right w:val="single" w:sz="4" w:space="0" w:color="auto"/>
            </w:tcBorders>
          </w:tcPr>
          <w:p w14:paraId="62160710" w14:textId="77777777" w:rsidR="00726C45" w:rsidRDefault="00726C45" w:rsidP="00A37677">
            <w:pPr>
              <w:spacing w:before="0" w:line="240" w:lineRule="auto"/>
              <w:jc w:val="right"/>
              <w:rPr>
                <w:rFonts w:cs="Segoe UI"/>
                <w:sz w:val="16"/>
                <w:szCs w:val="16"/>
              </w:rPr>
            </w:pPr>
            <w:r>
              <w:rPr>
                <w:rFonts w:cs="Segoe UI"/>
                <w:sz w:val="16"/>
                <w:szCs w:val="16"/>
              </w:rPr>
              <w:t>1.6</w:t>
            </w:r>
          </w:p>
        </w:tc>
        <w:tc>
          <w:tcPr>
            <w:tcW w:w="1133" w:type="dxa"/>
            <w:tcBorders>
              <w:top w:val="nil"/>
              <w:left w:val="single" w:sz="4" w:space="0" w:color="auto"/>
              <w:bottom w:val="nil"/>
              <w:right w:val="single" w:sz="4" w:space="0" w:color="auto"/>
            </w:tcBorders>
          </w:tcPr>
          <w:p w14:paraId="0219DD9D" w14:textId="77777777" w:rsidR="00726C45" w:rsidRDefault="00726C45" w:rsidP="00A37677">
            <w:pPr>
              <w:spacing w:before="0" w:line="240" w:lineRule="auto"/>
              <w:jc w:val="right"/>
              <w:rPr>
                <w:rFonts w:cs="Segoe UI"/>
                <w:sz w:val="16"/>
                <w:szCs w:val="16"/>
              </w:rPr>
            </w:pPr>
            <w:r>
              <w:rPr>
                <w:rFonts w:cs="Segoe UI"/>
                <w:sz w:val="16"/>
                <w:szCs w:val="16"/>
              </w:rPr>
              <w:t>83.2</w:t>
            </w:r>
          </w:p>
        </w:tc>
      </w:tr>
      <w:tr w:rsidR="00726C45" w:rsidRPr="00BD6DBC" w14:paraId="2AFD94E9" w14:textId="77777777" w:rsidTr="00A37677">
        <w:tc>
          <w:tcPr>
            <w:tcW w:w="1418" w:type="dxa"/>
            <w:tcBorders>
              <w:top w:val="nil"/>
              <w:left w:val="single" w:sz="4" w:space="0" w:color="auto"/>
              <w:bottom w:val="nil"/>
              <w:right w:val="single" w:sz="4" w:space="0" w:color="auto"/>
            </w:tcBorders>
            <w:vAlign w:val="bottom"/>
          </w:tcPr>
          <w:p w14:paraId="77E19B55"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 xml:space="preserve">Chile </w:t>
            </w:r>
          </w:p>
        </w:tc>
        <w:tc>
          <w:tcPr>
            <w:tcW w:w="709" w:type="dxa"/>
            <w:tcBorders>
              <w:top w:val="nil"/>
              <w:left w:val="single" w:sz="4" w:space="0" w:color="auto"/>
              <w:bottom w:val="nil"/>
              <w:right w:val="single" w:sz="4" w:space="0" w:color="auto"/>
            </w:tcBorders>
          </w:tcPr>
          <w:p w14:paraId="2511032B" w14:textId="77777777" w:rsidR="00726C45" w:rsidRPr="00BD6DBC" w:rsidRDefault="00726C45" w:rsidP="00A37677">
            <w:pPr>
              <w:spacing w:before="0" w:line="240" w:lineRule="auto"/>
              <w:jc w:val="right"/>
              <w:rPr>
                <w:rFonts w:cs="Segoe UI"/>
                <w:sz w:val="16"/>
                <w:szCs w:val="16"/>
              </w:rPr>
            </w:pPr>
            <w:r>
              <w:rPr>
                <w:rFonts w:cs="Segoe UI"/>
                <w:sz w:val="16"/>
                <w:szCs w:val="16"/>
              </w:rPr>
              <w:t>8.5</w:t>
            </w:r>
          </w:p>
        </w:tc>
        <w:tc>
          <w:tcPr>
            <w:tcW w:w="708" w:type="dxa"/>
            <w:tcBorders>
              <w:top w:val="nil"/>
              <w:left w:val="single" w:sz="4" w:space="0" w:color="auto"/>
              <w:bottom w:val="nil"/>
              <w:right w:val="single" w:sz="4" w:space="0" w:color="auto"/>
            </w:tcBorders>
          </w:tcPr>
          <w:p w14:paraId="18B342B1" w14:textId="77777777" w:rsidR="00726C45" w:rsidRPr="00BD6DBC" w:rsidRDefault="00726C45" w:rsidP="00A37677">
            <w:pPr>
              <w:spacing w:before="0" w:line="240" w:lineRule="auto"/>
              <w:jc w:val="right"/>
              <w:rPr>
                <w:rFonts w:cs="Segoe UI"/>
                <w:sz w:val="16"/>
                <w:szCs w:val="16"/>
              </w:rPr>
            </w:pPr>
            <w:r>
              <w:rPr>
                <w:rFonts w:cs="Segoe UI"/>
                <w:sz w:val="16"/>
                <w:szCs w:val="16"/>
              </w:rPr>
              <w:t>12.1</w:t>
            </w:r>
          </w:p>
        </w:tc>
        <w:tc>
          <w:tcPr>
            <w:tcW w:w="993" w:type="dxa"/>
            <w:tcBorders>
              <w:top w:val="nil"/>
              <w:left w:val="single" w:sz="4" w:space="0" w:color="auto"/>
              <w:bottom w:val="nil"/>
              <w:right w:val="single" w:sz="4" w:space="0" w:color="auto"/>
            </w:tcBorders>
          </w:tcPr>
          <w:p w14:paraId="30125160" w14:textId="77777777" w:rsidR="00726C45" w:rsidRPr="00BD6DBC" w:rsidRDefault="00726C45" w:rsidP="00A37677">
            <w:pPr>
              <w:spacing w:before="0" w:line="240" w:lineRule="auto"/>
              <w:jc w:val="right"/>
              <w:rPr>
                <w:rFonts w:cs="Segoe UI"/>
                <w:sz w:val="16"/>
                <w:szCs w:val="16"/>
              </w:rPr>
            </w:pPr>
            <w:r>
              <w:rPr>
                <w:rFonts w:cs="Segoe UI"/>
                <w:sz w:val="16"/>
                <w:szCs w:val="16"/>
              </w:rPr>
              <w:t>4.0</w:t>
            </w:r>
          </w:p>
        </w:tc>
        <w:tc>
          <w:tcPr>
            <w:tcW w:w="567" w:type="dxa"/>
            <w:tcBorders>
              <w:top w:val="nil"/>
              <w:left w:val="single" w:sz="4" w:space="0" w:color="auto"/>
              <w:bottom w:val="nil"/>
              <w:right w:val="single" w:sz="4" w:space="0" w:color="auto"/>
            </w:tcBorders>
            <w:vAlign w:val="bottom"/>
          </w:tcPr>
          <w:p w14:paraId="49C897E1" w14:textId="77777777" w:rsidR="00726C45" w:rsidRPr="00BD6DBC" w:rsidRDefault="00726C45" w:rsidP="00A37677">
            <w:pPr>
              <w:spacing w:before="0" w:line="240" w:lineRule="auto"/>
              <w:jc w:val="right"/>
              <w:rPr>
                <w:rFonts w:cs="Segoe UI"/>
                <w:sz w:val="16"/>
                <w:szCs w:val="16"/>
              </w:rPr>
            </w:pPr>
            <w:r>
              <w:rPr>
                <w:rFonts w:cs="Segoe UI"/>
                <w:sz w:val="16"/>
                <w:szCs w:val="16"/>
              </w:rPr>
              <w:t>5.0</w:t>
            </w:r>
          </w:p>
        </w:tc>
        <w:tc>
          <w:tcPr>
            <w:tcW w:w="708" w:type="dxa"/>
            <w:tcBorders>
              <w:top w:val="nil"/>
              <w:left w:val="single" w:sz="4" w:space="0" w:color="auto"/>
              <w:bottom w:val="nil"/>
              <w:right w:val="single" w:sz="4" w:space="0" w:color="auto"/>
            </w:tcBorders>
          </w:tcPr>
          <w:p w14:paraId="2F7781EF" w14:textId="77777777" w:rsidR="00726C45" w:rsidRPr="00BD6DBC" w:rsidRDefault="00726C45" w:rsidP="00A37677">
            <w:pPr>
              <w:spacing w:before="0" w:line="240" w:lineRule="auto"/>
              <w:jc w:val="right"/>
              <w:rPr>
                <w:rFonts w:cs="Segoe UI"/>
                <w:sz w:val="16"/>
                <w:szCs w:val="16"/>
              </w:rPr>
            </w:pPr>
            <w:r>
              <w:rPr>
                <w:rFonts w:cs="Segoe UI"/>
                <w:sz w:val="16"/>
                <w:szCs w:val="16"/>
              </w:rPr>
              <w:t>8.3</w:t>
            </w:r>
          </w:p>
        </w:tc>
        <w:tc>
          <w:tcPr>
            <w:tcW w:w="993" w:type="dxa"/>
            <w:tcBorders>
              <w:top w:val="nil"/>
              <w:left w:val="single" w:sz="4" w:space="0" w:color="auto"/>
              <w:bottom w:val="nil"/>
              <w:right w:val="single" w:sz="4" w:space="0" w:color="auto"/>
            </w:tcBorders>
          </w:tcPr>
          <w:p w14:paraId="16C07695" w14:textId="77777777" w:rsidR="00726C45" w:rsidRPr="00BD6DBC" w:rsidRDefault="00726C45" w:rsidP="00A37677">
            <w:pPr>
              <w:spacing w:before="0" w:line="240" w:lineRule="auto"/>
              <w:jc w:val="right"/>
              <w:rPr>
                <w:rFonts w:cs="Segoe UI"/>
                <w:sz w:val="16"/>
                <w:szCs w:val="16"/>
              </w:rPr>
            </w:pPr>
            <w:r>
              <w:rPr>
                <w:rFonts w:cs="Segoe UI"/>
                <w:sz w:val="16"/>
                <w:szCs w:val="16"/>
              </w:rPr>
              <w:t>11.4</w:t>
            </w:r>
          </w:p>
        </w:tc>
        <w:tc>
          <w:tcPr>
            <w:tcW w:w="992" w:type="dxa"/>
            <w:tcBorders>
              <w:top w:val="nil"/>
              <w:left w:val="single" w:sz="4" w:space="0" w:color="auto"/>
              <w:bottom w:val="nil"/>
              <w:right w:val="single" w:sz="4" w:space="0" w:color="auto"/>
            </w:tcBorders>
          </w:tcPr>
          <w:p w14:paraId="7091F3EA"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8.3</w:t>
            </w:r>
          </w:p>
        </w:tc>
        <w:tc>
          <w:tcPr>
            <w:tcW w:w="850" w:type="dxa"/>
            <w:tcBorders>
              <w:top w:val="nil"/>
              <w:left w:val="single" w:sz="4" w:space="0" w:color="auto"/>
              <w:bottom w:val="nil"/>
              <w:right w:val="single" w:sz="4" w:space="0" w:color="auto"/>
            </w:tcBorders>
          </w:tcPr>
          <w:p w14:paraId="2A474448" w14:textId="77777777" w:rsidR="00726C45" w:rsidRPr="00F37A41" w:rsidRDefault="00726C45" w:rsidP="00A37677">
            <w:pPr>
              <w:spacing w:before="0" w:line="240" w:lineRule="auto"/>
              <w:jc w:val="right"/>
              <w:rPr>
                <w:rFonts w:cs="Segoe UI"/>
                <w:sz w:val="16"/>
                <w:szCs w:val="16"/>
              </w:rPr>
            </w:pPr>
            <w:r>
              <w:rPr>
                <w:rFonts w:cs="Segoe UI"/>
                <w:sz w:val="16"/>
                <w:szCs w:val="16"/>
              </w:rPr>
              <w:t>6.2</w:t>
            </w:r>
          </w:p>
        </w:tc>
        <w:tc>
          <w:tcPr>
            <w:tcW w:w="567" w:type="dxa"/>
            <w:tcBorders>
              <w:top w:val="nil"/>
              <w:left w:val="single" w:sz="4" w:space="0" w:color="auto"/>
              <w:bottom w:val="nil"/>
              <w:right w:val="single" w:sz="4" w:space="0" w:color="auto"/>
            </w:tcBorders>
          </w:tcPr>
          <w:p w14:paraId="0B1343C5" w14:textId="77777777" w:rsidR="00726C45" w:rsidRPr="00F37A41" w:rsidRDefault="00726C45" w:rsidP="00A37677">
            <w:pPr>
              <w:spacing w:before="0" w:line="240" w:lineRule="auto"/>
              <w:jc w:val="right"/>
              <w:rPr>
                <w:rFonts w:cs="Segoe UI"/>
                <w:sz w:val="16"/>
                <w:szCs w:val="16"/>
              </w:rPr>
            </w:pPr>
            <w:r>
              <w:rPr>
                <w:rFonts w:cs="Segoe UI"/>
                <w:sz w:val="16"/>
                <w:szCs w:val="16"/>
              </w:rPr>
              <w:t>7.5</w:t>
            </w:r>
          </w:p>
        </w:tc>
        <w:tc>
          <w:tcPr>
            <w:tcW w:w="709" w:type="dxa"/>
            <w:tcBorders>
              <w:top w:val="nil"/>
              <w:left w:val="single" w:sz="4" w:space="0" w:color="auto"/>
              <w:bottom w:val="nil"/>
              <w:right w:val="single" w:sz="4" w:space="0" w:color="auto"/>
            </w:tcBorders>
          </w:tcPr>
          <w:p w14:paraId="7D1B8639" w14:textId="77777777" w:rsidR="00726C45" w:rsidRDefault="00726C45" w:rsidP="00A37677">
            <w:pPr>
              <w:spacing w:before="0" w:line="240" w:lineRule="auto"/>
              <w:jc w:val="right"/>
              <w:rPr>
                <w:rFonts w:cs="Segoe UI"/>
                <w:sz w:val="16"/>
                <w:szCs w:val="16"/>
              </w:rPr>
            </w:pPr>
            <w:r>
              <w:rPr>
                <w:rFonts w:cs="Segoe UI"/>
                <w:sz w:val="16"/>
                <w:szCs w:val="16"/>
              </w:rPr>
              <w:t>4.2</w:t>
            </w:r>
          </w:p>
        </w:tc>
        <w:tc>
          <w:tcPr>
            <w:tcW w:w="1133" w:type="dxa"/>
            <w:tcBorders>
              <w:top w:val="nil"/>
              <w:left w:val="single" w:sz="4" w:space="0" w:color="auto"/>
              <w:bottom w:val="nil"/>
              <w:right w:val="single" w:sz="4" w:space="0" w:color="auto"/>
            </w:tcBorders>
          </w:tcPr>
          <w:p w14:paraId="23F9389D" w14:textId="77777777" w:rsidR="00726C45" w:rsidRDefault="00726C45" w:rsidP="00A37677">
            <w:pPr>
              <w:spacing w:before="0" w:line="240" w:lineRule="auto"/>
              <w:jc w:val="right"/>
              <w:rPr>
                <w:rFonts w:cs="Segoe UI"/>
                <w:sz w:val="16"/>
                <w:szCs w:val="16"/>
              </w:rPr>
            </w:pPr>
            <w:r>
              <w:rPr>
                <w:rFonts w:cs="Segoe UI"/>
                <w:sz w:val="16"/>
                <w:szCs w:val="16"/>
              </w:rPr>
              <w:t>79.8</w:t>
            </w:r>
          </w:p>
        </w:tc>
      </w:tr>
      <w:tr w:rsidR="00726C45" w:rsidRPr="00BD6DBC" w14:paraId="12725681" w14:textId="77777777" w:rsidTr="00A37677">
        <w:tc>
          <w:tcPr>
            <w:tcW w:w="1418" w:type="dxa"/>
            <w:tcBorders>
              <w:top w:val="nil"/>
              <w:left w:val="single" w:sz="4" w:space="0" w:color="auto"/>
              <w:bottom w:val="nil"/>
              <w:right w:val="single" w:sz="4" w:space="0" w:color="auto"/>
            </w:tcBorders>
            <w:vAlign w:val="bottom"/>
          </w:tcPr>
          <w:p w14:paraId="5D46791F" w14:textId="77777777" w:rsidR="00726C45" w:rsidRPr="002437BF" w:rsidRDefault="00726C45" w:rsidP="00A37677">
            <w:pPr>
              <w:spacing w:before="0" w:line="240" w:lineRule="auto"/>
              <w:rPr>
                <w:rFonts w:eastAsia="Times New Roman" w:cs="Segoe UI"/>
                <w:color w:val="FF0000"/>
                <w:sz w:val="16"/>
                <w:szCs w:val="16"/>
              </w:rPr>
            </w:pPr>
            <w:r w:rsidRPr="002437BF">
              <w:rPr>
                <w:rFonts w:eastAsia="Times New Roman" w:cs="Segoe UI"/>
                <w:color w:val="FF0000"/>
                <w:sz w:val="16"/>
                <w:szCs w:val="16"/>
              </w:rPr>
              <w:t xml:space="preserve">China </w:t>
            </w:r>
          </w:p>
        </w:tc>
        <w:tc>
          <w:tcPr>
            <w:tcW w:w="709" w:type="dxa"/>
            <w:tcBorders>
              <w:top w:val="nil"/>
              <w:left w:val="single" w:sz="4" w:space="0" w:color="auto"/>
              <w:bottom w:val="nil"/>
              <w:right w:val="single" w:sz="4" w:space="0" w:color="auto"/>
            </w:tcBorders>
          </w:tcPr>
          <w:p w14:paraId="73A1893A"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12.3</w:t>
            </w:r>
          </w:p>
        </w:tc>
        <w:tc>
          <w:tcPr>
            <w:tcW w:w="708" w:type="dxa"/>
            <w:tcBorders>
              <w:top w:val="nil"/>
              <w:left w:val="single" w:sz="4" w:space="0" w:color="auto"/>
              <w:bottom w:val="nil"/>
              <w:right w:val="single" w:sz="4" w:space="0" w:color="auto"/>
            </w:tcBorders>
          </w:tcPr>
          <w:p w14:paraId="171A76A6"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39.1</w:t>
            </w:r>
          </w:p>
        </w:tc>
        <w:tc>
          <w:tcPr>
            <w:tcW w:w="993" w:type="dxa"/>
            <w:tcBorders>
              <w:top w:val="nil"/>
              <w:left w:val="single" w:sz="4" w:space="0" w:color="auto"/>
              <w:bottom w:val="nil"/>
              <w:right w:val="single" w:sz="4" w:space="0" w:color="auto"/>
            </w:tcBorders>
          </w:tcPr>
          <w:p w14:paraId="6D468C74"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12.9</w:t>
            </w:r>
          </w:p>
        </w:tc>
        <w:tc>
          <w:tcPr>
            <w:tcW w:w="567" w:type="dxa"/>
            <w:tcBorders>
              <w:top w:val="nil"/>
              <w:left w:val="single" w:sz="4" w:space="0" w:color="auto"/>
              <w:bottom w:val="nil"/>
              <w:right w:val="single" w:sz="4" w:space="0" w:color="auto"/>
            </w:tcBorders>
            <w:vAlign w:val="bottom"/>
          </w:tcPr>
          <w:p w14:paraId="4687294A"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10.7</w:t>
            </w:r>
          </w:p>
        </w:tc>
        <w:tc>
          <w:tcPr>
            <w:tcW w:w="708" w:type="dxa"/>
            <w:tcBorders>
              <w:top w:val="nil"/>
              <w:left w:val="single" w:sz="4" w:space="0" w:color="auto"/>
              <w:bottom w:val="nil"/>
              <w:right w:val="single" w:sz="4" w:space="0" w:color="auto"/>
            </w:tcBorders>
          </w:tcPr>
          <w:p w14:paraId="4A47CC21"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32.6</w:t>
            </w:r>
          </w:p>
        </w:tc>
        <w:tc>
          <w:tcPr>
            <w:tcW w:w="993" w:type="dxa"/>
            <w:tcBorders>
              <w:top w:val="nil"/>
              <w:left w:val="single" w:sz="4" w:space="0" w:color="auto"/>
              <w:bottom w:val="nil"/>
              <w:right w:val="single" w:sz="4" w:space="0" w:color="auto"/>
            </w:tcBorders>
          </w:tcPr>
          <w:p w14:paraId="3F6EFC6F"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19.4</w:t>
            </w:r>
          </w:p>
        </w:tc>
        <w:tc>
          <w:tcPr>
            <w:tcW w:w="992" w:type="dxa"/>
            <w:tcBorders>
              <w:top w:val="nil"/>
              <w:left w:val="single" w:sz="4" w:space="0" w:color="auto"/>
              <w:bottom w:val="nil"/>
              <w:right w:val="single" w:sz="4" w:space="0" w:color="auto"/>
            </w:tcBorders>
          </w:tcPr>
          <w:p w14:paraId="1FD6FE20"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10.7</w:t>
            </w:r>
          </w:p>
        </w:tc>
        <w:tc>
          <w:tcPr>
            <w:tcW w:w="850" w:type="dxa"/>
            <w:tcBorders>
              <w:top w:val="nil"/>
              <w:left w:val="single" w:sz="4" w:space="0" w:color="auto"/>
              <w:bottom w:val="nil"/>
              <w:right w:val="single" w:sz="4" w:space="0" w:color="auto"/>
            </w:tcBorders>
          </w:tcPr>
          <w:p w14:paraId="15DFD643"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9.5</w:t>
            </w:r>
          </w:p>
        </w:tc>
        <w:tc>
          <w:tcPr>
            <w:tcW w:w="567" w:type="dxa"/>
            <w:tcBorders>
              <w:top w:val="nil"/>
              <w:left w:val="single" w:sz="4" w:space="0" w:color="auto"/>
              <w:bottom w:val="nil"/>
              <w:right w:val="single" w:sz="4" w:space="0" w:color="auto"/>
            </w:tcBorders>
          </w:tcPr>
          <w:p w14:paraId="472B8A80"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26.3</w:t>
            </w:r>
          </w:p>
        </w:tc>
        <w:tc>
          <w:tcPr>
            <w:tcW w:w="709" w:type="dxa"/>
            <w:tcBorders>
              <w:top w:val="nil"/>
              <w:left w:val="single" w:sz="4" w:space="0" w:color="auto"/>
              <w:bottom w:val="nil"/>
              <w:right w:val="single" w:sz="4" w:space="0" w:color="auto"/>
            </w:tcBorders>
          </w:tcPr>
          <w:p w14:paraId="6C6D393F"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6.6</w:t>
            </w:r>
          </w:p>
        </w:tc>
        <w:tc>
          <w:tcPr>
            <w:tcW w:w="1133" w:type="dxa"/>
            <w:tcBorders>
              <w:top w:val="nil"/>
              <w:left w:val="single" w:sz="4" w:space="0" w:color="auto"/>
              <w:bottom w:val="nil"/>
              <w:right w:val="single" w:sz="4" w:space="0" w:color="auto"/>
            </w:tcBorders>
          </w:tcPr>
          <w:p w14:paraId="353A238B" w14:textId="77777777" w:rsidR="00726C45" w:rsidRPr="002437BF" w:rsidRDefault="00726C45" w:rsidP="00A37677">
            <w:pPr>
              <w:spacing w:before="0" w:line="240" w:lineRule="auto"/>
              <w:jc w:val="right"/>
              <w:rPr>
                <w:rFonts w:cs="Segoe UI"/>
                <w:color w:val="FF0000"/>
                <w:sz w:val="16"/>
                <w:szCs w:val="16"/>
              </w:rPr>
            </w:pPr>
            <w:r>
              <w:rPr>
                <w:rFonts w:cs="Segoe UI"/>
                <w:color w:val="FF0000"/>
                <w:sz w:val="16"/>
                <w:szCs w:val="16"/>
              </w:rPr>
              <w:t>54.0</w:t>
            </w:r>
          </w:p>
        </w:tc>
      </w:tr>
      <w:tr w:rsidR="00726C45" w:rsidRPr="00BD6DBC" w14:paraId="52B5F603" w14:textId="77777777" w:rsidTr="00A37677">
        <w:tc>
          <w:tcPr>
            <w:tcW w:w="1418" w:type="dxa"/>
            <w:tcBorders>
              <w:top w:val="nil"/>
              <w:left w:val="single" w:sz="4" w:space="0" w:color="auto"/>
              <w:bottom w:val="nil"/>
              <w:right w:val="single" w:sz="4" w:space="0" w:color="auto"/>
            </w:tcBorders>
            <w:vAlign w:val="bottom"/>
          </w:tcPr>
          <w:p w14:paraId="476D3F85"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 xml:space="preserve">Cyprus </w:t>
            </w:r>
          </w:p>
        </w:tc>
        <w:tc>
          <w:tcPr>
            <w:tcW w:w="709" w:type="dxa"/>
            <w:tcBorders>
              <w:top w:val="nil"/>
              <w:left w:val="single" w:sz="4" w:space="0" w:color="auto"/>
              <w:bottom w:val="nil"/>
              <w:right w:val="single" w:sz="4" w:space="0" w:color="auto"/>
            </w:tcBorders>
          </w:tcPr>
          <w:p w14:paraId="452AB50C" w14:textId="77777777" w:rsidR="00726C45" w:rsidRPr="00BD6DBC" w:rsidRDefault="00726C45" w:rsidP="00A37677">
            <w:pPr>
              <w:spacing w:before="0" w:line="240" w:lineRule="auto"/>
              <w:jc w:val="right"/>
              <w:rPr>
                <w:rFonts w:cs="Segoe UI"/>
                <w:sz w:val="16"/>
                <w:szCs w:val="16"/>
              </w:rPr>
            </w:pPr>
            <w:r>
              <w:rPr>
                <w:rFonts w:cs="Segoe UI"/>
                <w:sz w:val="16"/>
                <w:szCs w:val="16"/>
              </w:rPr>
              <w:t>0.0</w:t>
            </w:r>
          </w:p>
        </w:tc>
        <w:tc>
          <w:tcPr>
            <w:tcW w:w="708" w:type="dxa"/>
            <w:tcBorders>
              <w:top w:val="nil"/>
              <w:left w:val="single" w:sz="4" w:space="0" w:color="auto"/>
              <w:bottom w:val="nil"/>
              <w:right w:val="single" w:sz="4" w:space="0" w:color="auto"/>
            </w:tcBorders>
          </w:tcPr>
          <w:p w14:paraId="12705E23" w14:textId="77777777" w:rsidR="00726C45" w:rsidRPr="00BD6DBC" w:rsidRDefault="00726C45" w:rsidP="00A37677">
            <w:pPr>
              <w:spacing w:before="0" w:line="240" w:lineRule="auto"/>
              <w:jc w:val="right"/>
              <w:rPr>
                <w:rFonts w:cs="Segoe UI"/>
                <w:sz w:val="16"/>
                <w:szCs w:val="16"/>
              </w:rPr>
            </w:pPr>
            <w:r>
              <w:rPr>
                <w:rFonts w:cs="Segoe UI"/>
                <w:sz w:val="16"/>
                <w:szCs w:val="16"/>
              </w:rPr>
              <w:t>0.3</w:t>
            </w:r>
          </w:p>
        </w:tc>
        <w:tc>
          <w:tcPr>
            <w:tcW w:w="993" w:type="dxa"/>
            <w:tcBorders>
              <w:top w:val="nil"/>
              <w:left w:val="single" w:sz="4" w:space="0" w:color="auto"/>
              <w:bottom w:val="nil"/>
              <w:right w:val="single" w:sz="4" w:space="0" w:color="auto"/>
            </w:tcBorders>
          </w:tcPr>
          <w:p w14:paraId="7BD810D8" w14:textId="77777777" w:rsidR="00726C45" w:rsidRPr="00BD6DBC" w:rsidRDefault="00726C45" w:rsidP="00A37677">
            <w:pPr>
              <w:spacing w:before="0" w:line="240" w:lineRule="auto"/>
              <w:jc w:val="right"/>
              <w:rPr>
                <w:rFonts w:cs="Segoe UI"/>
                <w:sz w:val="16"/>
                <w:szCs w:val="16"/>
              </w:rPr>
            </w:pPr>
            <w:r>
              <w:rPr>
                <w:rFonts w:cs="Segoe UI"/>
                <w:sz w:val="16"/>
                <w:szCs w:val="16"/>
              </w:rPr>
              <w:t>0.1</w:t>
            </w:r>
          </w:p>
        </w:tc>
        <w:tc>
          <w:tcPr>
            <w:tcW w:w="567" w:type="dxa"/>
            <w:tcBorders>
              <w:top w:val="nil"/>
              <w:left w:val="single" w:sz="4" w:space="0" w:color="auto"/>
              <w:bottom w:val="nil"/>
              <w:right w:val="single" w:sz="4" w:space="0" w:color="auto"/>
            </w:tcBorders>
            <w:vAlign w:val="bottom"/>
          </w:tcPr>
          <w:p w14:paraId="2B0B2E26" w14:textId="77777777" w:rsidR="00726C45" w:rsidRPr="00BD6DBC" w:rsidRDefault="00726C45" w:rsidP="00A37677">
            <w:pPr>
              <w:spacing w:before="0" w:line="240" w:lineRule="auto"/>
              <w:jc w:val="right"/>
              <w:rPr>
                <w:rFonts w:cs="Segoe UI"/>
                <w:sz w:val="16"/>
                <w:szCs w:val="16"/>
              </w:rPr>
            </w:pPr>
            <w:r>
              <w:rPr>
                <w:rFonts w:cs="Segoe UI"/>
                <w:sz w:val="16"/>
                <w:szCs w:val="16"/>
              </w:rPr>
              <w:t>0.1</w:t>
            </w:r>
          </w:p>
        </w:tc>
        <w:tc>
          <w:tcPr>
            <w:tcW w:w="708" w:type="dxa"/>
            <w:tcBorders>
              <w:top w:val="nil"/>
              <w:left w:val="single" w:sz="4" w:space="0" w:color="auto"/>
              <w:bottom w:val="nil"/>
              <w:right w:val="single" w:sz="4" w:space="0" w:color="auto"/>
            </w:tcBorders>
          </w:tcPr>
          <w:p w14:paraId="66F62F0F" w14:textId="77777777" w:rsidR="00726C45" w:rsidRPr="00BD6DBC" w:rsidRDefault="00726C45" w:rsidP="00A37677">
            <w:pPr>
              <w:spacing w:before="0" w:line="240" w:lineRule="auto"/>
              <w:jc w:val="right"/>
              <w:rPr>
                <w:rFonts w:cs="Segoe UI"/>
                <w:sz w:val="16"/>
                <w:szCs w:val="16"/>
              </w:rPr>
            </w:pPr>
            <w:r>
              <w:rPr>
                <w:rFonts w:cs="Segoe UI"/>
                <w:sz w:val="16"/>
                <w:szCs w:val="16"/>
              </w:rPr>
              <w:t>0.2</w:t>
            </w:r>
          </w:p>
        </w:tc>
        <w:tc>
          <w:tcPr>
            <w:tcW w:w="993" w:type="dxa"/>
            <w:tcBorders>
              <w:top w:val="nil"/>
              <w:left w:val="single" w:sz="4" w:space="0" w:color="auto"/>
              <w:bottom w:val="nil"/>
              <w:right w:val="single" w:sz="4" w:space="0" w:color="auto"/>
            </w:tcBorders>
          </w:tcPr>
          <w:p w14:paraId="0D7848B1" w14:textId="77777777" w:rsidR="00726C45" w:rsidRPr="00BD6DBC" w:rsidRDefault="00726C45" w:rsidP="00A37677">
            <w:pPr>
              <w:spacing w:before="0" w:line="240" w:lineRule="auto"/>
              <w:jc w:val="right"/>
              <w:rPr>
                <w:rFonts w:cs="Segoe UI"/>
                <w:sz w:val="16"/>
                <w:szCs w:val="16"/>
              </w:rPr>
            </w:pPr>
            <w:r>
              <w:rPr>
                <w:rFonts w:cs="Segoe UI"/>
                <w:sz w:val="16"/>
                <w:szCs w:val="16"/>
              </w:rPr>
              <w:t>0.2</w:t>
            </w:r>
          </w:p>
        </w:tc>
        <w:tc>
          <w:tcPr>
            <w:tcW w:w="992" w:type="dxa"/>
            <w:tcBorders>
              <w:top w:val="nil"/>
              <w:left w:val="single" w:sz="4" w:space="0" w:color="auto"/>
              <w:bottom w:val="nil"/>
              <w:right w:val="single" w:sz="4" w:space="0" w:color="auto"/>
            </w:tcBorders>
          </w:tcPr>
          <w:p w14:paraId="5A89538A"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0.3</w:t>
            </w:r>
          </w:p>
        </w:tc>
        <w:tc>
          <w:tcPr>
            <w:tcW w:w="850" w:type="dxa"/>
            <w:tcBorders>
              <w:top w:val="nil"/>
              <w:left w:val="single" w:sz="4" w:space="0" w:color="auto"/>
              <w:bottom w:val="nil"/>
              <w:right w:val="single" w:sz="4" w:space="0" w:color="auto"/>
            </w:tcBorders>
          </w:tcPr>
          <w:p w14:paraId="6156B989" w14:textId="77777777" w:rsidR="00726C45" w:rsidRPr="00F37A41" w:rsidRDefault="00726C45" w:rsidP="00A37677">
            <w:pPr>
              <w:spacing w:before="0" w:line="240" w:lineRule="auto"/>
              <w:jc w:val="right"/>
              <w:rPr>
                <w:rFonts w:cs="Segoe UI"/>
                <w:sz w:val="16"/>
                <w:szCs w:val="16"/>
              </w:rPr>
            </w:pPr>
            <w:r>
              <w:rPr>
                <w:rFonts w:cs="Segoe UI"/>
                <w:sz w:val="16"/>
                <w:szCs w:val="16"/>
              </w:rPr>
              <w:t>0.6</w:t>
            </w:r>
          </w:p>
        </w:tc>
        <w:tc>
          <w:tcPr>
            <w:tcW w:w="567" w:type="dxa"/>
            <w:tcBorders>
              <w:top w:val="nil"/>
              <w:left w:val="single" w:sz="4" w:space="0" w:color="auto"/>
              <w:bottom w:val="nil"/>
              <w:right w:val="single" w:sz="4" w:space="0" w:color="auto"/>
            </w:tcBorders>
          </w:tcPr>
          <w:p w14:paraId="5718A5E5" w14:textId="77777777" w:rsidR="00726C45" w:rsidRPr="00F37A41" w:rsidRDefault="00726C45" w:rsidP="00A37677">
            <w:pPr>
              <w:spacing w:before="0" w:line="240" w:lineRule="auto"/>
              <w:jc w:val="right"/>
              <w:rPr>
                <w:rFonts w:cs="Segoe UI"/>
                <w:sz w:val="16"/>
                <w:szCs w:val="16"/>
              </w:rPr>
            </w:pPr>
            <w:r>
              <w:rPr>
                <w:rFonts w:cs="Segoe UI"/>
                <w:sz w:val="16"/>
                <w:szCs w:val="16"/>
              </w:rPr>
              <w:t>0.3</w:t>
            </w:r>
          </w:p>
        </w:tc>
        <w:tc>
          <w:tcPr>
            <w:tcW w:w="709" w:type="dxa"/>
            <w:tcBorders>
              <w:top w:val="nil"/>
              <w:left w:val="single" w:sz="4" w:space="0" w:color="auto"/>
              <w:bottom w:val="nil"/>
              <w:right w:val="single" w:sz="4" w:space="0" w:color="auto"/>
            </w:tcBorders>
          </w:tcPr>
          <w:p w14:paraId="67A115F6" w14:textId="77777777" w:rsidR="00726C45" w:rsidRDefault="00726C45" w:rsidP="00A37677">
            <w:pPr>
              <w:spacing w:before="0" w:line="240" w:lineRule="auto"/>
              <w:jc w:val="right"/>
              <w:rPr>
                <w:rFonts w:cs="Segoe UI"/>
                <w:sz w:val="16"/>
                <w:szCs w:val="16"/>
              </w:rPr>
            </w:pPr>
            <w:r>
              <w:rPr>
                <w:rFonts w:cs="Segoe UI"/>
                <w:sz w:val="16"/>
                <w:szCs w:val="16"/>
              </w:rPr>
              <w:t>0.1</w:t>
            </w:r>
          </w:p>
        </w:tc>
        <w:tc>
          <w:tcPr>
            <w:tcW w:w="1133" w:type="dxa"/>
            <w:tcBorders>
              <w:top w:val="nil"/>
              <w:left w:val="single" w:sz="4" w:space="0" w:color="auto"/>
              <w:bottom w:val="nil"/>
              <w:right w:val="single" w:sz="4" w:space="0" w:color="auto"/>
            </w:tcBorders>
          </w:tcPr>
          <w:p w14:paraId="29D45B0E" w14:textId="77777777" w:rsidR="00726C45" w:rsidRDefault="00726C45" w:rsidP="00A37677">
            <w:pPr>
              <w:spacing w:before="0" w:line="240" w:lineRule="auto"/>
              <w:jc w:val="right"/>
              <w:rPr>
                <w:rFonts w:cs="Segoe UI"/>
                <w:sz w:val="16"/>
                <w:szCs w:val="16"/>
              </w:rPr>
            </w:pPr>
            <w:r>
              <w:rPr>
                <w:rFonts w:cs="Segoe UI"/>
                <w:sz w:val="16"/>
                <w:szCs w:val="16"/>
              </w:rPr>
              <w:t>98.7</w:t>
            </w:r>
          </w:p>
        </w:tc>
      </w:tr>
      <w:tr w:rsidR="00726C45" w:rsidRPr="00BD6DBC" w14:paraId="379F590D" w14:textId="77777777" w:rsidTr="00A37677">
        <w:tc>
          <w:tcPr>
            <w:tcW w:w="1418" w:type="dxa"/>
            <w:tcBorders>
              <w:top w:val="nil"/>
              <w:left w:val="single" w:sz="4" w:space="0" w:color="auto"/>
              <w:bottom w:val="nil"/>
              <w:right w:val="single" w:sz="4" w:space="0" w:color="auto"/>
            </w:tcBorders>
            <w:vAlign w:val="bottom"/>
          </w:tcPr>
          <w:p w14:paraId="29ABA756"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Egypt</w:t>
            </w:r>
          </w:p>
        </w:tc>
        <w:tc>
          <w:tcPr>
            <w:tcW w:w="709" w:type="dxa"/>
            <w:tcBorders>
              <w:top w:val="nil"/>
              <w:left w:val="single" w:sz="4" w:space="0" w:color="auto"/>
              <w:bottom w:val="nil"/>
              <w:right w:val="single" w:sz="4" w:space="0" w:color="auto"/>
            </w:tcBorders>
          </w:tcPr>
          <w:p w14:paraId="393F4457" w14:textId="77777777" w:rsidR="00726C45" w:rsidRPr="00BD6DBC" w:rsidRDefault="00726C45" w:rsidP="00A37677">
            <w:pPr>
              <w:spacing w:before="0" w:line="240" w:lineRule="auto"/>
              <w:jc w:val="right"/>
              <w:rPr>
                <w:rFonts w:cs="Segoe UI"/>
                <w:sz w:val="16"/>
                <w:szCs w:val="16"/>
              </w:rPr>
            </w:pPr>
            <w:r>
              <w:rPr>
                <w:rFonts w:cs="Segoe UI"/>
                <w:sz w:val="16"/>
                <w:szCs w:val="16"/>
              </w:rPr>
              <w:t>0.7</w:t>
            </w:r>
          </w:p>
        </w:tc>
        <w:tc>
          <w:tcPr>
            <w:tcW w:w="708" w:type="dxa"/>
            <w:tcBorders>
              <w:top w:val="nil"/>
              <w:left w:val="single" w:sz="4" w:space="0" w:color="auto"/>
              <w:bottom w:val="nil"/>
              <w:right w:val="single" w:sz="4" w:space="0" w:color="auto"/>
            </w:tcBorders>
          </w:tcPr>
          <w:p w14:paraId="4B2D9CFD" w14:textId="77777777" w:rsidR="00726C45" w:rsidRPr="00BD6DBC" w:rsidRDefault="00726C45" w:rsidP="00A37677">
            <w:pPr>
              <w:spacing w:before="0" w:line="240" w:lineRule="auto"/>
              <w:jc w:val="right"/>
              <w:rPr>
                <w:rFonts w:cs="Segoe UI"/>
                <w:sz w:val="16"/>
                <w:szCs w:val="16"/>
              </w:rPr>
            </w:pPr>
            <w:r>
              <w:rPr>
                <w:rFonts w:cs="Segoe UI"/>
                <w:sz w:val="16"/>
                <w:szCs w:val="16"/>
              </w:rPr>
              <w:t>2.7</w:t>
            </w:r>
          </w:p>
        </w:tc>
        <w:tc>
          <w:tcPr>
            <w:tcW w:w="993" w:type="dxa"/>
            <w:tcBorders>
              <w:top w:val="nil"/>
              <w:left w:val="single" w:sz="4" w:space="0" w:color="auto"/>
              <w:bottom w:val="nil"/>
              <w:right w:val="single" w:sz="4" w:space="0" w:color="auto"/>
            </w:tcBorders>
          </w:tcPr>
          <w:p w14:paraId="2FEC7884" w14:textId="77777777" w:rsidR="00726C45" w:rsidRPr="00BD6DBC" w:rsidRDefault="00726C45" w:rsidP="00A37677">
            <w:pPr>
              <w:spacing w:before="0" w:line="240" w:lineRule="auto"/>
              <w:jc w:val="right"/>
              <w:rPr>
                <w:rFonts w:cs="Segoe UI"/>
                <w:sz w:val="16"/>
                <w:szCs w:val="16"/>
              </w:rPr>
            </w:pPr>
            <w:r>
              <w:rPr>
                <w:rFonts w:cs="Segoe UI"/>
                <w:sz w:val="16"/>
                <w:szCs w:val="16"/>
              </w:rPr>
              <w:t>0.2</w:t>
            </w:r>
          </w:p>
        </w:tc>
        <w:tc>
          <w:tcPr>
            <w:tcW w:w="567" w:type="dxa"/>
            <w:tcBorders>
              <w:top w:val="nil"/>
              <w:left w:val="single" w:sz="4" w:space="0" w:color="auto"/>
              <w:bottom w:val="nil"/>
              <w:right w:val="single" w:sz="4" w:space="0" w:color="auto"/>
            </w:tcBorders>
            <w:vAlign w:val="bottom"/>
          </w:tcPr>
          <w:p w14:paraId="1DD83B4B" w14:textId="77777777" w:rsidR="00726C45" w:rsidRPr="00BD6DBC" w:rsidRDefault="00726C45" w:rsidP="00A37677">
            <w:pPr>
              <w:spacing w:before="0" w:line="240" w:lineRule="auto"/>
              <w:jc w:val="right"/>
              <w:rPr>
                <w:rFonts w:cs="Segoe UI"/>
                <w:sz w:val="16"/>
                <w:szCs w:val="16"/>
              </w:rPr>
            </w:pPr>
            <w:r>
              <w:rPr>
                <w:rFonts w:cs="Segoe UI"/>
                <w:sz w:val="16"/>
                <w:szCs w:val="16"/>
              </w:rPr>
              <w:t>0.7</w:t>
            </w:r>
          </w:p>
        </w:tc>
        <w:tc>
          <w:tcPr>
            <w:tcW w:w="708" w:type="dxa"/>
            <w:tcBorders>
              <w:top w:val="nil"/>
              <w:left w:val="single" w:sz="4" w:space="0" w:color="auto"/>
              <w:bottom w:val="nil"/>
              <w:right w:val="single" w:sz="4" w:space="0" w:color="auto"/>
            </w:tcBorders>
          </w:tcPr>
          <w:p w14:paraId="0B676FD6" w14:textId="77777777" w:rsidR="00726C45" w:rsidRPr="00BD6DBC" w:rsidRDefault="00726C45" w:rsidP="00A37677">
            <w:pPr>
              <w:spacing w:before="0" w:line="240" w:lineRule="auto"/>
              <w:jc w:val="right"/>
              <w:rPr>
                <w:rFonts w:cs="Segoe UI"/>
                <w:sz w:val="16"/>
                <w:szCs w:val="16"/>
              </w:rPr>
            </w:pPr>
            <w:r>
              <w:rPr>
                <w:rFonts w:cs="Segoe UI"/>
                <w:sz w:val="16"/>
                <w:szCs w:val="16"/>
              </w:rPr>
              <w:t>2.0</w:t>
            </w:r>
          </w:p>
        </w:tc>
        <w:tc>
          <w:tcPr>
            <w:tcW w:w="993" w:type="dxa"/>
            <w:tcBorders>
              <w:top w:val="nil"/>
              <w:left w:val="single" w:sz="4" w:space="0" w:color="auto"/>
              <w:bottom w:val="nil"/>
              <w:right w:val="single" w:sz="4" w:space="0" w:color="auto"/>
            </w:tcBorders>
          </w:tcPr>
          <w:p w14:paraId="1A3A1214" w14:textId="77777777" w:rsidR="00726C45" w:rsidRPr="00BD6DBC" w:rsidRDefault="00726C45" w:rsidP="00A37677">
            <w:pPr>
              <w:spacing w:before="0" w:line="240" w:lineRule="auto"/>
              <w:jc w:val="right"/>
              <w:rPr>
                <w:rFonts w:cs="Segoe UI"/>
                <w:sz w:val="16"/>
                <w:szCs w:val="16"/>
              </w:rPr>
            </w:pPr>
            <w:r>
              <w:rPr>
                <w:rFonts w:cs="Segoe UI"/>
                <w:sz w:val="16"/>
                <w:szCs w:val="16"/>
              </w:rPr>
              <w:t>3.1</w:t>
            </w:r>
          </w:p>
        </w:tc>
        <w:tc>
          <w:tcPr>
            <w:tcW w:w="992" w:type="dxa"/>
            <w:tcBorders>
              <w:top w:val="nil"/>
              <w:left w:val="single" w:sz="4" w:space="0" w:color="auto"/>
              <w:bottom w:val="nil"/>
              <w:right w:val="single" w:sz="4" w:space="0" w:color="auto"/>
            </w:tcBorders>
          </w:tcPr>
          <w:p w14:paraId="40D4389F"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1.3</w:t>
            </w:r>
          </w:p>
        </w:tc>
        <w:tc>
          <w:tcPr>
            <w:tcW w:w="850" w:type="dxa"/>
            <w:tcBorders>
              <w:top w:val="nil"/>
              <w:left w:val="single" w:sz="4" w:space="0" w:color="auto"/>
              <w:bottom w:val="nil"/>
              <w:right w:val="single" w:sz="4" w:space="0" w:color="auto"/>
            </w:tcBorders>
          </w:tcPr>
          <w:p w14:paraId="288CFDCF" w14:textId="77777777" w:rsidR="00726C45" w:rsidRPr="00F37A41" w:rsidRDefault="00726C45" w:rsidP="00A37677">
            <w:pPr>
              <w:spacing w:before="0" w:line="240" w:lineRule="auto"/>
              <w:jc w:val="right"/>
              <w:rPr>
                <w:rFonts w:cs="Segoe UI"/>
                <w:sz w:val="16"/>
                <w:szCs w:val="16"/>
              </w:rPr>
            </w:pPr>
            <w:r>
              <w:rPr>
                <w:rFonts w:cs="Segoe UI"/>
                <w:sz w:val="16"/>
                <w:szCs w:val="16"/>
              </w:rPr>
              <w:t>0.5</w:t>
            </w:r>
          </w:p>
        </w:tc>
        <w:tc>
          <w:tcPr>
            <w:tcW w:w="567" w:type="dxa"/>
            <w:tcBorders>
              <w:top w:val="nil"/>
              <w:left w:val="single" w:sz="4" w:space="0" w:color="auto"/>
              <w:bottom w:val="nil"/>
              <w:right w:val="single" w:sz="4" w:space="0" w:color="auto"/>
            </w:tcBorders>
          </w:tcPr>
          <w:p w14:paraId="43F1C411" w14:textId="77777777" w:rsidR="00726C45" w:rsidRPr="00F37A41" w:rsidRDefault="00726C45" w:rsidP="00A37677">
            <w:pPr>
              <w:spacing w:before="0" w:line="240" w:lineRule="auto"/>
              <w:jc w:val="right"/>
              <w:rPr>
                <w:rFonts w:cs="Segoe UI"/>
                <w:sz w:val="16"/>
                <w:szCs w:val="16"/>
              </w:rPr>
            </w:pPr>
            <w:r>
              <w:rPr>
                <w:rFonts w:cs="Segoe UI"/>
                <w:sz w:val="16"/>
                <w:szCs w:val="16"/>
              </w:rPr>
              <w:t>1.0</w:t>
            </w:r>
          </w:p>
        </w:tc>
        <w:tc>
          <w:tcPr>
            <w:tcW w:w="709" w:type="dxa"/>
            <w:tcBorders>
              <w:top w:val="nil"/>
              <w:left w:val="single" w:sz="4" w:space="0" w:color="auto"/>
              <w:bottom w:val="nil"/>
              <w:right w:val="single" w:sz="4" w:space="0" w:color="auto"/>
            </w:tcBorders>
          </w:tcPr>
          <w:p w14:paraId="2CFBA029" w14:textId="77777777" w:rsidR="00726C45" w:rsidRDefault="00726C45" w:rsidP="00A37677">
            <w:pPr>
              <w:spacing w:before="0" w:line="240" w:lineRule="auto"/>
              <w:jc w:val="right"/>
              <w:rPr>
                <w:rFonts w:cs="Segoe UI"/>
                <w:sz w:val="16"/>
                <w:szCs w:val="16"/>
              </w:rPr>
            </w:pPr>
            <w:r>
              <w:rPr>
                <w:rFonts w:cs="Segoe UI"/>
                <w:sz w:val="16"/>
                <w:szCs w:val="16"/>
              </w:rPr>
              <w:t>0.4</w:t>
            </w:r>
          </w:p>
        </w:tc>
        <w:tc>
          <w:tcPr>
            <w:tcW w:w="1133" w:type="dxa"/>
            <w:tcBorders>
              <w:top w:val="nil"/>
              <w:left w:val="single" w:sz="4" w:space="0" w:color="auto"/>
              <w:bottom w:val="nil"/>
              <w:right w:val="single" w:sz="4" w:space="0" w:color="auto"/>
            </w:tcBorders>
          </w:tcPr>
          <w:p w14:paraId="4C3C1285" w14:textId="77777777" w:rsidR="00726C45" w:rsidRDefault="00726C45" w:rsidP="00A37677">
            <w:pPr>
              <w:spacing w:before="0" w:line="240" w:lineRule="auto"/>
              <w:jc w:val="right"/>
              <w:rPr>
                <w:rFonts w:cs="Segoe UI"/>
                <w:sz w:val="16"/>
                <w:szCs w:val="16"/>
              </w:rPr>
            </w:pPr>
            <w:r>
              <w:rPr>
                <w:rFonts w:cs="Segoe UI"/>
                <w:sz w:val="16"/>
                <w:szCs w:val="16"/>
              </w:rPr>
              <w:t>96.7</w:t>
            </w:r>
          </w:p>
        </w:tc>
      </w:tr>
      <w:tr w:rsidR="00726C45" w:rsidRPr="00BD6DBC" w14:paraId="406980FE" w14:textId="77777777" w:rsidTr="00A37677">
        <w:tc>
          <w:tcPr>
            <w:tcW w:w="1418" w:type="dxa"/>
            <w:tcBorders>
              <w:top w:val="nil"/>
              <w:left w:val="single" w:sz="4" w:space="0" w:color="auto"/>
              <w:bottom w:val="nil"/>
              <w:right w:val="single" w:sz="4" w:space="0" w:color="auto"/>
            </w:tcBorders>
            <w:vAlign w:val="bottom"/>
          </w:tcPr>
          <w:p w14:paraId="77280E4D"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Ethiopia</w:t>
            </w:r>
          </w:p>
        </w:tc>
        <w:tc>
          <w:tcPr>
            <w:tcW w:w="709" w:type="dxa"/>
            <w:tcBorders>
              <w:top w:val="nil"/>
              <w:left w:val="single" w:sz="4" w:space="0" w:color="auto"/>
              <w:bottom w:val="nil"/>
              <w:right w:val="single" w:sz="4" w:space="0" w:color="auto"/>
            </w:tcBorders>
          </w:tcPr>
          <w:p w14:paraId="56B9A438" w14:textId="77777777" w:rsidR="00726C45" w:rsidRPr="00BD6DBC" w:rsidRDefault="00726C45" w:rsidP="00A37677">
            <w:pPr>
              <w:spacing w:before="0" w:line="240" w:lineRule="auto"/>
              <w:jc w:val="right"/>
              <w:rPr>
                <w:rFonts w:cs="Segoe UI"/>
                <w:sz w:val="16"/>
                <w:szCs w:val="16"/>
              </w:rPr>
            </w:pPr>
            <w:r>
              <w:rPr>
                <w:rFonts w:cs="Segoe UI"/>
                <w:sz w:val="16"/>
                <w:szCs w:val="16"/>
              </w:rPr>
              <w:t>0.6</w:t>
            </w:r>
          </w:p>
        </w:tc>
        <w:tc>
          <w:tcPr>
            <w:tcW w:w="708" w:type="dxa"/>
            <w:tcBorders>
              <w:top w:val="nil"/>
              <w:left w:val="single" w:sz="4" w:space="0" w:color="auto"/>
              <w:bottom w:val="nil"/>
              <w:right w:val="single" w:sz="4" w:space="0" w:color="auto"/>
            </w:tcBorders>
          </w:tcPr>
          <w:p w14:paraId="2ADDE91D" w14:textId="77777777" w:rsidR="00726C45" w:rsidRPr="00BD6DBC" w:rsidRDefault="00726C45" w:rsidP="00A37677">
            <w:pPr>
              <w:spacing w:before="0" w:line="240" w:lineRule="auto"/>
              <w:jc w:val="right"/>
              <w:rPr>
                <w:rFonts w:cs="Segoe UI"/>
                <w:sz w:val="16"/>
                <w:szCs w:val="16"/>
              </w:rPr>
            </w:pPr>
            <w:r>
              <w:rPr>
                <w:rFonts w:cs="Segoe UI"/>
                <w:sz w:val="16"/>
                <w:szCs w:val="16"/>
              </w:rPr>
              <w:t>3.4</w:t>
            </w:r>
          </w:p>
        </w:tc>
        <w:tc>
          <w:tcPr>
            <w:tcW w:w="993" w:type="dxa"/>
            <w:tcBorders>
              <w:top w:val="nil"/>
              <w:left w:val="single" w:sz="4" w:space="0" w:color="auto"/>
              <w:bottom w:val="nil"/>
              <w:right w:val="single" w:sz="4" w:space="0" w:color="auto"/>
            </w:tcBorders>
          </w:tcPr>
          <w:p w14:paraId="1E44BF2D"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567" w:type="dxa"/>
            <w:tcBorders>
              <w:top w:val="nil"/>
              <w:left w:val="single" w:sz="4" w:space="0" w:color="auto"/>
              <w:bottom w:val="nil"/>
              <w:right w:val="single" w:sz="4" w:space="0" w:color="auto"/>
            </w:tcBorders>
            <w:vAlign w:val="bottom"/>
          </w:tcPr>
          <w:p w14:paraId="4E66D952" w14:textId="77777777" w:rsidR="00726C45" w:rsidRPr="00BD6DBC" w:rsidRDefault="00726C45" w:rsidP="00A37677">
            <w:pPr>
              <w:spacing w:before="0" w:line="240" w:lineRule="auto"/>
              <w:jc w:val="right"/>
              <w:rPr>
                <w:rFonts w:cs="Segoe UI"/>
                <w:sz w:val="16"/>
                <w:szCs w:val="16"/>
              </w:rPr>
            </w:pPr>
            <w:r>
              <w:rPr>
                <w:rFonts w:cs="Segoe UI"/>
                <w:sz w:val="16"/>
                <w:szCs w:val="16"/>
              </w:rPr>
              <w:t>2.0</w:t>
            </w:r>
          </w:p>
        </w:tc>
        <w:tc>
          <w:tcPr>
            <w:tcW w:w="708" w:type="dxa"/>
            <w:tcBorders>
              <w:top w:val="nil"/>
              <w:left w:val="single" w:sz="4" w:space="0" w:color="auto"/>
              <w:bottom w:val="nil"/>
              <w:right w:val="single" w:sz="4" w:space="0" w:color="auto"/>
            </w:tcBorders>
          </w:tcPr>
          <w:p w14:paraId="5AABEC90" w14:textId="77777777" w:rsidR="00726C45" w:rsidRPr="00BD6DBC" w:rsidRDefault="00726C45" w:rsidP="00A37677">
            <w:pPr>
              <w:spacing w:before="0" w:line="240" w:lineRule="auto"/>
              <w:jc w:val="right"/>
              <w:rPr>
                <w:rFonts w:cs="Segoe UI"/>
                <w:sz w:val="16"/>
                <w:szCs w:val="16"/>
              </w:rPr>
            </w:pPr>
            <w:r>
              <w:rPr>
                <w:rFonts w:cs="Segoe UI"/>
                <w:sz w:val="16"/>
                <w:szCs w:val="16"/>
              </w:rPr>
              <w:t>4.1</w:t>
            </w:r>
          </w:p>
        </w:tc>
        <w:tc>
          <w:tcPr>
            <w:tcW w:w="993" w:type="dxa"/>
            <w:tcBorders>
              <w:top w:val="nil"/>
              <w:left w:val="single" w:sz="4" w:space="0" w:color="auto"/>
              <w:bottom w:val="nil"/>
              <w:right w:val="single" w:sz="4" w:space="0" w:color="auto"/>
            </w:tcBorders>
          </w:tcPr>
          <w:p w14:paraId="109F3EFC" w14:textId="77777777" w:rsidR="00726C45" w:rsidRPr="00BD6DBC" w:rsidRDefault="00726C45" w:rsidP="00A37677">
            <w:pPr>
              <w:spacing w:before="0" w:line="240" w:lineRule="auto"/>
              <w:jc w:val="right"/>
              <w:rPr>
                <w:rFonts w:cs="Segoe UI"/>
                <w:sz w:val="16"/>
                <w:szCs w:val="16"/>
              </w:rPr>
            </w:pPr>
            <w:r>
              <w:rPr>
                <w:rFonts w:cs="Segoe UI"/>
                <w:sz w:val="16"/>
                <w:szCs w:val="16"/>
              </w:rPr>
              <w:t>5.5</w:t>
            </w:r>
          </w:p>
        </w:tc>
        <w:tc>
          <w:tcPr>
            <w:tcW w:w="992" w:type="dxa"/>
            <w:tcBorders>
              <w:top w:val="nil"/>
              <w:left w:val="single" w:sz="4" w:space="0" w:color="auto"/>
              <w:bottom w:val="nil"/>
              <w:right w:val="single" w:sz="4" w:space="0" w:color="auto"/>
            </w:tcBorders>
          </w:tcPr>
          <w:p w14:paraId="484007E3"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6.0</w:t>
            </w:r>
          </w:p>
        </w:tc>
        <w:tc>
          <w:tcPr>
            <w:tcW w:w="850" w:type="dxa"/>
            <w:tcBorders>
              <w:top w:val="nil"/>
              <w:left w:val="single" w:sz="4" w:space="0" w:color="auto"/>
              <w:bottom w:val="nil"/>
              <w:right w:val="single" w:sz="4" w:space="0" w:color="auto"/>
            </w:tcBorders>
          </w:tcPr>
          <w:p w14:paraId="5B7B6E19" w14:textId="77777777" w:rsidR="00726C45" w:rsidRPr="00F37A41" w:rsidRDefault="00726C45" w:rsidP="00A37677">
            <w:pPr>
              <w:spacing w:before="0" w:line="240" w:lineRule="auto"/>
              <w:jc w:val="right"/>
              <w:rPr>
                <w:rFonts w:cs="Segoe UI"/>
                <w:sz w:val="16"/>
                <w:szCs w:val="16"/>
              </w:rPr>
            </w:pPr>
            <w:r>
              <w:rPr>
                <w:rFonts w:cs="Segoe UI"/>
                <w:sz w:val="16"/>
                <w:szCs w:val="16"/>
              </w:rPr>
              <w:t>1.9</w:t>
            </w:r>
          </w:p>
        </w:tc>
        <w:tc>
          <w:tcPr>
            <w:tcW w:w="567" w:type="dxa"/>
            <w:tcBorders>
              <w:top w:val="nil"/>
              <w:left w:val="single" w:sz="4" w:space="0" w:color="auto"/>
              <w:bottom w:val="nil"/>
              <w:right w:val="single" w:sz="4" w:space="0" w:color="auto"/>
            </w:tcBorders>
          </w:tcPr>
          <w:p w14:paraId="293B9EBC" w14:textId="77777777" w:rsidR="00726C45" w:rsidRPr="00F37A41" w:rsidRDefault="00726C45" w:rsidP="00A37677">
            <w:pPr>
              <w:spacing w:before="0" w:line="240" w:lineRule="auto"/>
              <w:jc w:val="right"/>
              <w:rPr>
                <w:rFonts w:cs="Segoe UI"/>
                <w:sz w:val="16"/>
                <w:szCs w:val="16"/>
              </w:rPr>
            </w:pPr>
            <w:r>
              <w:rPr>
                <w:rFonts w:cs="Segoe UI"/>
                <w:sz w:val="16"/>
                <w:szCs w:val="16"/>
              </w:rPr>
              <w:t>6.3</w:t>
            </w:r>
          </w:p>
        </w:tc>
        <w:tc>
          <w:tcPr>
            <w:tcW w:w="709" w:type="dxa"/>
            <w:tcBorders>
              <w:top w:val="nil"/>
              <w:left w:val="single" w:sz="4" w:space="0" w:color="auto"/>
              <w:bottom w:val="nil"/>
              <w:right w:val="single" w:sz="4" w:space="0" w:color="auto"/>
            </w:tcBorders>
          </w:tcPr>
          <w:p w14:paraId="6F454A1E" w14:textId="77777777" w:rsidR="00726C45" w:rsidRDefault="00726C45" w:rsidP="00A37677">
            <w:pPr>
              <w:spacing w:before="0" w:line="240" w:lineRule="auto"/>
              <w:jc w:val="right"/>
              <w:rPr>
                <w:rFonts w:cs="Segoe UI"/>
                <w:sz w:val="16"/>
                <w:szCs w:val="16"/>
              </w:rPr>
            </w:pPr>
            <w:r>
              <w:rPr>
                <w:rFonts w:cs="Segoe UI"/>
                <w:sz w:val="16"/>
                <w:szCs w:val="16"/>
              </w:rPr>
              <w:t>0.4</w:t>
            </w:r>
          </w:p>
        </w:tc>
        <w:tc>
          <w:tcPr>
            <w:tcW w:w="1133" w:type="dxa"/>
            <w:tcBorders>
              <w:top w:val="nil"/>
              <w:left w:val="single" w:sz="4" w:space="0" w:color="auto"/>
              <w:bottom w:val="nil"/>
              <w:right w:val="single" w:sz="4" w:space="0" w:color="auto"/>
            </w:tcBorders>
          </w:tcPr>
          <w:p w14:paraId="5039471A" w14:textId="77777777" w:rsidR="00726C45" w:rsidRDefault="00726C45" w:rsidP="00A37677">
            <w:pPr>
              <w:spacing w:before="0" w:line="240" w:lineRule="auto"/>
              <w:jc w:val="right"/>
              <w:rPr>
                <w:rFonts w:cs="Segoe UI"/>
                <w:sz w:val="16"/>
                <w:szCs w:val="16"/>
              </w:rPr>
            </w:pPr>
            <w:r>
              <w:rPr>
                <w:rFonts w:cs="Segoe UI"/>
                <w:sz w:val="16"/>
                <w:szCs w:val="16"/>
              </w:rPr>
              <w:t>88.2</w:t>
            </w:r>
          </w:p>
        </w:tc>
      </w:tr>
      <w:tr w:rsidR="00726C45" w:rsidRPr="00BD6DBC" w14:paraId="6E64C8D3" w14:textId="77777777" w:rsidTr="00A37677">
        <w:tc>
          <w:tcPr>
            <w:tcW w:w="1418" w:type="dxa"/>
            <w:tcBorders>
              <w:top w:val="nil"/>
              <w:left w:val="single" w:sz="4" w:space="0" w:color="auto"/>
              <w:bottom w:val="nil"/>
              <w:right w:val="single" w:sz="4" w:space="0" w:color="auto"/>
            </w:tcBorders>
            <w:vAlign w:val="bottom"/>
          </w:tcPr>
          <w:p w14:paraId="2A86743B"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Finland</w:t>
            </w:r>
          </w:p>
        </w:tc>
        <w:tc>
          <w:tcPr>
            <w:tcW w:w="709" w:type="dxa"/>
            <w:tcBorders>
              <w:top w:val="nil"/>
              <w:left w:val="single" w:sz="4" w:space="0" w:color="auto"/>
              <w:bottom w:val="nil"/>
              <w:right w:val="single" w:sz="4" w:space="0" w:color="auto"/>
            </w:tcBorders>
          </w:tcPr>
          <w:p w14:paraId="0325BAC1" w14:textId="77777777" w:rsidR="00726C45" w:rsidRPr="00BD6DBC" w:rsidRDefault="00726C45" w:rsidP="00A37677">
            <w:pPr>
              <w:spacing w:before="0" w:line="240" w:lineRule="auto"/>
              <w:jc w:val="right"/>
              <w:rPr>
                <w:rFonts w:cs="Segoe UI"/>
                <w:sz w:val="16"/>
                <w:szCs w:val="16"/>
              </w:rPr>
            </w:pPr>
            <w:r>
              <w:rPr>
                <w:rFonts w:cs="Segoe UI"/>
                <w:sz w:val="16"/>
                <w:szCs w:val="16"/>
              </w:rPr>
              <w:t>1.9</w:t>
            </w:r>
          </w:p>
        </w:tc>
        <w:tc>
          <w:tcPr>
            <w:tcW w:w="708" w:type="dxa"/>
            <w:tcBorders>
              <w:top w:val="nil"/>
              <w:left w:val="single" w:sz="4" w:space="0" w:color="auto"/>
              <w:bottom w:val="nil"/>
              <w:right w:val="single" w:sz="4" w:space="0" w:color="auto"/>
            </w:tcBorders>
          </w:tcPr>
          <w:p w14:paraId="597A1DE2" w14:textId="77777777" w:rsidR="00726C45" w:rsidRPr="00BD6DBC" w:rsidRDefault="00726C45" w:rsidP="00A37677">
            <w:pPr>
              <w:spacing w:before="0" w:line="240" w:lineRule="auto"/>
              <w:jc w:val="right"/>
              <w:rPr>
                <w:rFonts w:cs="Segoe UI"/>
                <w:sz w:val="16"/>
                <w:szCs w:val="16"/>
              </w:rPr>
            </w:pPr>
            <w:r>
              <w:rPr>
                <w:rFonts w:cs="Segoe UI"/>
                <w:sz w:val="16"/>
                <w:szCs w:val="16"/>
              </w:rPr>
              <w:t>2.4</w:t>
            </w:r>
          </w:p>
        </w:tc>
        <w:tc>
          <w:tcPr>
            <w:tcW w:w="993" w:type="dxa"/>
            <w:tcBorders>
              <w:top w:val="nil"/>
              <w:left w:val="single" w:sz="4" w:space="0" w:color="auto"/>
              <w:bottom w:val="nil"/>
              <w:right w:val="single" w:sz="4" w:space="0" w:color="auto"/>
            </w:tcBorders>
          </w:tcPr>
          <w:p w14:paraId="3CD9418B" w14:textId="77777777" w:rsidR="00726C45" w:rsidRPr="00BD6DBC" w:rsidRDefault="00726C45" w:rsidP="00A37677">
            <w:pPr>
              <w:spacing w:before="0" w:line="240" w:lineRule="auto"/>
              <w:jc w:val="right"/>
              <w:rPr>
                <w:rFonts w:cs="Segoe UI"/>
                <w:sz w:val="16"/>
                <w:szCs w:val="16"/>
              </w:rPr>
            </w:pPr>
            <w:r>
              <w:rPr>
                <w:rFonts w:cs="Segoe UI"/>
                <w:sz w:val="16"/>
                <w:szCs w:val="16"/>
              </w:rPr>
              <w:t>1.2</w:t>
            </w:r>
          </w:p>
        </w:tc>
        <w:tc>
          <w:tcPr>
            <w:tcW w:w="567" w:type="dxa"/>
            <w:tcBorders>
              <w:top w:val="nil"/>
              <w:left w:val="single" w:sz="4" w:space="0" w:color="auto"/>
              <w:bottom w:val="nil"/>
              <w:right w:val="single" w:sz="4" w:space="0" w:color="auto"/>
            </w:tcBorders>
            <w:vAlign w:val="bottom"/>
          </w:tcPr>
          <w:p w14:paraId="75B44530"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708" w:type="dxa"/>
            <w:tcBorders>
              <w:top w:val="nil"/>
              <w:left w:val="single" w:sz="4" w:space="0" w:color="auto"/>
              <w:bottom w:val="nil"/>
              <w:right w:val="single" w:sz="4" w:space="0" w:color="auto"/>
            </w:tcBorders>
          </w:tcPr>
          <w:p w14:paraId="1FCF3E85" w14:textId="77777777" w:rsidR="00726C45" w:rsidRPr="00BD6DBC" w:rsidRDefault="00726C45" w:rsidP="00A37677">
            <w:pPr>
              <w:spacing w:before="0" w:line="240" w:lineRule="auto"/>
              <w:jc w:val="right"/>
              <w:rPr>
                <w:rFonts w:cs="Segoe UI"/>
                <w:sz w:val="16"/>
                <w:szCs w:val="16"/>
              </w:rPr>
            </w:pPr>
            <w:r>
              <w:rPr>
                <w:rFonts w:cs="Segoe UI"/>
                <w:sz w:val="16"/>
                <w:szCs w:val="16"/>
              </w:rPr>
              <w:t>2.2</w:t>
            </w:r>
          </w:p>
        </w:tc>
        <w:tc>
          <w:tcPr>
            <w:tcW w:w="993" w:type="dxa"/>
            <w:tcBorders>
              <w:top w:val="nil"/>
              <w:left w:val="single" w:sz="4" w:space="0" w:color="auto"/>
              <w:bottom w:val="nil"/>
              <w:right w:val="single" w:sz="4" w:space="0" w:color="auto"/>
            </w:tcBorders>
          </w:tcPr>
          <w:p w14:paraId="6C9E465C" w14:textId="77777777" w:rsidR="00726C45" w:rsidRPr="00BD6DBC" w:rsidRDefault="00726C45" w:rsidP="00A37677">
            <w:pPr>
              <w:spacing w:before="0" w:line="240" w:lineRule="auto"/>
              <w:jc w:val="right"/>
              <w:rPr>
                <w:rFonts w:cs="Segoe UI"/>
                <w:sz w:val="16"/>
                <w:szCs w:val="16"/>
              </w:rPr>
            </w:pPr>
            <w:r>
              <w:rPr>
                <w:rFonts w:cs="Segoe UI"/>
                <w:sz w:val="16"/>
                <w:szCs w:val="16"/>
              </w:rPr>
              <w:t>2.6</w:t>
            </w:r>
          </w:p>
        </w:tc>
        <w:tc>
          <w:tcPr>
            <w:tcW w:w="992" w:type="dxa"/>
            <w:tcBorders>
              <w:top w:val="nil"/>
              <w:left w:val="single" w:sz="4" w:space="0" w:color="auto"/>
              <w:bottom w:val="nil"/>
              <w:right w:val="single" w:sz="4" w:space="0" w:color="auto"/>
            </w:tcBorders>
          </w:tcPr>
          <w:p w14:paraId="0EFE33A8"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2.7</w:t>
            </w:r>
          </w:p>
        </w:tc>
        <w:tc>
          <w:tcPr>
            <w:tcW w:w="850" w:type="dxa"/>
            <w:tcBorders>
              <w:top w:val="nil"/>
              <w:left w:val="single" w:sz="4" w:space="0" w:color="auto"/>
              <w:bottom w:val="nil"/>
              <w:right w:val="single" w:sz="4" w:space="0" w:color="auto"/>
            </w:tcBorders>
          </w:tcPr>
          <w:p w14:paraId="49106DCD" w14:textId="77777777" w:rsidR="00726C45" w:rsidRPr="00F37A41" w:rsidRDefault="00726C45" w:rsidP="00A37677">
            <w:pPr>
              <w:spacing w:before="0" w:line="240" w:lineRule="auto"/>
              <w:jc w:val="right"/>
              <w:rPr>
                <w:rFonts w:cs="Segoe UI"/>
                <w:sz w:val="16"/>
                <w:szCs w:val="16"/>
              </w:rPr>
            </w:pPr>
            <w:r>
              <w:rPr>
                <w:rFonts w:cs="Segoe UI"/>
                <w:sz w:val="16"/>
                <w:szCs w:val="16"/>
              </w:rPr>
              <w:t>2.0</w:t>
            </w:r>
          </w:p>
        </w:tc>
        <w:tc>
          <w:tcPr>
            <w:tcW w:w="567" w:type="dxa"/>
            <w:tcBorders>
              <w:top w:val="nil"/>
              <w:left w:val="single" w:sz="4" w:space="0" w:color="auto"/>
              <w:bottom w:val="nil"/>
              <w:right w:val="single" w:sz="4" w:space="0" w:color="auto"/>
            </w:tcBorders>
          </w:tcPr>
          <w:p w14:paraId="16512D0A" w14:textId="77777777" w:rsidR="00726C45" w:rsidRPr="00F37A41" w:rsidRDefault="00726C45" w:rsidP="00A37677">
            <w:pPr>
              <w:spacing w:before="0" w:line="240" w:lineRule="auto"/>
              <w:jc w:val="right"/>
              <w:rPr>
                <w:rFonts w:cs="Segoe UI"/>
                <w:sz w:val="16"/>
                <w:szCs w:val="16"/>
              </w:rPr>
            </w:pPr>
            <w:r>
              <w:rPr>
                <w:rFonts w:cs="Segoe UI"/>
                <w:sz w:val="16"/>
                <w:szCs w:val="16"/>
              </w:rPr>
              <w:t>1.8</w:t>
            </w:r>
          </w:p>
        </w:tc>
        <w:tc>
          <w:tcPr>
            <w:tcW w:w="709" w:type="dxa"/>
            <w:tcBorders>
              <w:top w:val="nil"/>
              <w:left w:val="single" w:sz="4" w:space="0" w:color="auto"/>
              <w:bottom w:val="nil"/>
              <w:right w:val="single" w:sz="4" w:space="0" w:color="auto"/>
            </w:tcBorders>
          </w:tcPr>
          <w:p w14:paraId="43398AC3" w14:textId="77777777" w:rsidR="00726C45" w:rsidRDefault="00726C45" w:rsidP="00A37677">
            <w:pPr>
              <w:spacing w:before="0" w:line="240" w:lineRule="auto"/>
              <w:jc w:val="right"/>
              <w:rPr>
                <w:rFonts w:cs="Segoe UI"/>
                <w:sz w:val="16"/>
                <w:szCs w:val="16"/>
              </w:rPr>
            </w:pPr>
            <w:r>
              <w:rPr>
                <w:rFonts w:cs="Segoe UI"/>
                <w:sz w:val="16"/>
                <w:szCs w:val="16"/>
              </w:rPr>
              <w:t>0.6</w:t>
            </w:r>
          </w:p>
        </w:tc>
        <w:tc>
          <w:tcPr>
            <w:tcW w:w="1133" w:type="dxa"/>
            <w:tcBorders>
              <w:top w:val="nil"/>
              <w:left w:val="single" w:sz="4" w:space="0" w:color="auto"/>
              <w:bottom w:val="nil"/>
              <w:right w:val="single" w:sz="4" w:space="0" w:color="auto"/>
            </w:tcBorders>
          </w:tcPr>
          <w:p w14:paraId="118D222D" w14:textId="77777777" w:rsidR="00726C45" w:rsidRDefault="00726C45" w:rsidP="00A37677">
            <w:pPr>
              <w:spacing w:before="0" w:line="240" w:lineRule="auto"/>
              <w:jc w:val="right"/>
              <w:rPr>
                <w:rFonts w:cs="Segoe UI"/>
                <w:sz w:val="16"/>
                <w:szCs w:val="16"/>
              </w:rPr>
            </w:pPr>
            <w:r>
              <w:rPr>
                <w:rFonts w:cs="Segoe UI"/>
                <w:sz w:val="16"/>
                <w:szCs w:val="16"/>
              </w:rPr>
              <w:t>95.5</w:t>
            </w:r>
          </w:p>
        </w:tc>
      </w:tr>
      <w:tr w:rsidR="00726C45" w:rsidRPr="00BD6DBC" w14:paraId="02106171" w14:textId="77777777" w:rsidTr="00A37677">
        <w:tc>
          <w:tcPr>
            <w:tcW w:w="1418" w:type="dxa"/>
            <w:tcBorders>
              <w:top w:val="nil"/>
              <w:left w:val="single" w:sz="4" w:space="0" w:color="auto"/>
              <w:bottom w:val="nil"/>
              <w:right w:val="single" w:sz="4" w:space="0" w:color="auto"/>
            </w:tcBorders>
            <w:vAlign w:val="bottom"/>
          </w:tcPr>
          <w:p w14:paraId="2B793480"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France</w:t>
            </w:r>
          </w:p>
        </w:tc>
        <w:tc>
          <w:tcPr>
            <w:tcW w:w="709" w:type="dxa"/>
            <w:tcBorders>
              <w:top w:val="nil"/>
              <w:left w:val="single" w:sz="4" w:space="0" w:color="auto"/>
              <w:bottom w:val="nil"/>
              <w:right w:val="single" w:sz="4" w:space="0" w:color="auto"/>
            </w:tcBorders>
          </w:tcPr>
          <w:p w14:paraId="63DFD110"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708" w:type="dxa"/>
            <w:tcBorders>
              <w:top w:val="nil"/>
              <w:left w:val="single" w:sz="4" w:space="0" w:color="auto"/>
              <w:bottom w:val="nil"/>
              <w:right w:val="single" w:sz="4" w:space="0" w:color="auto"/>
            </w:tcBorders>
          </w:tcPr>
          <w:p w14:paraId="1C64465B" w14:textId="77777777" w:rsidR="00726C45" w:rsidRPr="00BD6DBC" w:rsidRDefault="00726C45" w:rsidP="00A37677">
            <w:pPr>
              <w:spacing w:before="0" w:line="240" w:lineRule="auto"/>
              <w:jc w:val="right"/>
              <w:rPr>
                <w:rFonts w:cs="Segoe UI"/>
                <w:sz w:val="16"/>
                <w:szCs w:val="16"/>
              </w:rPr>
            </w:pPr>
            <w:r>
              <w:rPr>
                <w:rFonts w:cs="Segoe UI"/>
                <w:sz w:val="16"/>
                <w:szCs w:val="16"/>
              </w:rPr>
              <w:t>2.2</w:t>
            </w:r>
          </w:p>
        </w:tc>
        <w:tc>
          <w:tcPr>
            <w:tcW w:w="993" w:type="dxa"/>
            <w:tcBorders>
              <w:top w:val="nil"/>
              <w:left w:val="single" w:sz="4" w:space="0" w:color="auto"/>
              <w:bottom w:val="nil"/>
              <w:right w:val="single" w:sz="4" w:space="0" w:color="auto"/>
            </w:tcBorders>
          </w:tcPr>
          <w:p w14:paraId="4DEBC7FB" w14:textId="77777777" w:rsidR="00726C45" w:rsidRPr="00BD6DBC" w:rsidRDefault="00726C45" w:rsidP="00A37677">
            <w:pPr>
              <w:spacing w:before="0" w:line="240" w:lineRule="auto"/>
              <w:jc w:val="right"/>
              <w:rPr>
                <w:rFonts w:cs="Segoe UI"/>
                <w:sz w:val="16"/>
                <w:szCs w:val="16"/>
              </w:rPr>
            </w:pPr>
            <w:r>
              <w:rPr>
                <w:rFonts w:cs="Segoe UI"/>
                <w:sz w:val="16"/>
                <w:szCs w:val="16"/>
              </w:rPr>
              <w:t>0.9</w:t>
            </w:r>
          </w:p>
        </w:tc>
        <w:tc>
          <w:tcPr>
            <w:tcW w:w="567" w:type="dxa"/>
            <w:tcBorders>
              <w:top w:val="nil"/>
              <w:left w:val="single" w:sz="4" w:space="0" w:color="auto"/>
              <w:bottom w:val="nil"/>
              <w:right w:val="single" w:sz="4" w:space="0" w:color="auto"/>
            </w:tcBorders>
            <w:vAlign w:val="bottom"/>
          </w:tcPr>
          <w:p w14:paraId="6963C77D"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708" w:type="dxa"/>
            <w:tcBorders>
              <w:top w:val="nil"/>
              <w:left w:val="single" w:sz="4" w:space="0" w:color="auto"/>
              <w:bottom w:val="nil"/>
              <w:right w:val="single" w:sz="4" w:space="0" w:color="auto"/>
            </w:tcBorders>
          </w:tcPr>
          <w:p w14:paraId="33E90869"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993" w:type="dxa"/>
            <w:tcBorders>
              <w:top w:val="nil"/>
              <w:left w:val="single" w:sz="4" w:space="0" w:color="auto"/>
              <w:bottom w:val="nil"/>
              <w:right w:val="single" w:sz="4" w:space="0" w:color="auto"/>
            </w:tcBorders>
          </w:tcPr>
          <w:p w14:paraId="0DF4839B" w14:textId="77777777" w:rsidR="00726C45" w:rsidRPr="00BD6DBC" w:rsidRDefault="00726C45" w:rsidP="00A37677">
            <w:pPr>
              <w:spacing w:before="0" w:line="240" w:lineRule="auto"/>
              <w:jc w:val="right"/>
              <w:rPr>
                <w:rFonts w:cs="Segoe UI"/>
                <w:sz w:val="16"/>
                <w:szCs w:val="16"/>
              </w:rPr>
            </w:pPr>
            <w:r>
              <w:rPr>
                <w:rFonts w:cs="Segoe UI"/>
                <w:sz w:val="16"/>
                <w:szCs w:val="16"/>
              </w:rPr>
              <w:t>1.4</w:t>
            </w:r>
          </w:p>
        </w:tc>
        <w:tc>
          <w:tcPr>
            <w:tcW w:w="992" w:type="dxa"/>
            <w:tcBorders>
              <w:top w:val="nil"/>
              <w:left w:val="single" w:sz="4" w:space="0" w:color="auto"/>
              <w:bottom w:val="nil"/>
              <w:right w:val="single" w:sz="4" w:space="0" w:color="auto"/>
            </w:tcBorders>
          </w:tcPr>
          <w:p w14:paraId="78699484"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1.7</w:t>
            </w:r>
          </w:p>
        </w:tc>
        <w:tc>
          <w:tcPr>
            <w:tcW w:w="850" w:type="dxa"/>
            <w:tcBorders>
              <w:top w:val="nil"/>
              <w:left w:val="single" w:sz="4" w:space="0" w:color="auto"/>
              <w:bottom w:val="nil"/>
              <w:right w:val="single" w:sz="4" w:space="0" w:color="auto"/>
            </w:tcBorders>
          </w:tcPr>
          <w:p w14:paraId="05738989" w14:textId="77777777" w:rsidR="00726C45" w:rsidRPr="00F37A41" w:rsidRDefault="00726C45" w:rsidP="00A37677">
            <w:pPr>
              <w:spacing w:before="0" w:line="240" w:lineRule="auto"/>
              <w:jc w:val="right"/>
              <w:rPr>
                <w:rFonts w:cs="Segoe UI"/>
                <w:sz w:val="16"/>
                <w:szCs w:val="16"/>
              </w:rPr>
            </w:pPr>
            <w:r>
              <w:rPr>
                <w:rFonts w:cs="Segoe UI"/>
                <w:sz w:val="16"/>
                <w:szCs w:val="16"/>
              </w:rPr>
              <w:t>0.9</w:t>
            </w:r>
          </w:p>
        </w:tc>
        <w:tc>
          <w:tcPr>
            <w:tcW w:w="567" w:type="dxa"/>
            <w:tcBorders>
              <w:top w:val="nil"/>
              <w:left w:val="single" w:sz="4" w:space="0" w:color="auto"/>
              <w:bottom w:val="nil"/>
              <w:right w:val="single" w:sz="4" w:space="0" w:color="auto"/>
            </w:tcBorders>
          </w:tcPr>
          <w:p w14:paraId="3C7010BB" w14:textId="77777777" w:rsidR="00726C45" w:rsidRPr="00F37A41" w:rsidRDefault="00726C45" w:rsidP="00A37677">
            <w:pPr>
              <w:spacing w:before="0" w:line="240" w:lineRule="auto"/>
              <w:jc w:val="right"/>
              <w:rPr>
                <w:rFonts w:cs="Segoe UI"/>
                <w:sz w:val="16"/>
                <w:szCs w:val="16"/>
              </w:rPr>
            </w:pPr>
            <w:r>
              <w:rPr>
                <w:rFonts w:cs="Segoe UI"/>
                <w:sz w:val="16"/>
                <w:szCs w:val="16"/>
              </w:rPr>
              <w:t>1.2</w:t>
            </w:r>
          </w:p>
        </w:tc>
        <w:tc>
          <w:tcPr>
            <w:tcW w:w="709" w:type="dxa"/>
            <w:tcBorders>
              <w:top w:val="nil"/>
              <w:left w:val="single" w:sz="4" w:space="0" w:color="auto"/>
              <w:bottom w:val="nil"/>
              <w:right w:val="single" w:sz="4" w:space="0" w:color="auto"/>
            </w:tcBorders>
          </w:tcPr>
          <w:p w14:paraId="323EA61C" w14:textId="77777777" w:rsidR="00726C45" w:rsidRDefault="00726C45" w:rsidP="00A37677">
            <w:pPr>
              <w:spacing w:before="0" w:line="240" w:lineRule="auto"/>
              <w:jc w:val="right"/>
              <w:rPr>
                <w:rFonts w:cs="Segoe UI"/>
                <w:sz w:val="16"/>
                <w:szCs w:val="16"/>
              </w:rPr>
            </w:pPr>
            <w:r>
              <w:rPr>
                <w:rFonts w:cs="Segoe UI"/>
                <w:sz w:val="16"/>
                <w:szCs w:val="16"/>
              </w:rPr>
              <w:t>0.5</w:t>
            </w:r>
          </w:p>
        </w:tc>
        <w:tc>
          <w:tcPr>
            <w:tcW w:w="1133" w:type="dxa"/>
            <w:tcBorders>
              <w:top w:val="nil"/>
              <w:left w:val="single" w:sz="4" w:space="0" w:color="auto"/>
              <w:bottom w:val="nil"/>
              <w:right w:val="single" w:sz="4" w:space="0" w:color="auto"/>
            </w:tcBorders>
          </w:tcPr>
          <w:p w14:paraId="28774149" w14:textId="77777777" w:rsidR="00726C45" w:rsidRDefault="00726C45" w:rsidP="00A37677">
            <w:pPr>
              <w:spacing w:before="0" w:line="240" w:lineRule="auto"/>
              <w:jc w:val="right"/>
              <w:rPr>
                <w:rFonts w:cs="Segoe UI"/>
                <w:sz w:val="16"/>
                <w:szCs w:val="16"/>
              </w:rPr>
            </w:pPr>
            <w:r>
              <w:rPr>
                <w:rFonts w:cs="Segoe UI"/>
                <w:sz w:val="16"/>
                <w:szCs w:val="16"/>
              </w:rPr>
              <w:t>96.7</w:t>
            </w:r>
          </w:p>
        </w:tc>
      </w:tr>
      <w:tr w:rsidR="00726C45" w:rsidRPr="00BD6DBC" w14:paraId="30EF32AF" w14:textId="77777777" w:rsidTr="00A37677">
        <w:tc>
          <w:tcPr>
            <w:tcW w:w="1418" w:type="dxa"/>
            <w:tcBorders>
              <w:top w:val="nil"/>
              <w:left w:val="single" w:sz="4" w:space="0" w:color="auto"/>
              <w:bottom w:val="nil"/>
              <w:right w:val="single" w:sz="4" w:space="0" w:color="auto"/>
            </w:tcBorders>
            <w:vAlign w:val="bottom"/>
          </w:tcPr>
          <w:p w14:paraId="4976F04F"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Georgia</w:t>
            </w:r>
          </w:p>
        </w:tc>
        <w:tc>
          <w:tcPr>
            <w:tcW w:w="709" w:type="dxa"/>
            <w:tcBorders>
              <w:top w:val="nil"/>
              <w:left w:val="single" w:sz="4" w:space="0" w:color="auto"/>
              <w:bottom w:val="nil"/>
              <w:right w:val="single" w:sz="4" w:space="0" w:color="auto"/>
            </w:tcBorders>
          </w:tcPr>
          <w:p w14:paraId="72EDF2BF" w14:textId="77777777" w:rsidR="00726C45" w:rsidRPr="00BD6DBC" w:rsidRDefault="00726C45" w:rsidP="00A37677">
            <w:pPr>
              <w:spacing w:before="0" w:line="240" w:lineRule="auto"/>
              <w:jc w:val="right"/>
              <w:rPr>
                <w:rFonts w:cs="Segoe UI"/>
                <w:sz w:val="16"/>
                <w:szCs w:val="16"/>
              </w:rPr>
            </w:pPr>
            <w:r>
              <w:rPr>
                <w:rFonts w:cs="Segoe UI"/>
                <w:sz w:val="16"/>
                <w:szCs w:val="16"/>
              </w:rPr>
              <w:t>13.4</w:t>
            </w:r>
          </w:p>
        </w:tc>
        <w:tc>
          <w:tcPr>
            <w:tcW w:w="708" w:type="dxa"/>
            <w:tcBorders>
              <w:top w:val="nil"/>
              <w:left w:val="single" w:sz="4" w:space="0" w:color="auto"/>
              <w:bottom w:val="nil"/>
              <w:right w:val="single" w:sz="4" w:space="0" w:color="auto"/>
            </w:tcBorders>
          </w:tcPr>
          <w:p w14:paraId="2D867762" w14:textId="77777777" w:rsidR="00726C45" w:rsidRPr="00BD6DBC" w:rsidRDefault="00726C45" w:rsidP="00A37677">
            <w:pPr>
              <w:spacing w:before="0" w:line="240" w:lineRule="auto"/>
              <w:jc w:val="right"/>
              <w:rPr>
                <w:rFonts w:cs="Segoe UI"/>
                <w:sz w:val="16"/>
                <w:szCs w:val="16"/>
              </w:rPr>
            </w:pPr>
            <w:r>
              <w:rPr>
                <w:rFonts w:cs="Segoe UI"/>
                <w:sz w:val="16"/>
                <w:szCs w:val="16"/>
              </w:rPr>
              <w:t>21.3</w:t>
            </w:r>
          </w:p>
        </w:tc>
        <w:tc>
          <w:tcPr>
            <w:tcW w:w="993" w:type="dxa"/>
            <w:tcBorders>
              <w:top w:val="nil"/>
              <w:left w:val="single" w:sz="4" w:space="0" w:color="auto"/>
              <w:bottom w:val="nil"/>
              <w:right w:val="single" w:sz="4" w:space="0" w:color="auto"/>
            </w:tcBorders>
          </w:tcPr>
          <w:p w14:paraId="1A9EB6F5" w14:textId="77777777" w:rsidR="00726C45" w:rsidRPr="00BD6DBC" w:rsidRDefault="00726C45" w:rsidP="00A37677">
            <w:pPr>
              <w:spacing w:before="0" w:line="240" w:lineRule="auto"/>
              <w:jc w:val="right"/>
              <w:rPr>
                <w:rFonts w:cs="Segoe UI"/>
                <w:sz w:val="16"/>
                <w:szCs w:val="16"/>
              </w:rPr>
            </w:pPr>
            <w:r>
              <w:rPr>
                <w:rFonts w:cs="Segoe UI"/>
                <w:sz w:val="16"/>
                <w:szCs w:val="16"/>
              </w:rPr>
              <w:t>3.3</w:t>
            </w:r>
          </w:p>
        </w:tc>
        <w:tc>
          <w:tcPr>
            <w:tcW w:w="567" w:type="dxa"/>
            <w:tcBorders>
              <w:top w:val="nil"/>
              <w:left w:val="single" w:sz="4" w:space="0" w:color="auto"/>
              <w:bottom w:val="nil"/>
              <w:right w:val="single" w:sz="4" w:space="0" w:color="auto"/>
            </w:tcBorders>
            <w:vAlign w:val="bottom"/>
          </w:tcPr>
          <w:p w14:paraId="55DD8C00" w14:textId="77777777" w:rsidR="00726C45" w:rsidRPr="00BD6DBC" w:rsidRDefault="00726C45" w:rsidP="00A37677">
            <w:pPr>
              <w:spacing w:before="0" w:line="240" w:lineRule="auto"/>
              <w:jc w:val="right"/>
              <w:rPr>
                <w:rFonts w:cs="Segoe UI"/>
                <w:sz w:val="16"/>
                <w:szCs w:val="16"/>
              </w:rPr>
            </w:pPr>
            <w:r>
              <w:rPr>
                <w:rFonts w:cs="Segoe UI"/>
                <w:sz w:val="16"/>
                <w:szCs w:val="16"/>
              </w:rPr>
              <w:t>6.4</w:t>
            </w:r>
          </w:p>
        </w:tc>
        <w:tc>
          <w:tcPr>
            <w:tcW w:w="708" w:type="dxa"/>
            <w:tcBorders>
              <w:top w:val="nil"/>
              <w:left w:val="single" w:sz="4" w:space="0" w:color="auto"/>
              <w:bottom w:val="nil"/>
              <w:right w:val="single" w:sz="4" w:space="0" w:color="auto"/>
            </w:tcBorders>
          </w:tcPr>
          <w:p w14:paraId="2F50C247" w14:textId="77777777" w:rsidR="00726C45" w:rsidRPr="00BD6DBC" w:rsidRDefault="00726C45" w:rsidP="00A37677">
            <w:pPr>
              <w:spacing w:before="0" w:line="240" w:lineRule="auto"/>
              <w:jc w:val="right"/>
              <w:rPr>
                <w:rFonts w:cs="Segoe UI"/>
                <w:sz w:val="16"/>
                <w:szCs w:val="16"/>
              </w:rPr>
            </w:pPr>
            <w:r>
              <w:rPr>
                <w:rFonts w:cs="Segoe UI"/>
                <w:sz w:val="16"/>
                <w:szCs w:val="16"/>
              </w:rPr>
              <w:t>17.2</w:t>
            </w:r>
          </w:p>
        </w:tc>
        <w:tc>
          <w:tcPr>
            <w:tcW w:w="993" w:type="dxa"/>
            <w:tcBorders>
              <w:top w:val="nil"/>
              <w:left w:val="single" w:sz="4" w:space="0" w:color="auto"/>
              <w:bottom w:val="nil"/>
              <w:right w:val="single" w:sz="4" w:space="0" w:color="auto"/>
            </w:tcBorders>
          </w:tcPr>
          <w:p w14:paraId="4839F54F" w14:textId="77777777" w:rsidR="00726C45" w:rsidRPr="00BD6DBC" w:rsidRDefault="00726C45" w:rsidP="00A37677">
            <w:pPr>
              <w:spacing w:before="0" w:line="240" w:lineRule="auto"/>
              <w:jc w:val="right"/>
              <w:rPr>
                <w:rFonts w:cs="Segoe UI"/>
                <w:sz w:val="16"/>
                <w:szCs w:val="16"/>
              </w:rPr>
            </w:pPr>
            <w:r>
              <w:rPr>
                <w:rFonts w:cs="Segoe UI"/>
                <w:sz w:val="16"/>
                <w:szCs w:val="16"/>
              </w:rPr>
              <w:t>5.2</w:t>
            </w:r>
          </w:p>
        </w:tc>
        <w:tc>
          <w:tcPr>
            <w:tcW w:w="992" w:type="dxa"/>
            <w:tcBorders>
              <w:top w:val="nil"/>
              <w:left w:val="single" w:sz="4" w:space="0" w:color="auto"/>
              <w:bottom w:val="nil"/>
              <w:right w:val="single" w:sz="4" w:space="0" w:color="auto"/>
            </w:tcBorders>
          </w:tcPr>
          <w:p w14:paraId="7284B788"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7.0</w:t>
            </w:r>
          </w:p>
        </w:tc>
        <w:tc>
          <w:tcPr>
            <w:tcW w:w="850" w:type="dxa"/>
            <w:tcBorders>
              <w:top w:val="nil"/>
              <w:left w:val="single" w:sz="4" w:space="0" w:color="auto"/>
              <w:bottom w:val="nil"/>
              <w:right w:val="single" w:sz="4" w:space="0" w:color="auto"/>
            </w:tcBorders>
          </w:tcPr>
          <w:p w14:paraId="6881C275" w14:textId="77777777" w:rsidR="00726C45" w:rsidRPr="00F37A41" w:rsidRDefault="00726C45" w:rsidP="00A37677">
            <w:pPr>
              <w:spacing w:before="0" w:line="240" w:lineRule="auto"/>
              <w:jc w:val="right"/>
              <w:rPr>
                <w:rFonts w:cs="Segoe UI"/>
                <w:sz w:val="16"/>
                <w:szCs w:val="16"/>
              </w:rPr>
            </w:pPr>
            <w:r>
              <w:rPr>
                <w:rFonts w:cs="Segoe UI"/>
                <w:sz w:val="16"/>
                <w:szCs w:val="16"/>
              </w:rPr>
              <w:t>8.2</w:t>
            </w:r>
          </w:p>
        </w:tc>
        <w:tc>
          <w:tcPr>
            <w:tcW w:w="567" w:type="dxa"/>
            <w:tcBorders>
              <w:top w:val="nil"/>
              <w:left w:val="single" w:sz="4" w:space="0" w:color="auto"/>
              <w:bottom w:val="nil"/>
              <w:right w:val="single" w:sz="4" w:space="0" w:color="auto"/>
            </w:tcBorders>
          </w:tcPr>
          <w:p w14:paraId="550DEBA1" w14:textId="77777777" w:rsidR="00726C45" w:rsidRPr="00F37A41" w:rsidRDefault="00726C45" w:rsidP="00A37677">
            <w:pPr>
              <w:spacing w:before="0" w:line="240" w:lineRule="auto"/>
              <w:jc w:val="right"/>
              <w:rPr>
                <w:rFonts w:cs="Segoe UI"/>
                <w:sz w:val="16"/>
                <w:szCs w:val="16"/>
              </w:rPr>
            </w:pPr>
            <w:r>
              <w:rPr>
                <w:rFonts w:cs="Segoe UI"/>
                <w:sz w:val="16"/>
                <w:szCs w:val="16"/>
              </w:rPr>
              <w:t>6.5</w:t>
            </w:r>
          </w:p>
        </w:tc>
        <w:tc>
          <w:tcPr>
            <w:tcW w:w="709" w:type="dxa"/>
            <w:tcBorders>
              <w:top w:val="nil"/>
              <w:left w:val="single" w:sz="4" w:space="0" w:color="auto"/>
              <w:bottom w:val="nil"/>
              <w:right w:val="single" w:sz="4" w:space="0" w:color="auto"/>
            </w:tcBorders>
          </w:tcPr>
          <w:p w14:paraId="12155343" w14:textId="77777777" w:rsidR="00726C45" w:rsidRDefault="00726C45" w:rsidP="00A37677">
            <w:pPr>
              <w:spacing w:before="0" w:line="240" w:lineRule="auto"/>
              <w:jc w:val="right"/>
              <w:rPr>
                <w:rFonts w:cs="Segoe UI"/>
                <w:sz w:val="16"/>
                <w:szCs w:val="16"/>
              </w:rPr>
            </w:pPr>
            <w:r>
              <w:rPr>
                <w:rFonts w:cs="Segoe UI"/>
                <w:sz w:val="16"/>
                <w:szCs w:val="16"/>
              </w:rPr>
              <w:t>5.5</w:t>
            </w:r>
          </w:p>
        </w:tc>
        <w:tc>
          <w:tcPr>
            <w:tcW w:w="1133" w:type="dxa"/>
            <w:tcBorders>
              <w:top w:val="nil"/>
              <w:left w:val="single" w:sz="4" w:space="0" w:color="auto"/>
              <w:bottom w:val="nil"/>
              <w:right w:val="single" w:sz="4" w:space="0" w:color="auto"/>
            </w:tcBorders>
          </w:tcPr>
          <w:p w14:paraId="5727E7A9" w14:textId="77777777" w:rsidR="00726C45" w:rsidRDefault="00726C45" w:rsidP="00A37677">
            <w:pPr>
              <w:spacing w:before="0" w:line="240" w:lineRule="auto"/>
              <w:jc w:val="right"/>
              <w:rPr>
                <w:rFonts w:cs="Segoe UI"/>
                <w:sz w:val="16"/>
                <w:szCs w:val="16"/>
              </w:rPr>
            </w:pPr>
            <w:r>
              <w:rPr>
                <w:rFonts w:cs="Segoe UI"/>
                <w:sz w:val="16"/>
                <w:szCs w:val="16"/>
              </w:rPr>
              <w:t>67.1</w:t>
            </w:r>
          </w:p>
        </w:tc>
      </w:tr>
      <w:tr w:rsidR="00726C45" w:rsidRPr="00BD6DBC" w14:paraId="381679C9" w14:textId="77777777" w:rsidTr="00A37677">
        <w:tc>
          <w:tcPr>
            <w:tcW w:w="1418" w:type="dxa"/>
            <w:tcBorders>
              <w:top w:val="nil"/>
              <w:left w:val="single" w:sz="4" w:space="0" w:color="auto"/>
              <w:bottom w:val="nil"/>
              <w:right w:val="single" w:sz="4" w:space="0" w:color="auto"/>
            </w:tcBorders>
            <w:vAlign w:val="bottom"/>
          </w:tcPr>
          <w:p w14:paraId="637839D1"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Germany</w:t>
            </w:r>
          </w:p>
        </w:tc>
        <w:tc>
          <w:tcPr>
            <w:tcW w:w="709" w:type="dxa"/>
            <w:tcBorders>
              <w:top w:val="nil"/>
              <w:left w:val="single" w:sz="4" w:space="0" w:color="auto"/>
              <w:bottom w:val="nil"/>
              <w:right w:val="single" w:sz="4" w:space="0" w:color="auto"/>
            </w:tcBorders>
          </w:tcPr>
          <w:p w14:paraId="164EE364" w14:textId="77777777" w:rsidR="00726C45" w:rsidRPr="00BD6DBC" w:rsidRDefault="00726C45" w:rsidP="00A37677">
            <w:pPr>
              <w:spacing w:before="0" w:line="240" w:lineRule="auto"/>
              <w:jc w:val="right"/>
              <w:rPr>
                <w:rFonts w:cs="Segoe UI"/>
                <w:sz w:val="16"/>
                <w:szCs w:val="16"/>
              </w:rPr>
            </w:pPr>
            <w:r>
              <w:rPr>
                <w:rFonts w:cs="Segoe UI"/>
                <w:sz w:val="16"/>
                <w:szCs w:val="16"/>
              </w:rPr>
              <w:t>3.6</w:t>
            </w:r>
          </w:p>
        </w:tc>
        <w:tc>
          <w:tcPr>
            <w:tcW w:w="708" w:type="dxa"/>
            <w:tcBorders>
              <w:top w:val="nil"/>
              <w:left w:val="single" w:sz="4" w:space="0" w:color="auto"/>
              <w:bottom w:val="nil"/>
              <w:right w:val="single" w:sz="4" w:space="0" w:color="auto"/>
            </w:tcBorders>
          </w:tcPr>
          <w:p w14:paraId="6B762C59" w14:textId="77777777" w:rsidR="00726C45" w:rsidRPr="00BD6DBC" w:rsidRDefault="00726C45" w:rsidP="00A37677">
            <w:pPr>
              <w:spacing w:before="0" w:line="240" w:lineRule="auto"/>
              <w:jc w:val="right"/>
              <w:rPr>
                <w:rFonts w:cs="Segoe UI"/>
                <w:sz w:val="16"/>
                <w:szCs w:val="16"/>
              </w:rPr>
            </w:pPr>
            <w:r>
              <w:rPr>
                <w:rFonts w:cs="Segoe UI"/>
                <w:sz w:val="16"/>
                <w:szCs w:val="16"/>
              </w:rPr>
              <w:t>2.6</w:t>
            </w:r>
          </w:p>
        </w:tc>
        <w:tc>
          <w:tcPr>
            <w:tcW w:w="993" w:type="dxa"/>
            <w:tcBorders>
              <w:top w:val="nil"/>
              <w:left w:val="single" w:sz="4" w:space="0" w:color="auto"/>
              <w:bottom w:val="nil"/>
              <w:right w:val="single" w:sz="4" w:space="0" w:color="auto"/>
            </w:tcBorders>
          </w:tcPr>
          <w:p w14:paraId="2F9034F0"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567" w:type="dxa"/>
            <w:tcBorders>
              <w:top w:val="nil"/>
              <w:left w:val="single" w:sz="4" w:space="0" w:color="auto"/>
              <w:bottom w:val="nil"/>
              <w:right w:val="single" w:sz="4" w:space="0" w:color="auto"/>
            </w:tcBorders>
            <w:vAlign w:val="bottom"/>
          </w:tcPr>
          <w:p w14:paraId="4A4BB686" w14:textId="77777777" w:rsidR="00726C45" w:rsidRPr="00BD6DBC" w:rsidRDefault="00726C45" w:rsidP="00A37677">
            <w:pPr>
              <w:spacing w:before="0" w:line="240" w:lineRule="auto"/>
              <w:jc w:val="right"/>
              <w:rPr>
                <w:rFonts w:cs="Segoe UI"/>
                <w:sz w:val="16"/>
                <w:szCs w:val="16"/>
              </w:rPr>
            </w:pPr>
            <w:r>
              <w:rPr>
                <w:rFonts w:cs="Segoe UI"/>
                <w:sz w:val="16"/>
                <w:szCs w:val="16"/>
              </w:rPr>
              <w:t>1.9</w:t>
            </w:r>
          </w:p>
        </w:tc>
        <w:tc>
          <w:tcPr>
            <w:tcW w:w="708" w:type="dxa"/>
            <w:tcBorders>
              <w:top w:val="nil"/>
              <w:left w:val="single" w:sz="4" w:space="0" w:color="auto"/>
              <w:bottom w:val="nil"/>
              <w:right w:val="single" w:sz="4" w:space="0" w:color="auto"/>
            </w:tcBorders>
          </w:tcPr>
          <w:p w14:paraId="55A61CA1" w14:textId="77777777" w:rsidR="00726C45" w:rsidRPr="00BD6DBC" w:rsidRDefault="00726C45" w:rsidP="00A37677">
            <w:pPr>
              <w:spacing w:before="0" w:line="240" w:lineRule="auto"/>
              <w:jc w:val="right"/>
              <w:rPr>
                <w:rFonts w:cs="Segoe UI"/>
                <w:sz w:val="16"/>
                <w:szCs w:val="16"/>
              </w:rPr>
            </w:pPr>
            <w:r>
              <w:rPr>
                <w:rFonts w:cs="Segoe UI"/>
                <w:sz w:val="16"/>
                <w:szCs w:val="16"/>
              </w:rPr>
              <w:t>3.3</w:t>
            </w:r>
          </w:p>
        </w:tc>
        <w:tc>
          <w:tcPr>
            <w:tcW w:w="993" w:type="dxa"/>
            <w:tcBorders>
              <w:top w:val="nil"/>
              <w:left w:val="single" w:sz="4" w:space="0" w:color="auto"/>
              <w:bottom w:val="nil"/>
              <w:right w:val="single" w:sz="4" w:space="0" w:color="auto"/>
            </w:tcBorders>
          </w:tcPr>
          <w:p w14:paraId="60A5202E" w14:textId="77777777" w:rsidR="00726C45" w:rsidRPr="00BD6DBC" w:rsidRDefault="00726C45" w:rsidP="00A37677">
            <w:pPr>
              <w:spacing w:before="0" w:line="240" w:lineRule="auto"/>
              <w:jc w:val="right"/>
              <w:rPr>
                <w:rFonts w:cs="Segoe UI"/>
                <w:sz w:val="16"/>
                <w:szCs w:val="16"/>
              </w:rPr>
            </w:pPr>
            <w:r>
              <w:rPr>
                <w:rFonts w:cs="Segoe UI"/>
                <w:sz w:val="16"/>
                <w:szCs w:val="16"/>
              </w:rPr>
              <w:t>1.3</w:t>
            </w:r>
          </w:p>
        </w:tc>
        <w:tc>
          <w:tcPr>
            <w:tcW w:w="992" w:type="dxa"/>
            <w:tcBorders>
              <w:top w:val="nil"/>
              <w:left w:val="single" w:sz="4" w:space="0" w:color="auto"/>
              <w:bottom w:val="nil"/>
              <w:right w:val="single" w:sz="4" w:space="0" w:color="auto"/>
            </w:tcBorders>
          </w:tcPr>
          <w:p w14:paraId="39D080CB"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3.1</w:t>
            </w:r>
          </w:p>
        </w:tc>
        <w:tc>
          <w:tcPr>
            <w:tcW w:w="850" w:type="dxa"/>
            <w:tcBorders>
              <w:top w:val="nil"/>
              <w:left w:val="single" w:sz="4" w:space="0" w:color="auto"/>
              <w:bottom w:val="nil"/>
              <w:right w:val="single" w:sz="4" w:space="0" w:color="auto"/>
            </w:tcBorders>
          </w:tcPr>
          <w:p w14:paraId="0EE9BDCC" w14:textId="77777777" w:rsidR="00726C45" w:rsidRPr="00F37A41" w:rsidRDefault="00726C45" w:rsidP="00A37677">
            <w:pPr>
              <w:spacing w:before="0" w:line="240" w:lineRule="auto"/>
              <w:jc w:val="right"/>
              <w:rPr>
                <w:rFonts w:cs="Segoe UI"/>
                <w:sz w:val="16"/>
                <w:szCs w:val="16"/>
              </w:rPr>
            </w:pPr>
            <w:r>
              <w:rPr>
                <w:rFonts w:cs="Segoe UI"/>
                <w:sz w:val="16"/>
                <w:szCs w:val="16"/>
              </w:rPr>
              <w:t>1.4</w:t>
            </w:r>
          </w:p>
        </w:tc>
        <w:tc>
          <w:tcPr>
            <w:tcW w:w="567" w:type="dxa"/>
            <w:tcBorders>
              <w:top w:val="nil"/>
              <w:left w:val="single" w:sz="4" w:space="0" w:color="auto"/>
              <w:bottom w:val="nil"/>
              <w:right w:val="single" w:sz="4" w:space="0" w:color="auto"/>
            </w:tcBorders>
          </w:tcPr>
          <w:p w14:paraId="3822EA9D" w14:textId="77777777" w:rsidR="00726C45" w:rsidRPr="00F37A41" w:rsidRDefault="00726C45" w:rsidP="00A37677">
            <w:pPr>
              <w:spacing w:before="0" w:line="240" w:lineRule="auto"/>
              <w:jc w:val="right"/>
              <w:rPr>
                <w:rFonts w:cs="Segoe UI"/>
                <w:sz w:val="16"/>
                <w:szCs w:val="16"/>
              </w:rPr>
            </w:pPr>
            <w:r>
              <w:rPr>
                <w:rFonts w:cs="Segoe UI"/>
                <w:sz w:val="16"/>
                <w:szCs w:val="16"/>
              </w:rPr>
              <w:t>2.0</w:t>
            </w:r>
          </w:p>
        </w:tc>
        <w:tc>
          <w:tcPr>
            <w:tcW w:w="709" w:type="dxa"/>
            <w:tcBorders>
              <w:top w:val="nil"/>
              <w:left w:val="single" w:sz="4" w:space="0" w:color="auto"/>
              <w:bottom w:val="nil"/>
              <w:right w:val="single" w:sz="4" w:space="0" w:color="auto"/>
            </w:tcBorders>
          </w:tcPr>
          <w:p w14:paraId="2E8F6905" w14:textId="77777777" w:rsidR="00726C45" w:rsidRDefault="00726C45" w:rsidP="00A37677">
            <w:pPr>
              <w:spacing w:before="0" w:line="240" w:lineRule="auto"/>
              <w:jc w:val="right"/>
              <w:rPr>
                <w:rFonts w:cs="Segoe UI"/>
                <w:sz w:val="16"/>
                <w:szCs w:val="16"/>
              </w:rPr>
            </w:pPr>
            <w:r>
              <w:rPr>
                <w:rFonts w:cs="Segoe UI"/>
                <w:sz w:val="16"/>
                <w:szCs w:val="16"/>
              </w:rPr>
              <w:t>1.1</w:t>
            </w:r>
          </w:p>
        </w:tc>
        <w:tc>
          <w:tcPr>
            <w:tcW w:w="1133" w:type="dxa"/>
            <w:tcBorders>
              <w:top w:val="nil"/>
              <w:left w:val="single" w:sz="4" w:space="0" w:color="auto"/>
              <w:bottom w:val="nil"/>
              <w:right w:val="single" w:sz="4" w:space="0" w:color="auto"/>
            </w:tcBorders>
          </w:tcPr>
          <w:p w14:paraId="4EBCB271" w14:textId="77777777" w:rsidR="00726C45" w:rsidRDefault="00726C45" w:rsidP="00A37677">
            <w:pPr>
              <w:spacing w:before="0" w:line="240" w:lineRule="auto"/>
              <w:jc w:val="right"/>
              <w:rPr>
                <w:rFonts w:cs="Segoe UI"/>
                <w:sz w:val="16"/>
                <w:szCs w:val="16"/>
              </w:rPr>
            </w:pPr>
            <w:r>
              <w:rPr>
                <w:rFonts w:cs="Segoe UI"/>
                <w:sz w:val="16"/>
                <w:szCs w:val="16"/>
              </w:rPr>
              <w:t>93.0</w:t>
            </w:r>
          </w:p>
        </w:tc>
      </w:tr>
      <w:tr w:rsidR="00726C45" w:rsidRPr="00BD6DBC" w14:paraId="76D3C056" w14:textId="77777777" w:rsidTr="00A37677">
        <w:tc>
          <w:tcPr>
            <w:tcW w:w="1418" w:type="dxa"/>
            <w:tcBorders>
              <w:top w:val="nil"/>
              <w:left w:val="single" w:sz="4" w:space="0" w:color="auto"/>
              <w:bottom w:val="nil"/>
              <w:right w:val="single" w:sz="4" w:space="0" w:color="auto"/>
            </w:tcBorders>
            <w:vAlign w:val="bottom"/>
          </w:tcPr>
          <w:p w14:paraId="514ADA9A"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Ghana</w:t>
            </w:r>
          </w:p>
        </w:tc>
        <w:tc>
          <w:tcPr>
            <w:tcW w:w="709" w:type="dxa"/>
            <w:tcBorders>
              <w:top w:val="nil"/>
              <w:left w:val="single" w:sz="4" w:space="0" w:color="auto"/>
              <w:bottom w:val="nil"/>
              <w:right w:val="single" w:sz="4" w:space="0" w:color="auto"/>
            </w:tcBorders>
          </w:tcPr>
          <w:p w14:paraId="3FB123D5" w14:textId="77777777" w:rsidR="00726C45" w:rsidRPr="00BD6DBC" w:rsidRDefault="00726C45" w:rsidP="00A37677">
            <w:pPr>
              <w:spacing w:before="0" w:line="240" w:lineRule="auto"/>
              <w:jc w:val="right"/>
              <w:rPr>
                <w:rFonts w:cs="Segoe UI"/>
                <w:sz w:val="16"/>
                <w:szCs w:val="16"/>
              </w:rPr>
            </w:pPr>
            <w:r>
              <w:rPr>
                <w:rFonts w:cs="Segoe UI"/>
                <w:sz w:val="16"/>
                <w:szCs w:val="16"/>
              </w:rPr>
              <w:t>2.0</w:t>
            </w:r>
          </w:p>
        </w:tc>
        <w:tc>
          <w:tcPr>
            <w:tcW w:w="708" w:type="dxa"/>
            <w:tcBorders>
              <w:top w:val="nil"/>
              <w:left w:val="single" w:sz="4" w:space="0" w:color="auto"/>
              <w:bottom w:val="nil"/>
              <w:right w:val="single" w:sz="4" w:space="0" w:color="auto"/>
            </w:tcBorders>
          </w:tcPr>
          <w:p w14:paraId="09B86CB6" w14:textId="77777777" w:rsidR="00726C45" w:rsidRPr="00BD6DBC" w:rsidRDefault="00726C45" w:rsidP="00A37677">
            <w:pPr>
              <w:spacing w:before="0" w:line="240" w:lineRule="auto"/>
              <w:jc w:val="right"/>
              <w:rPr>
                <w:rFonts w:cs="Segoe UI"/>
                <w:sz w:val="16"/>
                <w:szCs w:val="16"/>
              </w:rPr>
            </w:pPr>
            <w:r>
              <w:rPr>
                <w:rFonts w:cs="Segoe UI"/>
                <w:sz w:val="16"/>
                <w:szCs w:val="16"/>
              </w:rPr>
              <w:t>3.3</w:t>
            </w:r>
          </w:p>
        </w:tc>
        <w:tc>
          <w:tcPr>
            <w:tcW w:w="993" w:type="dxa"/>
            <w:tcBorders>
              <w:top w:val="nil"/>
              <w:left w:val="single" w:sz="4" w:space="0" w:color="auto"/>
              <w:bottom w:val="nil"/>
              <w:right w:val="single" w:sz="4" w:space="0" w:color="auto"/>
            </w:tcBorders>
          </w:tcPr>
          <w:p w14:paraId="032F3CCA" w14:textId="77777777" w:rsidR="00726C45" w:rsidRPr="00BD6DBC" w:rsidRDefault="00726C45" w:rsidP="00A37677">
            <w:pPr>
              <w:spacing w:before="0" w:line="240" w:lineRule="auto"/>
              <w:jc w:val="right"/>
              <w:rPr>
                <w:rFonts w:cs="Segoe UI"/>
                <w:sz w:val="16"/>
                <w:szCs w:val="16"/>
              </w:rPr>
            </w:pPr>
            <w:r>
              <w:rPr>
                <w:rFonts w:cs="Segoe UI"/>
                <w:sz w:val="16"/>
                <w:szCs w:val="16"/>
              </w:rPr>
              <w:t>1.3</w:t>
            </w:r>
          </w:p>
        </w:tc>
        <w:tc>
          <w:tcPr>
            <w:tcW w:w="567" w:type="dxa"/>
            <w:tcBorders>
              <w:top w:val="nil"/>
              <w:left w:val="single" w:sz="4" w:space="0" w:color="auto"/>
              <w:bottom w:val="nil"/>
              <w:right w:val="single" w:sz="4" w:space="0" w:color="auto"/>
            </w:tcBorders>
            <w:vAlign w:val="bottom"/>
          </w:tcPr>
          <w:p w14:paraId="463BCD7A" w14:textId="77777777" w:rsidR="00726C45" w:rsidRPr="00BD6DBC" w:rsidRDefault="00726C45" w:rsidP="00A37677">
            <w:pPr>
              <w:spacing w:before="0" w:line="240" w:lineRule="auto"/>
              <w:jc w:val="right"/>
              <w:rPr>
                <w:rFonts w:cs="Segoe UI"/>
                <w:sz w:val="16"/>
                <w:szCs w:val="16"/>
              </w:rPr>
            </w:pPr>
            <w:r>
              <w:rPr>
                <w:rFonts w:cs="Segoe UI"/>
                <w:sz w:val="16"/>
                <w:szCs w:val="16"/>
              </w:rPr>
              <w:t>3.8</w:t>
            </w:r>
          </w:p>
        </w:tc>
        <w:tc>
          <w:tcPr>
            <w:tcW w:w="708" w:type="dxa"/>
            <w:tcBorders>
              <w:top w:val="nil"/>
              <w:left w:val="single" w:sz="4" w:space="0" w:color="auto"/>
              <w:bottom w:val="nil"/>
              <w:right w:val="single" w:sz="4" w:space="0" w:color="auto"/>
            </w:tcBorders>
          </w:tcPr>
          <w:p w14:paraId="7F468EB8" w14:textId="77777777" w:rsidR="00726C45" w:rsidRPr="00BD6DBC" w:rsidRDefault="00726C45" w:rsidP="00A37677">
            <w:pPr>
              <w:spacing w:before="0" w:line="240" w:lineRule="auto"/>
              <w:jc w:val="right"/>
              <w:rPr>
                <w:rFonts w:cs="Segoe UI"/>
                <w:sz w:val="16"/>
                <w:szCs w:val="16"/>
              </w:rPr>
            </w:pPr>
            <w:r>
              <w:rPr>
                <w:rFonts w:cs="Segoe UI"/>
                <w:sz w:val="16"/>
                <w:szCs w:val="16"/>
              </w:rPr>
              <w:t>1.9</w:t>
            </w:r>
          </w:p>
        </w:tc>
        <w:tc>
          <w:tcPr>
            <w:tcW w:w="993" w:type="dxa"/>
            <w:tcBorders>
              <w:top w:val="nil"/>
              <w:left w:val="single" w:sz="4" w:space="0" w:color="auto"/>
              <w:bottom w:val="nil"/>
              <w:right w:val="single" w:sz="4" w:space="0" w:color="auto"/>
            </w:tcBorders>
          </w:tcPr>
          <w:p w14:paraId="50DE3209" w14:textId="77777777" w:rsidR="00726C45" w:rsidRPr="00BD6DBC" w:rsidRDefault="00726C45" w:rsidP="00A37677">
            <w:pPr>
              <w:spacing w:before="0" w:line="240" w:lineRule="auto"/>
              <w:jc w:val="right"/>
              <w:rPr>
                <w:rFonts w:cs="Segoe UI"/>
                <w:sz w:val="16"/>
                <w:szCs w:val="16"/>
              </w:rPr>
            </w:pPr>
            <w:r>
              <w:rPr>
                <w:rFonts w:cs="Segoe UI"/>
                <w:sz w:val="16"/>
                <w:szCs w:val="16"/>
              </w:rPr>
              <w:t>2.7</w:t>
            </w:r>
          </w:p>
        </w:tc>
        <w:tc>
          <w:tcPr>
            <w:tcW w:w="992" w:type="dxa"/>
            <w:tcBorders>
              <w:top w:val="nil"/>
              <w:left w:val="single" w:sz="4" w:space="0" w:color="auto"/>
              <w:bottom w:val="nil"/>
              <w:right w:val="single" w:sz="4" w:space="0" w:color="auto"/>
            </w:tcBorders>
          </w:tcPr>
          <w:p w14:paraId="77327396"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1.5</w:t>
            </w:r>
          </w:p>
        </w:tc>
        <w:tc>
          <w:tcPr>
            <w:tcW w:w="850" w:type="dxa"/>
            <w:tcBorders>
              <w:top w:val="nil"/>
              <w:left w:val="single" w:sz="4" w:space="0" w:color="auto"/>
              <w:bottom w:val="nil"/>
              <w:right w:val="single" w:sz="4" w:space="0" w:color="auto"/>
            </w:tcBorders>
          </w:tcPr>
          <w:p w14:paraId="6589260B" w14:textId="77777777" w:rsidR="00726C45" w:rsidRPr="00F37A41" w:rsidRDefault="00726C45" w:rsidP="00A37677">
            <w:pPr>
              <w:spacing w:before="0" w:line="240" w:lineRule="auto"/>
              <w:jc w:val="right"/>
              <w:rPr>
                <w:rFonts w:cs="Segoe UI"/>
                <w:sz w:val="16"/>
                <w:szCs w:val="16"/>
              </w:rPr>
            </w:pPr>
            <w:r>
              <w:rPr>
                <w:rFonts w:cs="Segoe UI"/>
                <w:sz w:val="16"/>
                <w:szCs w:val="16"/>
              </w:rPr>
              <w:t>0.7</w:t>
            </w:r>
          </w:p>
        </w:tc>
        <w:tc>
          <w:tcPr>
            <w:tcW w:w="567" w:type="dxa"/>
            <w:tcBorders>
              <w:top w:val="nil"/>
              <w:left w:val="single" w:sz="4" w:space="0" w:color="auto"/>
              <w:bottom w:val="nil"/>
              <w:right w:val="single" w:sz="4" w:space="0" w:color="auto"/>
            </w:tcBorders>
          </w:tcPr>
          <w:p w14:paraId="59856B35" w14:textId="77777777" w:rsidR="00726C45" w:rsidRPr="00F37A41" w:rsidRDefault="00726C45" w:rsidP="00A37677">
            <w:pPr>
              <w:spacing w:before="0" w:line="240" w:lineRule="auto"/>
              <w:jc w:val="right"/>
              <w:rPr>
                <w:rFonts w:cs="Segoe UI"/>
                <w:sz w:val="16"/>
                <w:szCs w:val="16"/>
              </w:rPr>
            </w:pPr>
            <w:r>
              <w:rPr>
                <w:rFonts w:cs="Segoe UI"/>
                <w:sz w:val="16"/>
                <w:szCs w:val="16"/>
              </w:rPr>
              <w:t>5.7</w:t>
            </w:r>
          </w:p>
        </w:tc>
        <w:tc>
          <w:tcPr>
            <w:tcW w:w="709" w:type="dxa"/>
            <w:tcBorders>
              <w:top w:val="nil"/>
              <w:left w:val="single" w:sz="4" w:space="0" w:color="auto"/>
              <w:bottom w:val="nil"/>
              <w:right w:val="single" w:sz="4" w:space="0" w:color="auto"/>
            </w:tcBorders>
          </w:tcPr>
          <w:p w14:paraId="6E6EA9B7" w14:textId="77777777" w:rsidR="00726C45" w:rsidRDefault="00726C45" w:rsidP="00A37677">
            <w:pPr>
              <w:spacing w:before="0" w:line="240" w:lineRule="auto"/>
              <w:jc w:val="right"/>
              <w:rPr>
                <w:rFonts w:cs="Segoe UI"/>
                <w:sz w:val="16"/>
                <w:szCs w:val="16"/>
              </w:rPr>
            </w:pPr>
            <w:r>
              <w:rPr>
                <w:rFonts w:cs="Segoe UI"/>
                <w:sz w:val="16"/>
                <w:szCs w:val="16"/>
              </w:rPr>
              <w:t>1.4</w:t>
            </w:r>
          </w:p>
        </w:tc>
        <w:tc>
          <w:tcPr>
            <w:tcW w:w="1133" w:type="dxa"/>
            <w:tcBorders>
              <w:top w:val="nil"/>
              <w:left w:val="single" w:sz="4" w:space="0" w:color="auto"/>
              <w:bottom w:val="nil"/>
              <w:right w:val="single" w:sz="4" w:space="0" w:color="auto"/>
            </w:tcBorders>
          </w:tcPr>
          <w:p w14:paraId="2671CD0A" w14:textId="77777777" w:rsidR="00726C45" w:rsidRDefault="00726C45" w:rsidP="00A37677">
            <w:pPr>
              <w:spacing w:before="0" w:line="240" w:lineRule="auto"/>
              <w:jc w:val="right"/>
              <w:rPr>
                <w:rFonts w:cs="Segoe UI"/>
                <w:sz w:val="16"/>
                <w:szCs w:val="16"/>
              </w:rPr>
            </w:pPr>
            <w:r>
              <w:rPr>
                <w:rFonts w:cs="Segoe UI"/>
                <w:sz w:val="16"/>
                <w:szCs w:val="16"/>
              </w:rPr>
              <w:t>88.3</w:t>
            </w:r>
          </w:p>
        </w:tc>
      </w:tr>
      <w:tr w:rsidR="00726C45" w:rsidRPr="00BD6DBC" w14:paraId="1EA88894" w14:textId="77777777" w:rsidTr="00A37677">
        <w:tc>
          <w:tcPr>
            <w:tcW w:w="1418" w:type="dxa"/>
            <w:tcBorders>
              <w:top w:val="nil"/>
              <w:left w:val="single" w:sz="4" w:space="0" w:color="auto"/>
              <w:bottom w:val="nil"/>
              <w:right w:val="single" w:sz="4" w:space="0" w:color="auto"/>
            </w:tcBorders>
            <w:vAlign w:val="bottom"/>
          </w:tcPr>
          <w:p w14:paraId="34869CED" w14:textId="77777777" w:rsidR="00726C45" w:rsidRPr="002437BF" w:rsidRDefault="00726C45" w:rsidP="00A37677">
            <w:pPr>
              <w:spacing w:before="0" w:line="240" w:lineRule="auto"/>
              <w:rPr>
                <w:rFonts w:eastAsia="Times New Roman" w:cs="Segoe UI"/>
                <w:color w:val="FF0000"/>
                <w:sz w:val="16"/>
                <w:szCs w:val="16"/>
              </w:rPr>
            </w:pPr>
            <w:r w:rsidRPr="002437BF">
              <w:rPr>
                <w:rFonts w:eastAsia="Times New Roman" w:cs="Segoe UI"/>
                <w:color w:val="FF0000"/>
                <w:sz w:val="16"/>
                <w:szCs w:val="16"/>
              </w:rPr>
              <w:t>India</w:t>
            </w:r>
          </w:p>
        </w:tc>
        <w:tc>
          <w:tcPr>
            <w:tcW w:w="709" w:type="dxa"/>
            <w:tcBorders>
              <w:top w:val="nil"/>
              <w:left w:val="single" w:sz="4" w:space="0" w:color="auto"/>
              <w:bottom w:val="nil"/>
              <w:right w:val="single" w:sz="4" w:space="0" w:color="auto"/>
            </w:tcBorders>
          </w:tcPr>
          <w:p w14:paraId="2B3F0957"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13.4</w:t>
            </w:r>
          </w:p>
        </w:tc>
        <w:tc>
          <w:tcPr>
            <w:tcW w:w="708" w:type="dxa"/>
            <w:tcBorders>
              <w:top w:val="nil"/>
              <w:left w:val="single" w:sz="4" w:space="0" w:color="auto"/>
              <w:bottom w:val="nil"/>
              <w:right w:val="single" w:sz="4" w:space="0" w:color="auto"/>
            </w:tcBorders>
          </w:tcPr>
          <w:p w14:paraId="2C560EE5"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25.3</w:t>
            </w:r>
          </w:p>
        </w:tc>
        <w:tc>
          <w:tcPr>
            <w:tcW w:w="993" w:type="dxa"/>
            <w:tcBorders>
              <w:top w:val="nil"/>
              <w:left w:val="single" w:sz="4" w:space="0" w:color="auto"/>
              <w:bottom w:val="nil"/>
              <w:right w:val="single" w:sz="4" w:space="0" w:color="auto"/>
            </w:tcBorders>
          </w:tcPr>
          <w:p w14:paraId="7C863B2F"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13.0</w:t>
            </w:r>
          </w:p>
        </w:tc>
        <w:tc>
          <w:tcPr>
            <w:tcW w:w="567" w:type="dxa"/>
            <w:tcBorders>
              <w:top w:val="nil"/>
              <w:left w:val="single" w:sz="4" w:space="0" w:color="auto"/>
              <w:bottom w:val="nil"/>
              <w:right w:val="single" w:sz="4" w:space="0" w:color="auto"/>
            </w:tcBorders>
            <w:vAlign w:val="bottom"/>
          </w:tcPr>
          <w:p w14:paraId="44996BAA"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14.5</w:t>
            </w:r>
          </w:p>
        </w:tc>
        <w:tc>
          <w:tcPr>
            <w:tcW w:w="708" w:type="dxa"/>
            <w:tcBorders>
              <w:top w:val="nil"/>
              <w:left w:val="single" w:sz="4" w:space="0" w:color="auto"/>
              <w:bottom w:val="nil"/>
              <w:right w:val="single" w:sz="4" w:space="0" w:color="auto"/>
            </w:tcBorders>
          </w:tcPr>
          <w:p w14:paraId="4CC440AF"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29.1</w:t>
            </w:r>
          </w:p>
        </w:tc>
        <w:tc>
          <w:tcPr>
            <w:tcW w:w="993" w:type="dxa"/>
            <w:tcBorders>
              <w:top w:val="nil"/>
              <w:left w:val="single" w:sz="4" w:space="0" w:color="auto"/>
              <w:bottom w:val="nil"/>
              <w:right w:val="single" w:sz="4" w:space="0" w:color="auto"/>
            </w:tcBorders>
          </w:tcPr>
          <w:p w14:paraId="1FF250F1"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25.9</w:t>
            </w:r>
          </w:p>
        </w:tc>
        <w:tc>
          <w:tcPr>
            <w:tcW w:w="992" w:type="dxa"/>
            <w:tcBorders>
              <w:top w:val="nil"/>
              <w:left w:val="single" w:sz="4" w:space="0" w:color="auto"/>
              <w:bottom w:val="nil"/>
              <w:right w:val="single" w:sz="4" w:space="0" w:color="auto"/>
            </w:tcBorders>
          </w:tcPr>
          <w:p w14:paraId="2E17FF73"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24.8</w:t>
            </w:r>
          </w:p>
        </w:tc>
        <w:tc>
          <w:tcPr>
            <w:tcW w:w="850" w:type="dxa"/>
            <w:tcBorders>
              <w:top w:val="nil"/>
              <w:left w:val="single" w:sz="4" w:space="0" w:color="auto"/>
              <w:bottom w:val="nil"/>
              <w:right w:val="single" w:sz="4" w:space="0" w:color="auto"/>
            </w:tcBorders>
          </w:tcPr>
          <w:p w14:paraId="69AFA6B5"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18.2</w:t>
            </w:r>
          </w:p>
        </w:tc>
        <w:tc>
          <w:tcPr>
            <w:tcW w:w="567" w:type="dxa"/>
            <w:tcBorders>
              <w:top w:val="nil"/>
              <w:left w:val="single" w:sz="4" w:space="0" w:color="auto"/>
              <w:bottom w:val="nil"/>
              <w:right w:val="single" w:sz="4" w:space="0" w:color="auto"/>
            </w:tcBorders>
          </w:tcPr>
          <w:p w14:paraId="129B55FB"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24.3</w:t>
            </w:r>
          </w:p>
        </w:tc>
        <w:tc>
          <w:tcPr>
            <w:tcW w:w="709" w:type="dxa"/>
            <w:tcBorders>
              <w:top w:val="nil"/>
              <w:left w:val="single" w:sz="4" w:space="0" w:color="auto"/>
              <w:bottom w:val="nil"/>
              <w:right w:val="single" w:sz="4" w:space="0" w:color="auto"/>
            </w:tcBorders>
          </w:tcPr>
          <w:p w14:paraId="6C3E4B0F" w14:textId="77777777" w:rsidR="00726C45" w:rsidRPr="002437BF" w:rsidRDefault="00726C45" w:rsidP="00A37677">
            <w:pPr>
              <w:spacing w:before="0" w:line="240" w:lineRule="auto"/>
              <w:jc w:val="right"/>
              <w:rPr>
                <w:rFonts w:cs="Segoe UI"/>
                <w:color w:val="FF0000"/>
                <w:sz w:val="16"/>
                <w:szCs w:val="16"/>
              </w:rPr>
            </w:pPr>
            <w:r w:rsidRPr="002437BF">
              <w:rPr>
                <w:rFonts w:cs="Segoe UI"/>
                <w:color w:val="FF0000"/>
                <w:sz w:val="16"/>
                <w:szCs w:val="16"/>
              </w:rPr>
              <w:t>16.2</w:t>
            </w:r>
          </w:p>
        </w:tc>
        <w:tc>
          <w:tcPr>
            <w:tcW w:w="1133" w:type="dxa"/>
            <w:tcBorders>
              <w:top w:val="nil"/>
              <w:left w:val="single" w:sz="4" w:space="0" w:color="auto"/>
              <w:bottom w:val="nil"/>
              <w:right w:val="single" w:sz="4" w:space="0" w:color="auto"/>
            </w:tcBorders>
          </w:tcPr>
          <w:p w14:paraId="2CD2663A" w14:textId="77777777" w:rsidR="00726C45" w:rsidRPr="002437BF" w:rsidRDefault="00726C45" w:rsidP="00A37677">
            <w:pPr>
              <w:spacing w:before="0" w:line="240" w:lineRule="auto"/>
              <w:jc w:val="right"/>
              <w:rPr>
                <w:rFonts w:cs="Segoe UI"/>
                <w:color w:val="FF0000"/>
                <w:sz w:val="16"/>
                <w:szCs w:val="16"/>
              </w:rPr>
            </w:pPr>
            <w:r>
              <w:rPr>
                <w:rFonts w:cs="Segoe UI"/>
                <w:color w:val="FF0000"/>
                <w:sz w:val="16"/>
                <w:szCs w:val="16"/>
              </w:rPr>
              <w:t>64.2</w:t>
            </w:r>
          </w:p>
        </w:tc>
      </w:tr>
      <w:tr w:rsidR="00726C45" w:rsidRPr="00BD6DBC" w14:paraId="10DA5067" w14:textId="77777777" w:rsidTr="00A37677">
        <w:tc>
          <w:tcPr>
            <w:tcW w:w="1418" w:type="dxa"/>
            <w:tcBorders>
              <w:top w:val="nil"/>
              <w:left w:val="single" w:sz="4" w:space="0" w:color="auto"/>
              <w:bottom w:val="nil"/>
              <w:right w:val="single" w:sz="4" w:space="0" w:color="auto"/>
            </w:tcBorders>
            <w:vAlign w:val="bottom"/>
          </w:tcPr>
          <w:p w14:paraId="428C5082"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Indonesia</w:t>
            </w:r>
          </w:p>
        </w:tc>
        <w:tc>
          <w:tcPr>
            <w:tcW w:w="709" w:type="dxa"/>
            <w:tcBorders>
              <w:top w:val="nil"/>
              <w:left w:val="single" w:sz="4" w:space="0" w:color="auto"/>
              <w:bottom w:val="nil"/>
              <w:right w:val="single" w:sz="4" w:space="0" w:color="auto"/>
            </w:tcBorders>
          </w:tcPr>
          <w:p w14:paraId="1BF974A7" w14:textId="77777777" w:rsidR="00726C45" w:rsidRPr="00BD6DBC" w:rsidRDefault="00726C45" w:rsidP="00A37677">
            <w:pPr>
              <w:spacing w:before="0" w:line="240" w:lineRule="auto"/>
              <w:jc w:val="right"/>
              <w:rPr>
                <w:rFonts w:cs="Segoe UI"/>
                <w:sz w:val="16"/>
                <w:szCs w:val="16"/>
              </w:rPr>
            </w:pPr>
            <w:r>
              <w:rPr>
                <w:rFonts w:cs="Segoe UI"/>
                <w:sz w:val="16"/>
                <w:szCs w:val="16"/>
              </w:rPr>
              <w:t>1.7</w:t>
            </w:r>
          </w:p>
        </w:tc>
        <w:tc>
          <w:tcPr>
            <w:tcW w:w="708" w:type="dxa"/>
            <w:tcBorders>
              <w:top w:val="nil"/>
              <w:left w:val="single" w:sz="4" w:space="0" w:color="auto"/>
              <w:bottom w:val="nil"/>
              <w:right w:val="single" w:sz="4" w:space="0" w:color="auto"/>
            </w:tcBorders>
          </w:tcPr>
          <w:p w14:paraId="4BFCF3F3" w14:textId="77777777" w:rsidR="00726C45" w:rsidRPr="00BD6DBC" w:rsidRDefault="00726C45" w:rsidP="00A37677">
            <w:pPr>
              <w:spacing w:before="0" w:line="240" w:lineRule="auto"/>
              <w:jc w:val="right"/>
              <w:rPr>
                <w:rFonts w:cs="Segoe UI"/>
                <w:sz w:val="16"/>
                <w:szCs w:val="16"/>
              </w:rPr>
            </w:pPr>
            <w:r>
              <w:rPr>
                <w:rFonts w:cs="Segoe UI"/>
                <w:sz w:val="16"/>
                <w:szCs w:val="16"/>
              </w:rPr>
              <w:t>10.0</w:t>
            </w:r>
          </w:p>
        </w:tc>
        <w:tc>
          <w:tcPr>
            <w:tcW w:w="993" w:type="dxa"/>
            <w:tcBorders>
              <w:top w:val="nil"/>
              <w:left w:val="single" w:sz="4" w:space="0" w:color="auto"/>
              <w:bottom w:val="nil"/>
              <w:right w:val="single" w:sz="4" w:space="0" w:color="auto"/>
            </w:tcBorders>
          </w:tcPr>
          <w:p w14:paraId="42277D7B" w14:textId="77777777" w:rsidR="00726C45" w:rsidRPr="00BD6DBC" w:rsidRDefault="00726C45" w:rsidP="00A37677">
            <w:pPr>
              <w:spacing w:before="0" w:line="240" w:lineRule="auto"/>
              <w:jc w:val="right"/>
              <w:rPr>
                <w:rFonts w:cs="Segoe UI"/>
                <w:sz w:val="16"/>
                <w:szCs w:val="16"/>
              </w:rPr>
            </w:pPr>
            <w:r>
              <w:rPr>
                <w:rFonts w:cs="Segoe UI"/>
                <w:sz w:val="16"/>
                <w:szCs w:val="16"/>
              </w:rPr>
              <w:t>2.8</w:t>
            </w:r>
          </w:p>
        </w:tc>
        <w:tc>
          <w:tcPr>
            <w:tcW w:w="567" w:type="dxa"/>
            <w:tcBorders>
              <w:top w:val="nil"/>
              <w:left w:val="single" w:sz="4" w:space="0" w:color="auto"/>
              <w:bottom w:val="nil"/>
              <w:right w:val="single" w:sz="4" w:space="0" w:color="auto"/>
            </w:tcBorders>
            <w:vAlign w:val="bottom"/>
          </w:tcPr>
          <w:p w14:paraId="0005A71D" w14:textId="77777777" w:rsidR="00726C45" w:rsidRPr="00BD6DBC" w:rsidRDefault="00726C45" w:rsidP="00A37677">
            <w:pPr>
              <w:spacing w:before="0" w:line="240" w:lineRule="auto"/>
              <w:jc w:val="right"/>
              <w:rPr>
                <w:rFonts w:cs="Segoe UI"/>
                <w:sz w:val="16"/>
                <w:szCs w:val="16"/>
              </w:rPr>
            </w:pPr>
            <w:r>
              <w:rPr>
                <w:rFonts w:cs="Segoe UI"/>
                <w:sz w:val="16"/>
                <w:szCs w:val="16"/>
              </w:rPr>
              <w:t>2.4</w:t>
            </w:r>
          </w:p>
        </w:tc>
        <w:tc>
          <w:tcPr>
            <w:tcW w:w="708" w:type="dxa"/>
            <w:tcBorders>
              <w:top w:val="nil"/>
              <w:left w:val="single" w:sz="4" w:space="0" w:color="auto"/>
              <w:bottom w:val="nil"/>
              <w:right w:val="single" w:sz="4" w:space="0" w:color="auto"/>
            </w:tcBorders>
          </w:tcPr>
          <w:p w14:paraId="73E8A553" w14:textId="77777777" w:rsidR="00726C45" w:rsidRPr="00BD6DBC" w:rsidRDefault="00726C45" w:rsidP="00A37677">
            <w:pPr>
              <w:spacing w:before="0" w:line="240" w:lineRule="auto"/>
              <w:jc w:val="right"/>
              <w:rPr>
                <w:rFonts w:cs="Segoe UI"/>
                <w:sz w:val="16"/>
                <w:szCs w:val="16"/>
              </w:rPr>
            </w:pPr>
            <w:r>
              <w:rPr>
                <w:rFonts w:cs="Segoe UI"/>
                <w:sz w:val="16"/>
                <w:szCs w:val="16"/>
              </w:rPr>
              <w:t>8.7</w:t>
            </w:r>
          </w:p>
        </w:tc>
        <w:tc>
          <w:tcPr>
            <w:tcW w:w="993" w:type="dxa"/>
            <w:tcBorders>
              <w:top w:val="nil"/>
              <w:left w:val="single" w:sz="4" w:space="0" w:color="auto"/>
              <w:bottom w:val="nil"/>
              <w:right w:val="single" w:sz="4" w:space="0" w:color="auto"/>
            </w:tcBorders>
          </w:tcPr>
          <w:p w14:paraId="3F1B5E49" w14:textId="77777777" w:rsidR="00726C45" w:rsidRPr="00BD6DBC" w:rsidRDefault="00726C45" w:rsidP="00A37677">
            <w:pPr>
              <w:spacing w:before="0" w:line="240" w:lineRule="auto"/>
              <w:jc w:val="right"/>
              <w:rPr>
                <w:rFonts w:cs="Segoe UI"/>
                <w:sz w:val="16"/>
                <w:szCs w:val="16"/>
              </w:rPr>
            </w:pPr>
            <w:r>
              <w:rPr>
                <w:rFonts w:cs="Segoe UI"/>
                <w:sz w:val="16"/>
                <w:szCs w:val="16"/>
              </w:rPr>
              <w:t>3.6</w:t>
            </w:r>
          </w:p>
        </w:tc>
        <w:tc>
          <w:tcPr>
            <w:tcW w:w="992" w:type="dxa"/>
            <w:tcBorders>
              <w:top w:val="nil"/>
              <w:left w:val="single" w:sz="4" w:space="0" w:color="auto"/>
              <w:bottom w:val="nil"/>
              <w:right w:val="single" w:sz="4" w:space="0" w:color="auto"/>
            </w:tcBorders>
          </w:tcPr>
          <w:p w14:paraId="17FCE4F9"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1.1</w:t>
            </w:r>
          </w:p>
        </w:tc>
        <w:tc>
          <w:tcPr>
            <w:tcW w:w="850" w:type="dxa"/>
            <w:tcBorders>
              <w:top w:val="nil"/>
              <w:left w:val="single" w:sz="4" w:space="0" w:color="auto"/>
              <w:bottom w:val="nil"/>
              <w:right w:val="single" w:sz="4" w:space="0" w:color="auto"/>
            </w:tcBorders>
          </w:tcPr>
          <w:p w14:paraId="5BE8DEC0" w14:textId="77777777" w:rsidR="00726C45" w:rsidRPr="00F37A41" w:rsidRDefault="00726C45" w:rsidP="00A37677">
            <w:pPr>
              <w:spacing w:before="0" w:line="240" w:lineRule="auto"/>
              <w:jc w:val="right"/>
              <w:rPr>
                <w:rFonts w:cs="Segoe UI"/>
                <w:sz w:val="16"/>
                <w:szCs w:val="16"/>
              </w:rPr>
            </w:pPr>
            <w:r>
              <w:rPr>
                <w:rFonts w:cs="Segoe UI"/>
                <w:sz w:val="16"/>
                <w:szCs w:val="16"/>
              </w:rPr>
              <w:t>1.9</w:t>
            </w:r>
          </w:p>
        </w:tc>
        <w:tc>
          <w:tcPr>
            <w:tcW w:w="567" w:type="dxa"/>
            <w:tcBorders>
              <w:top w:val="nil"/>
              <w:left w:val="single" w:sz="4" w:space="0" w:color="auto"/>
              <w:bottom w:val="nil"/>
              <w:right w:val="single" w:sz="4" w:space="0" w:color="auto"/>
            </w:tcBorders>
          </w:tcPr>
          <w:p w14:paraId="0FB651BB" w14:textId="77777777" w:rsidR="00726C45" w:rsidRPr="00F37A41" w:rsidRDefault="00726C45" w:rsidP="00A37677">
            <w:pPr>
              <w:spacing w:before="0" w:line="240" w:lineRule="auto"/>
              <w:jc w:val="right"/>
              <w:rPr>
                <w:rFonts w:cs="Segoe UI"/>
                <w:sz w:val="16"/>
                <w:szCs w:val="16"/>
              </w:rPr>
            </w:pPr>
            <w:r>
              <w:rPr>
                <w:rFonts w:cs="Segoe UI"/>
                <w:sz w:val="16"/>
                <w:szCs w:val="16"/>
              </w:rPr>
              <w:t>14.5</w:t>
            </w:r>
          </w:p>
        </w:tc>
        <w:tc>
          <w:tcPr>
            <w:tcW w:w="709" w:type="dxa"/>
            <w:tcBorders>
              <w:top w:val="nil"/>
              <w:left w:val="single" w:sz="4" w:space="0" w:color="auto"/>
              <w:bottom w:val="nil"/>
              <w:right w:val="single" w:sz="4" w:space="0" w:color="auto"/>
            </w:tcBorders>
          </w:tcPr>
          <w:p w14:paraId="606A2E93" w14:textId="77777777" w:rsidR="00726C45" w:rsidRDefault="00726C45" w:rsidP="00A37677">
            <w:pPr>
              <w:spacing w:before="0" w:line="240" w:lineRule="auto"/>
              <w:jc w:val="right"/>
              <w:rPr>
                <w:rFonts w:cs="Segoe UI"/>
                <w:sz w:val="16"/>
                <w:szCs w:val="16"/>
              </w:rPr>
            </w:pPr>
            <w:r>
              <w:rPr>
                <w:rFonts w:cs="Segoe UI"/>
                <w:sz w:val="16"/>
                <w:szCs w:val="16"/>
              </w:rPr>
              <w:t>1.6</w:t>
            </w:r>
          </w:p>
        </w:tc>
        <w:tc>
          <w:tcPr>
            <w:tcW w:w="1133" w:type="dxa"/>
            <w:tcBorders>
              <w:top w:val="nil"/>
              <w:left w:val="single" w:sz="4" w:space="0" w:color="auto"/>
              <w:bottom w:val="nil"/>
              <w:right w:val="single" w:sz="4" w:space="0" w:color="auto"/>
            </w:tcBorders>
          </w:tcPr>
          <w:p w14:paraId="6489ADB8" w14:textId="77777777" w:rsidR="00726C45" w:rsidRDefault="00726C45" w:rsidP="00A37677">
            <w:pPr>
              <w:spacing w:before="0" w:line="240" w:lineRule="auto"/>
              <w:jc w:val="right"/>
              <w:rPr>
                <w:rFonts w:cs="Segoe UI"/>
                <w:sz w:val="16"/>
                <w:szCs w:val="16"/>
              </w:rPr>
            </w:pPr>
            <w:r>
              <w:rPr>
                <w:rFonts w:cs="Segoe UI"/>
                <w:sz w:val="16"/>
                <w:szCs w:val="16"/>
              </w:rPr>
              <w:t>81.6</w:t>
            </w:r>
          </w:p>
        </w:tc>
      </w:tr>
      <w:tr w:rsidR="00726C45" w:rsidRPr="00BD6DBC" w14:paraId="214DF905" w14:textId="77777777" w:rsidTr="00A37677">
        <w:tc>
          <w:tcPr>
            <w:tcW w:w="1418" w:type="dxa"/>
            <w:tcBorders>
              <w:top w:val="nil"/>
              <w:left w:val="single" w:sz="4" w:space="0" w:color="auto"/>
              <w:bottom w:val="nil"/>
              <w:right w:val="single" w:sz="4" w:space="0" w:color="auto"/>
            </w:tcBorders>
            <w:vAlign w:val="bottom"/>
          </w:tcPr>
          <w:p w14:paraId="224B29C1"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Iran</w:t>
            </w:r>
          </w:p>
        </w:tc>
        <w:tc>
          <w:tcPr>
            <w:tcW w:w="709" w:type="dxa"/>
            <w:tcBorders>
              <w:top w:val="nil"/>
              <w:left w:val="single" w:sz="4" w:space="0" w:color="auto"/>
              <w:bottom w:val="nil"/>
              <w:right w:val="single" w:sz="4" w:space="0" w:color="auto"/>
            </w:tcBorders>
          </w:tcPr>
          <w:p w14:paraId="388D9CA4" w14:textId="77777777" w:rsidR="00726C45" w:rsidRPr="00BD6DBC" w:rsidRDefault="00726C45" w:rsidP="00A37677">
            <w:pPr>
              <w:spacing w:before="0" w:line="240" w:lineRule="auto"/>
              <w:jc w:val="right"/>
              <w:rPr>
                <w:rFonts w:cs="Segoe UI"/>
                <w:sz w:val="16"/>
                <w:szCs w:val="16"/>
              </w:rPr>
            </w:pPr>
            <w:r>
              <w:rPr>
                <w:rFonts w:cs="Segoe UI"/>
                <w:sz w:val="16"/>
                <w:szCs w:val="16"/>
              </w:rPr>
              <w:t>0.9</w:t>
            </w:r>
          </w:p>
        </w:tc>
        <w:tc>
          <w:tcPr>
            <w:tcW w:w="708" w:type="dxa"/>
            <w:tcBorders>
              <w:top w:val="nil"/>
              <w:left w:val="single" w:sz="4" w:space="0" w:color="auto"/>
              <w:bottom w:val="nil"/>
              <w:right w:val="single" w:sz="4" w:space="0" w:color="auto"/>
            </w:tcBorders>
          </w:tcPr>
          <w:p w14:paraId="2BBF1D04" w14:textId="77777777" w:rsidR="00726C45" w:rsidRPr="00BD6DBC" w:rsidRDefault="00726C45" w:rsidP="00A37677">
            <w:pPr>
              <w:spacing w:before="0" w:line="240" w:lineRule="auto"/>
              <w:jc w:val="right"/>
              <w:rPr>
                <w:rFonts w:cs="Segoe UI"/>
                <w:sz w:val="16"/>
                <w:szCs w:val="16"/>
              </w:rPr>
            </w:pPr>
            <w:r>
              <w:rPr>
                <w:rFonts w:cs="Segoe UI"/>
                <w:sz w:val="16"/>
                <w:szCs w:val="16"/>
              </w:rPr>
              <w:t>2.4</w:t>
            </w:r>
          </w:p>
        </w:tc>
        <w:tc>
          <w:tcPr>
            <w:tcW w:w="993" w:type="dxa"/>
            <w:tcBorders>
              <w:top w:val="nil"/>
              <w:left w:val="single" w:sz="4" w:space="0" w:color="auto"/>
              <w:bottom w:val="nil"/>
              <w:right w:val="single" w:sz="4" w:space="0" w:color="auto"/>
            </w:tcBorders>
          </w:tcPr>
          <w:p w14:paraId="5DC8E955"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567" w:type="dxa"/>
            <w:tcBorders>
              <w:top w:val="nil"/>
              <w:left w:val="single" w:sz="4" w:space="0" w:color="auto"/>
              <w:bottom w:val="nil"/>
              <w:right w:val="single" w:sz="4" w:space="0" w:color="auto"/>
            </w:tcBorders>
            <w:vAlign w:val="bottom"/>
          </w:tcPr>
          <w:p w14:paraId="7FAC5BA2" w14:textId="77777777" w:rsidR="00726C45" w:rsidRPr="00BD6DBC" w:rsidRDefault="00726C45" w:rsidP="00A37677">
            <w:pPr>
              <w:spacing w:before="0" w:line="240" w:lineRule="auto"/>
              <w:jc w:val="right"/>
              <w:rPr>
                <w:rFonts w:cs="Segoe UI"/>
                <w:sz w:val="16"/>
                <w:szCs w:val="16"/>
              </w:rPr>
            </w:pPr>
            <w:r>
              <w:rPr>
                <w:rFonts w:cs="Segoe UI"/>
                <w:sz w:val="16"/>
                <w:szCs w:val="16"/>
              </w:rPr>
              <w:t>0.9</w:t>
            </w:r>
          </w:p>
        </w:tc>
        <w:tc>
          <w:tcPr>
            <w:tcW w:w="708" w:type="dxa"/>
            <w:tcBorders>
              <w:top w:val="nil"/>
              <w:left w:val="single" w:sz="4" w:space="0" w:color="auto"/>
              <w:bottom w:val="nil"/>
              <w:right w:val="single" w:sz="4" w:space="0" w:color="auto"/>
            </w:tcBorders>
          </w:tcPr>
          <w:p w14:paraId="12445C6D" w14:textId="77777777" w:rsidR="00726C45" w:rsidRPr="00BD6DBC" w:rsidRDefault="00726C45" w:rsidP="00A37677">
            <w:pPr>
              <w:spacing w:before="0" w:line="240" w:lineRule="auto"/>
              <w:jc w:val="right"/>
              <w:rPr>
                <w:rFonts w:cs="Segoe UI"/>
                <w:sz w:val="16"/>
                <w:szCs w:val="16"/>
              </w:rPr>
            </w:pPr>
            <w:r>
              <w:rPr>
                <w:rFonts w:cs="Segoe UI"/>
                <w:sz w:val="16"/>
                <w:szCs w:val="16"/>
              </w:rPr>
              <w:t>2.4</w:t>
            </w:r>
          </w:p>
        </w:tc>
        <w:tc>
          <w:tcPr>
            <w:tcW w:w="993" w:type="dxa"/>
            <w:tcBorders>
              <w:top w:val="nil"/>
              <w:left w:val="single" w:sz="4" w:space="0" w:color="auto"/>
              <w:bottom w:val="nil"/>
              <w:right w:val="single" w:sz="4" w:space="0" w:color="auto"/>
            </w:tcBorders>
          </w:tcPr>
          <w:p w14:paraId="639A7DC3" w14:textId="77777777" w:rsidR="00726C45" w:rsidRPr="00BD6DBC" w:rsidRDefault="00726C45" w:rsidP="00A37677">
            <w:pPr>
              <w:spacing w:before="0" w:line="240" w:lineRule="auto"/>
              <w:jc w:val="right"/>
              <w:rPr>
                <w:rFonts w:cs="Segoe UI"/>
                <w:sz w:val="16"/>
                <w:szCs w:val="16"/>
              </w:rPr>
            </w:pPr>
            <w:r>
              <w:rPr>
                <w:rFonts w:cs="Segoe UI"/>
                <w:sz w:val="16"/>
                <w:szCs w:val="16"/>
              </w:rPr>
              <w:t>2.0</w:t>
            </w:r>
          </w:p>
        </w:tc>
        <w:tc>
          <w:tcPr>
            <w:tcW w:w="992" w:type="dxa"/>
            <w:tcBorders>
              <w:top w:val="nil"/>
              <w:left w:val="single" w:sz="4" w:space="0" w:color="auto"/>
              <w:bottom w:val="nil"/>
              <w:right w:val="single" w:sz="4" w:space="0" w:color="auto"/>
            </w:tcBorders>
          </w:tcPr>
          <w:p w14:paraId="38D79C93"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1.3</w:t>
            </w:r>
          </w:p>
        </w:tc>
        <w:tc>
          <w:tcPr>
            <w:tcW w:w="850" w:type="dxa"/>
            <w:tcBorders>
              <w:top w:val="nil"/>
              <w:left w:val="single" w:sz="4" w:space="0" w:color="auto"/>
              <w:bottom w:val="nil"/>
              <w:right w:val="single" w:sz="4" w:space="0" w:color="auto"/>
            </w:tcBorders>
          </w:tcPr>
          <w:p w14:paraId="429E7B1C" w14:textId="77777777" w:rsidR="00726C45" w:rsidRPr="00F37A41" w:rsidRDefault="00726C45" w:rsidP="00A37677">
            <w:pPr>
              <w:spacing w:before="0" w:line="240" w:lineRule="auto"/>
              <w:jc w:val="right"/>
              <w:rPr>
                <w:rFonts w:cs="Segoe UI"/>
                <w:sz w:val="16"/>
                <w:szCs w:val="16"/>
              </w:rPr>
            </w:pPr>
            <w:r>
              <w:rPr>
                <w:rFonts w:cs="Segoe UI"/>
                <w:sz w:val="16"/>
                <w:szCs w:val="16"/>
              </w:rPr>
              <w:t>1.0</w:t>
            </w:r>
          </w:p>
        </w:tc>
        <w:tc>
          <w:tcPr>
            <w:tcW w:w="567" w:type="dxa"/>
            <w:tcBorders>
              <w:top w:val="nil"/>
              <w:left w:val="single" w:sz="4" w:space="0" w:color="auto"/>
              <w:bottom w:val="nil"/>
              <w:right w:val="single" w:sz="4" w:space="0" w:color="auto"/>
            </w:tcBorders>
          </w:tcPr>
          <w:p w14:paraId="54E5B47E" w14:textId="77777777" w:rsidR="00726C45" w:rsidRPr="00F37A41" w:rsidRDefault="00726C45" w:rsidP="00A37677">
            <w:pPr>
              <w:spacing w:before="0" w:line="240" w:lineRule="auto"/>
              <w:jc w:val="right"/>
              <w:rPr>
                <w:rFonts w:cs="Segoe UI"/>
                <w:sz w:val="16"/>
                <w:szCs w:val="16"/>
              </w:rPr>
            </w:pPr>
            <w:r>
              <w:rPr>
                <w:rFonts w:cs="Segoe UI"/>
                <w:sz w:val="16"/>
                <w:szCs w:val="16"/>
              </w:rPr>
              <w:t>3.1</w:t>
            </w:r>
          </w:p>
        </w:tc>
        <w:tc>
          <w:tcPr>
            <w:tcW w:w="709" w:type="dxa"/>
            <w:tcBorders>
              <w:top w:val="nil"/>
              <w:left w:val="single" w:sz="4" w:space="0" w:color="auto"/>
              <w:bottom w:val="nil"/>
              <w:right w:val="single" w:sz="4" w:space="0" w:color="auto"/>
            </w:tcBorders>
          </w:tcPr>
          <w:p w14:paraId="0B4A1F04" w14:textId="77777777" w:rsidR="00726C45" w:rsidRDefault="00726C45" w:rsidP="00A37677">
            <w:pPr>
              <w:spacing w:before="0" w:line="240" w:lineRule="auto"/>
              <w:jc w:val="right"/>
              <w:rPr>
                <w:rFonts w:cs="Segoe UI"/>
                <w:sz w:val="16"/>
                <w:szCs w:val="16"/>
              </w:rPr>
            </w:pPr>
            <w:r>
              <w:rPr>
                <w:rFonts w:cs="Segoe UI"/>
                <w:sz w:val="16"/>
                <w:szCs w:val="16"/>
              </w:rPr>
              <w:t>1.3</w:t>
            </w:r>
          </w:p>
        </w:tc>
        <w:tc>
          <w:tcPr>
            <w:tcW w:w="1133" w:type="dxa"/>
            <w:tcBorders>
              <w:top w:val="nil"/>
              <w:left w:val="single" w:sz="4" w:space="0" w:color="auto"/>
              <w:bottom w:val="nil"/>
              <w:right w:val="single" w:sz="4" w:space="0" w:color="auto"/>
            </w:tcBorders>
          </w:tcPr>
          <w:p w14:paraId="35949CBE" w14:textId="77777777" w:rsidR="00726C45" w:rsidRDefault="00726C45" w:rsidP="00A37677">
            <w:pPr>
              <w:spacing w:before="0" w:line="240" w:lineRule="auto"/>
              <w:jc w:val="right"/>
              <w:rPr>
                <w:rFonts w:cs="Segoe UI"/>
                <w:sz w:val="16"/>
                <w:szCs w:val="16"/>
              </w:rPr>
            </w:pPr>
            <w:r>
              <w:rPr>
                <w:rFonts w:cs="Segoe UI"/>
                <w:sz w:val="16"/>
                <w:szCs w:val="16"/>
              </w:rPr>
              <w:t>92.8</w:t>
            </w:r>
          </w:p>
        </w:tc>
      </w:tr>
      <w:tr w:rsidR="00726C45" w:rsidRPr="00BD6DBC" w14:paraId="40B41FE1" w14:textId="77777777" w:rsidTr="00A37677">
        <w:tc>
          <w:tcPr>
            <w:tcW w:w="1418" w:type="dxa"/>
            <w:tcBorders>
              <w:top w:val="nil"/>
              <w:left w:val="single" w:sz="4" w:space="0" w:color="auto"/>
              <w:bottom w:val="nil"/>
              <w:right w:val="single" w:sz="4" w:space="0" w:color="auto"/>
            </w:tcBorders>
            <w:vAlign w:val="bottom"/>
          </w:tcPr>
          <w:p w14:paraId="4757000B"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Japan</w:t>
            </w:r>
          </w:p>
        </w:tc>
        <w:tc>
          <w:tcPr>
            <w:tcW w:w="709" w:type="dxa"/>
            <w:tcBorders>
              <w:top w:val="nil"/>
              <w:left w:val="single" w:sz="4" w:space="0" w:color="auto"/>
              <w:bottom w:val="nil"/>
              <w:right w:val="single" w:sz="4" w:space="0" w:color="auto"/>
            </w:tcBorders>
          </w:tcPr>
          <w:p w14:paraId="6FA98DEB" w14:textId="77777777" w:rsidR="00726C45" w:rsidRPr="00BD6DBC" w:rsidRDefault="00726C45" w:rsidP="00A37677">
            <w:pPr>
              <w:spacing w:before="0" w:line="240" w:lineRule="auto"/>
              <w:jc w:val="right"/>
              <w:rPr>
                <w:rFonts w:cs="Segoe UI"/>
                <w:sz w:val="16"/>
                <w:szCs w:val="16"/>
              </w:rPr>
            </w:pPr>
            <w:r>
              <w:rPr>
                <w:rFonts w:cs="Segoe UI"/>
                <w:sz w:val="16"/>
                <w:szCs w:val="16"/>
              </w:rPr>
              <w:t>7.3</w:t>
            </w:r>
          </w:p>
        </w:tc>
        <w:tc>
          <w:tcPr>
            <w:tcW w:w="708" w:type="dxa"/>
            <w:tcBorders>
              <w:top w:val="nil"/>
              <w:left w:val="single" w:sz="4" w:space="0" w:color="auto"/>
              <w:bottom w:val="nil"/>
              <w:right w:val="single" w:sz="4" w:space="0" w:color="auto"/>
            </w:tcBorders>
          </w:tcPr>
          <w:p w14:paraId="56B66E1A" w14:textId="77777777" w:rsidR="00726C45" w:rsidRPr="00BD6DBC" w:rsidRDefault="00726C45" w:rsidP="00A37677">
            <w:pPr>
              <w:spacing w:before="0" w:line="240" w:lineRule="auto"/>
              <w:jc w:val="right"/>
              <w:rPr>
                <w:rFonts w:cs="Segoe UI"/>
                <w:sz w:val="16"/>
                <w:szCs w:val="16"/>
              </w:rPr>
            </w:pPr>
            <w:r>
              <w:rPr>
                <w:rFonts w:cs="Segoe UI"/>
                <w:sz w:val="16"/>
                <w:szCs w:val="16"/>
              </w:rPr>
              <w:t>15.6</w:t>
            </w:r>
          </w:p>
        </w:tc>
        <w:tc>
          <w:tcPr>
            <w:tcW w:w="993" w:type="dxa"/>
            <w:tcBorders>
              <w:top w:val="nil"/>
              <w:left w:val="single" w:sz="4" w:space="0" w:color="auto"/>
              <w:bottom w:val="nil"/>
              <w:right w:val="single" w:sz="4" w:space="0" w:color="auto"/>
            </w:tcBorders>
          </w:tcPr>
          <w:p w14:paraId="2FAAAD7E" w14:textId="77777777" w:rsidR="00726C45" w:rsidRPr="00BD6DBC" w:rsidRDefault="00726C45" w:rsidP="00A37677">
            <w:pPr>
              <w:spacing w:before="0" w:line="240" w:lineRule="auto"/>
              <w:jc w:val="right"/>
              <w:rPr>
                <w:rFonts w:cs="Segoe UI"/>
                <w:sz w:val="16"/>
                <w:szCs w:val="16"/>
              </w:rPr>
            </w:pPr>
            <w:r>
              <w:rPr>
                <w:rFonts w:cs="Segoe UI"/>
                <w:sz w:val="16"/>
                <w:szCs w:val="16"/>
              </w:rPr>
              <w:t>7.1</w:t>
            </w:r>
          </w:p>
        </w:tc>
        <w:tc>
          <w:tcPr>
            <w:tcW w:w="567" w:type="dxa"/>
            <w:tcBorders>
              <w:top w:val="nil"/>
              <w:left w:val="single" w:sz="4" w:space="0" w:color="auto"/>
              <w:bottom w:val="nil"/>
              <w:right w:val="single" w:sz="4" w:space="0" w:color="auto"/>
            </w:tcBorders>
            <w:vAlign w:val="bottom"/>
          </w:tcPr>
          <w:p w14:paraId="41CE90A4" w14:textId="77777777" w:rsidR="00726C45" w:rsidRPr="00BD6DBC" w:rsidRDefault="00726C45" w:rsidP="00A37677">
            <w:pPr>
              <w:spacing w:before="0" w:line="240" w:lineRule="auto"/>
              <w:jc w:val="right"/>
              <w:rPr>
                <w:rFonts w:cs="Segoe UI"/>
                <w:sz w:val="16"/>
                <w:szCs w:val="16"/>
              </w:rPr>
            </w:pPr>
            <w:r>
              <w:rPr>
                <w:rFonts w:cs="Segoe UI"/>
                <w:sz w:val="16"/>
                <w:szCs w:val="16"/>
              </w:rPr>
              <w:t>7.7</w:t>
            </w:r>
          </w:p>
        </w:tc>
        <w:tc>
          <w:tcPr>
            <w:tcW w:w="708" w:type="dxa"/>
            <w:tcBorders>
              <w:top w:val="nil"/>
              <w:left w:val="single" w:sz="4" w:space="0" w:color="auto"/>
              <w:bottom w:val="nil"/>
              <w:right w:val="single" w:sz="4" w:space="0" w:color="auto"/>
            </w:tcBorders>
          </w:tcPr>
          <w:p w14:paraId="2C8FC390" w14:textId="77777777" w:rsidR="00726C45" w:rsidRPr="00BD6DBC" w:rsidRDefault="00726C45" w:rsidP="00A37677">
            <w:pPr>
              <w:spacing w:before="0" w:line="240" w:lineRule="auto"/>
              <w:jc w:val="right"/>
              <w:rPr>
                <w:rFonts w:cs="Segoe UI"/>
                <w:sz w:val="16"/>
                <w:szCs w:val="16"/>
              </w:rPr>
            </w:pPr>
            <w:r>
              <w:rPr>
                <w:rFonts w:cs="Segoe UI"/>
                <w:sz w:val="16"/>
                <w:szCs w:val="16"/>
              </w:rPr>
              <w:t>9.3</w:t>
            </w:r>
          </w:p>
        </w:tc>
        <w:tc>
          <w:tcPr>
            <w:tcW w:w="993" w:type="dxa"/>
            <w:tcBorders>
              <w:top w:val="nil"/>
              <w:left w:val="single" w:sz="4" w:space="0" w:color="auto"/>
              <w:bottom w:val="nil"/>
              <w:right w:val="single" w:sz="4" w:space="0" w:color="auto"/>
            </w:tcBorders>
          </w:tcPr>
          <w:p w14:paraId="224E38F1" w14:textId="77777777" w:rsidR="00726C45" w:rsidRPr="00BD6DBC" w:rsidRDefault="00726C45" w:rsidP="00A37677">
            <w:pPr>
              <w:spacing w:before="0" w:line="240" w:lineRule="auto"/>
              <w:jc w:val="right"/>
              <w:rPr>
                <w:rFonts w:cs="Segoe UI"/>
                <w:sz w:val="16"/>
                <w:szCs w:val="16"/>
              </w:rPr>
            </w:pPr>
            <w:r>
              <w:rPr>
                <w:rFonts w:cs="Segoe UI"/>
                <w:sz w:val="16"/>
                <w:szCs w:val="16"/>
              </w:rPr>
              <w:t>14.6</w:t>
            </w:r>
          </w:p>
        </w:tc>
        <w:tc>
          <w:tcPr>
            <w:tcW w:w="992" w:type="dxa"/>
            <w:tcBorders>
              <w:top w:val="nil"/>
              <w:left w:val="single" w:sz="4" w:space="0" w:color="auto"/>
              <w:bottom w:val="nil"/>
              <w:right w:val="single" w:sz="4" w:space="0" w:color="auto"/>
            </w:tcBorders>
          </w:tcPr>
          <w:p w14:paraId="2DEB2FEC"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6.8</w:t>
            </w:r>
          </w:p>
        </w:tc>
        <w:tc>
          <w:tcPr>
            <w:tcW w:w="850" w:type="dxa"/>
            <w:tcBorders>
              <w:top w:val="nil"/>
              <w:left w:val="single" w:sz="4" w:space="0" w:color="auto"/>
              <w:bottom w:val="nil"/>
              <w:right w:val="single" w:sz="4" w:space="0" w:color="auto"/>
            </w:tcBorders>
          </w:tcPr>
          <w:p w14:paraId="329A3751" w14:textId="77777777" w:rsidR="00726C45" w:rsidRPr="00F37A41" w:rsidRDefault="00726C45" w:rsidP="00A37677">
            <w:pPr>
              <w:spacing w:before="0" w:line="240" w:lineRule="auto"/>
              <w:jc w:val="right"/>
              <w:rPr>
                <w:rFonts w:cs="Segoe UI"/>
                <w:sz w:val="16"/>
                <w:szCs w:val="16"/>
              </w:rPr>
            </w:pPr>
            <w:r>
              <w:rPr>
                <w:rFonts w:cs="Segoe UI"/>
                <w:sz w:val="16"/>
                <w:szCs w:val="16"/>
              </w:rPr>
              <w:t>5.7</w:t>
            </w:r>
          </w:p>
        </w:tc>
        <w:tc>
          <w:tcPr>
            <w:tcW w:w="567" w:type="dxa"/>
            <w:tcBorders>
              <w:top w:val="nil"/>
              <w:left w:val="single" w:sz="4" w:space="0" w:color="auto"/>
              <w:bottom w:val="nil"/>
              <w:right w:val="single" w:sz="4" w:space="0" w:color="auto"/>
            </w:tcBorders>
          </w:tcPr>
          <w:p w14:paraId="6148FC4F" w14:textId="77777777" w:rsidR="00726C45" w:rsidRPr="00F37A41" w:rsidRDefault="00726C45" w:rsidP="00A37677">
            <w:pPr>
              <w:spacing w:before="0" w:line="240" w:lineRule="auto"/>
              <w:jc w:val="right"/>
              <w:rPr>
                <w:rFonts w:cs="Segoe UI"/>
                <w:sz w:val="16"/>
                <w:szCs w:val="16"/>
              </w:rPr>
            </w:pPr>
            <w:r>
              <w:rPr>
                <w:rFonts w:cs="Segoe UI"/>
                <w:sz w:val="16"/>
                <w:szCs w:val="16"/>
              </w:rPr>
              <w:t>7.4</w:t>
            </w:r>
          </w:p>
        </w:tc>
        <w:tc>
          <w:tcPr>
            <w:tcW w:w="709" w:type="dxa"/>
            <w:tcBorders>
              <w:top w:val="nil"/>
              <w:left w:val="single" w:sz="4" w:space="0" w:color="auto"/>
              <w:bottom w:val="nil"/>
              <w:right w:val="single" w:sz="4" w:space="0" w:color="auto"/>
            </w:tcBorders>
          </w:tcPr>
          <w:p w14:paraId="48045364" w14:textId="77777777" w:rsidR="00726C45" w:rsidRDefault="00726C45" w:rsidP="00A37677">
            <w:pPr>
              <w:spacing w:before="0" w:line="240" w:lineRule="auto"/>
              <w:jc w:val="right"/>
              <w:rPr>
                <w:rFonts w:cs="Segoe UI"/>
                <w:sz w:val="16"/>
                <w:szCs w:val="16"/>
              </w:rPr>
            </w:pPr>
            <w:r>
              <w:rPr>
                <w:rFonts w:cs="Segoe UI"/>
                <w:sz w:val="16"/>
                <w:szCs w:val="16"/>
              </w:rPr>
              <w:t>5.7</w:t>
            </w:r>
          </w:p>
        </w:tc>
        <w:tc>
          <w:tcPr>
            <w:tcW w:w="1133" w:type="dxa"/>
            <w:tcBorders>
              <w:top w:val="nil"/>
              <w:left w:val="single" w:sz="4" w:space="0" w:color="auto"/>
              <w:bottom w:val="nil"/>
              <w:right w:val="single" w:sz="4" w:space="0" w:color="auto"/>
            </w:tcBorders>
          </w:tcPr>
          <w:p w14:paraId="6900045C" w14:textId="77777777" w:rsidR="00726C45" w:rsidRDefault="00726C45" w:rsidP="00A37677">
            <w:pPr>
              <w:spacing w:before="0" w:line="240" w:lineRule="auto"/>
              <w:jc w:val="right"/>
              <w:rPr>
                <w:rFonts w:cs="Segoe UI"/>
                <w:sz w:val="16"/>
                <w:szCs w:val="16"/>
              </w:rPr>
            </w:pPr>
            <w:r>
              <w:rPr>
                <w:rFonts w:cs="Segoe UI"/>
                <w:sz w:val="16"/>
                <w:szCs w:val="16"/>
              </w:rPr>
              <w:t>73.1</w:t>
            </w:r>
          </w:p>
        </w:tc>
      </w:tr>
      <w:tr w:rsidR="00726C45" w:rsidRPr="00BD6DBC" w14:paraId="6996CDFC" w14:textId="77777777" w:rsidTr="00A37677">
        <w:tc>
          <w:tcPr>
            <w:tcW w:w="1418" w:type="dxa"/>
            <w:tcBorders>
              <w:top w:val="nil"/>
              <w:left w:val="single" w:sz="4" w:space="0" w:color="auto"/>
              <w:bottom w:val="nil"/>
              <w:right w:val="single" w:sz="4" w:space="0" w:color="auto"/>
            </w:tcBorders>
            <w:vAlign w:val="bottom"/>
          </w:tcPr>
          <w:p w14:paraId="5937C823"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Malaysia</w:t>
            </w:r>
          </w:p>
        </w:tc>
        <w:tc>
          <w:tcPr>
            <w:tcW w:w="709" w:type="dxa"/>
            <w:tcBorders>
              <w:top w:val="nil"/>
              <w:left w:val="single" w:sz="4" w:space="0" w:color="auto"/>
              <w:bottom w:val="nil"/>
              <w:right w:val="single" w:sz="4" w:space="0" w:color="auto"/>
            </w:tcBorders>
          </w:tcPr>
          <w:p w14:paraId="4C05D8E8" w14:textId="77777777" w:rsidR="00726C45" w:rsidRPr="00BD6DBC" w:rsidRDefault="00726C45" w:rsidP="00A37677">
            <w:pPr>
              <w:spacing w:before="0" w:line="240" w:lineRule="auto"/>
              <w:jc w:val="right"/>
              <w:rPr>
                <w:rFonts w:cs="Segoe UI"/>
                <w:sz w:val="16"/>
                <w:szCs w:val="16"/>
              </w:rPr>
            </w:pPr>
            <w:r>
              <w:rPr>
                <w:rFonts w:cs="Segoe UI"/>
                <w:sz w:val="16"/>
                <w:szCs w:val="16"/>
              </w:rPr>
              <w:t>0.0</w:t>
            </w:r>
          </w:p>
        </w:tc>
        <w:tc>
          <w:tcPr>
            <w:tcW w:w="708" w:type="dxa"/>
            <w:tcBorders>
              <w:top w:val="nil"/>
              <w:left w:val="single" w:sz="4" w:space="0" w:color="auto"/>
              <w:bottom w:val="nil"/>
              <w:right w:val="single" w:sz="4" w:space="0" w:color="auto"/>
            </w:tcBorders>
          </w:tcPr>
          <w:p w14:paraId="175F0F3B" w14:textId="77777777" w:rsidR="00726C45" w:rsidRPr="00BD6DBC" w:rsidRDefault="00726C45" w:rsidP="00A37677">
            <w:pPr>
              <w:spacing w:before="0" w:line="240" w:lineRule="auto"/>
              <w:jc w:val="right"/>
              <w:rPr>
                <w:rFonts w:cs="Segoe UI"/>
                <w:sz w:val="16"/>
                <w:szCs w:val="16"/>
              </w:rPr>
            </w:pPr>
            <w:r>
              <w:rPr>
                <w:rFonts w:cs="Segoe UI"/>
                <w:sz w:val="16"/>
                <w:szCs w:val="16"/>
              </w:rPr>
              <w:t>0.3</w:t>
            </w:r>
          </w:p>
        </w:tc>
        <w:tc>
          <w:tcPr>
            <w:tcW w:w="993" w:type="dxa"/>
            <w:tcBorders>
              <w:top w:val="nil"/>
              <w:left w:val="single" w:sz="4" w:space="0" w:color="auto"/>
              <w:bottom w:val="nil"/>
              <w:right w:val="single" w:sz="4" w:space="0" w:color="auto"/>
            </w:tcBorders>
          </w:tcPr>
          <w:p w14:paraId="34D800D5" w14:textId="77777777" w:rsidR="00726C45" w:rsidRPr="00BD6DBC" w:rsidRDefault="00726C45" w:rsidP="00A37677">
            <w:pPr>
              <w:spacing w:before="0" w:line="240" w:lineRule="auto"/>
              <w:jc w:val="right"/>
              <w:rPr>
                <w:rFonts w:cs="Segoe UI"/>
                <w:sz w:val="16"/>
                <w:szCs w:val="16"/>
              </w:rPr>
            </w:pPr>
            <w:r>
              <w:rPr>
                <w:rFonts w:cs="Segoe UI"/>
                <w:sz w:val="16"/>
                <w:szCs w:val="16"/>
              </w:rPr>
              <w:t>0.2</w:t>
            </w:r>
          </w:p>
        </w:tc>
        <w:tc>
          <w:tcPr>
            <w:tcW w:w="567" w:type="dxa"/>
            <w:tcBorders>
              <w:top w:val="nil"/>
              <w:left w:val="single" w:sz="4" w:space="0" w:color="auto"/>
              <w:bottom w:val="nil"/>
              <w:right w:val="single" w:sz="4" w:space="0" w:color="auto"/>
            </w:tcBorders>
            <w:vAlign w:val="bottom"/>
          </w:tcPr>
          <w:p w14:paraId="5DA4C045" w14:textId="77777777" w:rsidR="00726C45" w:rsidRPr="00BD6DBC" w:rsidRDefault="00726C45" w:rsidP="00A37677">
            <w:pPr>
              <w:spacing w:before="0" w:line="240" w:lineRule="auto"/>
              <w:jc w:val="right"/>
              <w:rPr>
                <w:rFonts w:cs="Segoe UI"/>
                <w:sz w:val="16"/>
                <w:szCs w:val="16"/>
              </w:rPr>
            </w:pPr>
            <w:r>
              <w:rPr>
                <w:rFonts w:cs="Segoe UI"/>
                <w:sz w:val="16"/>
                <w:szCs w:val="16"/>
              </w:rPr>
              <w:t>0.1</w:t>
            </w:r>
          </w:p>
        </w:tc>
        <w:tc>
          <w:tcPr>
            <w:tcW w:w="708" w:type="dxa"/>
            <w:tcBorders>
              <w:top w:val="nil"/>
              <w:left w:val="single" w:sz="4" w:space="0" w:color="auto"/>
              <w:bottom w:val="nil"/>
              <w:right w:val="single" w:sz="4" w:space="0" w:color="auto"/>
            </w:tcBorders>
          </w:tcPr>
          <w:p w14:paraId="14710F8E" w14:textId="77777777" w:rsidR="00726C45" w:rsidRPr="00BD6DBC" w:rsidRDefault="00726C45" w:rsidP="00A37677">
            <w:pPr>
              <w:spacing w:before="0" w:line="240" w:lineRule="auto"/>
              <w:jc w:val="right"/>
              <w:rPr>
                <w:rFonts w:cs="Segoe UI"/>
                <w:sz w:val="16"/>
                <w:szCs w:val="16"/>
              </w:rPr>
            </w:pPr>
            <w:r>
              <w:rPr>
                <w:rFonts w:cs="Segoe UI"/>
                <w:sz w:val="16"/>
                <w:szCs w:val="16"/>
              </w:rPr>
              <w:t>0.2</w:t>
            </w:r>
          </w:p>
        </w:tc>
        <w:tc>
          <w:tcPr>
            <w:tcW w:w="993" w:type="dxa"/>
            <w:tcBorders>
              <w:top w:val="nil"/>
              <w:left w:val="single" w:sz="4" w:space="0" w:color="auto"/>
              <w:bottom w:val="nil"/>
              <w:right w:val="single" w:sz="4" w:space="0" w:color="auto"/>
            </w:tcBorders>
          </w:tcPr>
          <w:p w14:paraId="506E710F" w14:textId="77777777" w:rsidR="00726C45" w:rsidRPr="00BD6DBC" w:rsidRDefault="00726C45" w:rsidP="00A37677">
            <w:pPr>
              <w:spacing w:before="0" w:line="240" w:lineRule="auto"/>
              <w:jc w:val="right"/>
              <w:rPr>
                <w:rFonts w:cs="Segoe UI"/>
                <w:sz w:val="16"/>
                <w:szCs w:val="16"/>
              </w:rPr>
            </w:pPr>
            <w:r>
              <w:rPr>
                <w:rFonts w:cs="Segoe UI"/>
                <w:sz w:val="16"/>
                <w:szCs w:val="16"/>
              </w:rPr>
              <w:t>0.2</w:t>
            </w:r>
          </w:p>
        </w:tc>
        <w:tc>
          <w:tcPr>
            <w:tcW w:w="992" w:type="dxa"/>
            <w:tcBorders>
              <w:top w:val="nil"/>
              <w:left w:val="single" w:sz="4" w:space="0" w:color="auto"/>
              <w:bottom w:val="nil"/>
              <w:right w:val="single" w:sz="4" w:space="0" w:color="auto"/>
            </w:tcBorders>
          </w:tcPr>
          <w:p w14:paraId="37F42850"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0.2</w:t>
            </w:r>
          </w:p>
        </w:tc>
        <w:tc>
          <w:tcPr>
            <w:tcW w:w="850" w:type="dxa"/>
            <w:tcBorders>
              <w:top w:val="nil"/>
              <w:left w:val="single" w:sz="4" w:space="0" w:color="auto"/>
              <w:bottom w:val="nil"/>
              <w:right w:val="single" w:sz="4" w:space="0" w:color="auto"/>
            </w:tcBorders>
          </w:tcPr>
          <w:p w14:paraId="2CBB5310" w14:textId="77777777" w:rsidR="00726C45" w:rsidRPr="00F37A41" w:rsidRDefault="00726C45" w:rsidP="00A37677">
            <w:pPr>
              <w:spacing w:before="0" w:line="240" w:lineRule="auto"/>
              <w:jc w:val="right"/>
              <w:rPr>
                <w:rFonts w:cs="Segoe UI"/>
                <w:sz w:val="16"/>
                <w:szCs w:val="16"/>
              </w:rPr>
            </w:pPr>
            <w:r>
              <w:rPr>
                <w:rFonts w:cs="Segoe UI"/>
                <w:sz w:val="16"/>
                <w:szCs w:val="16"/>
              </w:rPr>
              <w:t>0.1</w:t>
            </w:r>
          </w:p>
        </w:tc>
        <w:tc>
          <w:tcPr>
            <w:tcW w:w="567" w:type="dxa"/>
            <w:tcBorders>
              <w:top w:val="nil"/>
              <w:left w:val="single" w:sz="4" w:space="0" w:color="auto"/>
              <w:bottom w:val="nil"/>
              <w:right w:val="single" w:sz="4" w:space="0" w:color="auto"/>
            </w:tcBorders>
          </w:tcPr>
          <w:p w14:paraId="296E6A06" w14:textId="77777777" w:rsidR="00726C45" w:rsidRPr="00F37A41" w:rsidRDefault="00726C45" w:rsidP="00A37677">
            <w:pPr>
              <w:spacing w:before="0" w:line="240" w:lineRule="auto"/>
              <w:jc w:val="right"/>
              <w:rPr>
                <w:rFonts w:cs="Segoe UI"/>
                <w:sz w:val="16"/>
                <w:szCs w:val="16"/>
              </w:rPr>
            </w:pPr>
            <w:r>
              <w:rPr>
                <w:rFonts w:cs="Segoe UI"/>
                <w:sz w:val="16"/>
                <w:szCs w:val="16"/>
              </w:rPr>
              <w:t>0.0</w:t>
            </w:r>
          </w:p>
        </w:tc>
        <w:tc>
          <w:tcPr>
            <w:tcW w:w="709" w:type="dxa"/>
            <w:tcBorders>
              <w:top w:val="nil"/>
              <w:left w:val="single" w:sz="4" w:space="0" w:color="auto"/>
              <w:bottom w:val="nil"/>
              <w:right w:val="single" w:sz="4" w:space="0" w:color="auto"/>
            </w:tcBorders>
          </w:tcPr>
          <w:p w14:paraId="0BE64086" w14:textId="77777777" w:rsidR="00726C45" w:rsidRDefault="00726C45" w:rsidP="00A37677">
            <w:pPr>
              <w:spacing w:before="0" w:line="240" w:lineRule="auto"/>
              <w:jc w:val="right"/>
              <w:rPr>
                <w:rFonts w:cs="Segoe UI"/>
                <w:sz w:val="16"/>
                <w:szCs w:val="16"/>
              </w:rPr>
            </w:pPr>
            <w:r>
              <w:rPr>
                <w:rFonts w:cs="Segoe UI"/>
                <w:sz w:val="16"/>
                <w:szCs w:val="16"/>
              </w:rPr>
              <w:t>0.1</w:t>
            </w:r>
          </w:p>
        </w:tc>
        <w:tc>
          <w:tcPr>
            <w:tcW w:w="1133" w:type="dxa"/>
            <w:tcBorders>
              <w:top w:val="nil"/>
              <w:left w:val="single" w:sz="4" w:space="0" w:color="auto"/>
              <w:bottom w:val="nil"/>
              <w:right w:val="single" w:sz="4" w:space="0" w:color="auto"/>
            </w:tcBorders>
          </w:tcPr>
          <w:p w14:paraId="1B460E14" w14:textId="77777777" w:rsidR="00726C45" w:rsidRDefault="00726C45" w:rsidP="00A37677">
            <w:pPr>
              <w:spacing w:before="0" w:line="240" w:lineRule="auto"/>
              <w:jc w:val="right"/>
              <w:rPr>
                <w:rFonts w:cs="Segoe UI"/>
                <w:sz w:val="16"/>
                <w:szCs w:val="16"/>
              </w:rPr>
            </w:pPr>
            <w:r>
              <w:rPr>
                <w:rFonts w:cs="Segoe UI"/>
                <w:sz w:val="16"/>
                <w:szCs w:val="16"/>
              </w:rPr>
              <w:t>99.3</w:t>
            </w:r>
          </w:p>
        </w:tc>
      </w:tr>
      <w:tr w:rsidR="00726C45" w:rsidRPr="00BD6DBC" w14:paraId="30041FC2" w14:textId="77777777" w:rsidTr="00A37677">
        <w:tc>
          <w:tcPr>
            <w:tcW w:w="1418" w:type="dxa"/>
            <w:tcBorders>
              <w:top w:val="nil"/>
              <w:left w:val="single" w:sz="4" w:space="0" w:color="auto"/>
              <w:bottom w:val="nil"/>
              <w:right w:val="single" w:sz="4" w:space="0" w:color="auto"/>
            </w:tcBorders>
            <w:vAlign w:val="bottom"/>
          </w:tcPr>
          <w:p w14:paraId="596929A4" w14:textId="77777777" w:rsidR="00726C45" w:rsidRPr="00905A8D" w:rsidRDefault="00726C45" w:rsidP="00A37677">
            <w:pPr>
              <w:spacing w:before="0" w:line="240" w:lineRule="auto"/>
              <w:rPr>
                <w:rFonts w:eastAsia="Times New Roman" w:cs="Segoe UI"/>
                <w:sz w:val="16"/>
                <w:szCs w:val="16"/>
              </w:rPr>
            </w:pPr>
            <w:r w:rsidRPr="00905A8D">
              <w:rPr>
                <w:rFonts w:eastAsia="Times New Roman" w:cs="Segoe UI"/>
                <w:sz w:val="16"/>
                <w:szCs w:val="16"/>
              </w:rPr>
              <w:t>Mali</w:t>
            </w:r>
          </w:p>
        </w:tc>
        <w:tc>
          <w:tcPr>
            <w:tcW w:w="709" w:type="dxa"/>
            <w:tcBorders>
              <w:top w:val="nil"/>
              <w:left w:val="single" w:sz="4" w:space="0" w:color="auto"/>
              <w:bottom w:val="nil"/>
              <w:right w:val="single" w:sz="4" w:space="0" w:color="auto"/>
            </w:tcBorders>
          </w:tcPr>
          <w:p w14:paraId="326F6467"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8.2</w:t>
            </w:r>
          </w:p>
        </w:tc>
        <w:tc>
          <w:tcPr>
            <w:tcW w:w="708" w:type="dxa"/>
            <w:tcBorders>
              <w:top w:val="nil"/>
              <w:left w:val="single" w:sz="4" w:space="0" w:color="auto"/>
              <w:bottom w:val="nil"/>
              <w:right w:val="single" w:sz="4" w:space="0" w:color="auto"/>
            </w:tcBorders>
          </w:tcPr>
          <w:p w14:paraId="766B8580"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9.2</w:t>
            </w:r>
          </w:p>
        </w:tc>
        <w:tc>
          <w:tcPr>
            <w:tcW w:w="993" w:type="dxa"/>
            <w:tcBorders>
              <w:top w:val="nil"/>
              <w:left w:val="single" w:sz="4" w:space="0" w:color="auto"/>
              <w:bottom w:val="nil"/>
              <w:right w:val="single" w:sz="4" w:space="0" w:color="auto"/>
            </w:tcBorders>
          </w:tcPr>
          <w:p w14:paraId="15ED87A6"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5.2</w:t>
            </w:r>
          </w:p>
        </w:tc>
        <w:tc>
          <w:tcPr>
            <w:tcW w:w="567" w:type="dxa"/>
            <w:tcBorders>
              <w:top w:val="nil"/>
              <w:left w:val="single" w:sz="4" w:space="0" w:color="auto"/>
              <w:bottom w:val="nil"/>
              <w:right w:val="single" w:sz="4" w:space="0" w:color="auto"/>
            </w:tcBorders>
            <w:vAlign w:val="bottom"/>
          </w:tcPr>
          <w:p w14:paraId="5479A06E"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7.7</w:t>
            </w:r>
          </w:p>
        </w:tc>
        <w:tc>
          <w:tcPr>
            <w:tcW w:w="708" w:type="dxa"/>
            <w:tcBorders>
              <w:top w:val="nil"/>
              <w:left w:val="single" w:sz="4" w:space="0" w:color="auto"/>
              <w:bottom w:val="nil"/>
              <w:right w:val="single" w:sz="4" w:space="0" w:color="auto"/>
            </w:tcBorders>
          </w:tcPr>
          <w:p w14:paraId="590C6D7B"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8.7</w:t>
            </w:r>
          </w:p>
        </w:tc>
        <w:tc>
          <w:tcPr>
            <w:tcW w:w="993" w:type="dxa"/>
            <w:tcBorders>
              <w:top w:val="nil"/>
              <w:left w:val="single" w:sz="4" w:space="0" w:color="auto"/>
              <w:bottom w:val="nil"/>
              <w:right w:val="single" w:sz="4" w:space="0" w:color="auto"/>
            </w:tcBorders>
          </w:tcPr>
          <w:p w14:paraId="4CD0F980"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10.0</w:t>
            </w:r>
          </w:p>
        </w:tc>
        <w:tc>
          <w:tcPr>
            <w:tcW w:w="992" w:type="dxa"/>
            <w:tcBorders>
              <w:top w:val="nil"/>
              <w:left w:val="single" w:sz="4" w:space="0" w:color="auto"/>
              <w:bottom w:val="nil"/>
              <w:right w:val="single" w:sz="4" w:space="0" w:color="auto"/>
            </w:tcBorders>
          </w:tcPr>
          <w:p w14:paraId="080079F9"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10.4</w:t>
            </w:r>
          </w:p>
        </w:tc>
        <w:tc>
          <w:tcPr>
            <w:tcW w:w="850" w:type="dxa"/>
            <w:tcBorders>
              <w:top w:val="nil"/>
              <w:left w:val="single" w:sz="4" w:space="0" w:color="auto"/>
              <w:bottom w:val="nil"/>
              <w:right w:val="single" w:sz="4" w:space="0" w:color="auto"/>
            </w:tcBorders>
          </w:tcPr>
          <w:p w14:paraId="1553EA1A"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7.6</w:t>
            </w:r>
          </w:p>
        </w:tc>
        <w:tc>
          <w:tcPr>
            <w:tcW w:w="567" w:type="dxa"/>
            <w:tcBorders>
              <w:top w:val="nil"/>
              <w:left w:val="single" w:sz="4" w:space="0" w:color="auto"/>
              <w:bottom w:val="nil"/>
              <w:right w:val="single" w:sz="4" w:space="0" w:color="auto"/>
            </w:tcBorders>
          </w:tcPr>
          <w:p w14:paraId="4F48941A"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9.5</w:t>
            </w:r>
          </w:p>
        </w:tc>
        <w:tc>
          <w:tcPr>
            <w:tcW w:w="709" w:type="dxa"/>
            <w:tcBorders>
              <w:top w:val="nil"/>
              <w:left w:val="single" w:sz="4" w:space="0" w:color="auto"/>
              <w:bottom w:val="nil"/>
              <w:right w:val="single" w:sz="4" w:space="0" w:color="auto"/>
            </w:tcBorders>
          </w:tcPr>
          <w:p w14:paraId="2E668D2D"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5.8</w:t>
            </w:r>
          </w:p>
        </w:tc>
        <w:tc>
          <w:tcPr>
            <w:tcW w:w="1133" w:type="dxa"/>
            <w:tcBorders>
              <w:top w:val="nil"/>
              <w:left w:val="single" w:sz="4" w:space="0" w:color="auto"/>
              <w:bottom w:val="nil"/>
              <w:right w:val="single" w:sz="4" w:space="0" w:color="auto"/>
            </w:tcBorders>
          </w:tcPr>
          <w:p w14:paraId="2F42C81F" w14:textId="77777777" w:rsidR="00726C45" w:rsidRPr="00905A8D" w:rsidRDefault="00726C45" w:rsidP="00A37677">
            <w:pPr>
              <w:spacing w:before="0" w:line="240" w:lineRule="auto"/>
              <w:jc w:val="right"/>
              <w:rPr>
                <w:rFonts w:cs="Segoe UI"/>
                <w:sz w:val="16"/>
                <w:szCs w:val="16"/>
              </w:rPr>
            </w:pPr>
            <w:r w:rsidRPr="00905A8D">
              <w:rPr>
                <w:rFonts w:cs="Segoe UI"/>
                <w:sz w:val="16"/>
                <w:szCs w:val="16"/>
              </w:rPr>
              <w:t>77.2</w:t>
            </w:r>
          </w:p>
        </w:tc>
      </w:tr>
      <w:tr w:rsidR="00726C45" w:rsidRPr="00BD6DBC" w14:paraId="73F72B6B" w14:textId="77777777" w:rsidTr="00A37677">
        <w:tc>
          <w:tcPr>
            <w:tcW w:w="1418" w:type="dxa"/>
            <w:tcBorders>
              <w:top w:val="nil"/>
              <w:left w:val="single" w:sz="4" w:space="0" w:color="auto"/>
              <w:bottom w:val="nil"/>
              <w:right w:val="single" w:sz="4" w:space="0" w:color="auto"/>
            </w:tcBorders>
            <w:vAlign w:val="bottom"/>
          </w:tcPr>
          <w:p w14:paraId="29432ECB"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Mexico</w:t>
            </w:r>
          </w:p>
        </w:tc>
        <w:tc>
          <w:tcPr>
            <w:tcW w:w="709" w:type="dxa"/>
            <w:tcBorders>
              <w:top w:val="nil"/>
              <w:left w:val="single" w:sz="4" w:space="0" w:color="auto"/>
              <w:bottom w:val="nil"/>
              <w:right w:val="single" w:sz="4" w:space="0" w:color="auto"/>
            </w:tcBorders>
          </w:tcPr>
          <w:p w14:paraId="1166E902" w14:textId="77777777" w:rsidR="00726C45" w:rsidRPr="00BD6DBC" w:rsidRDefault="00726C45" w:rsidP="00A37677">
            <w:pPr>
              <w:spacing w:before="0" w:line="240" w:lineRule="auto"/>
              <w:jc w:val="right"/>
              <w:rPr>
                <w:rFonts w:cs="Segoe UI"/>
                <w:sz w:val="16"/>
                <w:szCs w:val="16"/>
              </w:rPr>
            </w:pPr>
            <w:r>
              <w:rPr>
                <w:rFonts w:cs="Segoe UI"/>
                <w:sz w:val="16"/>
                <w:szCs w:val="16"/>
              </w:rPr>
              <w:t>6.6</w:t>
            </w:r>
          </w:p>
        </w:tc>
        <w:tc>
          <w:tcPr>
            <w:tcW w:w="708" w:type="dxa"/>
            <w:tcBorders>
              <w:top w:val="nil"/>
              <w:left w:val="single" w:sz="4" w:space="0" w:color="auto"/>
              <w:bottom w:val="nil"/>
              <w:right w:val="single" w:sz="4" w:space="0" w:color="auto"/>
            </w:tcBorders>
          </w:tcPr>
          <w:p w14:paraId="34059B3D" w14:textId="77777777" w:rsidR="00726C45" w:rsidRPr="00BD6DBC" w:rsidRDefault="00726C45" w:rsidP="00A37677">
            <w:pPr>
              <w:spacing w:before="0" w:line="240" w:lineRule="auto"/>
              <w:jc w:val="right"/>
              <w:rPr>
                <w:rFonts w:cs="Segoe UI"/>
                <w:sz w:val="16"/>
                <w:szCs w:val="16"/>
              </w:rPr>
            </w:pPr>
            <w:r>
              <w:rPr>
                <w:rFonts w:cs="Segoe UI"/>
                <w:sz w:val="16"/>
                <w:szCs w:val="16"/>
              </w:rPr>
              <w:t>7.9</w:t>
            </w:r>
          </w:p>
        </w:tc>
        <w:tc>
          <w:tcPr>
            <w:tcW w:w="993" w:type="dxa"/>
            <w:tcBorders>
              <w:top w:val="nil"/>
              <w:left w:val="single" w:sz="4" w:space="0" w:color="auto"/>
              <w:bottom w:val="nil"/>
              <w:right w:val="single" w:sz="4" w:space="0" w:color="auto"/>
            </w:tcBorders>
          </w:tcPr>
          <w:p w14:paraId="56213EC3" w14:textId="77777777" w:rsidR="00726C45" w:rsidRPr="00BD6DBC" w:rsidRDefault="00726C45" w:rsidP="00A37677">
            <w:pPr>
              <w:spacing w:before="0" w:line="240" w:lineRule="auto"/>
              <w:jc w:val="right"/>
              <w:rPr>
                <w:rFonts w:cs="Segoe UI"/>
                <w:sz w:val="16"/>
                <w:szCs w:val="16"/>
              </w:rPr>
            </w:pPr>
            <w:r>
              <w:rPr>
                <w:rFonts w:cs="Segoe UI"/>
                <w:sz w:val="16"/>
                <w:szCs w:val="16"/>
              </w:rPr>
              <w:t>4.9</w:t>
            </w:r>
          </w:p>
        </w:tc>
        <w:tc>
          <w:tcPr>
            <w:tcW w:w="567" w:type="dxa"/>
            <w:tcBorders>
              <w:top w:val="nil"/>
              <w:left w:val="single" w:sz="4" w:space="0" w:color="auto"/>
              <w:bottom w:val="nil"/>
              <w:right w:val="single" w:sz="4" w:space="0" w:color="auto"/>
            </w:tcBorders>
            <w:vAlign w:val="bottom"/>
          </w:tcPr>
          <w:p w14:paraId="5471A33E" w14:textId="77777777" w:rsidR="00726C45" w:rsidRPr="00BD6DBC" w:rsidRDefault="00726C45" w:rsidP="00A37677">
            <w:pPr>
              <w:spacing w:before="0" w:line="240" w:lineRule="auto"/>
              <w:jc w:val="right"/>
              <w:rPr>
                <w:rFonts w:cs="Segoe UI"/>
                <w:sz w:val="16"/>
                <w:szCs w:val="16"/>
              </w:rPr>
            </w:pPr>
            <w:r>
              <w:rPr>
                <w:rFonts w:cs="Segoe UI"/>
                <w:sz w:val="16"/>
                <w:szCs w:val="16"/>
              </w:rPr>
              <w:t>7.1</w:t>
            </w:r>
          </w:p>
        </w:tc>
        <w:tc>
          <w:tcPr>
            <w:tcW w:w="708" w:type="dxa"/>
            <w:tcBorders>
              <w:top w:val="nil"/>
              <w:left w:val="single" w:sz="4" w:space="0" w:color="auto"/>
              <w:bottom w:val="nil"/>
              <w:right w:val="single" w:sz="4" w:space="0" w:color="auto"/>
            </w:tcBorders>
          </w:tcPr>
          <w:p w14:paraId="26906AA6" w14:textId="77777777" w:rsidR="00726C45" w:rsidRPr="00BD6DBC" w:rsidRDefault="00726C45" w:rsidP="00A37677">
            <w:pPr>
              <w:spacing w:before="0" w:line="240" w:lineRule="auto"/>
              <w:jc w:val="right"/>
              <w:rPr>
                <w:rFonts w:cs="Segoe UI"/>
                <w:sz w:val="16"/>
                <w:szCs w:val="16"/>
              </w:rPr>
            </w:pPr>
            <w:r>
              <w:rPr>
                <w:rFonts w:cs="Segoe UI"/>
                <w:sz w:val="16"/>
                <w:szCs w:val="16"/>
              </w:rPr>
              <w:t>7.6</w:t>
            </w:r>
          </w:p>
        </w:tc>
        <w:tc>
          <w:tcPr>
            <w:tcW w:w="993" w:type="dxa"/>
            <w:tcBorders>
              <w:top w:val="nil"/>
              <w:left w:val="single" w:sz="4" w:space="0" w:color="auto"/>
              <w:bottom w:val="nil"/>
              <w:right w:val="single" w:sz="4" w:space="0" w:color="auto"/>
            </w:tcBorders>
          </w:tcPr>
          <w:p w14:paraId="0D583614" w14:textId="77777777" w:rsidR="00726C45" w:rsidRPr="00BD6DBC" w:rsidRDefault="00726C45" w:rsidP="00A37677">
            <w:pPr>
              <w:spacing w:before="0" w:line="240" w:lineRule="auto"/>
              <w:jc w:val="right"/>
              <w:rPr>
                <w:rFonts w:cs="Segoe UI"/>
                <w:sz w:val="16"/>
                <w:szCs w:val="16"/>
              </w:rPr>
            </w:pPr>
            <w:r>
              <w:rPr>
                <w:rFonts w:cs="Segoe UI"/>
                <w:sz w:val="16"/>
                <w:szCs w:val="16"/>
              </w:rPr>
              <w:t>8.5</w:t>
            </w:r>
          </w:p>
        </w:tc>
        <w:tc>
          <w:tcPr>
            <w:tcW w:w="992" w:type="dxa"/>
            <w:tcBorders>
              <w:top w:val="nil"/>
              <w:left w:val="single" w:sz="4" w:space="0" w:color="auto"/>
              <w:bottom w:val="nil"/>
              <w:right w:val="single" w:sz="4" w:space="0" w:color="auto"/>
            </w:tcBorders>
          </w:tcPr>
          <w:p w14:paraId="0C1F5398"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6.8</w:t>
            </w:r>
          </w:p>
        </w:tc>
        <w:tc>
          <w:tcPr>
            <w:tcW w:w="850" w:type="dxa"/>
            <w:tcBorders>
              <w:top w:val="nil"/>
              <w:left w:val="single" w:sz="4" w:space="0" w:color="auto"/>
              <w:bottom w:val="nil"/>
              <w:right w:val="single" w:sz="4" w:space="0" w:color="auto"/>
            </w:tcBorders>
          </w:tcPr>
          <w:p w14:paraId="28D695C8" w14:textId="77777777" w:rsidR="00726C45" w:rsidRPr="00F37A41" w:rsidRDefault="00726C45" w:rsidP="00A37677">
            <w:pPr>
              <w:spacing w:before="0" w:line="240" w:lineRule="auto"/>
              <w:jc w:val="right"/>
              <w:rPr>
                <w:rFonts w:cs="Segoe UI"/>
                <w:sz w:val="16"/>
                <w:szCs w:val="16"/>
              </w:rPr>
            </w:pPr>
            <w:r>
              <w:rPr>
                <w:rFonts w:cs="Segoe UI"/>
                <w:sz w:val="16"/>
                <w:szCs w:val="16"/>
              </w:rPr>
              <w:t>6.2</w:t>
            </w:r>
          </w:p>
        </w:tc>
        <w:tc>
          <w:tcPr>
            <w:tcW w:w="567" w:type="dxa"/>
            <w:tcBorders>
              <w:top w:val="nil"/>
              <w:left w:val="single" w:sz="4" w:space="0" w:color="auto"/>
              <w:bottom w:val="nil"/>
              <w:right w:val="single" w:sz="4" w:space="0" w:color="auto"/>
            </w:tcBorders>
          </w:tcPr>
          <w:p w14:paraId="4B3CEFE6" w14:textId="77777777" w:rsidR="00726C45" w:rsidRPr="00F37A41" w:rsidRDefault="00726C45" w:rsidP="00A37677">
            <w:pPr>
              <w:spacing w:before="0" w:line="240" w:lineRule="auto"/>
              <w:jc w:val="right"/>
              <w:rPr>
                <w:rFonts w:cs="Segoe UI"/>
                <w:sz w:val="16"/>
                <w:szCs w:val="16"/>
              </w:rPr>
            </w:pPr>
            <w:r>
              <w:rPr>
                <w:rFonts w:cs="Segoe UI"/>
                <w:sz w:val="16"/>
                <w:szCs w:val="16"/>
              </w:rPr>
              <w:t>10.2</w:t>
            </w:r>
          </w:p>
        </w:tc>
        <w:tc>
          <w:tcPr>
            <w:tcW w:w="709" w:type="dxa"/>
            <w:tcBorders>
              <w:top w:val="nil"/>
              <w:left w:val="single" w:sz="4" w:space="0" w:color="auto"/>
              <w:bottom w:val="nil"/>
              <w:right w:val="single" w:sz="4" w:space="0" w:color="auto"/>
            </w:tcBorders>
          </w:tcPr>
          <w:p w14:paraId="7BCC2703" w14:textId="77777777" w:rsidR="00726C45" w:rsidRDefault="00726C45" w:rsidP="00A37677">
            <w:pPr>
              <w:spacing w:before="0" w:line="240" w:lineRule="auto"/>
              <w:jc w:val="right"/>
              <w:rPr>
                <w:rFonts w:cs="Segoe UI"/>
                <w:sz w:val="16"/>
                <w:szCs w:val="16"/>
              </w:rPr>
            </w:pPr>
            <w:r>
              <w:rPr>
                <w:rFonts w:cs="Segoe UI"/>
                <w:sz w:val="16"/>
                <w:szCs w:val="16"/>
              </w:rPr>
              <w:t>4.6</w:t>
            </w:r>
          </w:p>
        </w:tc>
        <w:tc>
          <w:tcPr>
            <w:tcW w:w="1133" w:type="dxa"/>
            <w:tcBorders>
              <w:top w:val="nil"/>
              <w:left w:val="single" w:sz="4" w:space="0" w:color="auto"/>
              <w:bottom w:val="nil"/>
              <w:right w:val="single" w:sz="4" w:space="0" w:color="auto"/>
            </w:tcBorders>
          </w:tcPr>
          <w:p w14:paraId="6201A3D6" w14:textId="77777777" w:rsidR="00726C45" w:rsidRDefault="00726C45" w:rsidP="00A37677">
            <w:pPr>
              <w:spacing w:before="0" w:line="240" w:lineRule="auto"/>
              <w:jc w:val="right"/>
              <w:rPr>
                <w:rFonts w:cs="Segoe UI"/>
                <w:sz w:val="16"/>
                <w:szCs w:val="16"/>
              </w:rPr>
            </w:pPr>
            <w:r>
              <w:rPr>
                <w:rFonts w:cs="Segoe UI"/>
                <w:sz w:val="16"/>
                <w:szCs w:val="16"/>
              </w:rPr>
              <w:t>87.5</w:t>
            </w:r>
          </w:p>
        </w:tc>
      </w:tr>
      <w:tr w:rsidR="00726C45" w:rsidRPr="00BD6DBC" w14:paraId="13EE9164" w14:textId="77777777" w:rsidTr="00A37677">
        <w:tc>
          <w:tcPr>
            <w:tcW w:w="1418" w:type="dxa"/>
            <w:tcBorders>
              <w:top w:val="nil"/>
              <w:left w:val="single" w:sz="4" w:space="0" w:color="auto"/>
              <w:bottom w:val="nil"/>
              <w:right w:val="single" w:sz="4" w:space="0" w:color="auto"/>
            </w:tcBorders>
            <w:vAlign w:val="bottom"/>
          </w:tcPr>
          <w:p w14:paraId="6C49B08A"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Moldova</w:t>
            </w:r>
          </w:p>
        </w:tc>
        <w:tc>
          <w:tcPr>
            <w:tcW w:w="709" w:type="dxa"/>
            <w:tcBorders>
              <w:top w:val="nil"/>
              <w:left w:val="single" w:sz="4" w:space="0" w:color="auto"/>
              <w:bottom w:val="nil"/>
              <w:right w:val="single" w:sz="4" w:space="0" w:color="auto"/>
            </w:tcBorders>
          </w:tcPr>
          <w:p w14:paraId="620683F5" w14:textId="77777777" w:rsidR="00726C45" w:rsidRPr="00BD6DBC" w:rsidRDefault="00726C45" w:rsidP="00A37677">
            <w:pPr>
              <w:spacing w:before="0" w:line="240" w:lineRule="auto"/>
              <w:jc w:val="right"/>
              <w:rPr>
                <w:rFonts w:cs="Segoe UI"/>
                <w:sz w:val="16"/>
                <w:szCs w:val="16"/>
              </w:rPr>
            </w:pPr>
            <w:r>
              <w:rPr>
                <w:rFonts w:cs="Segoe UI"/>
                <w:sz w:val="16"/>
                <w:szCs w:val="16"/>
              </w:rPr>
              <w:t>4.9</w:t>
            </w:r>
          </w:p>
        </w:tc>
        <w:tc>
          <w:tcPr>
            <w:tcW w:w="708" w:type="dxa"/>
            <w:tcBorders>
              <w:top w:val="nil"/>
              <w:left w:val="single" w:sz="4" w:space="0" w:color="auto"/>
              <w:bottom w:val="nil"/>
              <w:right w:val="single" w:sz="4" w:space="0" w:color="auto"/>
            </w:tcBorders>
          </w:tcPr>
          <w:p w14:paraId="2F014883" w14:textId="77777777" w:rsidR="00726C45" w:rsidRPr="00BD6DBC" w:rsidRDefault="00726C45" w:rsidP="00A37677">
            <w:pPr>
              <w:spacing w:before="0" w:line="240" w:lineRule="auto"/>
              <w:jc w:val="right"/>
              <w:rPr>
                <w:rFonts w:cs="Segoe UI"/>
                <w:sz w:val="16"/>
                <w:szCs w:val="16"/>
              </w:rPr>
            </w:pPr>
            <w:r>
              <w:rPr>
                <w:rFonts w:cs="Segoe UI"/>
                <w:sz w:val="16"/>
                <w:szCs w:val="16"/>
              </w:rPr>
              <w:t>5.9</w:t>
            </w:r>
          </w:p>
        </w:tc>
        <w:tc>
          <w:tcPr>
            <w:tcW w:w="993" w:type="dxa"/>
            <w:tcBorders>
              <w:top w:val="nil"/>
              <w:left w:val="single" w:sz="4" w:space="0" w:color="auto"/>
              <w:bottom w:val="nil"/>
              <w:right w:val="single" w:sz="4" w:space="0" w:color="auto"/>
            </w:tcBorders>
          </w:tcPr>
          <w:p w14:paraId="5F47A2C1" w14:textId="77777777" w:rsidR="00726C45" w:rsidRPr="00BD6DBC" w:rsidRDefault="00726C45" w:rsidP="00A37677">
            <w:pPr>
              <w:spacing w:before="0" w:line="240" w:lineRule="auto"/>
              <w:jc w:val="right"/>
              <w:rPr>
                <w:rFonts w:cs="Segoe UI"/>
                <w:sz w:val="16"/>
                <w:szCs w:val="16"/>
              </w:rPr>
            </w:pPr>
            <w:r>
              <w:rPr>
                <w:rFonts w:cs="Segoe UI"/>
                <w:sz w:val="16"/>
                <w:szCs w:val="16"/>
              </w:rPr>
              <w:t>2.2</w:t>
            </w:r>
          </w:p>
        </w:tc>
        <w:tc>
          <w:tcPr>
            <w:tcW w:w="567" w:type="dxa"/>
            <w:tcBorders>
              <w:top w:val="nil"/>
              <w:left w:val="single" w:sz="4" w:space="0" w:color="auto"/>
              <w:bottom w:val="nil"/>
              <w:right w:val="single" w:sz="4" w:space="0" w:color="auto"/>
            </w:tcBorders>
            <w:vAlign w:val="bottom"/>
          </w:tcPr>
          <w:p w14:paraId="5A3BA5CC" w14:textId="77777777" w:rsidR="00726C45" w:rsidRPr="00BD6DBC" w:rsidRDefault="00726C45" w:rsidP="00A37677">
            <w:pPr>
              <w:spacing w:before="0" w:line="240" w:lineRule="auto"/>
              <w:jc w:val="right"/>
              <w:rPr>
                <w:rFonts w:cs="Segoe UI"/>
                <w:sz w:val="16"/>
                <w:szCs w:val="16"/>
              </w:rPr>
            </w:pPr>
            <w:r>
              <w:rPr>
                <w:rFonts w:cs="Segoe UI"/>
                <w:sz w:val="16"/>
                <w:szCs w:val="16"/>
              </w:rPr>
              <w:t>2.4</w:t>
            </w:r>
          </w:p>
        </w:tc>
        <w:tc>
          <w:tcPr>
            <w:tcW w:w="708" w:type="dxa"/>
            <w:tcBorders>
              <w:top w:val="nil"/>
              <w:left w:val="single" w:sz="4" w:space="0" w:color="auto"/>
              <w:bottom w:val="nil"/>
              <w:right w:val="single" w:sz="4" w:space="0" w:color="auto"/>
            </w:tcBorders>
          </w:tcPr>
          <w:p w14:paraId="3D545B3A" w14:textId="77777777" w:rsidR="00726C45" w:rsidRPr="00BD6DBC" w:rsidRDefault="00726C45" w:rsidP="00A37677">
            <w:pPr>
              <w:spacing w:before="0" w:line="240" w:lineRule="auto"/>
              <w:jc w:val="right"/>
              <w:rPr>
                <w:rFonts w:cs="Segoe UI"/>
                <w:sz w:val="16"/>
                <w:szCs w:val="16"/>
              </w:rPr>
            </w:pPr>
            <w:r>
              <w:rPr>
                <w:rFonts w:cs="Segoe UI"/>
                <w:sz w:val="16"/>
                <w:szCs w:val="16"/>
              </w:rPr>
              <w:t>7.3</w:t>
            </w:r>
          </w:p>
        </w:tc>
        <w:tc>
          <w:tcPr>
            <w:tcW w:w="993" w:type="dxa"/>
            <w:tcBorders>
              <w:top w:val="nil"/>
              <w:left w:val="single" w:sz="4" w:space="0" w:color="auto"/>
              <w:bottom w:val="nil"/>
              <w:right w:val="single" w:sz="4" w:space="0" w:color="auto"/>
            </w:tcBorders>
          </w:tcPr>
          <w:p w14:paraId="683C8AEC" w14:textId="77777777" w:rsidR="00726C45" w:rsidRPr="00BD6DBC" w:rsidRDefault="00726C45" w:rsidP="00A37677">
            <w:pPr>
              <w:spacing w:before="0" w:line="240" w:lineRule="auto"/>
              <w:jc w:val="right"/>
              <w:rPr>
                <w:rFonts w:cs="Segoe UI"/>
                <w:sz w:val="16"/>
                <w:szCs w:val="16"/>
              </w:rPr>
            </w:pPr>
            <w:r>
              <w:rPr>
                <w:rFonts w:cs="Segoe UI"/>
                <w:sz w:val="16"/>
                <w:szCs w:val="16"/>
              </w:rPr>
              <w:t>4.5</w:t>
            </w:r>
          </w:p>
        </w:tc>
        <w:tc>
          <w:tcPr>
            <w:tcW w:w="992" w:type="dxa"/>
            <w:tcBorders>
              <w:top w:val="nil"/>
              <w:left w:val="single" w:sz="4" w:space="0" w:color="auto"/>
              <w:bottom w:val="nil"/>
              <w:right w:val="single" w:sz="4" w:space="0" w:color="auto"/>
            </w:tcBorders>
          </w:tcPr>
          <w:p w14:paraId="75AA6B2E"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1.4</w:t>
            </w:r>
          </w:p>
        </w:tc>
        <w:tc>
          <w:tcPr>
            <w:tcW w:w="850" w:type="dxa"/>
            <w:tcBorders>
              <w:top w:val="nil"/>
              <w:left w:val="single" w:sz="4" w:space="0" w:color="auto"/>
              <w:bottom w:val="nil"/>
              <w:right w:val="single" w:sz="4" w:space="0" w:color="auto"/>
            </w:tcBorders>
          </w:tcPr>
          <w:p w14:paraId="25DEAFAF" w14:textId="77777777" w:rsidR="00726C45" w:rsidRPr="00F37A41" w:rsidRDefault="00726C45" w:rsidP="00A37677">
            <w:pPr>
              <w:spacing w:before="0" w:line="240" w:lineRule="auto"/>
              <w:jc w:val="right"/>
              <w:rPr>
                <w:rFonts w:cs="Segoe UI"/>
                <w:sz w:val="16"/>
                <w:szCs w:val="16"/>
              </w:rPr>
            </w:pPr>
            <w:r>
              <w:rPr>
                <w:rFonts w:cs="Segoe UI"/>
                <w:sz w:val="16"/>
                <w:szCs w:val="16"/>
              </w:rPr>
              <w:t>2.3</w:t>
            </w:r>
          </w:p>
        </w:tc>
        <w:tc>
          <w:tcPr>
            <w:tcW w:w="567" w:type="dxa"/>
            <w:tcBorders>
              <w:top w:val="nil"/>
              <w:left w:val="single" w:sz="4" w:space="0" w:color="auto"/>
              <w:bottom w:val="nil"/>
              <w:right w:val="single" w:sz="4" w:space="0" w:color="auto"/>
            </w:tcBorders>
          </w:tcPr>
          <w:p w14:paraId="6B069CAC" w14:textId="77777777" w:rsidR="00726C45" w:rsidRPr="00F37A41" w:rsidRDefault="00726C45" w:rsidP="00A37677">
            <w:pPr>
              <w:spacing w:before="0" w:line="240" w:lineRule="auto"/>
              <w:jc w:val="right"/>
              <w:rPr>
                <w:rFonts w:cs="Segoe UI"/>
                <w:sz w:val="16"/>
                <w:szCs w:val="16"/>
              </w:rPr>
            </w:pPr>
            <w:r>
              <w:rPr>
                <w:rFonts w:cs="Segoe UI"/>
                <w:sz w:val="16"/>
                <w:szCs w:val="16"/>
              </w:rPr>
              <w:t>6.5</w:t>
            </w:r>
          </w:p>
        </w:tc>
        <w:tc>
          <w:tcPr>
            <w:tcW w:w="709" w:type="dxa"/>
            <w:tcBorders>
              <w:top w:val="nil"/>
              <w:left w:val="single" w:sz="4" w:space="0" w:color="auto"/>
              <w:bottom w:val="nil"/>
              <w:right w:val="single" w:sz="4" w:space="0" w:color="auto"/>
            </w:tcBorders>
          </w:tcPr>
          <w:p w14:paraId="77B552FD" w14:textId="77777777" w:rsidR="00726C45" w:rsidRDefault="00726C45" w:rsidP="00A37677">
            <w:pPr>
              <w:spacing w:before="0" w:line="240" w:lineRule="auto"/>
              <w:jc w:val="right"/>
              <w:rPr>
                <w:rFonts w:cs="Segoe UI"/>
                <w:sz w:val="16"/>
                <w:szCs w:val="16"/>
              </w:rPr>
            </w:pPr>
            <w:r>
              <w:rPr>
                <w:rFonts w:cs="Segoe UI"/>
                <w:sz w:val="16"/>
                <w:szCs w:val="16"/>
              </w:rPr>
              <w:t>1.2</w:t>
            </w:r>
          </w:p>
        </w:tc>
        <w:tc>
          <w:tcPr>
            <w:tcW w:w="1133" w:type="dxa"/>
            <w:tcBorders>
              <w:top w:val="nil"/>
              <w:left w:val="single" w:sz="4" w:space="0" w:color="auto"/>
              <w:bottom w:val="nil"/>
              <w:right w:val="single" w:sz="4" w:space="0" w:color="auto"/>
            </w:tcBorders>
          </w:tcPr>
          <w:p w14:paraId="023DB251" w14:textId="77777777" w:rsidR="00726C45" w:rsidRDefault="00726C45" w:rsidP="00A37677">
            <w:pPr>
              <w:spacing w:before="0" w:line="240" w:lineRule="auto"/>
              <w:jc w:val="right"/>
              <w:rPr>
                <w:rFonts w:cs="Segoe UI"/>
                <w:sz w:val="16"/>
                <w:szCs w:val="16"/>
              </w:rPr>
            </w:pPr>
            <w:r>
              <w:rPr>
                <w:rFonts w:cs="Segoe UI"/>
                <w:sz w:val="16"/>
                <w:szCs w:val="16"/>
              </w:rPr>
              <w:t>85.3</w:t>
            </w:r>
          </w:p>
        </w:tc>
      </w:tr>
      <w:tr w:rsidR="00726C45" w:rsidRPr="00BD6DBC" w14:paraId="70490C9D" w14:textId="77777777" w:rsidTr="00A37677">
        <w:tc>
          <w:tcPr>
            <w:tcW w:w="1418" w:type="dxa"/>
            <w:tcBorders>
              <w:top w:val="nil"/>
              <w:left w:val="single" w:sz="4" w:space="0" w:color="auto"/>
              <w:bottom w:val="nil"/>
              <w:right w:val="single" w:sz="4" w:space="0" w:color="auto"/>
            </w:tcBorders>
            <w:vAlign w:val="bottom"/>
          </w:tcPr>
          <w:p w14:paraId="424C5324"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Morocco</w:t>
            </w:r>
          </w:p>
        </w:tc>
        <w:tc>
          <w:tcPr>
            <w:tcW w:w="709" w:type="dxa"/>
            <w:tcBorders>
              <w:top w:val="nil"/>
              <w:left w:val="single" w:sz="4" w:space="0" w:color="auto"/>
              <w:bottom w:val="nil"/>
              <w:right w:val="single" w:sz="4" w:space="0" w:color="auto"/>
            </w:tcBorders>
          </w:tcPr>
          <w:p w14:paraId="051E6433" w14:textId="77777777" w:rsidR="00726C45" w:rsidRPr="00BD6DBC" w:rsidRDefault="00726C45" w:rsidP="00A37677">
            <w:pPr>
              <w:spacing w:before="0" w:line="240" w:lineRule="auto"/>
              <w:jc w:val="right"/>
              <w:rPr>
                <w:rFonts w:cs="Segoe UI"/>
                <w:sz w:val="16"/>
                <w:szCs w:val="16"/>
              </w:rPr>
            </w:pPr>
            <w:r>
              <w:rPr>
                <w:rFonts w:cs="Segoe UI"/>
                <w:sz w:val="16"/>
                <w:szCs w:val="16"/>
              </w:rPr>
              <w:t>12.3</w:t>
            </w:r>
          </w:p>
        </w:tc>
        <w:tc>
          <w:tcPr>
            <w:tcW w:w="708" w:type="dxa"/>
            <w:tcBorders>
              <w:top w:val="nil"/>
              <w:left w:val="single" w:sz="4" w:space="0" w:color="auto"/>
              <w:bottom w:val="nil"/>
              <w:right w:val="single" w:sz="4" w:space="0" w:color="auto"/>
            </w:tcBorders>
          </w:tcPr>
          <w:p w14:paraId="79F69D04" w14:textId="77777777" w:rsidR="00726C45" w:rsidRPr="00BD6DBC" w:rsidRDefault="00726C45" w:rsidP="00A37677">
            <w:pPr>
              <w:spacing w:before="0" w:line="240" w:lineRule="auto"/>
              <w:jc w:val="right"/>
              <w:rPr>
                <w:rFonts w:cs="Segoe UI"/>
                <w:sz w:val="16"/>
                <w:szCs w:val="16"/>
              </w:rPr>
            </w:pPr>
            <w:r>
              <w:rPr>
                <w:rFonts w:cs="Segoe UI"/>
                <w:sz w:val="16"/>
                <w:szCs w:val="16"/>
              </w:rPr>
              <w:t>20.1</w:t>
            </w:r>
          </w:p>
        </w:tc>
        <w:tc>
          <w:tcPr>
            <w:tcW w:w="993" w:type="dxa"/>
            <w:tcBorders>
              <w:top w:val="nil"/>
              <w:left w:val="single" w:sz="4" w:space="0" w:color="auto"/>
              <w:bottom w:val="nil"/>
              <w:right w:val="single" w:sz="4" w:space="0" w:color="auto"/>
            </w:tcBorders>
          </w:tcPr>
          <w:p w14:paraId="04F28DE7" w14:textId="77777777" w:rsidR="00726C45" w:rsidRPr="00BD6DBC" w:rsidRDefault="00726C45" w:rsidP="00A37677">
            <w:pPr>
              <w:spacing w:before="0" w:line="240" w:lineRule="auto"/>
              <w:jc w:val="right"/>
              <w:rPr>
                <w:rFonts w:cs="Segoe UI"/>
                <w:sz w:val="16"/>
                <w:szCs w:val="16"/>
              </w:rPr>
            </w:pPr>
            <w:r>
              <w:rPr>
                <w:rFonts w:cs="Segoe UI"/>
                <w:sz w:val="16"/>
                <w:szCs w:val="16"/>
              </w:rPr>
              <w:t>14.2</w:t>
            </w:r>
          </w:p>
        </w:tc>
        <w:tc>
          <w:tcPr>
            <w:tcW w:w="567" w:type="dxa"/>
            <w:tcBorders>
              <w:top w:val="nil"/>
              <w:left w:val="single" w:sz="4" w:space="0" w:color="auto"/>
              <w:bottom w:val="nil"/>
              <w:right w:val="single" w:sz="4" w:space="0" w:color="auto"/>
            </w:tcBorders>
            <w:vAlign w:val="bottom"/>
          </w:tcPr>
          <w:p w14:paraId="683A9CAD" w14:textId="77777777" w:rsidR="00726C45" w:rsidRPr="00BD6DBC" w:rsidRDefault="00726C45" w:rsidP="00A37677">
            <w:pPr>
              <w:spacing w:before="0" w:line="240" w:lineRule="auto"/>
              <w:jc w:val="right"/>
              <w:rPr>
                <w:rFonts w:cs="Segoe UI"/>
                <w:sz w:val="16"/>
                <w:szCs w:val="16"/>
              </w:rPr>
            </w:pPr>
            <w:r>
              <w:rPr>
                <w:rFonts w:cs="Segoe UI"/>
                <w:sz w:val="16"/>
                <w:szCs w:val="16"/>
              </w:rPr>
              <w:t>11.1</w:t>
            </w:r>
          </w:p>
        </w:tc>
        <w:tc>
          <w:tcPr>
            <w:tcW w:w="708" w:type="dxa"/>
            <w:tcBorders>
              <w:top w:val="nil"/>
              <w:left w:val="single" w:sz="4" w:space="0" w:color="auto"/>
              <w:bottom w:val="nil"/>
              <w:right w:val="single" w:sz="4" w:space="0" w:color="auto"/>
            </w:tcBorders>
          </w:tcPr>
          <w:p w14:paraId="2B9976CF" w14:textId="77777777" w:rsidR="00726C45" w:rsidRPr="00BD6DBC" w:rsidRDefault="00726C45" w:rsidP="00A37677">
            <w:pPr>
              <w:spacing w:before="0" w:line="240" w:lineRule="auto"/>
              <w:jc w:val="right"/>
              <w:rPr>
                <w:rFonts w:cs="Segoe UI"/>
                <w:sz w:val="16"/>
                <w:szCs w:val="16"/>
              </w:rPr>
            </w:pPr>
            <w:r>
              <w:rPr>
                <w:rFonts w:cs="Segoe UI"/>
                <w:sz w:val="16"/>
                <w:szCs w:val="16"/>
              </w:rPr>
              <w:t>22.0</w:t>
            </w:r>
          </w:p>
        </w:tc>
        <w:tc>
          <w:tcPr>
            <w:tcW w:w="993" w:type="dxa"/>
            <w:tcBorders>
              <w:top w:val="nil"/>
              <w:left w:val="single" w:sz="4" w:space="0" w:color="auto"/>
              <w:bottom w:val="nil"/>
              <w:right w:val="single" w:sz="4" w:space="0" w:color="auto"/>
            </w:tcBorders>
          </w:tcPr>
          <w:p w14:paraId="396FB47F" w14:textId="77777777" w:rsidR="00726C45" w:rsidRPr="00BD6DBC" w:rsidRDefault="00726C45" w:rsidP="00A37677">
            <w:pPr>
              <w:spacing w:before="0" w:line="240" w:lineRule="auto"/>
              <w:jc w:val="right"/>
              <w:rPr>
                <w:rFonts w:cs="Segoe UI"/>
                <w:sz w:val="16"/>
                <w:szCs w:val="16"/>
              </w:rPr>
            </w:pPr>
            <w:r>
              <w:rPr>
                <w:rFonts w:cs="Segoe UI"/>
                <w:sz w:val="16"/>
                <w:szCs w:val="16"/>
              </w:rPr>
              <w:t>20.1</w:t>
            </w:r>
          </w:p>
        </w:tc>
        <w:tc>
          <w:tcPr>
            <w:tcW w:w="992" w:type="dxa"/>
            <w:tcBorders>
              <w:top w:val="nil"/>
              <w:left w:val="single" w:sz="4" w:space="0" w:color="auto"/>
              <w:bottom w:val="nil"/>
              <w:right w:val="single" w:sz="4" w:space="0" w:color="auto"/>
            </w:tcBorders>
          </w:tcPr>
          <w:p w14:paraId="0D6C490D"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15.6</w:t>
            </w:r>
          </w:p>
        </w:tc>
        <w:tc>
          <w:tcPr>
            <w:tcW w:w="850" w:type="dxa"/>
            <w:tcBorders>
              <w:top w:val="nil"/>
              <w:left w:val="single" w:sz="4" w:space="0" w:color="auto"/>
              <w:bottom w:val="nil"/>
              <w:right w:val="single" w:sz="4" w:space="0" w:color="auto"/>
            </w:tcBorders>
          </w:tcPr>
          <w:p w14:paraId="0E3B3431" w14:textId="77777777" w:rsidR="00726C45" w:rsidRPr="00F37A41" w:rsidRDefault="00726C45" w:rsidP="00A37677">
            <w:pPr>
              <w:spacing w:before="0" w:line="240" w:lineRule="auto"/>
              <w:jc w:val="right"/>
              <w:rPr>
                <w:rFonts w:cs="Segoe UI"/>
                <w:sz w:val="16"/>
                <w:szCs w:val="16"/>
              </w:rPr>
            </w:pPr>
            <w:r>
              <w:rPr>
                <w:rFonts w:cs="Segoe UI"/>
                <w:sz w:val="16"/>
                <w:szCs w:val="16"/>
              </w:rPr>
              <w:t>12.0</w:t>
            </w:r>
          </w:p>
        </w:tc>
        <w:tc>
          <w:tcPr>
            <w:tcW w:w="567" w:type="dxa"/>
            <w:tcBorders>
              <w:top w:val="nil"/>
              <w:left w:val="single" w:sz="4" w:space="0" w:color="auto"/>
              <w:bottom w:val="nil"/>
              <w:right w:val="single" w:sz="4" w:space="0" w:color="auto"/>
            </w:tcBorders>
          </w:tcPr>
          <w:p w14:paraId="104E05AF" w14:textId="77777777" w:rsidR="00726C45" w:rsidRPr="00F37A41" w:rsidRDefault="00726C45" w:rsidP="00A37677">
            <w:pPr>
              <w:spacing w:before="0" w:line="240" w:lineRule="auto"/>
              <w:jc w:val="right"/>
              <w:rPr>
                <w:rFonts w:cs="Segoe UI"/>
                <w:sz w:val="16"/>
                <w:szCs w:val="16"/>
              </w:rPr>
            </w:pPr>
            <w:r>
              <w:rPr>
                <w:rFonts w:cs="Segoe UI"/>
                <w:sz w:val="16"/>
                <w:szCs w:val="16"/>
              </w:rPr>
              <w:t>18.2</w:t>
            </w:r>
          </w:p>
        </w:tc>
        <w:tc>
          <w:tcPr>
            <w:tcW w:w="709" w:type="dxa"/>
            <w:tcBorders>
              <w:top w:val="nil"/>
              <w:left w:val="single" w:sz="4" w:space="0" w:color="auto"/>
              <w:bottom w:val="nil"/>
              <w:right w:val="single" w:sz="4" w:space="0" w:color="auto"/>
            </w:tcBorders>
          </w:tcPr>
          <w:p w14:paraId="1C3CC1CD" w14:textId="77777777" w:rsidR="00726C45" w:rsidRDefault="00726C45" w:rsidP="00A37677">
            <w:pPr>
              <w:spacing w:before="0" w:line="240" w:lineRule="auto"/>
              <w:jc w:val="right"/>
              <w:rPr>
                <w:rFonts w:cs="Segoe UI"/>
                <w:sz w:val="16"/>
                <w:szCs w:val="16"/>
              </w:rPr>
            </w:pPr>
            <w:r>
              <w:rPr>
                <w:rFonts w:cs="Segoe UI"/>
                <w:sz w:val="16"/>
                <w:szCs w:val="16"/>
              </w:rPr>
              <w:t>10.6</w:t>
            </w:r>
          </w:p>
        </w:tc>
        <w:tc>
          <w:tcPr>
            <w:tcW w:w="1133" w:type="dxa"/>
            <w:tcBorders>
              <w:top w:val="nil"/>
              <w:left w:val="single" w:sz="4" w:space="0" w:color="auto"/>
              <w:bottom w:val="nil"/>
              <w:right w:val="single" w:sz="4" w:space="0" w:color="auto"/>
            </w:tcBorders>
          </w:tcPr>
          <w:p w14:paraId="61E383ED" w14:textId="77777777" w:rsidR="00726C45" w:rsidRDefault="00726C45" w:rsidP="00A37677">
            <w:pPr>
              <w:spacing w:before="0" w:line="240" w:lineRule="auto"/>
              <w:jc w:val="right"/>
              <w:rPr>
                <w:rFonts w:cs="Segoe UI"/>
                <w:sz w:val="16"/>
                <w:szCs w:val="16"/>
              </w:rPr>
            </w:pPr>
            <w:r>
              <w:rPr>
                <w:rFonts w:cs="Segoe UI"/>
                <w:sz w:val="16"/>
                <w:szCs w:val="16"/>
              </w:rPr>
              <w:t>70.3</w:t>
            </w:r>
          </w:p>
        </w:tc>
      </w:tr>
      <w:tr w:rsidR="00726C45" w:rsidRPr="00BD6DBC" w14:paraId="1DE5B33C" w14:textId="77777777" w:rsidTr="00A37677">
        <w:tc>
          <w:tcPr>
            <w:tcW w:w="1418" w:type="dxa"/>
            <w:tcBorders>
              <w:top w:val="nil"/>
              <w:left w:val="single" w:sz="4" w:space="0" w:color="auto"/>
              <w:bottom w:val="nil"/>
              <w:right w:val="single" w:sz="4" w:space="0" w:color="auto"/>
            </w:tcBorders>
            <w:vAlign w:val="bottom"/>
          </w:tcPr>
          <w:p w14:paraId="3D75C3FE"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Netherlands</w:t>
            </w:r>
          </w:p>
        </w:tc>
        <w:tc>
          <w:tcPr>
            <w:tcW w:w="709" w:type="dxa"/>
            <w:tcBorders>
              <w:top w:val="nil"/>
              <w:left w:val="single" w:sz="4" w:space="0" w:color="auto"/>
              <w:bottom w:val="nil"/>
              <w:right w:val="single" w:sz="4" w:space="0" w:color="auto"/>
            </w:tcBorders>
          </w:tcPr>
          <w:p w14:paraId="69ECC2E9" w14:textId="77777777" w:rsidR="00726C45" w:rsidRPr="00BD6DBC" w:rsidRDefault="00726C45" w:rsidP="00A37677">
            <w:pPr>
              <w:spacing w:before="0" w:line="240" w:lineRule="auto"/>
              <w:jc w:val="right"/>
              <w:rPr>
                <w:rFonts w:cs="Segoe UI"/>
                <w:sz w:val="16"/>
                <w:szCs w:val="16"/>
              </w:rPr>
            </w:pPr>
            <w:r>
              <w:rPr>
                <w:rFonts w:cs="Segoe UI"/>
                <w:sz w:val="16"/>
                <w:szCs w:val="16"/>
              </w:rPr>
              <w:t>3.1</w:t>
            </w:r>
          </w:p>
        </w:tc>
        <w:tc>
          <w:tcPr>
            <w:tcW w:w="708" w:type="dxa"/>
            <w:tcBorders>
              <w:top w:val="nil"/>
              <w:left w:val="single" w:sz="4" w:space="0" w:color="auto"/>
              <w:bottom w:val="nil"/>
              <w:right w:val="single" w:sz="4" w:space="0" w:color="auto"/>
            </w:tcBorders>
          </w:tcPr>
          <w:p w14:paraId="3AFE441B" w14:textId="77777777" w:rsidR="00726C45" w:rsidRPr="00BD6DBC" w:rsidRDefault="00726C45" w:rsidP="00A37677">
            <w:pPr>
              <w:spacing w:before="0" w:line="240" w:lineRule="auto"/>
              <w:jc w:val="right"/>
              <w:rPr>
                <w:rFonts w:cs="Segoe UI"/>
                <w:sz w:val="16"/>
                <w:szCs w:val="16"/>
              </w:rPr>
            </w:pPr>
            <w:r>
              <w:rPr>
                <w:rFonts w:cs="Segoe UI"/>
                <w:sz w:val="16"/>
                <w:szCs w:val="16"/>
              </w:rPr>
              <w:t>4.8</w:t>
            </w:r>
          </w:p>
        </w:tc>
        <w:tc>
          <w:tcPr>
            <w:tcW w:w="993" w:type="dxa"/>
            <w:tcBorders>
              <w:top w:val="nil"/>
              <w:left w:val="single" w:sz="4" w:space="0" w:color="auto"/>
              <w:bottom w:val="nil"/>
              <w:right w:val="single" w:sz="4" w:space="0" w:color="auto"/>
            </w:tcBorders>
          </w:tcPr>
          <w:p w14:paraId="47878305" w14:textId="77777777" w:rsidR="00726C45" w:rsidRPr="00BD6DBC" w:rsidRDefault="00726C45" w:rsidP="00A37677">
            <w:pPr>
              <w:spacing w:before="0" w:line="240" w:lineRule="auto"/>
              <w:jc w:val="right"/>
              <w:rPr>
                <w:rFonts w:cs="Segoe UI"/>
                <w:sz w:val="16"/>
                <w:szCs w:val="16"/>
              </w:rPr>
            </w:pPr>
            <w:r>
              <w:rPr>
                <w:rFonts w:cs="Segoe UI"/>
                <w:sz w:val="16"/>
                <w:szCs w:val="16"/>
              </w:rPr>
              <w:t>2.0</w:t>
            </w:r>
          </w:p>
        </w:tc>
        <w:tc>
          <w:tcPr>
            <w:tcW w:w="567" w:type="dxa"/>
            <w:tcBorders>
              <w:top w:val="nil"/>
              <w:left w:val="single" w:sz="4" w:space="0" w:color="auto"/>
              <w:bottom w:val="nil"/>
              <w:right w:val="single" w:sz="4" w:space="0" w:color="auto"/>
            </w:tcBorders>
            <w:vAlign w:val="bottom"/>
          </w:tcPr>
          <w:p w14:paraId="34BA2E09"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708" w:type="dxa"/>
            <w:tcBorders>
              <w:top w:val="nil"/>
              <w:left w:val="single" w:sz="4" w:space="0" w:color="auto"/>
              <w:bottom w:val="nil"/>
              <w:right w:val="single" w:sz="4" w:space="0" w:color="auto"/>
            </w:tcBorders>
          </w:tcPr>
          <w:p w14:paraId="6584D33A" w14:textId="77777777" w:rsidR="00726C45" w:rsidRPr="00BD6DBC" w:rsidRDefault="00726C45" w:rsidP="00A37677">
            <w:pPr>
              <w:spacing w:before="0" w:line="240" w:lineRule="auto"/>
              <w:jc w:val="right"/>
              <w:rPr>
                <w:rFonts w:cs="Segoe UI"/>
                <w:sz w:val="16"/>
                <w:szCs w:val="16"/>
              </w:rPr>
            </w:pPr>
            <w:r>
              <w:rPr>
                <w:rFonts w:cs="Segoe UI"/>
                <w:sz w:val="16"/>
                <w:szCs w:val="16"/>
              </w:rPr>
              <w:t>3.6</w:t>
            </w:r>
          </w:p>
        </w:tc>
        <w:tc>
          <w:tcPr>
            <w:tcW w:w="993" w:type="dxa"/>
            <w:tcBorders>
              <w:top w:val="nil"/>
              <w:left w:val="single" w:sz="4" w:space="0" w:color="auto"/>
              <w:bottom w:val="nil"/>
              <w:right w:val="single" w:sz="4" w:space="0" w:color="auto"/>
            </w:tcBorders>
          </w:tcPr>
          <w:p w14:paraId="33A84E9C" w14:textId="77777777" w:rsidR="00726C45" w:rsidRPr="00BD6DBC" w:rsidRDefault="00726C45" w:rsidP="00A37677">
            <w:pPr>
              <w:spacing w:before="0" w:line="240" w:lineRule="auto"/>
              <w:jc w:val="right"/>
              <w:rPr>
                <w:rFonts w:cs="Segoe UI"/>
                <w:sz w:val="16"/>
                <w:szCs w:val="16"/>
              </w:rPr>
            </w:pPr>
            <w:r>
              <w:rPr>
                <w:rFonts w:cs="Segoe UI"/>
                <w:sz w:val="16"/>
                <w:szCs w:val="16"/>
              </w:rPr>
              <w:t>2.9</w:t>
            </w:r>
          </w:p>
        </w:tc>
        <w:tc>
          <w:tcPr>
            <w:tcW w:w="992" w:type="dxa"/>
            <w:tcBorders>
              <w:top w:val="nil"/>
              <w:left w:val="single" w:sz="4" w:space="0" w:color="auto"/>
              <w:bottom w:val="nil"/>
              <w:right w:val="single" w:sz="4" w:space="0" w:color="auto"/>
            </w:tcBorders>
          </w:tcPr>
          <w:p w14:paraId="5ADC77C9"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2.2</w:t>
            </w:r>
          </w:p>
        </w:tc>
        <w:tc>
          <w:tcPr>
            <w:tcW w:w="850" w:type="dxa"/>
            <w:tcBorders>
              <w:top w:val="nil"/>
              <w:left w:val="single" w:sz="4" w:space="0" w:color="auto"/>
              <w:bottom w:val="nil"/>
              <w:right w:val="single" w:sz="4" w:space="0" w:color="auto"/>
            </w:tcBorders>
          </w:tcPr>
          <w:p w14:paraId="56EC2DF0" w14:textId="77777777" w:rsidR="00726C45" w:rsidRPr="00F37A41" w:rsidRDefault="00726C45" w:rsidP="00A37677">
            <w:pPr>
              <w:spacing w:before="0" w:line="240" w:lineRule="auto"/>
              <w:jc w:val="right"/>
              <w:rPr>
                <w:rFonts w:cs="Segoe UI"/>
                <w:sz w:val="16"/>
                <w:szCs w:val="16"/>
              </w:rPr>
            </w:pPr>
            <w:r>
              <w:rPr>
                <w:rFonts w:cs="Segoe UI"/>
                <w:sz w:val="16"/>
                <w:szCs w:val="16"/>
              </w:rPr>
              <w:t>1.4</w:t>
            </w:r>
          </w:p>
        </w:tc>
        <w:tc>
          <w:tcPr>
            <w:tcW w:w="567" w:type="dxa"/>
            <w:tcBorders>
              <w:top w:val="nil"/>
              <w:left w:val="single" w:sz="4" w:space="0" w:color="auto"/>
              <w:bottom w:val="nil"/>
              <w:right w:val="single" w:sz="4" w:space="0" w:color="auto"/>
            </w:tcBorders>
          </w:tcPr>
          <w:p w14:paraId="3DAB3AD0" w14:textId="77777777" w:rsidR="00726C45" w:rsidRPr="00F37A41" w:rsidRDefault="00726C45" w:rsidP="00A37677">
            <w:pPr>
              <w:spacing w:before="0" w:line="240" w:lineRule="auto"/>
              <w:jc w:val="right"/>
              <w:rPr>
                <w:rFonts w:cs="Segoe UI"/>
                <w:sz w:val="16"/>
                <w:szCs w:val="16"/>
              </w:rPr>
            </w:pPr>
            <w:r>
              <w:rPr>
                <w:rFonts w:cs="Segoe UI"/>
                <w:sz w:val="16"/>
                <w:szCs w:val="16"/>
              </w:rPr>
              <w:t>4.8</w:t>
            </w:r>
          </w:p>
        </w:tc>
        <w:tc>
          <w:tcPr>
            <w:tcW w:w="709" w:type="dxa"/>
            <w:tcBorders>
              <w:top w:val="nil"/>
              <w:left w:val="single" w:sz="4" w:space="0" w:color="auto"/>
              <w:bottom w:val="nil"/>
              <w:right w:val="single" w:sz="4" w:space="0" w:color="auto"/>
            </w:tcBorders>
          </w:tcPr>
          <w:p w14:paraId="6CFC033E" w14:textId="77777777" w:rsidR="00726C45" w:rsidRDefault="00726C45" w:rsidP="00A37677">
            <w:pPr>
              <w:spacing w:before="0" w:line="240" w:lineRule="auto"/>
              <w:jc w:val="right"/>
              <w:rPr>
                <w:rFonts w:cs="Segoe UI"/>
                <w:sz w:val="16"/>
                <w:szCs w:val="16"/>
              </w:rPr>
            </w:pPr>
            <w:r>
              <w:rPr>
                <w:rFonts w:cs="Segoe UI"/>
                <w:sz w:val="16"/>
                <w:szCs w:val="16"/>
              </w:rPr>
              <w:t>1.5</w:t>
            </w:r>
          </w:p>
        </w:tc>
        <w:tc>
          <w:tcPr>
            <w:tcW w:w="1133" w:type="dxa"/>
            <w:tcBorders>
              <w:top w:val="nil"/>
              <w:left w:val="single" w:sz="4" w:space="0" w:color="auto"/>
              <w:bottom w:val="nil"/>
              <w:right w:val="single" w:sz="4" w:space="0" w:color="auto"/>
            </w:tcBorders>
          </w:tcPr>
          <w:p w14:paraId="1B155EE2" w14:textId="77777777" w:rsidR="00726C45" w:rsidRDefault="00726C45" w:rsidP="00A37677">
            <w:pPr>
              <w:spacing w:before="0" w:line="240" w:lineRule="auto"/>
              <w:jc w:val="right"/>
              <w:rPr>
                <w:rFonts w:cs="Segoe UI"/>
                <w:sz w:val="16"/>
                <w:szCs w:val="16"/>
              </w:rPr>
            </w:pPr>
            <w:r>
              <w:rPr>
                <w:rFonts w:cs="Segoe UI"/>
                <w:sz w:val="16"/>
                <w:szCs w:val="16"/>
              </w:rPr>
              <w:t>90.1</w:t>
            </w:r>
          </w:p>
        </w:tc>
      </w:tr>
      <w:tr w:rsidR="00726C45" w:rsidRPr="00BD6DBC" w14:paraId="4B49E2E5" w14:textId="77777777" w:rsidTr="00A37677">
        <w:tc>
          <w:tcPr>
            <w:tcW w:w="1418" w:type="dxa"/>
            <w:tcBorders>
              <w:top w:val="nil"/>
              <w:left w:val="single" w:sz="4" w:space="0" w:color="auto"/>
              <w:bottom w:val="nil"/>
              <w:right w:val="single" w:sz="4" w:space="0" w:color="auto"/>
            </w:tcBorders>
            <w:vAlign w:val="bottom"/>
          </w:tcPr>
          <w:p w14:paraId="1019C1F1"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Norway</w:t>
            </w:r>
          </w:p>
        </w:tc>
        <w:tc>
          <w:tcPr>
            <w:tcW w:w="709" w:type="dxa"/>
            <w:tcBorders>
              <w:top w:val="nil"/>
              <w:left w:val="single" w:sz="4" w:space="0" w:color="auto"/>
              <w:bottom w:val="nil"/>
              <w:right w:val="single" w:sz="4" w:space="0" w:color="auto"/>
            </w:tcBorders>
          </w:tcPr>
          <w:p w14:paraId="4731F66B" w14:textId="77777777" w:rsidR="00726C45" w:rsidRPr="00BD6DBC" w:rsidRDefault="00726C45" w:rsidP="00A37677">
            <w:pPr>
              <w:spacing w:before="0" w:line="240" w:lineRule="auto"/>
              <w:jc w:val="right"/>
              <w:rPr>
                <w:rFonts w:cs="Segoe UI"/>
                <w:sz w:val="16"/>
                <w:szCs w:val="16"/>
              </w:rPr>
            </w:pPr>
            <w:r>
              <w:rPr>
                <w:rFonts w:cs="Segoe UI"/>
                <w:sz w:val="16"/>
                <w:szCs w:val="16"/>
              </w:rPr>
              <w:t>1.2</w:t>
            </w:r>
          </w:p>
        </w:tc>
        <w:tc>
          <w:tcPr>
            <w:tcW w:w="708" w:type="dxa"/>
            <w:tcBorders>
              <w:top w:val="nil"/>
              <w:left w:val="single" w:sz="4" w:space="0" w:color="auto"/>
              <w:bottom w:val="nil"/>
              <w:right w:val="single" w:sz="4" w:space="0" w:color="auto"/>
            </w:tcBorders>
          </w:tcPr>
          <w:p w14:paraId="62C745BA"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993" w:type="dxa"/>
            <w:tcBorders>
              <w:top w:val="nil"/>
              <w:left w:val="single" w:sz="4" w:space="0" w:color="auto"/>
              <w:bottom w:val="nil"/>
              <w:right w:val="single" w:sz="4" w:space="0" w:color="auto"/>
            </w:tcBorders>
          </w:tcPr>
          <w:p w14:paraId="11CAEF21" w14:textId="77777777" w:rsidR="00726C45" w:rsidRPr="00BD6DBC" w:rsidRDefault="00726C45" w:rsidP="00A37677">
            <w:pPr>
              <w:spacing w:before="0" w:line="240" w:lineRule="auto"/>
              <w:jc w:val="right"/>
              <w:rPr>
                <w:rFonts w:cs="Segoe UI"/>
                <w:sz w:val="16"/>
                <w:szCs w:val="16"/>
              </w:rPr>
            </w:pPr>
            <w:r>
              <w:rPr>
                <w:rFonts w:cs="Segoe UI"/>
                <w:sz w:val="16"/>
                <w:szCs w:val="16"/>
              </w:rPr>
              <w:t>0.7</w:t>
            </w:r>
          </w:p>
        </w:tc>
        <w:tc>
          <w:tcPr>
            <w:tcW w:w="567" w:type="dxa"/>
            <w:tcBorders>
              <w:top w:val="nil"/>
              <w:left w:val="single" w:sz="4" w:space="0" w:color="auto"/>
              <w:bottom w:val="nil"/>
              <w:right w:val="single" w:sz="4" w:space="0" w:color="auto"/>
            </w:tcBorders>
            <w:vAlign w:val="bottom"/>
          </w:tcPr>
          <w:p w14:paraId="31447073" w14:textId="77777777" w:rsidR="00726C45" w:rsidRPr="00BD6DBC" w:rsidRDefault="00726C45" w:rsidP="00A37677">
            <w:pPr>
              <w:spacing w:before="0" w:line="240" w:lineRule="auto"/>
              <w:jc w:val="right"/>
              <w:rPr>
                <w:rFonts w:cs="Segoe UI"/>
                <w:sz w:val="16"/>
                <w:szCs w:val="16"/>
              </w:rPr>
            </w:pPr>
            <w:r>
              <w:rPr>
                <w:rFonts w:cs="Segoe UI"/>
                <w:sz w:val="16"/>
                <w:szCs w:val="16"/>
              </w:rPr>
              <w:t>1.0</w:t>
            </w:r>
          </w:p>
        </w:tc>
        <w:tc>
          <w:tcPr>
            <w:tcW w:w="708" w:type="dxa"/>
            <w:tcBorders>
              <w:top w:val="nil"/>
              <w:left w:val="single" w:sz="4" w:space="0" w:color="auto"/>
              <w:bottom w:val="nil"/>
              <w:right w:val="single" w:sz="4" w:space="0" w:color="auto"/>
            </w:tcBorders>
          </w:tcPr>
          <w:p w14:paraId="299AACBE" w14:textId="77777777" w:rsidR="00726C45" w:rsidRPr="00BD6DBC" w:rsidRDefault="00726C45" w:rsidP="00A37677">
            <w:pPr>
              <w:spacing w:before="0" w:line="240" w:lineRule="auto"/>
              <w:jc w:val="right"/>
              <w:rPr>
                <w:rFonts w:cs="Segoe UI"/>
                <w:sz w:val="16"/>
                <w:szCs w:val="16"/>
              </w:rPr>
            </w:pPr>
            <w:r>
              <w:rPr>
                <w:rFonts w:cs="Segoe UI"/>
                <w:sz w:val="16"/>
                <w:szCs w:val="16"/>
              </w:rPr>
              <w:t>1.5</w:t>
            </w:r>
          </w:p>
        </w:tc>
        <w:tc>
          <w:tcPr>
            <w:tcW w:w="993" w:type="dxa"/>
            <w:tcBorders>
              <w:top w:val="nil"/>
              <w:left w:val="single" w:sz="4" w:space="0" w:color="auto"/>
              <w:bottom w:val="nil"/>
              <w:right w:val="single" w:sz="4" w:space="0" w:color="auto"/>
            </w:tcBorders>
          </w:tcPr>
          <w:p w14:paraId="2DE1BB02" w14:textId="77777777" w:rsidR="00726C45" w:rsidRPr="00BD6DBC" w:rsidRDefault="00726C45" w:rsidP="00A37677">
            <w:pPr>
              <w:spacing w:before="0" w:line="240" w:lineRule="auto"/>
              <w:jc w:val="right"/>
              <w:rPr>
                <w:rFonts w:cs="Segoe UI"/>
                <w:sz w:val="16"/>
                <w:szCs w:val="16"/>
              </w:rPr>
            </w:pPr>
            <w:r>
              <w:rPr>
                <w:rFonts w:cs="Segoe UI"/>
                <w:sz w:val="16"/>
                <w:szCs w:val="16"/>
              </w:rPr>
              <w:t>2.1</w:t>
            </w:r>
          </w:p>
        </w:tc>
        <w:tc>
          <w:tcPr>
            <w:tcW w:w="992" w:type="dxa"/>
            <w:tcBorders>
              <w:top w:val="nil"/>
              <w:left w:val="single" w:sz="4" w:space="0" w:color="auto"/>
              <w:bottom w:val="nil"/>
              <w:right w:val="single" w:sz="4" w:space="0" w:color="auto"/>
            </w:tcBorders>
          </w:tcPr>
          <w:p w14:paraId="47D0083A"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1.6</w:t>
            </w:r>
          </w:p>
        </w:tc>
        <w:tc>
          <w:tcPr>
            <w:tcW w:w="850" w:type="dxa"/>
            <w:tcBorders>
              <w:top w:val="nil"/>
              <w:left w:val="single" w:sz="4" w:space="0" w:color="auto"/>
              <w:bottom w:val="nil"/>
              <w:right w:val="single" w:sz="4" w:space="0" w:color="auto"/>
            </w:tcBorders>
          </w:tcPr>
          <w:p w14:paraId="12D8845F" w14:textId="77777777" w:rsidR="00726C45" w:rsidRPr="00F37A41" w:rsidRDefault="00726C45" w:rsidP="00A37677">
            <w:pPr>
              <w:spacing w:before="0" w:line="240" w:lineRule="auto"/>
              <w:jc w:val="right"/>
              <w:rPr>
                <w:rFonts w:cs="Segoe UI"/>
                <w:sz w:val="16"/>
                <w:szCs w:val="16"/>
              </w:rPr>
            </w:pPr>
            <w:r>
              <w:rPr>
                <w:rFonts w:cs="Segoe UI"/>
                <w:sz w:val="16"/>
                <w:szCs w:val="16"/>
              </w:rPr>
              <w:t>1.3</w:t>
            </w:r>
          </w:p>
        </w:tc>
        <w:tc>
          <w:tcPr>
            <w:tcW w:w="567" w:type="dxa"/>
            <w:tcBorders>
              <w:top w:val="nil"/>
              <w:left w:val="single" w:sz="4" w:space="0" w:color="auto"/>
              <w:bottom w:val="nil"/>
              <w:right w:val="single" w:sz="4" w:space="0" w:color="auto"/>
            </w:tcBorders>
          </w:tcPr>
          <w:p w14:paraId="175AE830" w14:textId="77777777" w:rsidR="00726C45" w:rsidRPr="00F37A41" w:rsidRDefault="00726C45" w:rsidP="00A37677">
            <w:pPr>
              <w:spacing w:before="0" w:line="240" w:lineRule="auto"/>
              <w:jc w:val="right"/>
              <w:rPr>
                <w:rFonts w:cs="Segoe UI"/>
                <w:sz w:val="16"/>
                <w:szCs w:val="16"/>
              </w:rPr>
            </w:pPr>
            <w:r>
              <w:rPr>
                <w:rFonts w:cs="Segoe UI"/>
                <w:sz w:val="16"/>
                <w:szCs w:val="16"/>
              </w:rPr>
              <w:t>1.1</w:t>
            </w:r>
          </w:p>
        </w:tc>
        <w:tc>
          <w:tcPr>
            <w:tcW w:w="709" w:type="dxa"/>
            <w:tcBorders>
              <w:top w:val="nil"/>
              <w:left w:val="single" w:sz="4" w:space="0" w:color="auto"/>
              <w:bottom w:val="nil"/>
              <w:right w:val="single" w:sz="4" w:space="0" w:color="auto"/>
            </w:tcBorders>
          </w:tcPr>
          <w:p w14:paraId="158A2B58" w14:textId="77777777" w:rsidR="00726C45" w:rsidRDefault="00726C45" w:rsidP="00A37677">
            <w:pPr>
              <w:spacing w:before="0" w:line="240" w:lineRule="auto"/>
              <w:jc w:val="right"/>
              <w:rPr>
                <w:rFonts w:cs="Segoe UI"/>
                <w:sz w:val="16"/>
                <w:szCs w:val="16"/>
              </w:rPr>
            </w:pPr>
            <w:r>
              <w:rPr>
                <w:rFonts w:cs="Segoe UI"/>
                <w:sz w:val="16"/>
                <w:szCs w:val="16"/>
              </w:rPr>
              <w:t>1.2</w:t>
            </w:r>
          </w:p>
        </w:tc>
        <w:tc>
          <w:tcPr>
            <w:tcW w:w="1133" w:type="dxa"/>
            <w:tcBorders>
              <w:top w:val="nil"/>
              <w:left w:val="single" w:sz="4" w:space="0" w:color="auto"/>
              <w:bottom w:val="nil"/>
              <w:right w:val="single" w:sz="4" w:space="0" w:color="auto"/>
            </w:tcBorders>
          </w:tcPr>
          <w:p w14:paraId="70AD8165" w14:textId="77777777" w:rsidR="00726C45" w:rsidRDefault="00726C45" w:rsidP="00A37677">
            <w:pPr>
              <w:spacing w:before="0" w:line="240" w:lineRule="auto"/>
              <w:jc w:val="right"/>
              <w:rPr>
                <w:rFonts w:cs="Segoe UI"/>
                <w:sz w:val="16"/>
                <w:szCs w:val="16"/>
              </w:rPr>
            </w:pPr>
            <w:r>
              <w:rPr>
                <w:rFonts w:cs="Segoe UI"/>
                <w:sz w:val="16"/>
                <w:szCs w:val="16"/>
              </w:rPr>
              <w:t>97.2</w:t>
            </w:r>
          </w:p>
        </w:tc>
      </w:tr>
      <w:tr w:rsidR="00726C45" w:rsidRPr="00BD6DBC" w14:paraId="035D9037" w14:textId="77777777" w:rsidTr="00A37677">
        <w:tc>
          <w:tcPr>
            <w:tcW w:w="1418" w:type="dxa"/>
            <w:tcBorders>
              <w:top w:val="nil"/>
              <w:left w:val="single" w:sz="4" w:space="0" w:color="auto"/>
              <w:bottom w:val="nil"/>
              <w:right w:val="single" w:sz="4" w:space="0" w:color="auto"/>
            </w:tcBorders>
            <w:vAlign w:val="bottom"/>
          </w:tcPr>
          <w:p w14:paraId="6C9257E9"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Peru</w:t>
            </w:r>
          </w:p>
        </w:tc>
        <w:tc>
          <w:tcPr>
            <w:tcW w:w="709" w:type="dxa"/>
            <w:tcBorders>
              <w:top w:val="nil"/>
              <w:left w:val="single" w:sz="4" w:space="0" w:color="auto"/>
              <w:bottom w:val="nil"/>
              <w:right w:val="single" w:sz="4" w:space="0" w:color="auto"/>
            </w:tcBorders>
          </w:tcPr>
          <w:p w14:paraId="454374FD" w14:textId="77777777" w:rsidR="00726C45" w:rsidRPr="00BD6DBC" w:rsidRDefault="00726C45" w:rsidP="00A37677">
            <w:pPr>
              <w:spacing w:before="0" w:line="240" w:lineRule="auto"/>
              <w:jc w:val="right"/>
              <w:rPr>
                <w:rFonts w:cs="Segoe UI"/>
                <w:sz w:val="16"/>
                <w:szCs w:val="16"/>
              </w:rPr>
            </w:pPr>
            <w:r>
              <w:rPr>
                <w:rFonts w:cs="Segoe UI"/>
                <w:sz w:val="16"/>
                <w:szCs w:val="16"/>
              </w:rPr>
              <w:t>4.6</w:t>
            </w:r>
          </w:p>
        </w:tc>
        <w:tc>
          <w:tcPr>
            <w:tcW w:w="708" w:type="dxa"/>
            <w:tcBorders>
              <w:top w:val="nil"/>
              <w:left w:val="single" w:sz="4" w:space="0" w:color="auto"/>
              <w:bottom w:val="nil"/>
              <w:right w:val="single" w:sz="4" w:space="0" w:color="auto"/>
            </w:tcBorders>
          </w:tcPr>
          <w:p w14:paraId="47EBE4C0" w14:textId="77777777" w:rsidR="00726C45" w:rsidRPr="00BD6DBC" w:rsidRDefault="00726C45" w:rsidP="00A37677">
            <w:pPr>
              <w:spacing w:before="0" w:line="240" w:lineRule="auto"/>
              <w:jc w:val="right"/>
              <w:rPr>
                <w:rFonts w:cs="Segoe UI"/>
                <w:sz w:val="16"/>
                <w:szCs w:val="16"/>
              </w:rPr>
            </w:pPr>
            <w:r>
              <w:rPr>
                <w:rFonts w:cs="Segoe UI"/>
                <w:sz w:val="16"/>
                <w:szCs w:val="16"/>
              </w:rPr>
              <w:t>9.4</w:t>
            </w:r>
          </w:p>
        </w:tc>
        <w:tc>
          <w:tcPr>
            <w:tcW w:w="993" w:type="dxa"/>
            <w:tcBorders>
              <w:top w:val="nil"/>
              <w:left w:val="single" w:sz="4" w:space="0" w:color="auto"/>
              <w:bottom w:val="nil"/>
              <w:right w:val="single" w:sz="4" w:space="0" w:color="auto"/>
            </w:tcBorders>
          </w:tcPr>
          <w:p w14:paraId="3FB38798" w14:textId="77777777" w:rsidR="00726C45" w:rsidRPr="00BD6DBC" w:rsidRDefault="00726C45" w:rsidP="00A37677">
            <w:pPr>
              <w:spacing w:before="0" w:line="240" w:lineRule="auto"/>
              <w:jc w:val="right"/>
              <w:rPr>
                <w:rFonts w:cs="Segoe UI"/>
                <w:sz w:val="16"/>
                <w:szCs w:val="16"/>
              </w:rPr>
            </w:pPr>
            <w:r>
              <w:rPr>
                <w:rFonts w:cs="Segoe UI"/>
                <w:sz w:val="16"/>
                <w:szCs w:val="16"/>
              </w:rPr>
              <w:t>4.5</w:t>
            </w:r>
          </w:p>
        </w:tc>
        <w:tc>
          <w:tcPr>
            <w:tcW w:w="567" w:type="dxa"/>
            <w:tcBorders>
              <w:top w:val="nil"/>
              <w:left w:val="single" w:sz="4" w:space="0" w:color="auto"/>
              <w:bottom w:val="nil"/>
              <w:right w:val="single" w:sz="4" w:space="0" w:color="auto"/>
            </w:tcBorders>
            <w:vAlign w:val="bottom"/>
          </w:tcPr>
          <w:p w14:paraId="6565B6FF" w14:textId="77777777" w:rsidR="00726C45" w:rsidRPr="00BD6DBC" w:rsidRDefault="00726C45" w:rsidP="00A37677">
            <w:pPr>
              <w:spacing w:before="0" w:line="240" w:lineRule="auto"/>
              <w:jc w:val="right"/>
              <w:rPr>
                <w:rFonts w:cs="Segoe UI"/>
                <w:sz w:val="16"/>
                <w:szCs w:val="16"/>
              </w:rPr>
            </w:pPr>
            <w:r>
              <w:rPr>
                <w:rFonts w:cs="Segoe UI"/>
                <w:sz w:val="16"/>
                <w:szCs w:val="16"/>
              </w:rPr>
              <w:t>4.9</w:t>
            </w:r>
          </w:p>
        </w:tc>
        <w:tc>
          <w:tcPr>
            <w:tcW w:w="708" w:type="dxa"/>
            <w:tcBorders>
              <w:top w:val="nil"/>
              <w:left w:val="single" w:sz="4" w:space="0" w:color="auto"/>
              <w:bottom w:val="nil"/>
              <w:right w:val="single" w:sz="4" w:space="0" w:color="auto"/>
            </w:tcBorders>
          </w:tcPr>
          <w:p w14:paraId="0A2A3A3E" w14:textId="77777777" w:rsidR="00726C45" w:rsidRPr="00BD6DBC" w:rsidRDefault="00726C45" w:rsidP="00A37677">
            <w:pPr>
              <w:spacing w:before="0" w:line="240" w:lineRule="auto"/>
              <w:jc w:val="right"/>
              <w:rPr>
                <w:rFonts w:cs="Segoe UI"/>
                <w:sz w:val="16"/>
                <w:szCs w:val="16"/>
              </w:rPr>
            </w:pPr>
            <w:r>
              <w:rPr>
                <w:rFonts w:cs="Segoe UI"/>
                <w:sz w:val="16"/>
                <w:szCs w:val="16"/>
              </w:rPr>
              <w:t>7.6</w:t>
            </w:r>
          </w:p>
        </w:tc>
        <w:tc>
          <w:tcPr>
            <w:tcW w:w="993" w:type="dxa"/>
            <w:tcBorders>
              <w:top w:val="nil"/>
              <w:left w:val="single" w:sz="4" w:space="0" w:color="auto"/>
              <w:bottom w:val="nil"/>
              <w:right w:val="single" w:sz="4" w:space="0" w:color="auto"/>
            </w:tcBorders>
          </w:tcPr>
          <w:p w14:paraId="11091BB1" w14:textId="77777777" w:rsidR="00726C45" w:rsidRPr="00BD6DBC" w:rsidRDefault="00726C45" w:rsidP="00A37677">
            <w:pPr>
              <w:spacing w:before="0" w:line="240" w:lineRule="auto"/>
              <w:jc w:val="right"/>
              <w:rPr>
                <w:rFonts w:cs="Segoe UI"/>
                <w:sz w:val="16"/>
                <w:szCs w:val="16"/>
              </w:rPr>
            </w:pPr>
            <w:r>
              <w:rPr>
                <w:rFonts w:cs="Segoe UI"/>
                <w:sz w:val="16"/>
                <w:szCs w:val="16"/>
              </w:rPr>
              <w:t>8.2</w:t>
            </w:r>
          </w:p>
        </w:tc>
        <w:tc>
          <w:tcPr>
            <w:tcW w:w="992" w:type="dxa"/>
            <w:tcBorders>
              <w:top w:val="nil"/>
              <w:left w:val="single" w:sz="4" w:space="0" w:color="auto"/>
              <w:bottom w:val="nil"/>
              <w:right w:val="single" w:sz="4" w:space="0" w:color="auto"/>
            </w:tcBorders>
          </w:tcPr>
          <w:p w14:paraId="25780D80"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4.4</w:t>
            </w:r>
          </w:p>
        </w:tc>
        <w:tc>
          <w:tcPr>
            <w:tcW w:w="850" w:type="dxa"/>
            <w:tcBorders>
              <w:top w:val="nil"/>
              <w:left w:val="single" w:sz="4" w:space="0" w:color="auto"/>
              <w:bottom w:val="nil"/>
              <w:right w:val="single" w:sz="4" w:space="0" w:color="auto"/>
            </w:tcBorders>
          </w:tcPr>
          <w:p w14:paraId="09AAA3D2" w14:textId="77777777" w:rsidR="00726C45" w:rsidRPr="00F37A41" w:rsidRDefault="00726C45" w:rsidP="00A37677">
            <w:pPr>
              <w:spacing w:before="0" w:line="240" w:lineRule="auto"/>
              <w:jc w:val="right"/>
              <w:rPr>
                <w:rFonts w:cs="Segoe UI"/>
                <w:sz w:val="16"/>
                <w:szCs w:val="16"/>
              </w:rPr>
            </w:pPr>
            <w:r>
              <w:rPr>
                <w:rFonts w:cs="Segoe UI"/>
                <w:sz w:val="16"/>
                <w:szCs w:val="16"/>
              </w:rPr>
              <w:t>4.0</w:t>
            </w:r>
          </w:p>
        </w:tc>
        <w:tc>
          <w:tcPr>
            <w:tcW w:w="567" w:type="dxa"/>
            <w:tcBorders>
              <w:top w:val="nil"/>
              <w:left w:val="single" w:sz="4" w:space="0" w:color="auto"/>
              <w:bottom w:val="nil"/>
              <w:right w:val="single" w:sz="4" w:space="0" w:color="auto"/>
            </w:tcBorders>
          </w:tcPr>
          <w:p w14:paraId="725B6B3B" w14:textId="77777777" w:rsidR="00726C45" w:rsidRPr="00F37A41" w:rsidRDefault="00726C45" w:rsidP="00A37677">
            <w:pPr>
              <w:spacing w:before="0" w:line="240" w:lineRule="auto"/>
              <w:jc w:val="right"/>
              <w:rPr>
                <w:rFonts w:cs="Segoe UI"/>
                <w:sz w:val="16"/>
                <w:szCs w:val="16"/>
              </w:rPr>
            </w:pPr>
            <w:r>
              <w:rPr>
                <w:rFonts w:cs="Segoe UI"/>
                <w:sz w:val="16"/>
                <w:szCs w:val="16"/>
              </w:rPr>
              <w:t>7.3</w:t>
            </w:r>
          </w:p>
        </w:tc>
        <w:tc>
          <w:tcPr>
            <w:tcW w:w="709" w:type="dxa"/>
            <w:tcBorders>
              <w:top w:val="nil"/>
              <w:left w:val="single" w:sz="4" w:space="0" w:color="auto"/>
              <w:bottom w:val="nil"/>
              <w:right w:val="single" w:sz="4" w:space="0" w:color="auto"/>
            </w:tcBorders>
          </w:tcPr>
          <w:p w14:paraId="382D9C43" w14:textId="77777777" w:rsidR="00726C45" w:rsidRDefault="00726C45" w:rsidP="00A37677">
            <w:pPr>
              <w:spacing w:before="0" w:line="240" w:lineRule="auto"/>
              <w:jc w:val="right"/>
              <w:rPr>
                <w:rFonts w:cs="Segoe UI"/>
                <w:sz w:val="16"/>
                <w:szCs w:val="16"/>
              </w:rPr>
            </w:pPr>
            <w:r>
              <w:rPr>
                <w:rFonts w:cs="Segoe UI"/>
                <w:sz w:val="16"/>
                <w:szCs w:val="16"/>
              </w:rPr>
              <w:t>2.6</w:t>
            </w:r>
          </w:p>
        </w:tc>
        <w:tc>
          <w:tcPr>
            <w:tcW w:w="1133" w:type="dxa"/>
            <w:tcBorders>
              <w:top w:val="nil"/>
              <w:left w:val="single" w:sz="4" w:space="0" w:color="auto"/>
              <w:bottom w:val="nil"/>
              <w:right w:val="single" w:sz="4" w:space="0" w:color="auto"/>
            </w:tcBorders>
          </w:tcPr>
          <w:p w14:paraId="48D08A7C" w14:textId="77777777" w:rsidR="00726C45" w:rsidRDefault="00726C45" w:rsidP="00A37677">
            <w:pPr>
              <w:spacing w:before="0" w:line="240" w:lineRule="auto"/>
              <w:jc w:val="right"/>
              <w:rPr>
                <w:rFonts w:cs="Segoe UI"/>
                <w:sz w:val="16"/>
                <w:szCs w:val="16"/>
              </w:rPr>
            </w:pPr>
            <w:r>
              <w:rPr>
                <w:rFonts w:cs="Segoe UI"/>
                <w:sz w:val="16"/>
                <w:szCs w:val="16"/>
              </w:rPr>
              <w:t>83.4</w:t>
            </w:r>
          </w:p>
        </w:tc>
      </w:tr>
      <w:tr w:rsidR="00726C45" w:rsidRPr="00BD6DBC" w14:paraId="0AFDC4B7" w14:textId="77777777" w:rsidTr="00A37677">
        <w:tc>
          <w:tcPr>
            <w:tcW w:w="1418" w:type="dxa"/>
            <w:tcBorders>
              <w:top w:val="nil"/>
              <w:left w:val="single" w:sz="4" w:space="0" w:color="auto"/>
              <w:bottom w:val="nil"/>
              <w:right w:val="single" w:sz="4" w:space="0" w:color="auto"/>
            </w:tcBorders>
            <w:vAlign w:val="bottom"/>
          </w:tcPr>
          <w:p w14:paraId="3772474D"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Poland</w:t>
            </w:r>
          </w:p>
        </w:tc>
        <w:tc>
          <w:tcPr>
            <w:tcW w:w="709" w:type="dxa"/>
            <w:tcBorders>
              <w:top w:val="nil"/>
              <w:left w:val="single" w:sz="4" w:space="0" w:color="auto"/>
              <w:bottom w:val="nil"/>
              <w:right w:val="single" w:sz="4" w:space="0" w:color="auto"/>
            </w:tcBorders>
          </w:tcPr>
          <w:p w14:paraId="36262D17" w14:textId="77777777" w:rsidR="00726C45" w:rsidRPr="00BD6DBC" w:rsidRDefault="00726C45" w:rsidP="00A37677">
            <w:pPr>
              <w:spacing w:before="0" w:line="240" w:lineRule="auto"/>
              <w:jc w:val="right"/>
              <w:rPr>
                <w:rFonts w:cs="Segoe UI"/>
                <w:sz w:val="16"/>
                <w:szCs w:val="16"/>
              </w:rPr>
            </w:pPr>
            <w:r>
              <w:rPr>
                <w:rFonts w:cs="Segoe UI"/>
                <w:sz w:val="16"/>
                <w:szCs w:val="16"/>
              </w:rPr>
              <w:t>9.4</w:t>
            </w:r>
          </w:p>
        </w:tc>
        <w:tc>
          <w:tcPr>
            <w:tcW w:w="708" w:type="dxa"/>
            <w:tcBorders>
              <w:top w:val="nil"/>
              <w:left w:val="single" w:sz="4" w:space="0" w:color="auto"/>
              <w:bottom w:val="nil"/>
              <w:right w:val="single" w:sz="4" w:space="0" w:color="auto"/>
            </w:tcBorders>
          </w:tcPr>
          <w:p w14:paraId="719C9635" w14:textId="77777777" w:rsidR="00726C45" w:rsidRPr="00BD6DBC" w:rsidRDefault="00726C45" w:rsidP="00A37677">
            <w:pPr>
              <w:spacing w:before="0" w:line="240" w:lineRule="auto"/>
              <w:jc w:val="right"/>
              <w:rPr>
                <w:rFonts w:cs="Segoe UI"/>
                <w:sz w:val="16"/>
                <w:szCs w:val="16"/>
              </w:rPr>
            </w:pPr>
            <w:r>
              <w:rPr>
                <w:rFonts w:cs="Segoe UI"/>
                <w:sz w:val="16"/>
                <w:szCs w:val="16"/>
              </w:rPr>
              <w:t>10.1</w:t>
            </w:r>
          </w:p>
        </w:tc>
        <w:tc>
          <w:tcPr>
            <w:tcW w:w="993" w:type="dxa"/>
            <w:tcBorders>
              <w:top w:val="nil"/>
              <w:left w:val="single" w:sz="4" w:space="0" w:color="auto"/>
              <w:bottom w:val="nil"/>
              <w:right w:val="single" w:sz="4" w:space="0" w:color="auto"/>
            </w:tcBorders>
          </w:tcPr>
          <w:p w14:paraId="1F3B5AB4" w14:textId="77777777" w:rsidR="00726C45" w:rsidRPr="00BD6DBC" w:rsidRDefault="00726C45" w:rsidP="00A37677">
            <w:pPr>
              <w:spacing w:before="0" w:line="240" w:lineRule="auto"/>
              <w:jc w:val="right"/>
              <w:rPr>
                <w:rFonts w:cs="Segoe UI"/>
                <w:sz w:val="16"/>
                <w:szCs w:val="16"/>
              </w:rPr>
            </w:pPr>
            <w:r>
              <w:rPr>
                <w:rFonts w:cs="Segoe UI"/>
                <w:sz w:val="16"/>
                <w:szCs w:val="16"/>
              </w:rPr>
              <w:t>5.8</w:t>
            </w:r>
          </w:p>
        </w:tc>
        <w:tc>
          <w:tcPr>
            <w:tcW w:w="567" w:type="dxa"/>
            <w:tcBorders>
              <w:top w:val="nil"/>
              <w:left w:val="single" w:sz="4" w:space="0" w:color="auto"/>
              <w:bottom w:val="nil"/>
              <w:right w:val="single" w:sz="4" w:space="0" w:color="auto"/>
            </w:tcBorders>
            <w:vAlign w:val="bottom"/>
          </w:tcPr>
          <w:p w14:paraId="43137126" w14:textId="77777777" w:rsidR="00726C45" w:rsidRPr="00BD6DBC" w:rsidRDefault="00726C45" w:rsidP="00A37677">
            <w:pPr>
              <w:spacing w:before="0" w:line="240" w:lineRule="auto"/>
              <w:jc w:val="right"/>
              <w:rPr>
                <w:rFonts w:cs="Segoe UI"/>
                <w:sz w:val="16"/>
                <w:szCs w:val="16"/>
              </w:rPr>
            </w:pPr>
            <w:r>
              <w:rPr>
                <w:rFonts w:cs="Segoe UI"/>
                <w:sz w:val="16"/>
                <w:szCs w:val="16"/>
              </w:rPr>
              <w:t>6.3</w:t>
            </w:r>
          </w:p>
        </w:tc>
        <w:tc>
          <w:tcPr>
            <w:tcW w:w="708" w:type="dxa"/>
            <w:tcBorders>
              <w:top w:val="nil"/>
              <w:left w:val="single" w:sz="4" w:space="0" w:color="auto"/>
              <w:bottom w:val="nil"/>
              <w:right w:val="single" w:sz="4" w:space="0" w:color="auto"/>
            </w:tcBorders>
          </w:tcPr>
          <w:p w14:paraId="5BE89CC3" w14:textId="77777777" w:rsidR="00726C45" w:rsidRPr="00BD6DBC" w:rsidRDefault="00726C45" w:rsidP="00A37677">
            <w:pPr>
              <w:spacing w:before="0" w:line="240" w:lineRule="auto"/>
              <w:jc w:val="right"/>
              <w:rPr>
                <w:rFonts w:cs="Segoe UI"/>
                <w:sz w:val="16"/>
                <w:szCs w:val="16"/>
              </w:rPr>
            </w:pPr>
            <w:r>
              <w:rPr>
                <w:rFonts w:cs="Segoe UI"/>
                <w:sz w:val="16"/>
                <w:szCs w:val="16"/>
              </w:rPr>
              <w:t>7.6</w:t>
            </w:r>
          </w:p>
        </w:tc>
        <w:tc>
          <w:tcPr>
            <w:tcW w:w="993" w:type="dxa"/>
            <w:tcBorders>
              <w:top w:val="nil"/>
              <w:left w:val="single" w:sz="4" w:space="0" w:color="auto"/>
              <w:bottom w:val="nil"/>
              <w:right w:val="single" w:sz="4" w:space="0" w:color="auto"/>
            </w:tcBorders>
          </w:tcPr>
          <w:p w14:paraId="05D2DC81" w14:textId="77777777" w:rsidR="00726C45" w:rsidRPr="00BD6DBC" w:rsidRDefault="00726C45" w:rsidP="00A37677">
            <w:pPr>
              <w:spacing w:before="0" w:line="240" w:lineRule="auto"/>
              <w:jc w:val="right"/>
              <w:rPr>
                <w:rFonts w:cs="Segoe UI"/>
                <w:sz w:val="16"/>
                <w:szCs w:val="16"/>
              </w:rPr>
            </w:pPr>
            <w:r>
              <w:rPr>
                <w:rFonts w:cs="Segoe UI"/>
                <w:sz w:val="16"/>
                <w:szCs w:val="16"/>
              </w:rPr>
              <w:t>6.8</w:t>
            </w:r>
          </w:p>
        </w:tc>
        <w:tc>
          <w:tcPr>
            <w:tcW w:w="992" w:type="dxa"/>
            <w:tcBorders>
              <w:top w:val="nil"/>
              <w:left w:val="single" w:sz="4" w:space="0" w:color="auto"/>
              <w:bottom w:val="nil"/>
              <w:right w:val="single" w:sz="4" w:space="0" w:color="auto"/>
            </w:tcBorders>
          </w:tcPr>
          <w:p w14:paraId="0561F76A"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6.2</w:t>
            </w:r>
          </w:p>
        </w:tc>
        <w:tc>
          <w:tcPr>
            <w:tcW w:w="850" w:type="dxa"/>
            <w:tcBorders>
              <w:top w:val="nil"/>
              <w:left w:val="single" w:sz="4" w:space="0" w:color="auto"/>
              <w:bottom w:val="nil"/>
              <w:right w:val="single" w:sz="4" w:space="0" w:color="auto"/>
            </w:tcBorders>
          </w:tcPr>
          <w:p w14:paraId="1A5D59FA" w14:textId="77777777" w:rsidR="00726C45" w:rsidRPr="00F37A41" w:rsidRDefault="00726C45" w:rsidP="00A37677">
            <w:pPr>
              <w:spacing w:before="0" w:line="240" w:lineRule="auto"/>
              <w:jc w:val="right"/>
              <w:rPr>
                <w:rFonts w:cs="Segoe UI"/>
                <w:sz w:val="16"/>
                <w:szCs w:val="16"/>
              </w:rPr>
            </w:pPr>
            <w:r>
              <w:rPr>
                <w:rFonts w:cs="Segoe UI"/>
                <w:sz w:val="16"/>
                <w:szCs w:val="16"/>
              </w:rPr>
              <w:t>6.3</w:t>
            </w:r>
          </w:p>
        </w:tc>
        <w:tc>
          <w:tcPr>
            <w:tcW w:w="567" w:type="dxa"/>
            <w:tcBorders>
              <w:top w:val="nil"/>
              <w:left w:val="single" w:sz="4" w:space="0" w:color="auto"/>
              <w:bottom w:val="nil"/>
              <w:right w:val="single" w:sz="4" w:space="0" w:color="auto"/>
            </w:tcBorders>
          </w:tcPr>
          <w:p w14:paraId="0A5195B4" w14:textId="77777777" w:rsidR="00726C45" w:rsidRPr="00F37A41" w:rsidRDefault="00726C45" w:rsidP="00A37677">
            <w:pPr>
              <w:spacing w:before="0" w:line="240" w:lineRule="auto"/>
              <w:jc w:val="right"/>
              <w:rPr>
                <w:rFonts w:cs="Segoe UI"/>
                <w:sz w:val="16"/>
                <w:szCs w:val="16"/>
              </w:rPr>
            </w:pPr>
            <w:r>
              <w:rPr>
                <w:rFonts w:cs="Segoe UI"/>
                <w:sz w:val="16"/>
                <w:szCs w:val="16"/>
              </w:rPr>
              <w:t>8.3</w:t>
            </w:r>
          </w:p>
        </w:tc>
        <w:tc>
          <w:tcPr>
            <w:tcW w:w="709" w:type="dxa"/>
            <w:tcBorders>
              <w:top w:val="nil"/>
              <w:left w:val="single" w:sz="4" w:space="0" w:color="auto"/>
              <w:bottom w:val="nil"/>
              <w:right w:val="single" w:sz="4" w:space="0" w:color="auto"/>
            </w:tcBorders>
          </w:tcPr>
          <w:p w14:paraId="76E8D19C" w14:textId="77777777" w:rsidR="00726C45" w:rsidRDefault="00726C45" w:rsidP="00A37677">
            <w:pPr>
              <w:spacing w:before="0" w:line="240" w:lineRule="auto"/>
              <w:jc w:val="right"/>
              <w:rPr>
                <w:rFonts w:cs="Segoe UI"/>
                <w:sz w:val="16"/>
                <w:szCs w:val="16"/>
              </w:rPr>
            </w:pPr>
            <w:r>
              <w:rPr>
                <w:rFonts w:cs="Segoe UI"/>
                <w:sz w:val="16"/>
                <w:szCs w:val="16"/>
              </w:rPr>
              <w:t>4.6</w:t>
            </w:r>
          </w:p>
        </w:tc>
        <w:tc>
          <w:tcPr>
            <w:tcW w:w="1133" w:type="dxa"/>
            <w:tcBorders>
              <w:top w:val="nil"/>
              <w:left w:val="single" w:sz="4" w:space="0" w:color="auto"/>
              <w:bottom w:val="nil"/>
              <w:right w:val="single" w:sz="4" w:space="0" w:color="auto"/>
            </w:tcBorders>
          </w:tcPr>
          <w:p w14:paraId="5CBE48DA" w14:textId="77777777" w:rsidR="00726C45" w:rsidRDefault="00726C45" w:rsidP="00A37677">
            <w:pPr>
              <w:spacing w:before="0" w:line="240" w:lineRule="auto"/>
              <w:jc w:val="right"/>
              <w:rPr>
                <w:rFonts w:cs="Segoe UI"/>
                <w:sz w:val="16"/>
                <w:szCs w:val="16"/>
              </w:rPr>
            </w:pPr>
            <w:r>
              <w:rPr>
                <w:rFonts w:cs="Segoe UI"/>
                <w:sz w:val="16"/>
                <w:szCs w:val="16"/>
              </w:rPr>
              <w:t>82.5</w:t>
            </w:r>
          </w:p>
        </w:tc>
      </w:tr>
      <w:tr w:rsidR="00726C45" w:rsidRPr="00BD6DBC" w14:paraId="742C8ACA" w14:textId="77777777" w:rsidTr="00A37677">
        <w:tc>
          <w:tcPr>
            <w:tcW w:w="1418" w:type="dxa"/>
            <w:tcBorders>
              <w:top w:val="nil"/>
              <w:left w:val="single" w:sz="4" w:space="0" w:color="auto"/>
              <w:bottom w:val="nil"/>
              <w:right w:val="single" w:sz="4" w:space="0" w:color="auto"/>
            </w:tcBorders>
            <w:vAlign w:val="bottom"/>
          </w:tcPr>
          <w:p w14:paraId="44705B13"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Romania</w:t>
            </w:r>
          </w:p>
        </w:tc>
        <w:tc>
          <w:tcPr>
            <w:tcW w:w="709" w:type="dxa"/>
            <w:tcBorders>
              <w:top w:val="nil"/>
              <w:left w:val="single" w:sz="4" w:space="0" w:color="auto"/>
              <w:bottom w:val="nil"/>
              <w:right w:val="single" w:sz="4" w:space="0" w:color="auto"/>
            </w:tcBorders>
          </w:tcPr>
          <w:p w14:paraId="2562C364" w14:textId="77777777" w:rsidR="00726C45" w:rsidRPr="00BD6DBC" w:rsidRDefault="00726C45" w:rsidP="00A37677">
            <w:pPr>
              <w:spacing w:before="0" w:line="240" w:lineRule="auto"/>
              <w:jc w:val="right"/>
              <w:rPr>
                <w:rFonts w:cs="Segoe UI"/>
                <w:sz w:val="16"/>
                <w:szCs w:val="16"/>
              </w:rPr>
            </w:pPr>
            <w:r>
              <w:rPr>
                <w:rFonts w:cs="Segoe UI"/>
                <w:sz w:val="16"/>
                <w:szCs w:val="16"/>
              </w:rPr>
              <w:t>8.3</w:t>
            </w:r>
          </w:p>
        </w:tc>
        <w:tc>
          <w:tcPr>
            <w:tcW w:w="708" w:type="dxa"/>
            <w:tcBorders>
              <w:top w:val="nil"/>
              <w:left w:val="single" w:sz="4" w:space="0" w:color="auto"/>
              <w:bottom w:val="nil"/>
              <w:right w:val="single" w:sz="4" w:space="0" w:color="auto"/>
            </w:tcBorders>
          </w:tcPr>
          <w:p w14:paraId="58EEA4D9" w14:textId="77777777" w:rsidR="00726C45" w:rsidRPr="00BD6DBC" w:rsidRDefault="00726C45" w:rsidP="00A37677">
            <w:pPr>
              <w:spacing w:before="0" w:line="240" w:lineRule="auto"/>
              <w:jc w:val="right"/>
              <w:rPr>
                <w:rFonts w:cs="Segoe UI"/>
                <w:sz w:val="16"/>
                <w:szCs w:val="16"/>
              </w:rPr>
            </w:pPr>
            <w:r>
              <w:rPr>
                <w:rFonts w:cs="Segoe UI"/>
                <w:sz w:val="16"/>
                <w:szCs w:val="16"/>
              </w:rPr>
              <w:t>12.1</w:t>
            </w:r>
          </w:p>
        </w:tc>
        <w:tc>
          <w:tcPr>
            <w:tcW w:w="993" w:type="dxa"/>
            <w:tcBorders>
              <w:top w:val="nil"/>
              <w:left w:val="single" w:sz="4" w:space="0" w:color="auto"/>
              <w:bottom w:val="nil"/>
              <w:right w:val="single" w:sz="4" w:space="0" w:color="auto"/>
            </w:tcBorders>
          </w:tcPr>
          <w:p w14:paraId="56370AA6" w14:textId="77777777" w:rsidR="00726C45" w:rsidRPr="00BD6DBC" w:rsidRDefault="00726C45" w:rsidP="00A37677">
            <w:pPr>
              <w:spacing w:before="0" w:line="240" w:lineRule="auto"/>
              <w:jc w:val="right"/>
              <w:rPr>
                <w:rFonts w:cs="Segoe UI"/>
                <w:sz w:val="16"/>
                <w:szCs w:val="16"/>
              </w:rPr>
            </w:pPr>
            <w:r>
              <w:rPr>
                <w:rFonts w:cs="Segoe UI"/>
                <w:sz w:val="16"/>
                <w:szCs w:val="16"/>
              </w:rPr>
              <w:t>6.4</w:t>
            </w:r>
          </w:p>
        </w:tc>
        <w:tc>
          <w:tcPr>
            <w:tcW w:w="567" w:type="dxa"/>
            <w:tcBorders>
              <w:top w:val="nil"/>
              <w:left w:val="single" w:sz="4" w:space="0" w:color="auto"/>
              <w:bottom w:val="nil"/>
              <w:right w:val="single" w:sz="4" w:space="0" w:color="auto"/>
            </w:tcBorders>
            <w:vAlign w:val="bottom"/>
          </w:tcPr>
          <w:p w14:paraId="18A058C6" w14:textId="77777777" w:rsidR="00726C45" w:rsidRPr="00BD6DBC" w:rsidRDefault="00726C45" w:rsidP="00A37677">
            <w:pPr>
              <w:spacing w:before="0" w:line="240" w:lineRule="auto"/>
              <w:jc w:val="right"/>
              <w:rPr>
                <w:rFonts w:cs="Segoe UI"/>
                <w:sz w:val="16"/>
                <w:szCs w:val="16"/>
              </w:rPr>
            </w:pPr>
            <w:r>
              <w:rPr>
                <w:rFonts w:cs="Segoe UI"/>
                <w:sz w:val="16"/>
                <w:szCs w:val="16"/>
              </w:rPr>
              <w:t>9.9</w:t>
            </w:r>
          </w:p>
        </w:tc>
        <w:tc>
          <w:tcPr>
            <w:tcW w:w="708" w:type="dxa"/>
            <w:tcBorders>
              <w:top w:val="nil"/>
              <w:left w:val="single" w:sz="4" w:space="0" w:color="auto"/>
              <w:bottom w:val="nil"/>
              <w:right w:val="single" w:sz="4" w:space="0" w:color="auto"/>
            </w:tcBorders>
          </w:tcPr>
          <w:p w14:paraId="5A7A6EEE" w14:textId="77777777" w:rsidR="00726C45" w:rsidRPr="00BD6DBC" w:rsidRDefault="00726C45" w:rsidP="00A37677">
            <w:pPr>
              <w:spacing w:before="0" w:line="240" w:lineRule="auto"/>
              <w:jc w:val="right"/>
              <w:rPr>
                <w:rFonts w:cs="Segoe UI"/>
                <w:sz w:val="16"/>
                <w:szCs w:val="16"/>
              </w:rPr>
            </w:pPr>
            <w:r>
              <w:rPr>
                <w:rFonts w:cs="Segoe UI"/>
                <w:sz w:val="16"/>
                <w:szCs w:val="16"/>
              </w:rPr>
              <w:t>14.0</w:t>
            </w:r>
          </w:p>
        </w:tc>
        <w:tc>
          <w:tcPr>
            <w:tcW w:w="993" w:type="dxa"/>
            <w:tcBorders>
              <w:top w:val="nil"/>
              <w:left w:val="single" w:sz="4" w:space="0" w:color="auto"/>
              <w:bottom w:val="nil"/>
              <w:right w:val="single" w:sz="4" w:space="0" w:color="auto"/>
            </w:tcBorders>
          </w:tcPr>
          <w:p w14:paraId="25FE99D9" w14:textId="77777777" w:rsidR="00726C45" w:rsidRPr="00BD6DBC" w:rsidRDefault="00726C45" w:rsidP="00A37677">
            <w:pPr>
              <w:spacing w:before="0" w:line="240" w:lineRule="auto"/>
              <w:jc w:val="right"/>
              <w:rPr>
                <w:rFonts w:cs="Segoe UI"/>
                <w:sz w:val="16"/>
                <w:szCs w:val="16"/>
              </w:rPr>
            </w:pPr>
            <w:r>
              <w:rPr>
                <w:rFonts w:cs="Segoe UI"/>
                <w:sz w:val="16"/>
                <w:szCs w:val="16"/>
              </w:rPr>
              <w:t>11.3</w:t>
            </w:r>
          </w:p>
        </w:tc>
        <w:tc>
          <w:tcPr>
            <w:tcW w:w="992" w:type="dxa"/>
            <w:tcBorders>
              <w:top w:val="nil"/>
              <w:left w:val="single" w:sz="4" w:space="0" w:color="auto"/>
              <w:bottom w:val="nil"/>
              <w:right w:val="single" w:sz="4" w:space="0" w:color="auto"/>
            </w:tcBorders>
          </w:tcPr>
          <w:p w14:paraId="3360D733"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7.0</w:t>
            </w:r>
          </w:p>
        </w:tc>
        <w:tc>
          <w:tcPr>
            <w:tcW w:w="850" w:type="dxa"/>
            <w:tcBorders>
              <w:top w:val="nil"/>
              <w:left w:val="single" w:sz="4" w:space="0" w:color="auto"/>
              <w:bottom w:val="nil"/>
              <w:right w:val="single" w:sz="4" w:space="0" w:color="auto"/>
            </w:tcBorders>
          </w:tcPr>
          <w:p w14:paraId="252C904D" w14:textId="77777777" w:rsidR="00726C45" w:rsidRPr="00F37A41" w:rsidRDefault="00726C45" w:rsidP="00A37677">
            <w:pPr>
              <w:spacing w:before="0" w:line="240" w:lineRule="auto"/>
              <w:jc w:val="right"/>
              <w:rPr>
                <w:rFonts w:cs="Segoe UI"/>
                <w:sz w:val="16"/>
                <w:szCs w:val="16"/>
              </w:rPr>
            </w:pPr>
            <w:r>
              <w:rPr>
                <w:rFonts w:cs="Segoe UI"/>
                <w:sz w:val="16"/>
                <w:szCs w:val="16"/>
              </w:rPr>
              <w:t>6.2</w:t>
            </w:r>
          </w:p>
        </w:tc>
        <w:tc>
          <w:tcPr>
            <w:tcW w:w="567" w:type="dxa"/>
            <w:tcBorders>
              <w:top w:val="nil"/>
              <w:left w:val="single" w:sz="4" w:space="0" w:color="auto"/>
              <w:bottom w:val="nil"/>
              <w:right w:val="single" w:sz="4" w:space="0" w:color="auto"/>
            </w:tcBorders>
          </w:tcPr>
          <w:p w14:paraId="39A8AC78" w14:textId="77777777" w:rsidR="00726C45" w:rsidRPr="00F37A41" w:rsidRDefault="00726C45" w:rsidP="00A37677">
            <w:pPr>
              <w:spacing w:before="0" w:line="240" w:lineRule="auto"/>
              <w:jc w:val="right"/>
              <w:rPr>
                <w:rFonts w:cs="Segoe UI"/>
                <w:sz w:val="16"/>
                <w:szCs w:val="16"/>
              </w:rPr>
            </w:pPr>
            <w:r>
              <w:rPr>
                <w:rFonts w:cs="Segoe UI"/>
                <w:sz w:val="16"/>
                <w:szCs w:val="16"/>
              </w:rPr>
              <w:t>16.0</w:t>
            </w:r>
          </w:p>
        </w:tc>
        <w:tc>
          <w:tcPr>
            <w:tcW w:w="709" w:type="dxa"/>
            <w:tcBorders>
              <w:top w:val="nil"/>
              <w:left w:val="single" w:sz="4" w:space="0" w:color="auto"/>
              <w:bottom w:val="nil"/>
              <w:right w:val="single" w:sz="4" w:space="0" w:color="auto"/>
            </w:tcBorders>
          </w:tcPr>
          <w:p w14:paraId="16ED50E9" w14:textId="77777777" w:rsidR="00726C45" w:rsidRDefault="00726C45" w:rsidP="00A37677">
            <w:pPr>
              <w:spacing w:before="0" w:line="240" w:lineRule="auto"/>
              <w:jc w:val="right"/>
              <w:rPr>
                <w:rFonts w:cs="Segoe UI"/>
                <w:sz w:val="16"/>
                <w:szCs w:val="16"/>
              </w:rPr>
            </w:pPr>
            <w:r>
              <w:rPr>
                <w:rFonts w:cs="Segoe UI"/>
                <w:sz w:val="16"/>
                <w:szCs w:val="16"/>
              </w:rPr>
              <w:t>7.2</w:t>
            </w:r>
          </w:p>
        </w:tc>
        <w:tc>
          <w:tcPr>
            <w:tcW w:w="1133" w:type="dxa"/>
            <w:tcBorders>
              <w:top w:val="nil"/>
              <w:left w:val="single" w:sz="4" w:space="0" w:color="auto"/>
              <w:bottom w:val="nil"/>
              <w:right w:val="single" w:sz="4" w:space="0" w:color="auto"/>
            </w:tcBorders>
          </w:tcPr>
          <w:p w14:paraId="2945C1E7" w14:textId="77777777" w:rsidR="00726C45" w:rsidRDefault="00726C45" w:rsidP="00A37677">
            <w:pPr>
              <w:spacing w:before="0" w:line="240" w:lineRule="auto"/>
              <w:jc w:val="right"/>
              <w:rPr>
                <w:rFonts w:cs="Segoe UI"/>
                <w:sz w:val="16"/>
                <w:szCs w:val="16"/>
              </w:rPr>
            </w:pPr>
            <w:r>
              <w:rPr>
                <w:rFonts w:cs="Segoe UI"/>
                <w:sz w:val="16"/>
                <w:szCs w:val="16"/>
              </w:rPr>
              <w:t>80.0</w:t>
            </w:r>
          </w:p>
        </w:tc>
      </w:tr>
      <w:tr w:rsidR="00726C45" w:rsidRPr="00BD6DBC" w14:paraId="04CFF724" w14:textId="77777777" w:rsidTr="00A37677">
        <w:tc>
          <w:tcPr>
            <w:tcW w:w="1418" w:type="dxa"/>
            <w:tcBorders>
              <w:top w:val="nil"/>
              <w:left w:val="single" w:sz="4" w:space="0" w:color="auto"/>
              <w:bottom w:val="nil"/>
              <w:right w:val="single" w:sz="4" w:space="0" w:color="auto"/>
            </w:tcBorders>
            <w:vAlign w:val="bottom"/>
          </w:tcPr>
          <w:p w14:paraId="6BD55959"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Russia</w:t>
            </w:r>
          </w:p>
        </w:tc>
        <w:tc>
          <w:tcPr>
            <w:tcW w:w="709" w:type="dxa"/>
            <w:tcBorders>
              <w:top w:val="nil"/>
              <w:left w:val="single" w:sz="4" w:space="0" w:color="auto"/>
              <w:bottom w:val="nil"/>
              <w:right w:val="single" w:sz="4" w:space="0" w:color="auto"/>
            </w:tcBorders>
          </w:tcPr>
          <w:p w14:paraId="72D18FCF" w14:textId="77777777" w:rsidR="00726C45" w:rsidRPr="00BD6DBC" w:rsidRDefault="00726C45" w:rsidP="00A37677">
            <w:pPr>
              <w:spacing w:before="0" w:line="240" w:lineRule="auto"/>
              <w:jc w:val="right"/>
              <w:rPr>
                <w:rFonts w:cs="Segoe UI"/>
                <w:sz w:val="16"/>
                <w:szCs w:val="16"/>
              </w:rPr>
            </w:pPr>
            <w:r>
              <w:rPr>
                <w:rFonts w:cs="Segoe UI"/>
                <w:sz w:val="16"/>
                <w:szCs w:val="16"/>
              </w:rPr>
              <w:t>4.0</w:t>
            </w:r>
          </w:p>
        </w:tc>
        <w:tc>
          <w:tcPr>
            <w:tcW w:w="708" w:type="dxa"/>
            <w:tcBorders>
              <w:top w:val="nil"/>
              <w:left w:val="single" w:sz="4" w:space="0" w:color="auto"/>
              <w:bottom w:val="nil"/>
              <w:right w:val="single" w:sz="4" w:space="0" w:color="auto"/>
            </w:tcBorders>
          </w:tcPr>
          <w:p w14:paraId="6C86E85D" w14:textId="77777777" w:rsidR="00726C45" w:rsidRPr="00BD6DBC" w:rsidRDefault="00726C45" w:rsidP="00A37677">
            <w:pPr>
              <w:spacing w:before="0" w:line="240" w:lineRule="auto"/>
              <w:jc w:val="right"/>
              <w:rPr>
                <w:rFonts w:cs="Segoe UI"/>
                <w:sz w:val="16"/>
                <w:szCs w:val="16"/>
              </w:rPr>
            </w:pPr>
            <w:r>
              <w:rPr>
                <w:rFonts w:cs="Segoe UI"/>
                <w:sz w:val="16"/>
                <w:szCs w:val="16"/>
              </w:rPr>
              <w:t>11.6</w:t>
            </w:r>
          </w:p>
        </w:tc>
        <w:tc>
          <w:tcPr>
            <w:tcW w:w="993" w:type="dxa"/>
            <w:tcBorders>
              <w:top w:val="nil"/>
              <w:left w:val="single" w:sz="4" w:space="0" w:color="auto"/>
              <w:bottom w:val="nil"/>
              <w:right w:val="single" w:sz="4" w:space="0" w:color="auto"/>
            </w:tcBorders>
          </w:tcPr>
          <w:p w14:paraId="0E8D34D8" w14:textId="77777777" w:rsidR="00726C45" w:rsidRPr="00BD6DBC" w:rsidRDefault="00726C45" w:rsidP="00A37677">
            <w:pPr>
              <w:spacing w:before="0" w:line="240" w:lineRule="auto"/>
              <w:jc w:val="right"/>
              <w:rPr>
                <w:rFonts w:cs="Segoe UI"/>
                <w:sz w:val="16"/>
                <w:szCs w:val="16"/>
              </w:rPr>
            </w:pPr>
            <w:r>
              <w:rPr>
                <w:rFonts w:cs="Segoe UI"/>
                <w:sz w:val="16"/>
                <w:szCs w:val="16"/>
              </w:rPr>
              <w:t>3.1</w:t>
            </w:r>
          </w:p>
        </w:tc>
        <w:tc>
          <w:tcPr>
            <w:tcW w:w="567" w:type="dxa"/>
            <w:tcBorders>
              <w:top w:val="nil"/>
              <w:left w:val="single" w:sz="4" w:space="0" w:color="auto"/>
              <w:bottom w:val="nil"/>
              <w:right w:val="single" w:sz="4" w:space="0" w:color="auto"/>
            </w:tcBorders>
            <w:vAlign w:val="bottom"/>
          </w:tcPr>
          <w:p w14:paraId="5A30FC16" w14:textId="77777777" w:rsidR="00726C45" w:rsidRPr="00BD6DBC" w:rsidRDefault="00726C45" w:rsidP="00A37677">
            <w:pPr>
              <w:spacing w:before="0" w:line="240" w:lineRule="auto"/>
              <w:jc w:val="right"/>
              <w:rPr>
                <w:rFonts w:cs="Segoe UI"/>
                <w:sz w:val="16"/>
                <w:szCs w:val="16"/>
              </w:rPr>
            </w:pPr>
            <w:r>
              <w:rPr>
                <w:rFonts w:cs="Segoe UI"/>
                <w:sz w:val="16"/>
                <w:szCs w:val="16"/>
              </w:rPr>
              <w:t>1.7</w:t>
            </w:r>
          </w:p>
        </w:tc>
        <w:tc>
          <w:tcPr>
            <w:tcW w:w="708" w:type="dxa"/>
            <w:tcBorders>
              <w:top w:val="nil"/>
              <w:left w:val="single" w:sz="4" w:space="0" w:color="auto"/>
              <w:bottom w:val="nil"/>
              <w:right w:val="single" w:sz="4" w:space="0" w:color="auto"/>
            </w:tcBorders>
          </w:tcPr>
          <w:p w14:paraId="2443CBFC" w14:textId="77777777" w:rsidR="00726C45" w:rsidRPr="00BD6DBC" w:rsidRDefault="00726C45" w:rsidP="00A37677">
            <w:pPr>
              <w:spacing w:before="0" w:line="240" w:lineRule="auto"/>
              <w:jc w:val="right"/>
              <w:rPr>
                <w:rFonts w:cs="Segoe UI"/>
                <w:sz w:val="16"/>
                <w:szCs w:val="16"/>
              </w:rPr>
            </w:pPr>
            <w:r>
              <w:rPr>
                <w:rFonts w:cs="Segoe UI"/>
                <w:sz w:val="16"/>
                <w:szCs w:val="16"/>
              </w:rPr>
              <w:t>12.2</w:t>
            </w:r>
          </w:p>
        </w:tc>
        <w:tc>
          <w:tcPr>
            <w:tcW w:w="993" w:type="dxa"/>
            <w:tcBorders>
              <w:top w:val="nil"/>
              <w:left w:val="single" w:sz="4" w:space="0" w:color="auto"/>
              <w:bottom w:val="nil"/>
              <w:right w:val="single" w:sz="4" w:space="0" w:color="auto"/>
            </w:tcBorders>
          </w:tcPr>
          <w:p w14:paraId="57F53CEA" w14:textId="77777777" w:rsidR="00726C45" w:rsidRPr="00BD6DBC" w:rsidRDefault="00726C45" w:rsidP="00A37677">
            <w:pPr>
              <w:spacing w:before="0" w:line="240" w:lineRule="auto"/>
              <w:jc w:val="right"/>
              <w:rPr>
                <w:rFonts w:cs="Segoe UI"/>
                <w:sz w:val="16"/>
                <w:szCs w:val="16"/>
              </w:rPr>
            </w:pPr>
            <w:r>
              <w:rPr>
                <w:rFonts w:cs="Segoe UI"/>
                <w:sz w:val="16"/>
                <w:szCs w:val="16"/>
              </w:rPr>
              <w:t>2.9</w:t>
            </w:r>
          </w:p>
        </w:tc>
        <w:tc>
          <w:tcPr>
            <w:tcW w:w="992" w:type="dxa"/>
            <w:tcBorders>
              <w:top w:val="nil"/>
              <w:left w:val="single" w:sz="4" w:space="0" w:color="auto"/>
              <w:bottom w:val="nil"/>
              <w:right w:val="single" w:sz="4" w:space="0" w:color="auto"/>
            </w:tcBorders>
          </w:tcPr>
          <w:p w14:paraId="762EC9F3"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2.4</w:t>
            </w:r>
          </w:p>
        </w:tc>
        <w:tc>
          <w:tcPr>
            <w:tcW w:w="850" w:type="dxa"/>
            <w:tcBorders>
              <w:top w:val="nil"/>
              <w:left w:val="single" w:sz="4" w:space="0" w:color="auto"/>
              <w:bottom w:val="nil"/>
              <w:right w:val="single" w:sz="4" w:space="0" w:color="auto"/>
            </w:tcBorders>
          </w:tcPr>
          <w:p w14:paraId="7C067386" w14:textId="77777777" w:rsidR="00726C45" w:rsidRPr="00F37A41" w:rsidRDefault="00726C45" w:rsidP="00A37677">
            <w:pPr>
              <w:spacing w:before="0" w:line="240" w:lineRule="auto"/>
              <w:jc w:val="right"/>
              <w:rPr>
                <w:rFonts w:cs="Segoe UI"/>
                <w:sz w:val="16"/>
                <w:szCs w:val="16"/>
              </w:rPr>
            </w:pPr>
            <w:r>
              <w:rPr>
                <w:rFonts w:cs="Segoe UI"/>
                <w:sz w:val="16"/>
                <w:szCs w:val="16"/>
              </w:rPr>
              <w:t>3.7</w:t>
            </w:r>
          </w:p>
        </w:tc>
        <w:tc>
          <w:tcPr>
            <w:tcW w:w="567" w:type="dxa"/>
            <w:tcBorders>
              <w:top w:val="nil"/>
              <w:left w:val="single" w:sz="4" w:space="0" w:color="auto"/>
              <w:bottom w:val="nil"/>
              <w:right w:val="single" w:sz="4" w:space="0" w:color="auto"/>
            </w:tcBorders>
          </w:tcPr>
          <w:p w14:paraId="1E8ACC73" w14:textId="77777777" w:rsidR="00726C45" w:rsidRPr="00F37A41" w:rsidRDefault="00726C45" w:rsidP="00A37677">
            <w:pPr>
              <w:spacing w:before="0" w:line="240" w:lineRule="auto"/>
              <w:jc w:val="right"/>
              <w:rPr>
                <w:rFonts w:cs="Segoe UI"/>
                <w:sz w:val="16"/>
                <w:szCs w:val="16"/>
              </w:rPr>
            </w:pPr>
            <w:r>
              <w:rPr>
                <w:rFonts w:cs="Segoe UI"/>
                <w:sz w:val="16"/>
                <w:szCs w:val="16"/>
              </w:rPr>
              <w:t>7.8</w:t>
            </w:r>
          </w:p>
        </w:tc>
        <w:tc>
          <w:tcPr>
            <w:tcW w:w="709" w:type="dxa"/>
            <w:tcBorders>
              <w:top w:val="nil"/>
              <w:left w:val="single" w:sz="4" w:space="0" w:color="auto"/>
              <w:bottom w:val="nil"/>
              <w:right w:val="single" w:sz="4" w:space="0" w:color="auto"/>
            </w:tcBorders>
          </w:tcPr>
          <w:p w14:paraId="4DD2197D" w14:textId="77777777" w:rsidR="00726C45" w:rsidRDefault="00726C45" w:rsidP="00A37677">
            <w:pPr>
              <w:spacing w:before="0" w:line="240" w:lineRule="auto"/>
              <w:jc w:val="right"/>
              <w:rPr>
                <w:rFonts w:cs="Segoe UI"/>
                <w:sz w:val="16"/>
                <w:szCs w:val="16"/>
              </w:rPr>
            </w:pPr>
            <w:r>
              <w:rPr>
                <w:rFonts w:cs="Segoe UI"/>
                <w:sz w:val="16"/>
                <w:szCs w:val="16"/>
              </w:rPr>
              <w:t>1.9</w:t>
            </w:r>
          </w:p>
        </w:tc>
        <w:tc>
          <w:tcPr>
            <w:tcW w:w="1133" w:type="dxa"/>
            <w:tcBorders>
              <w:top w:val="nil"/>
              <w:left w:val="single" w:sz="4" w:space="0" w:color="auto"/>
              <w:bottom w:val="nil"/>
              <w:right w:val="single" w:sz="4" w:space="0" w:color="auto"/>
            </w:tcBorders>
          </w:tcPr>
          <w:p w14:paraId="1028B5B7" w14:textId="77777777" w:rsidR="00726C45" w:rsidRDefault="00726C45" w:rsidP="00A37677">
            <w:pPr>
              <w:spacing w:before="0" w:line="240" w:lineRule="auto"/>
              <w:jc w:val="right"/>
              <w:rPr>
                <w:rFonts w:cs="Segoe UI"/>
                <w:sz w:val="16"/>
                <w:szCs w:val="16"/>
              </w:rPr>
            </w:pPr>
            <w:r>
              <w:rPr>
                <w:rFonts w:cs="Segoe UI"/>
                <w:sz w:val="16"/>
                <w:szCs w:val="16"/>
              </w:rPr>
              <w:t>79.0</w:t>
            </w:r>
          </w:p>
        </w:tc>
      </w:tr>
      <w:tr w:rsidR="00726C45" w:rsidRPr="00BD6DBC" w14:paraId="50AB0DC2" w14:textId="77777777" w:rsidTr="00A37677">
        <w:tc>
          <w:tcPr>
            <w:tcW w:w="1418" w:type="dxa"/>
            <w:tcBorders>
              <w:top w:val="nil"/>
              <w:left w:val="single" w:sz="4" w:space="0" w:color="auto"/>
              <w:bottom w:val="nil"/>
              <w:right w:val="single" w:sz="4" w:space="0" w:color="auto"/>
            </w:tcBorders>
            <w:vAlign w:val="bottom"/>
          </w:tcPr>
          <w:p w14:paraId="3948C265"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S Africa</w:t>
            </w:r>
          </w:p>
        </w:tc>
        <w:tc>
          <w:tcPr>
            <w:tcW w:w="709" w:type="dxa"/>
            <w:tcBorders>
              <w:top w:val="nil"/>
              <w:left w:val="single" w:sz="4" w:space="0" w:color="auto"/>
              <w:bottom w:val="nil"/>
              <w:right w:val="single" w:sz="4" w:space="0" w:color="auto"/>
            </w:tcBorders>
          </w:tcPr>
          <w:p w14:paraId="37567DE0" w14:textId="77777777" w:rsidR="00726C45" w:rsidRPr="00BD6DBC" w:rsidRDefault="00726C45" w:rsidP="00A37677">
            <w:pPr>
              <w:spacing w:before="0" w:line="240" w:lineRule="auto"/>
              <w:jc w:val="right"/>
              <w:rPr>
                <w:rFonts w:cs="Segoe UI"/>
                <w:sz w:val="16"/>
                <w:szCs w:val="16"/>
              </w:rPr>
            </w:pPr>
            <w:r>
              <w:rPr>
                <w:rFonts w:cs="Segoe UI"/>
                <w:sz w:val="16"/>
                <w:szCs w:val="16"/>
              </w:rPr>
              <w:t>4.2</w:t>
            </w:r>
          </w:p>
        </w:tc>
        <w:tc>
          <w:tcPr>
            <w:tcW w:w="708" w:type="dxa"/>
            <w:tcBorders>
              <w:top w:val="nil"/>
              <w:left w:val="single" w:sz="4" w:space="0" w:color="auto"/>
              <w:bottom w:val="nil"/>
              <w:right w:val="single" w:sz="4" w:space="0" w:color="auto"/>
            </w:tcBorders>
          </w:tcPr>
          <w:p w14:paraId="0C27C468" w14:textId="77777777" w:rsidR="00726C45" w:rsidRPr="00BD6DBC" w:rsidRDefault="00726C45" w:rsidP="00A37677">
            <w:pPr>
              <w:spacing w:before="0" w:line="240" w:lineRule="auto"/>
              <w:jc w:val="right"/>
              <w:rPr>
                <w:rFonts w:cs="Segoe UI"/>
                <w:sz w:val="16"/>
                <w:szCs w:val="16"/>
              </w:rPr>
            </w:pPr>
            <w:r>
              <w:rPr>
                <w:rFonts w:cs="Segoe UI"/>
                <w:sz w:val="16"/>
                <w:szCs w:val="16"/>
              </w:rPr>
              <w:t>7.3</w:t>
            </w:r>
          </w:p>
        </w:tc>
        <w:tc>
          <w:tcPr>
            <w:tcW w:w="993" w:type="dxa"/>
            <w:tcBorders>
              <w:top w:val="nil"/>
              <w:left w:val="single" w:sz="4" w:space="0" w:color="auto"/>
              <w:bottom w:val="nil"/>
              <w:right w:val="single" w:sz="4" w:space="0" w:color="auto"/>
            </w:tcBorders>
          </w:tcPr>
          <w:p w14:paraId="6CA68EF0"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567" w:type="dxa"/>
            <w:tcBorders>
              <w:top w:val="nil"/>
              <w:left w:val="single" w:sz="4" w:space="0" w:color="auto"/>
              <w:bottom w:val="nil"/>
              <w:right w:val="single" w:sz="4" w:space="0" w:color="auto"/>
            </w:tcBorders>
            <w:vAlign w:val="bottom"/>
          </w:tcPr>
          <w:p w14:paraId="4CC68021" w14:textId="77777777" w:rsidR="00726C45" w:rsidRPr="00BD6DBC" w:rsidRDefault="00726C45" w:rsidP="00A37677">
            <w:pPr>
              <w:spacing w:before="0" w:line="240" w:lineRule="auto"/>
              <w:jc w:val="right"/>
              <w:rPr>
                <w:rFonts w:cs="Segoe UI"/>
                <w:sz w:val="16"/>
                <w:szCs w:val="16"/>
              </w:rPr>
            </w:pPr>
            <w:r>
              <w:rPr>
                <w:rFonts w:cs="Segoe UI"/>
                <w:sz w:val="16"/>
                <w:szCs w:val="16"/>
              </w:rPr>
              <w:t>2.6</w:t>
            </w:r>
          </w:p>
        </w:tc>
        <w:tc>
          <w:tcPr>
            <w:tcW w:w="708" w:type="dxa"/>
            <w:tcBorders>
              <w:top w:val="nil"/>
              <w:left w:val="single" w:sz="4" w:space="0" w:color="auto"/>
              <w:bottom w:val="nil"/>
              <w:right w:val="single" w:sz="4" w:space="0" w:color="auto"/>
            </w:tcBorders>
          </w:tcPr>
          <w:p w14:paraId="762E3E0A" w14:textId="77777777" w:rsidR="00726C45" w:rsidRPr="00BD6DBC" w:rsidRDefault="00726C45" w:rsidP="00A37677">
            <w:pPr>
              <w:spacing w:before="0" w:line="240" w:lineRule="auto"/>
              <w:jc w:val="right"/>
              <w:rPr>
                <w:rFonts w:cs="Segoe UI"/>
                <w:sz w:val="16"/>
                <w:szCs w:val="16"/>
              </w:rPr>
            </w:pPr>
            <w:r>
              <w:rPr>
                <w:rFonts w:cs="Segoe UI"/>
                <w:sz w:val="16"/>
                <w:szCs w:val="16"/>
              </w:rPr>
              <w:t>7.6</w:t>
            </w:r>
          </w:p>
        </w:tc>
        <w:tc>
          <w:tcPr>
            <w:tcW w:w="993" w:type="dxa"/>
            <w:tcBorders>
              <w:top w:val="nil"/>
              <w:left w:val="single" w:sz="4" w:space="0" w:color="auto"/>
              <w:bottom w:val="nil"/>
              <w:right w:val="single" w:sz="4" w:space="0" w:color="auto"/>
            </w:tcBorders>
          </w:tcPr>
          <w:p w14:paraId="670EED7B" w14:textId="77777777" w:rsidR="00726C45" w:rsidRPr="00BD6DBC" w:rsidRDefault="00726C45" w:rsidP="00A37677">
            <w:pPr>
              <w:spacing w:before="0" w:line="240" w:lineRule="auto"/>
              <w:jc w:val="right"/>
              <w:rPr>
                <w:rFonts w:cs="Segoe UI"/>
                <w:sz w:val="16"/>
                <w:szCs w:val="16"/>
              </w:rPr>
            </w:pPr>
            <w:r>
              <w:rPr>
                <w:rFonts w:cs="Segoe UI"/>
                <w:sz w:val="16"/>
                <w:szCs w:val="16"/>
              </w:rPr>
              <w:t>4.9</w:t>
            </w:r>
          </w:p>
        </w:tc>
        <w:tc>
          <w:tcPr>
            <w:tcW w:w="992" w:type="dxa"/>
            <w:tcBorders>
              <w:top w:val="nil"/>
              <w:left w:val="single" w:sz="4" w:space="0" w:color="auto"/>
              <w:bottom w:val="nil"/>
              <w:right w:val="single" w:sz="4" w:space="0" w:color="auto"/>
            </w:tcBorders>
          </w:tcPr>
          <w:p w14:paraId="42B97E98"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3.0</w:t>
            </w:r>
          </w:p>
        </w:tc>
        <w:tc>
          <w:tcPr>
            <w:tcW w:w="850" w:type="dxa"/>
            <w:tcBorders>
              <w:top w:val="nil"/>
              <w:left w:val="single" w:sz="4" w:space="0" w:color="auto"/>
              <w:bottom w:val="nil"/>
              <w:right w:val="single" w:sz="4" w:space="0" w:color="auto"/>
            </w:tcBorders>
          </w:tcPr>
          <w:p w14:paraId="613A712C" w14:textId="77777777" w:rsidR="00726C45" w:rsidRPr="00F37A41" w:rsidRDefault="00726C45" w:rsidP="00A37677">
            <w:pPr>
              <w:spacing w:before="0" w:line="240" w:lineRule="auto"/>
              <w:jc w:val="right"/>
              <w:rPr>
                <w:rFonts w:cs="Segoe UI"/>
                <w:sz w:val="16"/>
                <w:szCs w:val="16"/>
              </w:rPr>
            </w:pPr>
            <w:r>
              <w:rPr>
                <w:rFonts w:cs="Segoe UI"/>
                <w:sz w:val="16"/>
                <w:szCs w:val="16"/>
              </w:rPr>
              <w:t>2.1</w:t>
            </w:r>
          </w:p>
        </w:tc>
        <w:tc>
          <w:tcPr>
            <w:tcW w:w="567" w:type="dxa"/>
            <w:tcBorders>
              <w:top w:val="nil"/>
              <w:left w:val="single" w:sz="4" w:space="0" w:color="auto"/>
              <w:bottom w:val="nil"/>
              <w:right w:val="single" w:sz="4" w:space="0" w:color="auto"/>
            </w:tcBorders>
          </w:tcPr>
          <w:p w14:paraId="1A148AAA" w14:textId="77777777" w:rsidR="00726C45" w:rsidRPr="00F37A41" w:rsidRDefault="00726C45" w:rsidP="00A37677">
            <w:pPr>
              <w:spacing w:before="0" w:line="240" w:lineRule="auto"/>
              <w:jc w:val="right"/>
              <w:rPr>
                <w:rFonts w:cs="Segoe UI"/>
                <w:sz w:val="16"/>
                <w:szCs w:val="16"/>
              </w:rPr>
            </w:pPr>
            <w:r>
              <w:rPr>
                <w:rFonts w:cs="Segoe UI"/>
                <w:sz w:val="16"/>
                <w:szCs w:val="16"/>
              </w:rPr>
              <w:t>9.3</w:t>
            </w:r>
          </w:p>
        </w:tc>
        <w:tc>
          <w:tcPr>
            <w:tcW w:w="709" w:type="dxa"/>
            <w:tcBorders>
              <w:top w:val="nil"/>
              <w:left w:val="single" w:sz="4" w:space="0" w:color="auto"/>
              <w:bottom w:val="nil"/>
              <w:right w:val="single" w:sz="4" w:space="0" w:color="auto"/>
            </w:tcBorders>
          </w:tcPr>
          <w:p w14:paraId="211861E5" w14:textId="77777777" w:rsidR="00726C45" w:rsidRDefault="00726C45" w:rsidP="00A37677">
            <w:pPr>
              <w:spacing w:before="0" w:line="240" w:lineRule="auto"/>
              <w:jc w:val="right"/>
              <w:rPr>
                <w:rFonts w:cs="Segoe UI"/>
                <w:sz w:val="16"/>
                <w:szCs w:val="16"/>
              </w:rPr>
            </w:pPr>
            <w:r>
              <w:rPr>
                <w:rFonts w:cs="Segoe UI"/>
                <w:sz w:val="16"/>
                <w:szCs w:val="16"/>
              </w:rPr>
              <w:t>1.7</w:t>
            </w:r>
          </w:p>
        </w:tc>
        <w:tc>
          <w:tcPr>
            <w:tcW w:w="1133" w:type="dxa"/>
            <w:tcBorders>
              <w:top w:val="nil"/>
              <w:left w:val="single" w:sz="4" w:space="0" w:color="auto"/>
              <w:bottom w:val="nil"/>
              <w:right w:val="single" w:sz="4" w:space="0" w:color="auto"/>
            </w:tcBorders>
          </w:tcPr>
          <w:p w14:paraId="3F704244" w14:textId="77777777" w:rsidR="00726C45" w:rsidRDefault="00726C45" w:rsidP="00A37677">
            <w:pPr>
              <w:spacing w:before="0" w:line="240" w:lineRule="auto"/>
              <w:jc w:val="right"/>
              <w:rPr>
                <w:rFonts w:cs="Segoe UI"/>
                <w:sz w:val="16"/>
                <w:szCs w:val="16"/>
              </w:rPr>
            </w:pPr>
            <w:r>
              <w:rPr>
                <w:rFonts w:cs="Segoe UI"/>
                <w:sz w:val="16"/>
                <w:szCs w:val="16"/>
              </w:rPr>
              <w:t>82.9</w:t>
            </w:r>
          </w:p>
        </w:tc>
      </w:tr>
      <w:tr w:rsidR="00726C45" w:rsidRPr="00BD6DBC" w14:paraId="5FD41A83" w14:textId="77777777" w:rsidTr="00A37677">
        <w:tc>
          <w:tcPr>
            <w:tcW w:w="1418" w:type="dxa"/>
            <w:tcBorders>
              <w:top w:val="nil"/>
              <w:left w:val="single" w:sz="4" w:space="0" w:color="auto"/>
              <w:bottom w:val="nil"/>
              <w:right w:val="single" w:sz="4" w:space="0" w:color="auto"/>
            </w:tcBorders>
            <w:vAlign w:val="bottom"/>
          </w:tcPr>
          <w:p w14:paraId="4D3BAA43"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S Korea</w:t>
            </w:r>
          </w:p>
        </w:tc>
        <w:tc>
          <w:tcPr>
            <w:tcW w:w="709" w:type="dxa"/>
            <w:tcBorders>
              <w:top w:val="nil"/>
              <w:left w:val="single" w:sz="4" w:space="0" w:color="auto"/>
              <w:bottom w:val="nil"/>
              <w:right w:val="single" w:sz="4" w:space="0" w:color="auto"/>
            </w:tcBorders>
          </w:tcPr>
          <w:p w14:paraId="04FF9D91" w14:textId="77777777" w:rsidR="00726C45" w:rsidRPr="00BD6DBC" w:rsidRDefault="00726C45" w:rsidP="00A37677">
            <w:pPr>
              <w:spacing w:before="0" w:line="240" w:lineRule="auto"/>
              <w:jc w:val="right"/>
              <w:rPr>
                <w:rFonts w:cs="Segoe UI"/>
                <w:sz w:val="16"/>
                <w:szCs w:val="16"/>
              </w:rPr>
            </w:pPr>
            <w:r>
              <w:rPr>
                <w:rFonts w:cs="Segoe UI"/>
                <w:sz w:val="16"/>
                <w:szCs w:val="16"/>
              </w:rPr>
              <w:t>0.0</w:t>
            </w:r>
          </w:p>
        </w:tc>
        <w:tc>
          <w:tcPr>
            <w:tcW w:w="708" w:type="dxa"/>
            <w:tcBorders>
              <w:top w:val="nil"/>
              <w:left w:val="single" w:sz="4" w:space="0" w:color="auto"/>
              <w:bottom w:val="nil"/>
              <w:right w:val="single" w:sz="4" w:space="0" w:color="auto"/>
            </w:tcBorders>
          </w:tcPr>
          <w:p w14:paraId="5D4C7341" w14:textId="77777777" w:rsidR="00726C45" w:rsidRPr="00BD6DBC" w:rsidRDefault="00726C45" w:rsidP="00A37677">
            <w:pPr>
              <w:spacing w:before="0" w:line="240" w:lineRule="auto"/>
              <w:jc w:val="right"/>
              <w:rPr>
                <w:rFonts w:cs="Segoe UI"/>
                <w:sz w:val="16"/>
                <w:szCs w:val="16"/>
              </w:rPr>
            </w:pPr>
            <w:r>
              <w:rPr>
                <w:rFonts w:cs="Segoe UI"/>
                <w:sz w:val="16"/>
                <w:szCs w:val="16"/>
              </w:rPr>
              <w:t>0.0</w:t>
            </w:r>
          </w:p>
        </w:tc>
        <w:tc>
          <w:tcPr>
            <w:tcW w:w="993" w:type="dxa"/>
            <w:tcBorders>
              <w:top w:val="nil"/>
              <w:left w:val="single" w:sz="4" w:space="0" w:color="auto"/>
              <w:bottom w:val="nil"/>
              <w:right w:val="single" w:sz="4" w:space="0" w:color="auto"/>
            </w:tcBorders>
          </w:tcPr>
          <w:p w14:paraId="58EE6B90" w14:textId="77777777" w:rsidR="00726C45" w:rsidRPr="00BD6DBC" w:rsidRDefault="00726C45" w:rsidP="00A37677">
            <w:pPr>
              <w:spacing w:before="0" w:line="240" w:lineRule="auto"/>
              <w:jc w:val="right"/>
              <w:rPr>
                <w:rFonts w:cs="Segoe UI"/>
                <w:sz w:val="16"/>
                <w:szCs w:val="16"/>
              </w:rPr>
            </w:pPr>
            <w:r>
              <w:rPr>
                <w:rFonts w:cs="Segoe UI"/>
                <w:sz w:val="16"/>
                <w:szCs w:val="16"/>
              </w:rPr>
              <w:t>0.0</w:t>
            </w:r>
          </w:p>
        </w:tc>
        <w:tc>
          <w:tcPr>
            <w:tcW w:w="567" w:type="dxa"/>
            <w:tcBorders>
              <w:top w:val="nil"/>
              <w:left w:val="single" w:sz="4" w:space="0" w:color="auto"/>
              <w:bottom w:val="nil"/>
              <w:right w:val="single" w:sz="4" w:space="0" w:color="auto"/>
            </w:tcBorders>
            <w:vAlign w:val="bottom"/>
          </w:tcPr>
          <w:p w14:paraId="4DA1632E" w14:textId="77777777" w:rsidR="00726C45" w:rsidRPr="00BD6DBC" w:rsidRDefault="00726C45" w:rsidP="00A37677">
            <w:pPr>
              <w:spacing w:before="0" w:line="240" w:lineRule="auto"/>
              <w:jc w:val="right"/>
              <w:rPr>
                <w:rFonts w:cs="Segoe UI"/>
                <w:sz w:val="16"/>
                <w:szCs w:val="16"/>
              </w:rPr>
            </w:pPr>
            <w:r>
              <w:rPr>
                <w:rFonts w:cs="Segoe UI"/>
                <w:sz w:val="16"/>
                <w:szCs w:val="16"/>
              </w:rPr>
              <w:t>0.0</w:t>
            </w:r>
          </w:p>
        </w:tc>
        <w:tc>
          <w:tcPr>
            <w:tcW w:w="708" w:type="dxa"/>
            <w:tcBorders>
              <w:top w:val="nil"/>
              <w:left w:val="single" w:sz="4" w:space="0" w:color="auto"/>
              <w:bottom w:val="nil"/>
              <w:right w:val="single" w:sz="4" w:space="0" w:color="auto"/>
            </w:tcBorders>
          </w:tcPr>
          <w:p w14:paraId="4366BCD1" w14:textId="77777777" w:rsidR="00726C45" w:rsidRPr="00BD6DBC" w:rsidRDefault="00726C45" w:rsidP="00A37677">
            <w:pPr>
              <w:spacing w:before="0" w:line="240" w:lineRule="auto"/>
              <w:jc w:val="right"/>
              <w:rPr>
                <w:rFonts w:cs="Segoe UI"/>
                <w:sz w:val="16"/>
                <w:szCs w:val="16"/>
              </w:rPr>
            </w:pPr>
            <w:r>
              <w:rPr>
                <w:rFonts w:cs="Segoe UI"/>
                <w:sz w:val="16"/>
                <w:szCs w:val="16"/>
              </w:rPr>
              <w:t>0.1</w:t>
            </w:r>
          </w:p>
        </w:tc>
        <w:tc>
          <w:tcPr>
            <w:tcW w:w="993" w:type="dxa"/>
            <w:tcBorders>
              <w:top w:val="nil"/>
              <w:left w:val="single" w:sz="4" w:space="0" w:color="auto"/>
              <w:bottom w:val="nil"/>
              <w:right w:val="single" w:sz="4" w:space="0" w:color="auto"/>
            </w:tcBorders>
          </w:tcPr>
          <w:p w14:paraId="57668759" w14:textId="77777777" w:rsidR="00726C45" w:rsidRPr="00BD6DBC" w:rsidRDefault="00726C45" w:rsidP="00A37677">
            <w:pPr>
              <w:spacing w:before="0" w:line="240" w:lineRule="auto"/>
              <w:jc w:val="right"/>
              <w:rPr>
                <w:rFonts w:cs="Segoe UI"/>
                <w:sz w:val="16"/>
                <w:szCs w:val="16"/>
              </w:rPr>
            </w:pPr>
            <w:r>
              <w:rPr>
                <w:rFonts w:cs="Segoe UI"/>
                <w:sz w:val="16"/>
                <w:szCs w:val="16"/>
              </w:rPr>
              <w:t>0.1</w:t>
            </w:r>
          </w:p>
        </w:tc>
        <w:tc>
          <w:tcPr>
            <w:tcW w:w="992" w:type="dxa"/>
            <w:tcBorders>
              <w:top w:val="nil"/>
              <w:left w:val="single" w:sz="4" w:space="0" w:color="auto"/>
              <w:bottom w:val="nil"/>
              <w:right w:val="single" w:sz="4" w:space="0" w:color="auto"/>
            </w:tcBorders>
          </w:tcPr>
          <w:p w14:paraId="136350FA"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0.0</w:t>
            </w:r>
          </w:p>
        </w:tc>
        <w:tc>
          <w:tcPr>
            <w:tcW w:w="850" w:type="dxa"/>
            <w:tcBorders>
              <w:top w:val="nil"/>
              <w:left w:val="single" w:sz="4" w:space="0" w:color="auto"/>
              <w:bottom w:val="nil"/>
              <w:right w:val="single" w:sz="4" w:space="0" w:color="auto"/>
            </w:tcBorders>
          </w:tcPr>
          <w:p w14:paraId="64265305" w14:textId="77777777" w:rsidR="00726C45" w:rsidRPr="00F37A41" w:rsidRDefault="00726C45" w:rsidP="00A37677">
            <w:pPr>
              <w:spacing w:before="0" w:line="240" w:lineRule="auto"/>
              <w:jc w:val="right"/>
              <w:rPr>
                <w:rFonts w:cs="Segoe UI"/>
                <w:sz w:val="16"/>
                <w:szCs w:val="16"/>
              </w:rPr>
            </w:pPr>
            <w:r>
              <w:rPr>
                <w:rFonts w:cs="Segoe UI"/>
                <w:sz w:val="16"/>
                <w:szCs w:val="16"/>
              </w:rPr>
              <w:t>0.1</w:t>
            </w:r>
          </w:p>
        </w:tc>
        <w:tc>
          <w:tcPr>
            <w:tcW w:w="567" w:type="dxa"/>
            <w:tcBorders>
              <w:top w:val="nil"/>
              <w:left w:val="single" w:sz="4" w:space="0" w:color="auto"/>
              <w:bottom w:val="nil"/>
              <w:right w:val="single" w:sz="4" w:space="0" w:color="auto"/>
            </w:tcBorders>
          </w:tcPr>
          <w:p w14:paraId="2D4BDC9B" w14:textId="77777777" w:rsidR="00726C45" w:rsidRPr="00F37A41" w:rsidRDefault="00726C45" w:rsidP="00A37677">
            <w:pPr>
              <w:spacing w:before="0" w:line="240" w:lineRule="auto"/>
              <w:jc w:val="right"/>
              <w:rPr>
                <w:rFonts w:cs="Segoe UI"/>
                <w:sz w:val="16"/>
                <w:szCs w:val="16"/>
              </w:rPr>
            </w:pPr>
            <w:r>
              <w:rPr>
                <w:rFonts w:cs="Segoe UI"/>
                <w:sz w:val="16"/>
                <w:szCs w:val="16"/>
              </w:rPr>
              <w:t>0.0</w:t>
            </w:r>
          </w:p>
        </w:tc>
        <w:tc>
          <w:tcPr>
            <w:tcW w:w="709" w:type="dxa"/>
            <w:tcBorders>
              <w:top w:val="nil"/>
              <w:left w:val="single" w:sz="4" w:space="0" w:color="auto"/>
              <w:bottom w:val="nil"/>
              <w:right w:val="single" w:sz="4" w:space="0" w:color="auto"/>
            </w:tcBorders>
          </w:tcPr>
          <w:p w14:paraId="525AEE77" w14:textId="77777777" w:rsidR="00726C45" w:rsidRDefault="00726C45" w:rsidP="00A37677">
            <w:pPr>
              <w:spacing w:before="0" w:line="240" w:lineRule="auto"/>
              <w:jc w:val="right"/>
              <w:rPr>
                <w:rFonts w:cs="Segoe UI"/>
                <w:sz w:val="16"/>
                <w:szCs w:val="16"/>
              </w:rPr>
            </w:pPr>
            <w:r>
              <w:rPr>
                <w:rFonts w:cs="Segoe UI"/>
                <w:sz w:val="16"/>
                <w:szCs w:val="16"/>
              </w:rPr>
              <w:t>0.1</w:t>
            </w:r>
          </w:p>
        </w:tc>
        <w:tc>
          <w:tcPr>
            <w:tcW w:w="1133" w:type="dxa"/>
            <w:tcBorders>
              <w:top w:val="nil"/>
              <w:left w:val="single" w:sz="4" w:space="0" w:color="auto"/>
              <w:bottom w:val="nil"/>
              <w:right w:val="single" w:sz="4" w:space="0" w:color="auto"/>
            </w:tcBorders>
          </w:tcPr>
          <w:p w14:paraId="057B2200" w14:textId="77777777" w:rsidR="00726C45" w:rsidRDefault="00726C45" w:rsidP="00A37677">
            <w:pPr>
              <w:spacing w:before="0" w:line="240" w:lineRule="auto"/>
              <w:jc w:val="right"/>
              <w:rPr>
                <w:rFonts w:cs="Segoe UI"/>
                <w:sz w:val="16"/>
                <w:szCs w:val="16"/>
              </w:rPr>
            </w:pPr>
            <w:r>
              <w:rPr>
                <w:rFonts w:cs="Segoe UI"/>
                <w:sz w:val="16"/>
                <w:szCs w:val="16"/>
              </w:rPr>
              <w:t>99.8</w:t>
            </w:r>
          </w:p>
        </w:tc>
      </w:tr>
      <w:tr w:rsidR="00726C45" w:rsidRPr="00BD6DBC" w14:paraId="11168FA0" w14:textId="77777777" w:rsidTr="00A37677">
        <w:tc>
          <w:tcPr>
            <w:tcW w:w="1418" w:type="dxa"/>
            <w:tcBorders>
              <w:top w:val="nil"/>
              <w:left w:val="single" w:sz="4" w:space="0" w:color="auto"/>
              <w:bottom w:val="nil"/>
              <w:right w:val="single" w:sz="4" w:space="0" w:color="auto"/>
            </w:tcBorders>
            <w:vAlign w:val="bottom"/>
          </w:tcPr>
          <w:p w14:paraId="6709FC7D"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Serbia</w:t>
            </w:r>
          </w:p>
        </w:tc>
        <w:tc>
          <w:tcPr>
            <w:tcW w:w="709" w:type="dxa"/>
            <w:tcBorders>
              <w:top w:val="nil"/>
              <w:left w:val="single" w:sz="4" w:space="0" w:color="auto"/>
              <w:bottom w:val="nil"/>
              <w:right w:val="single" w:sz="4" w:space="0" w:color="auto"/>
            </w:tcBorders>
          </w:tcPr>
          <w:p w14:paraId="05282CA4" w14:textId="77777777" w:rsidR="00726C45" w:rsidRPr="00BD6DBC" w:rsidRDefault="00726C45" w:rsidP="00A37677">
            <w:pPr>
              <w:spacing w:before="0" w:line="240" w:lineRule="auto"/>
              <w:jc w:val="right"/>
              <w:rPr>
                <w:rFonts w:cs="Segoe UI"/>
                <w:sz w:val="16"/>
                <w:szCs w:val="16"/>
              </w:rPr>
            </w:pPr>
            <w:r>
              <w:rPr>
                <w:rFonts w:cs="Segoe UI"/>
                <w:sz w:val="16"/>
                <w:szCs w:val="16"/>
              </w:rPr>
              <w:t>9.9</w:t>
            </w:r>
          </w:p>
        </w:tc>
        <w:tc>
          <w:tcPr>
            <w:tcW w:w="708" w:type="dxa"/>
            <w:tcBorders>
              <w:top w:val="nil"/>
              <w:left w:val="single" w:sz="4" w:space="0" w:color="auto"/>
              <w:bottom w:val="nil"/>
              <w:right w:val="single" w:sz="4" w:space="0" w:color="auto"/>
            </w:tcBorders>
          </w:tcPr>
          <w:p w14:paraId="71455243" w14:textId="77777777" w:rsidR="00726C45" w:rsidRPr="00BD6DBC" w:rsidRDefault="00726C45" w:rsidP="00A37677">
            <w:pPr>
              <w:spacing w:before="0" w:line="240" w:lineRule="auto"/>
              <w:jc w:val="right"/>
              <w:rPr>
                <w:rFonts w:cs="Segoe UI"/>
                <w:sz w:val="16"/>
                <w:szCs w:val="16"/>
              </w:rPr>
            </w:pPr>
            <w:r>
              <w:rPr>
                <w:rFonts w:cs="Segoe UI"/>
                <w:sz w:val="16"/>
                <w:szCs w:val="16"/>
              </w:rPr>
              <w:t>8.8</w:t>
            </w:r>
          </w:p>
        </w:tc>
        <w:tc>
          <w:tcPr>
            <w:tcW w:w="993" w:type="dxa"/>
            <w:tcBorders>
              <w:top w:val="nil"/>
              <w:left w:val="single" w:sz="4" w:space="0" w:color="auto"/>
              <w:bottom w:val="nil"/>
              <w:right w:val="single" w:sz="4" w:space="0" w:color="auto"/>
            </w:tcBorders>
          </w:tcPr>
          <w:p w14:paraId="0B71C782" w14:textId="77777777" w:rsidR="00726C45" w:rsidRPr="00BD6DBC" w:rsidRDefault="00726C45" w:rsidP="00A37677">
            <w:pPr>
              <w:spacing w:before="0" w:line="240" w:lineRule="auto"/>
              <w:jc w:val="right"/>
              <w:rPr>
                <w:rFonts w:cs="Segoe UI"/>
                <w:sz w:val="16"/>
                <w:szCs w:val="16"/>
              </w:rPr>
            </w:pPr>
            <w:r>
              <w:rPr>
                <w:rFonts w:cs="Segoe UI"/>
                <w:sz w:val="16"/>
                <w:szCs w:val="16"/>
              </w:rPr>
              <w:t>7.8</w:t>
            </w:r>
          </w:p>
        </w:tc>
        <w:tc>
          <w:tcPr>
            <w:tcW w:w="567" w:type="dxa"/>
            <w:tcBorders>
              <w:top w:val="nil"/>
              <w:left w:val="single" w:sz="4" w:space="0" w:color="auto"/>
              <w:bottom w:val="nil"/>
              <w:right w:val="single" w:sz="4" w:space="0" w:color="auto"/>
            </w:tcBorders>
            <w:vAlign w:val="bottom"/>
          </w:tcPr>
          <w:p w14:paraId="26FF80BF" w14:textId="77777777" w:rsidR="00726C45" w:rsidRPr="00BD6DBC" w:rsidRDefault="00726C45" w:rsidP="00A37677">
            <w:pPr>
              <w:spacing w:before="0" w:line="240" w:lineRule="auto"/>
              <w:jc w:val="right"/>
              <w:rPr>
                <w:rFonts w:cs="Segoe UI"/>
                <w:sz w:val="16"/>
                <w:szCs w:val="16"/>
              </w:rPr>
            </w:pPr>
            <w:r>
              <w:rPr>
                <w:rFonts w:cs="Segoe UI"/>
                <w:sz w:val="16"/>
                <w:szCs w:val="16"/>
              </w:rPr>
              <w:t>8.4</w:t>
            </w:r>
          </w:p>
        </w:tc>
        <w:tc>
          <w:tcPr>
            <w:tcW w:w="708" w:type="dxa"/>
            <w:tcBorders>
              <w:top w:val="nil"/>
              <w:left w:val="single" w:sz="4" w:space="0" w:color="auto"/>
              <w:bottom w:val="nil"/>
              <w:right w:val="single" w:sz="4" w:space="0" w:color="auto"/>
            </w:tcBorders>
          </w:tcPr>
          <w:p w14:paraId="32FAF3E8" w14:textId="77777777" w:rsidR="00726C45" w:rsidRPr="00BD6DBC" w:rsidRDefault="00726C45" w:rsidP="00A37677">
            <w:pPr>
              <w:spacing w:before="0" w:line="240" w:lineRule="auto"/>
              <w:jc w:val="right"/>
              <w:rPr>
                <w:rFonts w:cs="Segoe UI"/>
                <w:sz w:val="16"/>
                <w:szCs w:val="16"/>
              </w:rPr>
            </w:pPr>
            <w:r>
              <w:rPr>
                <w:rFonts w:cs="Segoe UI"/>
                <w:sz w:val="16"/>
                <w:szCs w:val="16"/>
              </w:rPr>
              <w:t>15.0</w:t>
            </w:r>
          </w:p>
        </w:tc>
        <w:tc>
          <w:tcPr>
            <w:tcW w:w="993" w:type="dxa"/>
            <w:tcBorders>
              <w:top w:val="nil"/>
              <w:left w:val="single" w:sz="4" w:space="0" w:color="auto"/>
              <w:bottom w:val="nil"/>
              <w:right w:val="single" w:sz="4" w:space="0" w:color="auto"/>
            </w:tcBorders>
          </w:tcPr>
          <w:p w14:paraId="606BE0EC" w14:textId="77777777" w:rsidR="00726C45" w:rsidRPr="00BD6DBC" w:rsidRDefault="00726C45" w:rsidP="00A37677">
            <w:pPr>
              <w:spacing w:before="0" w:line="240" w:lineRule="auto"/>
              <w:jc w:val="right"/>
              <w:rPr>
                <w:rFonts w:cs="Segoe UI"/>
                <w:sz w:val="16"/>
                <w:szCs w:val="16"/>
              </w:rPr>
            </w:pPr>
            <w:r>
              <w:rPr>
                <w:rFonts w:cs="Segoe UI"/>
                <w:sz w:val="16"/>
                <w:szCs w:val="16"/>
              </w:rPr>
              <w:t>11.0</w:t>
            </w:r>
          </w:p>
        </w:tc>
        <w:tc>
          <w:tcPr>
            <w:tcW w:w="992" w:type="dxa"/>
            <w:tcBorders>
              <w:top w:val="nil"/>
              <w:left w:val="single" w:sz="4" w:space="0" w:color="auto"/>
              <w:bottom w:val="nil"/>
              <w:right w:val="single" w:sz="4" w:space="0" w:color="auto"/>
            </w:tcBorders>
          </w:tcPr>
          <w:p w14:paraId="25A0AF2E"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9.2</w:t>
            </w:r>
          </w:p>
        </w:tc>
        <w:tc>
          <w:tcPr>
            <w:tcW w:w="850" w:type="dxa"/>
            <w:tcBorders>
              <w:top w:val="nil"/>
              <w:left w:val="single" w:sz="4" w:space="0" w:color="auto"/>
              <w:bottom w:val="nil"/>
              <w:right w:val="single" w:sz="4" w:space="0" w:color="auto"/>
            </w:tcBorders>
          </w:tcPr>
          <w:p w14:paraId="206D2B57" w14:textId="77777777" w:rsidR="00726C45" w:rsidRPr="00F37A41" w:rsidRDefault="00726C45" w:rsidP="00A37677">
            <w:pPr>
              <w:spacing w:before="0" w:line="240" w:lineRule="auto"/>
              <w:jc w:val="right"/>
              <w:rPr>
                <w:rFonts w:cs="Segoe UI"/>
                <w:sz w:val="16"/>
                <w:szCs w:val="16"/>
              </w:rPr>
            </w:pPr>
            <w:r>
              <w:rPr>
                <w:rFonts w:cs="Segoe UI"/>
                <w:sz w:val="16"/>
                <w:szCs w:val="16"/>
              </w:rPr>
              <w:t>9.8</w:t>
            </w:r>
          </w:p>
        </w:tc>
        <w:tc>
          <w:tcPr>
            <w:tcW w:w="567" w:type="dxa"/>
            <w:tcBorders>
              <w:top w:val="nil"/>
              <w:left w:val="single" w:sz="4" w:space="0" w:color="auto"/>
              <w:bottom w:val="nil"/>
              <w:right w:val="single" w:sz="4" w:space="0" w:color="auto"/>
            </w:tcBorders>
          </w:tcPr>
          <w:p w14:paraId="172461DA" w14:textId="77777777" w:rsidR="00726C45" w:rsidRPr="00F37A41" w:rsidRDefault="00726C45" w:rsidP="00A37677">
            <w:pPr>
              <w:spacing w:before="0" w:line="240" w:lineRule="auto"/>
              <w:jc w:val="right"/>
              <w:rPr>
                <w:rFonts w:cs="Segoe UI"/>
                <w:sz w:val="16"/>
                <w:szCs w:val="16"/>
              </w:rPr>
            </w:pPr>
            <w:r>
              <w:rPr>
                <w:rFonts w:cs="Segoe UI"/>
                <w:sz w:val="16"/>
                <w:szCs w:val="16"/>
              </w:rPr>
              <w:t>11.3</w:t>
            </w:r>
          </w:p>
        </w:tc>
        <w:tc>
          <w:tcPr>
            <w:tcW w:w="709" w:type="dxa"/>
            <w:tcBorders>
              <w:top w:val="nil"/>
              <w:left w:val="single" w:sz="4" w:space="0" w:color="auto"/>
              <w:bottom w:val="nil"/>
              <w:right w:val="single" w:sz="4" w:space="0" w:color="auto"/>
            </w:tcBorders>
          </w:tcPr>
          <w:p w14:paraId="69CAB957" w14:textId="77777777" w:rsidR="00726C45" w:rsidRDefault="00726C45" w:rsidP="00A37677">
            <w:pPr>
              <w:spacing w:before="0" w:line="240" w:lineRule="auto"/>
              <w:jc w:val="right"/>
              <w:rPr>
                <w:rFonts w:cs="Segoe UI"/>
                <w:sz w:val="16"/>
                <w:szCs w:val="16"/>
              </w:rPr>
            </w:pPr>
            <w:r>
              <w:rPr>
                <w:rFonts w:cs="Segoe UI"/>
                <w:sz w:val="16"/>
                <w:szCs w:val="16"/>
              </w:rPr>
              <w:t>8.3</w:t>
            </w:r>
          </w:p>
        </w:tc>
        <w:tc>
          <w:tcPr>
            <w:tcW w:w="1133" w:type="dxa"/>
            <w:tcBorders>
              <w:top w:val="nil"/>
              <w:left w:val="single" w:sz="4" w:space="0" w:color="auto"/>
              <w:bottom w:val="nil"/>
              <w:right w:val="single" w:sz="4" w:space="0" w:color="auto"/>
            </w:tcBorders>
          </w:tcPr>
          <w:p w14:paraId="213533F2" w14:textId="77777777" w:rsidR="00726C45" w:rsidRDefault="00726C45" w:rsidP="00A37677">
            <w:pPr>
              <w:spacing w:before="0" w:line="240" w:lineRule="auto"/>
              <w:jc w:val="right"/>
              <w:rPr>
                <w:rFonts w:cs="Segoe UI"/>
                <w:sz w:val="16"/>
                <w:szCs w:val="16"/>
              </w:rPr>
            </w:pPr>
            <w:r>
              <w:rPr>
                <w:rFonts w:cs="Segoe UI"/>
                <w:sz w:val="16"/>
                <w:szCs w:val="16"/>
              </w:rPr>
              <w:t>81.5</w:t>
            </w:r>
          </w:p>
        </w:tc>
      </w:tr>
      <w:tr w:rsidR="00726C45" w:rsidRPr="00BD6DBC" w14:paraId="08E0E68C" w14:textId="77777777" w:rsidTr="00A37677">
        <w:tc>
          <w:tcPr>
            <w:tcW w:w="1418" w:type="dxa"/>
            <w:tcBorders>
              <w:top w:val="nil"/>
              <w:left w:val="single" w:sz="4" w:space="0" w:color="auto"/>
              <w:bottom w:val="nil"/>
              <w:right w:val="single" w:sz="4" w:space="0" w:color="auto"/>
            </w:tcBorders>
            <w:vAlign w:val="bottom"/>
          </w:tcPr>
          <w:p w14:paraId="2990B642"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Slovenia</w:t>
            </w:r>
          </w:p>
        </w:tc>
        <w:tc>
          <w:tcPr>
            <w:tcW w:w="709" w:type="dxa"/>
            <w:tcBorders>
              <w:top w:val="nil"/>
              <w:left w:val="single" w:sz="4" w:space="0" w:color="auto"/>
              <w:bottom w:val="nil"/>
              <w:right w:val="single" w:sz="4" w:space="0" w:color="auto"/>
            </w:tcBorders>
          </w:tcPr>
          <w:p w14:paraId="2FACC03E" w14:textId="77777777" w:rsidR="00726C45" w:rsidRPr="00BD6DBC" w:rsidRDefault="00726C45" w:rsidP="00A37677">
            <w:pPr>
              <w:spacing w:before="0" w:line="240" w:lineRule="auto"/>
              <w:jc w:val="right"/>
              <w:rPr>
                <w:rFonts w:cs="Segoe UI"/>
                <w:sz w:val="16"/>
                <w:szCs w:val="16"/>
              </w:rPr>
            </w:pPr>
            <w:r>
              <w:rPr>
                <w:rFonts w:cs="Segoe UI"/>
                <w:sz w:val="16"/>
                <w:szCs w:val="16"/>
              </w:rPr>
              <w:t>9.7</w:t>
            </w:r>
          </w:p>
        </w:tc>
        <w:tc>
          <w:tcPr>
            <w:tcW w:w="708" w:type="dxa"/>
            <w:tcBorders>
              <w:top w:val="nil"/>
              <w:left w:val="single" w:sz="4" w:space="0" w:color="auto"/>
              <w:bottom w:val="nil"/>
              <w:right w:val="single" w:sz="4" w:space="0" w:color="auto"/>
            </w:tcBorders>
          </w:tcPr>
          <w:p w14:paraId="1157E231" w14:textId="77777777" w:rsidR="00726C45" w:rsidRPr="00BD6DBC" w:rsidRDefault="00726C45" w:rsidP="00A37677">
            <w:pPr>
              <w:spacing w:before="0" w:line="240" w:lineRule="auto"/>
              <w:jc w:val="right"/>
              <w:rPr>
                <w:rFonts w:cs="Segoe UI"/>
                <w:sz w:val="16"/>
                <w:szCs w:val="16"/>
              </w:rPr>
            </w:pPr>
            <w:r>
              <w:rPr>
                <w:rFonts w:cs="Segoe UI"/>
                <w:sz w:val="16"/>
                <w:szCs w:val="16"/>
              </w:rPr>
              <w:t>11.8</w:t>
            </w:r>
          </w:p>
        </w:tc>
        <w:tc>
          <w:tcPr>
            <w:tcW w:w="993" w:type="dxa"/>
            <w:tcBorders>
              <w:top w:val="nil"/>
              <w:left w:val="single" w:sz="4" w:space="0" w:color="auto"/>
              <w:bottom w:val="nil"/>
              <w:right w:val="single" w:sz="4" w:space="0" w:color="auto"/>
            </w:tcBorders>
          </w:tcPr>
          <w:p w14:paraId="738D3934" w14:textId="77777777" w:rsidR="00726C45" w:rsidRPr="00BD6DBC" w:rsidRDefault="00726C45" w:rsidP="00A37677">
            <w:pPr>
              <w:spacing w:before="0" w:line="240" w:lineRule="auto"/>
              <w:jc w:val="right"/>
              <w:rPr>
                <w:rFonts w:cs="Segoe UI"/>
                <w:sz w:val="16"/>
                <w:szCs w:val="16"/>
              </w:rPr>
            </w:pPr>
            <w:r>
              <w:rPr>
                <w:rFonts w:cs="Segoe UI"/>
                <w:sz w:val="16"/>
                <w:szCs w:val="16"/>
              </w:rPr>
              <w:t>7.3</w:t>
            </w:r>
          </w:p>
        </w:tc>
        <w:tc>
          <w:tcPr>
            <w:tcW w:w="567" w:type="dxa"/>
            <w:tcBorders>
              <w:top w:val="nil"/>
              <w:left w:val="single" w:sz="4" w:space="0" w:color="auto"/>
              <w:bottom w:val="nil"/>
              <w:right w:val="single" w:sz="4" w:space="0" w:color="auto"/>
            </w:tcBorders>
            <w:vAlign w:val="bottom"/>
          </w:tcPr>
          <w:p w14:paraId="0BD88411" w14:textId="77777777" w:rsidR="00726C45" w:rsidRPr="00BD6DBC" w:rsidRDefault="00726C45" w:rsidP="00A37677">
            <w:pPr>
              <w:spacing w:before="0" w:line="240" w:lineRule="auto"/>
              <w:jc w:val="right"/>
              <w:rPr>
                <w:rFonts w:cs="Segoe UI"/>
                <w:sz w:val="16"/>
                <w:szCs w:val="16"/>
              </w:rPr>
            </w:pPr>
            <w:r>
              <w:rPr>
                <w:rFonts w:cs="Segoe UI"/>
                <w:sz w:val="16"/>
                <w:szCs w:val="16"/>
              </w:rPr>
              <w:t>8.5</w:t>
            </w:r>
          </w:p>
        </w:tc>
        <w:tc>
          <w:tcPr>
            <w:tcW w:w="708" w:type="dxa"/>
            <w:tcBorders>
              <w:top w:val="nil"/>
              <w:left w:val="single" w:sz="4" w:space="0" w:color="auto"/>
              <w:bottom w:val="nil"/>
              <w:right w:val="single" w:sz="4" w:space="0" w:color="auto"/>
            </w:tcBorders>
          </w:tcPr>
          <w:p w14:paraId="0C4F438A" w14:textId="77777777" w:rsidR="00726C45" w:rsidRPr="00BD6DBC" w:rsidRDefault="00726C45" w:rsidP="00A37677">
            <w:pPr>
              <w:spacing w:before="0" w:line="240" w:lineRule="auto"/>
              <w:jc w:val="right"/>
              <w:rPr>
                <w:rFonts w:cs="Segoe UI"/>
                <w:sz w:val="16"/>
                <w:szCs w:val="16"/>
              </w:rPr>
            </w:pPr>
            <w:r>
              <w:rPr>
                <w:rFonts w:cs="Segoe UI"/>
                <w:sz w:val="16"/>
                <w:szCs w:val="16"/>
              </w:rPr>
              <w:t>14.6</w:t>
            </w:r>
          </w:p>
        </w:tc>
        <w:tc>
          <w:tcPr>
            <w:tcW w:w="993" w:type="dxa"/>
            <w:tcBorders>
              <w:top w:val="nil"/>
              <w:left w:val="single" w:sz="4" w:space="0" w:color="auto"/>
              <w:bottom w:val="nil"/>
              <w:right w:val="single" w:sz="4" w:space="0" w:color="auto"/>
            </w:tcBorders>
          </w:tcPr>
          <w:p w14:paraId="57DEC3EC" w14:textId="77777777" w:rsidR="00726C45" w:rsidRPr="00BD6DBC" w:rsidRDefault="00726C45" w:rsidP="00A37677">
            <w:pPr>
              <w:spacing w:before="0" w:line="240" w:lineRule="auto"/>
              <w:jc w:val="right"/>
              <w:rPr>
                <w:rFonts w:cs="Segoe UI"/>
                <w:sz w:val="16"/>
                <w:szCs w:val="16"/>
              </w:rPr>
            </w:pPr>
            <w:r>
              <w:rPr>
                <w:rFonts w:cs="Segoe UI"/>
                <w:sz w:val="16"/>
                <w:szCs w:val="16"/>
              </w:rPr>
              <w:t>11.2</w:t>
            </w:r>
          </w:p>
        </w:tc>
        <w:tc>
          <w:tcPr>
            <w:tcW w:w="992" w:type="dxa"/>
            <w:tcBorders>
              <w:top w:val="nil"/>
              <w:left w:val="single" w:sz="4" w:space="0" w:color="auto"/>
              <w:bottom w:val="nil"/>
              <w:right w:val="single" w:sz="4" w:space="0" w:color="auto"/>
            </w:tcBorders>
          </w:tcPr>
          <w:p w14:paraId="180F16D1"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9.2</w:t>
            </w:r>
          </w:p>
        </w:tc>
        <w:tc>
          <w:tcPr>
            <w:tcW w:w="850" w:type="dxa"/>
            <w:tcBorders>
              <w:top w:val="nil"/>
              <w:left w:val="single" w:sz="4" w:space="0" w:color="auto"/>
              <w:bottom w:val="nil"/>
              <w:right w:val="single" w:sz="4" w:space="0" w:color="auto"/>
            </w:tcBorders>
          </w:tcPr>
          <w:p w14:paraId="15EB20DA" w14:textId="77777777" w:rsidR="00726C45" w:rsidRPr="00F37A41" w:rsidRDefault="00726C45" w:rsidP="00A37677">
            <w:pPr>
              <w:spacing w:before="0" w:line="240" w:lineRule="auto"/>
              <w:jc w:val="right"/>
              <w:rPr>
                <w:rFonts w:cs="Segoe UI"/>
                <w:sz w:val="16"/>
                <w:szCs w:val="16"/>
              </w:rPr>
            </w:pPr>
            <w:r>
              <w:rPr>
                <w:rFonts w:cs="Segoe UI"/>
                <w:sz w:val="16"/>
                <w:szCs w:val="16"/>
              </w:rPr>
              <w:t>8.8</w:t>
            </w:r>
          </w:p>
        </w:tc>
        <w:tc>
          <w:tcPr>
            <w:tcW w:w="567" w:type="dxa"/>
            <w:tcBorders>
              <w:top w:val="nil"/>
              <w:left w:val="single" w:sz="4" w:space="0" w:color="auto"/>
              <w:bottom w:val="nil"/>
              <w:right w:val="single" w:sz="4" w:space="0" w:color="auto"/>
            </w:tcBorders>
          </w:tcPr>
          <w:p w14:paraId="78580543" w14:textId="77777777" w:rsidR="00726C45" w:rsidRPr="00F37A41" w:rsidRDefault="00726C45" w:rsidP="00A37677">
            <w:pPr>
              <w:spacing w:before="0" w:line="240" w:lineRule="auto"/>
              <w:jc w:val="right"/>
              <w:rPr>
                <w:rFonts w:cs="Segoe UI"/>
                <w:sz w:val="16"/>
                <w:szCs w:val="16"/>
              </w:rPr>
            </w:pPr>
            <w:r>
              <w:rPr>
                <w:rFonts w:cs="Segoe UI"/>
                <w:sz w:val="16"/>
                <w:szCs w:val="16"/>
              </w:rPr>
              <w:t>9.3</w:t>
            </w:r>
          </w:p>
        </w:tc>
        <w:tc>
          <w:tcPr>
            <w:tcW w:w="709" w:type="dxa"/>
            <w:tcBorders>
              <w:top w:val="nil"/>
              <w:left w:val="single" w:sz="4" w:space="0" w:color="auto"/>
              <w:bottom w:val="nil"/>
              <w:right w:val="single" w:sz="4" w:space="0" w:color="auto"/>
            </w:tcBorders>
          </w:tcPr>
          <w:p w14:paraId="63CED2C6" w14:textId="77777777" w:rsidR="00726C45" w:rsidRDefault="00726C45" w:rsidP="00A37677">
            <w:pPr>
              <w:spacing w:before="0" w:line="240" w:lineRule="auto"/>
              <w:jc w:val="right"/>
              <w:rPr>
                <w:rFonts w:cs="Segoe UI"/>
                <w:sz w:val="16"/>
                <w:szCs w:val="16"/>
              </w:rPr>
            </w:pPr>
            <w:r>
              <w:rPr>
                <w:rFonts w:cs="Segoe UI"/>
                <w:sz w:val="16"/>
                <w:szCs w:val="16"/>
              </w:rPr>
              <w:t>7.1</w:t>
            </w:r>
          </w:p>
        </w:tc>
        <w:tc>
          <w:tcPr>
            <w:tcW w:w="1133" w:type="dxa"/>
            <w:tcBorders>
              <w:top w:val="nil"/>
              <w:left w:val="single" w:sz="4" w:space="0" w:color="auto"/>
              <w:bottom w:val="nil"/>
              <w:right w:val="single" w:sz="4" w:space="0" w:color="auto"/>
            </w:tcBorders>
          </w:tcPr>
          <w:p w14:paraId="1078E474" w14:textId="77777777" w:rsidR="00726C45" w:rsidRDefault="00726C45" w:rsidP="00A37677">
            <w:pPr>
              <w:spacing w:before="0" w:line="240" w:lineRule="auto"/>
              <w:jc w:val="right"/>
              <w:rPr>
                <w:rFonts w:cs="Segoe UI"/>
                <w:sz w:val="16"/>
                <w:szCs w:val="16"/>
              </w:rPr>
            </w:pPr>
            <w:r>
              <w:rPr>
                <w:rFonts w:cs="Segoe UI"/>
                <w:sz w:val="16"/>
                <w:szCs w:val="16"/>
              </w:rPr>
              <w:t>80.1</w:t>
            </w:r>
          </w:p>
        </w:tc>
      </w:tr>
      <w:tr w:rsidR="00726C45" w:rsidRPr="00BD6DBC" w14:paraId="426E6E48" w14:textId="77777777" w:rsidTr="00A37677">
        <w:tc>
          <w:tcPr>
            <w:tcW w:w="1418" w:type="dxa"/>
            <w:tcBorders>
              <w:top w:val="nil"/>
              <w:left w:val="single" w:sz="4" w:space="0" w:color="auto"/>
              <w:bottom w:val="nil"/>
              <w:right w:val="single" w:sz="4" w:space="0" w:color="auto"/>
            </w:tcBorders>
            <w:vAlign w:val="bottom"/>
          </w:tcPr>
          <w:p w14:paraId="36F94960"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Spain</w:t>
            </w:r>
          </w:p>
        </w:tc>
        <w:tc>
          <w:tcPr>
            <w:tcW w:w="709" w:type="dxa"/>
            <w:tcBorders>
              <w:top w:val="nil"/>
              <w:left w:val="single" w:sz="4" w:space="0" w:color="auto"/>
              <w:bottom w:val="nil"/>
              <w:right w:val="single" w:sz="4" w:space="0" w:color="auto"/>
            </w:tcBorders>
          </w:tcPr>
          <w:p w14:paraId="1480AA6A" w14:textId="77777777" w:rsidR="00726C45" w:rsidRPr="00BD6DBC" w:rsidRDefault="00726C45" w:rsidP="00A37677">
            <w:pPr>
              <w:spacing w:before="0" w:line="240" w:lineRule="auto"/>
              <w:jc w:val="right"/>
              <w:rPr>
                <w:rFonts w:cs="Segoe UI"/>
                <w:sz w:val="16"/>
                <w:szCs w:val="16"/>
              </w:rPr>
            </w:pPr>
            <w:r>
              <w:rPr>
                <w:rFonts w:cs="Segoe UI"/>
                <w:sz w:val="16"/>
                <w:szCs w:val="16"/>
              </w:rPr>
              <w:t>7.9</w:t>
            </w:r>
          </w:p>
        </w:tc>
        <w:tc>
          <w:tcPr>
            <w:tcW w:w="708" w:type="dxa"/>
            <w:tcBorders>
              <w:top w:val="nil"/>
              <w:left w:val="single" w:sz="4" w:space="0" w:color="auto"/>
              <w:bottom w:val="nil"/>
              <w:right w:val="single" w:sz="4" w:space="0" w:color="auto"/>
            </w:tcBorders>
          </w:tcPr>
          <w:p w14:paraId="27166360" w14:textId="77777777" w:rsidR="00726C45" w:rsidRPr="00BD6DBC" w:rsidRDefault="00726C45" w:rsidP="00A37677">
            <w:pPr>
              <w:spacing w:before="0" w:line="240" w:lineRule="auto"/>
              <w:jc w:val="right"/>
              <w:rPr>
                <w:rFonts w:cs="Segoe UI"/>
                <w:sz w:val="16"/>
                <w:szCs w:val="16"/>
              </w:rPr>
            </w:pPr>
            <w:r>
              <w:rPr>
                <w:rFonts w:cs="Segoe UI"/>
                <w:sz w:val="16"/>
                <w:szCs w:val="16"/>
              </w:rPr>
              <w:t>7.8</w:t>
            </w:r>
          </w:p>
        </w:tc>
        <w:tc>
          <w:tcPr>
            <w:tcW w:w="993" w:type="dxa"/>
            <w:tcBorders>
              <w:top w:val="nil"/>
              <w:left w:val="single" w:sz="4" w:space="0" w:color="auto"/>
              <w:bottom w:val="nil"/>
              <w:right w:val="single" w:sz="4" w:space="0" w:color="auto"/>
            </w:tcBorders>
          </w:tcPr>
          <w:p w14:paraId="20EF1C90" w14:textId="77777777" w:rsidR="00726C45" w:rsidRPr="00BD6DBC" w:rsidRDefault="00726C45" w:rsidP="00A37677">
            <w:pPr>
              <w:spacing w:before="0" w:line="240" w:lineRule="auto"/>
              <w:jc w:val="right"/>
              <w:rPr>
                <w:rFonts w:cs="Segoe UI"/>
                <w:sz w:val="16"/>
                <w:szCs w:val="16"/>
              </w:rPr>
            </w:pPr>
            <w:r>
              <w:rPr>
                <w:rFonts w:cs="Segoe UI"/>
                <w:sz w:val="16"/>
                <w:szCs w:val="16"/>
              </w:rPr>
              <w:t>3.7</w:t>
            </w:r>
          </w:p>
        </w:tc>
        <w:tc>
          <w:tcPr>
            <w:tcW w:w="567" w:type="dxa"/>
            <w:tcBorders>
              <w:top w:val="nil"/>
              <w:left w:val="single" w:sz="4" w:space="0" w:color="auto"/>
              <w:bottom w:val="nil"/>
              <w:right w:val="single" w:sz="4" w:space="0" w:color="auto"/>
            </w:tcBorders>
            <w:vAlign w:val="bottom"/>
          </w:tcPr>
          <w:p w14:paraId="10278D1E" w14:textId="77777777" w:rsidR="00726C45" w:rsidRPr="00BD6DBC" w:rsidRDefault="00726C45" w:rsidP="00A37677">
            <w:pPr>
              <w:spacing w:before="0" w:line="240" w:lineRule="auto"/>
              <w:jc w:val="right"/>
              <w:rPr>
                <w:rFonts w:cs="Segoe UI"/>
                <w:sz w:val="16"/>
                <w:szCs w:val="16"/>
              </w:rPr>
            </w:pPr>
            <w:r>
              <w:rPr>
                <w:rFonts w:cs="Segoe UI"/>
                <w:sz w:val="16"/>
                <w:szCs w:val="16"/>
              </w:rPr>
              <w:t>3.4</w:t>
            </w:r>
          </w:p>
        </w:tc>
        <w:tc>
          <w:tcPr>
            <w:tcW w:w="708" w:type="dxa"/>
            <w:tcBorders>
              <w:top w:val="nil"/>
              <w:left w:val="single" w:sz="4" w:space="0" w:color="auto"/>
              <w:bottom w:val="nil"/>
              <w:right w:val="single" w:sz="4" w:space="0" w:color="auto"/>
            </w:tcBorders>
          </w:tcPr>
          <w:p w14:paraId="585D7257" w14:textId="77777777" w:rsidR="00726C45" w:rsidRPr="00BD6DBC" w:rsidRDefault="00726C45" w:rsidP="00A37677">
            <w:pPr>
              <w:spacing w:before="0" w:line="240" w:lineRule="auto"/>
              <w:jc w:val="right"/>
              <w:rPr>
                <w:rFonts w:cs="Segoe UI"/>
                <w:sz w:val="16"/>
                <w:szCs w:val="16"/>
              </w:rPr>
            </w:pPr>
            <w:r>
              <w:rPr>
                <w:rFonts w:cs="Segoe UI"/>
                <w:sz w:val="16"/>
                <w:szCs w:val="16"/>
              </w:rPr>
              <w:t>6.3</w:t>
            </w:r>
          </w:p>
        </w:tc>
        <w:tc>
          <w:tcPr>
            <w:tcW w:w="993" w:type="dxa"/>
            <w:tcBorders>
              <w:top w:val="nil"/>
              <w:left w:val="single" w:sz="4" w:space="0" w:color="auto"/>
              <w:bottom w:val="nil"/>
              <w:right w:val="single" w:sz="4" w:space="0" w:color="auto"/>
            </w:tcBorders>
          </w:tcPr>
          <w:p w14:paraId="13F86786" w14:textId="77777777" w:rsidR="00726C45" w:rsidRPr="00BD6DBC" w:rsidRDefault="00726C45" w:rsidP="00A37677">
            <w:pPr>
              <w:spacing w:before="0" w:line="240" w:lineRule="auto"/>
              <w:jc w:val="right"/>
              <w:rPr>
                <w:rFonts w:cs="Segoe UI"/>
                <w:sz w:val="16"/>
                <w:szCs w:val="16"/>
              </w:rPr>
            </w:pPr>
            <w:r>
              <w:rPr>
                <w:rFonts w:cs="Segoe UI"/>
                <w:sz w:val="16"/>
                <w:szCs w:val="16"/>
              </w:rPr>
              <w:t>5.9</w:t>
            </w:r>
          </w:p>
        </w:tc>
        <w:tc>
          <w:tcPr>
            <w:tcW w:w="992" w:type="dxa"/>
            <w:tcBorders>
              <w:top w:val="nil"/>
              <w:left w:val="single" w:sz="4" w:space="0" w:color="auto"/>
              <w:bottom w:val="nil"/>
              <w:right w:val="single" w:sz="4" w:space="0" w:color="auto"/>
            </w:tcBorders>
          </w:tcPr>
          <w:p w14:paraId="3BA83315"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5.4</w:t>
            </w:r>
          </w:p>
        </w:tc>
        <w:tc>
          <w:tcPr>
            <w:tcW w:w="850" w:type="dxa"/>
            <w:tcBorders>
              <w:top w:val="nil"/>
              <w:left w:val="single" w:sz="4" w:space="0" w:color="auto"/>
              <w:bottom w:val="nil"/>
              <w:right w:val="single" w:sz="4" w:space="0" w:color="auto"/>
            </w:tcBorders>
          </w:tcPr>
          <w:p w14:paraId="3EBC7755" w14:textId="77777777" w:rsidR="00726C45" w:rsidRPr="00F37A41" w:rsidRDefault="00726C45" w:rsidP="00A37677">
            <w:pPr>
              <w:spacing w:before="0" w:line="240" w:lineRule="auto"/>
              <w:jc w:val="right"/>
              <w:rPr>
                <w:rFonts w:cs="Segoe UI"/>
                <w:sz w:val="16"/>
                <w:szCs w:val="16"/>
              </w:rPr>
            </w:pPr>
            <w:r>
              <w:rPr>
                <w:rFonts w:cs="Segoe UI"/>
                <w:sz w:val="16"/>
                <w:szCs w:val="16"/>
              </w:rPr>
              <w:t>4.6</w:t>
            </w:r>
          </w:p>
        </w:tc>
        <w:tc>
          <w:tcPr>
            <w:tcW w:w="567" w:type="dxa"/>
            <w:tcBorders>
              <w:top w:val="nil"/>
              <w:left w:val="single" w:sz="4" w:space="0" w:color="auto"/>
              <w:bottom w:val="nil"/>
              <w:right w:val="single" w:sz="4" w:space="0" w:color="auto"/>
            </w:tcBorders>
          </w:tcPr>
          <w:p w14:paraId="5F3AD563" w14:textId="77777777" w:rsidR="00726C45" w:rsidRPr="00F37A41" w:rsidRDefault="00726C45" w:rsidP="00A37677">
            <w:pPr>
              <w:spacing w:before="0" w:line="240" w:lineRule="auto"/>
              <w:jc w:val="right"/>
              <w:rPr>
                <w:rFonts w:cs="Segoe UI"/>
                <w:sz w:val="16"/>
                <w:szCs w:val="16"/>
              </w:rPr>
            </w:pPr>
            <w:r>
              <w:rPr>
                <w:rFonts w:cs="Segoe UI"/>
                <w:sz w:val="16"/>
                <w:szCs w:val="16"/>
              </w:rPr>
              <w:t>5.3</w:t>
            </w:r>
          </w:p>
        </w:tc>
        <w:tc>
          <w:tcPr>
            <w:tcW w:w="709" w:type="dxa"/>
            <w:tcBorders>
              <w:top w:val="nil"/>
              <w:left w:val="single" w:sz="4" w:space="0" w:color="auto"/>
              <w:bottom w:val="nil"/>
              <w:right w:val="single" w:sz="4" w:space="0" w:color="auto"/>
            </w:tcBorders>
          </w:tcPr>
          <w:p w14:paraId="6F192B2D" w14:textId="77777777" w:rsidR="00726C45" w:rsidRDefault="00726C45" w:rsidP="00A37677">
            <w:pPr>
              <w:spacing w:before="0" w:line="240" w:lineRule="auto"/>
              <w:jc w:val="right"/>
              <w:rPr>
                <w:rFonts w:cs="Segoe UI"/>
                <w:sz w:val="16"/>
                <w:szCs w:val="16"/>
              </w:rPr>
            </w:pPr>
            <w:r>
              <w:rPr>
                <w:rFonts w:cs="Segoe UI"/>
                <w:sz w:val="16"/>
                <w:szCs w:val="16"/>
              </w:rPr>
              <w:t>3.6</w:t>
            </w:r>
          </w:p>
        </w:tc>
        <w:tc>
          <w:tcPr>
            <w:tcW w:w="1133" w:type="dxa"/>
            <w:tcBorders>
              <w:top w:val="nil"/>
              <w:left w:val="single" w:sz="4" w:space="0" w:color="auto"/>
              <w:bottom w:val="nil"/>
              <w:right w:val="single" w:sz="4" w:space="0" w:color="auto"/>
            </w:tcBorders>
          </w:tcPr>
          <w:p w14:paraId="339A52FC" w14:textId="77777777" w:rsidR="00726C45" w:rsidRDefault="00726C45" w:rsidP="00A37677">
            <w:pPr>
              <w:spacing w:before="0" w:line="240" w:lineRule="auto"/>
              <w:jc w:val="right"/>
              <w:rPr>
                <w:rFonts w:cs="Segoe UI"/>
                <w:sz w:val="16"/>
                <w:szCs w:val="16"/>
              </w:rPr>
            </w:pPr>
            <w:r>
              <w:rPr>
                <w:rFonts w:cs="Segoe UI"/>
                <w:sz w:val="16"/>
                <w:szCs w:val="16"/>
              </w:rPr>
              <w:t>84.1</w:t>
            </w:r>
          </w:p>
        </w:tc>
      </w:tr>
      <w:tr w:rsidR="00726C45" w:rsidRPr="00BD6DBC" w14:paraId="289054A7" w14:textId="77777777" w:rsidTr="00A37677">
        <w:tc>
          <w:tcPr>
            <w:tcW w:w="1418" w:type="dxa"/>
            <w:tcBorders>
              <w:top w:val="nil"/>
              <w:left w:val="single" w:sz="4" w:space="0" w:color="auto"/>
              <w:bottom w:val="nil"/>
              <w:right w:val="single" w:sz="4" w:space="0" w:color="auto"/>
            </w:tcBorders>
            <w:vAlign w:val="bottom"/>
          </w:tcPr>
          <w:p w14:paraId="218986BE"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Sweden</w:t>
            </w:r>
          </w:p>
        </w:tc>
        <w:tc>
          <w:tcPr>
            <w:tcW w:w="709" w:type="dxa"/>
            <w:tcBorders>
              <w:top w:val="nil"/>
              <w:left w:val="single" w:sz="4" w:space="0" w:color="auto"/>
              <w:bottom w:val="nil"/>
              <w:right w:val="single" w:sz="4" w:space="0" w:color="auto"/>
            </w:tcBorders>
          </w:tcPr>
          <w:p w14:paraId="3402DE8C" w14:textId="77777777" w:rsidR="00726C45" w:rsidRPr="00BD6DBC" w:rsidRDefault="00726C45" w:rsidP="00A37677">
            <w:pPr>
              <w:spacing w:before="0" w:line="240" w:lineRule="auto"/>
              <w:jc w:val="right"/>
              <w:rPr>
                <w:rFonts w:cs="Segoe UI"/>
                <w:sz w:val="16"/>
                <w:szCs w:val="16"/>
              </w:rPr>
            </w:pPr>
            <w:r>
              <w:rPr>
                <w:rFonts w:cs="Segoe UI"/>
                <w:sz w:val="16"/>
                <w:szCs w:val="16"/>
              </w:rPr>
              <w:t>1.24</w:t>
            </w:r>
          </w:p>
        </w:tc>
        <w:tc>
          <w:tcPr>
            <w:tcW w:w="708" w:type="dxa"/>
            <w:tcBorders>
              <w:top w:val="nil"/>
              <w:left w:val="single" w:sz="4" w:space="0" w:color="auto"/>
              <w:bottom w:val="nil"/>
              <w:right w:val="single" w:sz="4" w:space="0" w:color="auto"/>
            </w:tcBorders>
          </w:tcPr>
          <w:p w14:paraId="6D206B30" w14:textId="77777777" w:rsidR="00726C45" w:rsidRPr="00BD6DBC" w:rsidRDefault="00726C45" w:rsidP="00A37677">
            <w:pPr>
              <w:spacing w:before="0" w:line="240" w:lineRule="auto"/>
              <w:jc w:val="right"/>
              <w:rPr>
                <w:rFonts w:cs="Segoe UI"/>
                <w:sz w:val="16"/>
                <w:szCs w:val="16"/>
              </w:rPr>
            </w:pPr>
            <w:r>
              <w:rPr>
                <w:rFonts w:cs="Segoe UI"/>
                <w:sz w:val="16"/>
                <w:szCs w:val="16"/>
              </w:rPr>
              <w:t>1.4</w:t>
            </w:r>
          </w:p>
        </w:tc>
        <w:tc>
          <w:tcPr>
            <w:tcW w:w="993" w:type="dxa"/>
            <w:tcBorders>
              <w:top w:val="nil"/>
              <w:left w:val="single" w:sz="4" w:space="0" w:color="auto"/>
              <w:bottom w:val="nil"/>
              <w:right w:val="single" w:sz="4" w:space="0" w:color="auto"/>
            </w:tcBorders>
          </w:tcPr>
          <w:p w14:paraId="0FBCF179" w14:textId="77777777" w:rsidR="00726C45" w:rsidRPr="00BD6DBC" w:rsidRDefault="00726C45" w:rsidP="00A37677">
            <w:pPr>
              <w:spacing w:before="0" w:line="240" w:lineRule="auto"/>
              <w:jc w:val="right"/>
              <w:rPr>
                <w:rFonts w:cs="Segoe UI"/>
                <w:sz w:val="16"/>
                <w:szCs w:val="16"/>
              </w:rPr>
            </w:pPr>
            <w:r>
              <w:rPr>
                <w:rFonts w:cs="Segoe UI"/>
                <w:sz w:val="16"/>
                <w:szCs w:val="16"/>
              </w:rPr>
              <w:t>0.8</w:t>
            </w:r>
          </w:p>
        </w:tc>
        <w:tc>
          <w:tcPr>
            <w:tcW w:w="567" w:type="dxa"/>
            <w:tcBorders>
              <w:top w:val="nil"/>
              <w:left w:val="single" w:sz="4" w:space="0" w:color="auto"/>
              <w:bottom w:val="nil"/>
              <w:right w:val="single" w:sz="4" w:space="0" w:color="auto"/>
            </w:tcBorders>
            <w:vAlign w:val="bottom"/>
          </w:tcPr>
          <w:p w14:paraId="5E886B1F" w14:textId="77777777" w:rsidR="00726C45" w:rsidRPr="00BD6DBC" w:rsidRDefault="00726C45" w:rsidP="00A37677">
            <w:pPr>
              <w:spacing w:before="0" w:line="240" w:lineRule="auto"/>
              <w:jc w:val="right"/>
              <w:rPr>
                <w:rFonts w:cs="Segoe UI"/>
                <w:sz w:val="16"/>
                <w:szCs w:val="16"/>
              </w:rPr>
            </w:pPr>
            <w:r>
              <w:rPr>
                <w:rFonts w:cs="Segoe UI"/>
                <w:sz w:val="16"/>
                <w:szCs w:val="16"/>
              </w:rPr>
              <w:t>1.5</w:t>
            </w:r>
          </w:p>
        </w:tc>
        <w:tc>
          <w:tcPr>
            <w:tcW w:w="708" w:type="dxa"/>
            <w:tcBorders>
              <w:top w:val="nil"/>
              <w:left w:val="single" w:sz="4" w:space="0" w:color="auto"/>
              <w:bottom w:val="nil"/>
              <w:right w:val="single" w:sz="4" w:space="0" w:color="auto"/>
            </w:tcBorders>
          </w:tcPr>
          <w:p w14:paraId="32827EFF" w14:textId="77777777" w:rsidR="00726C45" w:rsidRPr="00BD6DBC" w:rsidRDefault="00726C45" w:rsidP="00A37677">
            <w:pPr>
              <w:spacing w:before="0" w:line="240" w:lineRule="auto"/>
              <w:jc w:val="right"/>
              <w:rPr>
                <w:rFonts w:cs="Segoe UI"/>
                <w:sz w:val="16"/>
                <w:szCs w:val="16"/>
              </w:rPr>
            </w:pPr>
            <w:r>
              <w:rPr>
                <w:rFonts w:cs="Segoe UI"/>
                <w:sz w:val="16"/>
                <w:szCs w:val="16"/>
              </w:rPr>
              <w:t>1.9</w:t>
            </w:r>
          </w:p>
        </w:tc>
        <w:tc>
          <w:tcPr>
            <w:tcW w:w="993" w:type="dxa"/>
            <w:tcBorders>
              <w:top w:val="nil"/>
              <w:left w:val="single" w:sz="4" w:space="0" w:color="auto"/>
              <w:bottom w:val="nil"/>
              <w:right w:val="single" w:sz="4" w:space="0" w:color="auto"/>
            </w:tcBorders>
          </w:tcPr>
          <w:p w14:paraId="534EC458" w14:textId="77777777" w:rsidR="00726C45" w:rsidRPr="00BD6DBC" w:rsidRDefault="00726C45" w:rsidP="00A37677">
            <w:pPr>
              <w:spacing w:before="0" w:line="240" w:lineRule="auto"/>
              <w:jc w:val="right"/>
              <w:rPr>
                <w:rFonts w:cs="Segoe UI"/>
                <w:sz w:val="16"/>
                <w:szCs w:val="16"/>
              </w:rPr>
            </w:pPr>
            <w:r>
              <w:rPr>
                <w:rFonts w:cs="Segoe UI"/>
                <w:sz w:val="16"/>
                <w:szCs w:val="16"/>
              </w:rPr>
              <w:t>1.1</w:t>
            </w:r>
          </w:p>
        </w:tc>
        <w:tc>
          <w:tcPr>
            <w:tcW w:w="992" w:type="dxa"/>
            <w:tcBorders>
              <w:top w:val="nil"/>
              <w:left w:val="single" w:sz="4" w:space="0" w:color="auto"/>
              <w:bottom w:val="nil"/>
              <w:right w:val="single" w:sz="4" w:space="0" w:color="auto"/>
            </w:tcBorders>
          </w:tcPr>
          <w:p w14:paraId="0FCF374B"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1.4</w:t>
            </w:r>
          </w:p>
        </w:tc>
        <w:tc>
          <w:tcPr>
            <w:tcW w:w="850" w:type="dxa"/>
            <w:tcBorders>
              <w:top w:val="nil"/>
              <w:left w:val="single" w:sz="4" w:space="0" w:color="auto"/>
              <w:bottom w:val="nil"/>
              <w:right w:val="single" w:sz="4" w:space="0" w:color="auto"/>
            </w:tcBorders>
          </w:tcPr>
          <w:p w14:paraId="1B88EB20" w14:textId="77777777" w:rsidR="00726C45" w:rsidRPr="00F37A41" w:rsidRDefault="00726C45" w:rsidP="00A37677">
            <w:pPr>
              <w:spacing w:before="0" w:line="240" w:lineRule="auto"/>
              <w:jc w:val="right"/>
              <w:rPr>
                <w:rFonts w:cs="Segoe UI"/>
                <w:sz w:val="16"/>
                <w:szCs w:val="16"/>
              </w:rPr>
            </w:pPr>
            <w:r>
              <w:rPr>
                <w:rFonts w:cs="Segoe UI"/>
                <w:sz w:val="16"/>
                <w:szCs w:val="16"/>
              </w:rPr>
              <w:t>1.9</w:t>
            </w:r>
          </w:p>
        </w:tc>
        <w:tc>
          <w:tcPr>
            <w:tcW w:w="567" w:type="dxa"/>
            <w:tcBorders>
              <w:top w:val="nil"/>
              <w:left w:val="single" w:sz="4" w:space="0" w:color="auto"/>
              <w:bottom w:val="nil"/>
              <w:right w:val="single" w:sz="4" w:space="0" w:color="auto"/>
            </w:tcBorders>
          </w:tcPr>
          <w:p w14:paraId="6EB0EAE9" w14:textId="77777777" w:rsidR="00726C45" w:rsidRPr="00F37A41" w:rsidRDefault="00726C45" w:rsidP="00A37677">
            <w:pPr>
              <w:spacing w:before="0" w:line="240" w:lineRule="auto"/>
              <w:jc w:val="right"/>
              <w:rPr>
                <w:rFonts w:cs="Segoe UI"/>
                <w:sz w:val="16"/>
                <w:szCs w:val="16"/>
              </w:rPr>
            </w:pPr>
            <w:r>
              <w:rPr>
                <w:rFonts w:cs="Segoe UI"/>
                <w:sz w:val="16"/>
                <w:szCs w:val="16"/>
              </w:rPr>
              <w:t>1.3</w:t>
            </w:r>
          </w:p>
        </w:tc>
        <w:tc>
          <w:tcPr>
            <w:tcW w:w="709" w:type="dxa"/>
            <w:tcBorders>
              <w:top w:val="nil"/>
              <w:left w:val="single" w:sz="4" w:space="0" w:color="auto"/>
              <w:bottom w:val="nil"/>
              <w:right w:val="single" w:sz="4" w:space="0" w:color="auto"/>
            </w:tcBorders>
          </w:tcPr>
          <w:p w14:paraId="1430E701" w14:textId="77777777" w:rsidR="00726C45" w:rsidRDefault="00726C45" w:rsidP="00A37677">
            <w:pPr>
              <w:spacing w:before="0" w:line="240" w:lineRule="auto"/>
              <w:jc w:val="right"/>
              <w:rPr>
                <w:rFonts w:cs="Segoe UI"/>
                <w:sz w:val="16"/>
                <w:szCs w:val="16"/>
              </w:rPr>
            </w:pPr>
            <w:r>
              <w:rPr>
                <w:rFonts w:cs="Segoe UI"/>
                <w:sz w:val="16"/>
                <w:szCs w:val="16"/>
              </w:rPr>
              <w:t>0.4</w:t>
            </w:r>
          </w:p>
        </w:tc>
        <w:tc>
          <w:tcPr>
            <w:tcW w:w="1133" w:type="dxa"/>
            <w:tcBorders>
              <w:top w:val="nil"/>
              <w:left w:val="single" w:sz="4" w:space="0" w:color="auto"/>
              <w:bottom w:val="nil"/>
              <w:right w:val="single" w:sz="4" w:space="0" w:color="auto"/>
            </w:tcBorders>
          </w:tcPr>
          <w:p w14:paraId="331ADCAB" w14:textId="77777777" w:rsidR="00726C45" w:rsidRDefault="00726C45" w:rsidP="00A37677">
            <w:pPr>
              <w:spacing w:before="0" w:line="240" w:lineRule="auto"/>
              <w:jc w:val="right"/>
              <w:rPr>
                <w:rFonts w:cs="Segoe UI"/>
                <w:sz w:val="16"/>
                <w:szCs w:val="16"/>
              </w:rPr>
            </w:pPr>
            <w:r>
              <w:rPr>
                <w:rFonts w:cs="Segoe UI"/>
                <w:sz w:val="16"/>
                <w:szCs w:val="16"/>
              </w:rPr>
              <w:t>93.8</w:t>
            </w:r>
          </w:p>
        </w:tc>
      </w:tr>
      <w:tr w:rsidR="00726C45" w:rsidRPr="00BD6DBC" w14:paraId="2D7BDB74" w14:textId="77777777" w:rsidTr="00A37677">
        <w:tc>
          <w:tcPr>
            <w:tcW w:w="1418" w:type="dxa"/>
            <w:tcBorders>
              <w:top w:val="nil"/>
              <w:left w:val="single" w:sz="4" w:space="0" w:color="auto"/>
              <w:bottom w:val="nil"/>
              <w:right w:val="single" w:sz="4" w:space="0" w:color="auto"/>
            </w:tcBorders>
            <w:vAlign w:val="bottom"/>
          </w:tcPr>
          <w:p w14:paraId="440C5DEA"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Switzerland</w:t>
            </w:r>
          </w:p>
        </w:tc>
        <w:tc>
          <w:tcPr>
            <w:tcW w:w="709" w:type="dxa"/>
            <w:tcBorders>
              <w:top w:val="nil"/>
              <w:left w:val="single" w:sz="4" w:space="0" w:color="auto"/>
              <w:bottom w:val="nil"/>
              <w:right w:val="single" w:sz="4" w:space="0" w:color="auto"/>
            </w:tcBorders>
          </w:tcPr>
          <w:p w14:paraId="297BAC48" w14:textId="77777777" w:rsidR="00726C45" w:rsidRPr="00BD6DBC" w:rsidRDefault="00726C45" w:rsidP="00A37677">
            <w:pPr>
              <w:spacing w:before="0" w:line="240" w:lineRule="auto"/>
              <w:jc w:val="right"/>
              <w:rPr>
                <w:rFonts w:cs="Segoe UI"/>
                <w:sz w:val="16"/>
                <w:szCs w:val="16"/>
              </w:rPr>
            </w:pPr>
            <w:r>
              <w:rPr>
                <w:rFonts w:cs="Segoe UI"/>
                <w:sz w:val="16"/>
                <w:szCs w:val="16"/>
              </w:rPr>
              <w:t>2.6</w:t>
            </w:r>
          </w:p>
        </w:tc>
        <w:tc>
          <w:tcPr>
            <w:tcW w:w="708" w:type="dxa"/>
            <w:tcBorders>
              <w:top w:val="nil"/>
              <w:left w:val="single" w:sz="4" w:space="0" w:color="auto"/>
              <w:bottom w:val="nil"/>
              <w:right w:val="single" w:sz="4" w:space="0" w:color="auto"/>
            </w:tcBorders>
          </w:tcPr>
          <w:p w14:paraId="088D0A92" w14:textId="77777777" w:rsidR="00726C45" w:rsidRPr="00BD6DBC" w:rsidRDefault="00726C45" w:rsidP="00A37677">
            <w:pPr>
              <w:spacing w:before="0" w:line="240" w:lineRule="auto"/>
              <w:jc w:val="right"/>
              <w:rPr>
                <w:rFonts w:cs="Segoe UI"/>
                <w:sz w:val="16"/>
                <w:szCs w:val="16"/>
              </w:rPr>
            </w:pPr>
            <w:r>
              <w:rPr>
                <w:rFonts w:cs="Segoe UI"/>
                <w:sz w:val="16"/>
                <w:szCs w:val="16"/>
              </w:rPr>
              <w:t>3.1</w:t>
            </w:r>
          </w:p>
        </w:tc>
        <w:tc>
          <w:tcPr>
            <w:tcW w:w="993" w:type="dxa"/>
            <w:tcBorders>
              <w:top w:val="nil"/>
              <w:left w:val="single" w:sz="4" w:space="0" w:color="auto"/>
              <w:bottom w:val="nil"/>
              <w:right w:val="single" w:sz="4" w:space="0" w:color="auto"/>
            </w:tcBorders>
          </w:tcPr>
          <w:p w14:paraId="25DB304C"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567" w:type="dxa"/>
            <w:tcBorders>
              <w:top w:val="nil"/>
              <w:left w:val="single" w:sz="4" w:space="0" w:color="auto"/>
              <w:bottom w:val="nil"/>
              <w:right w:val="single" w:sz="4" w:space="0" w:color="auto"/>
            </w:tcBorders>
            <w:vAlign w:val="bottom"/>
          </w:tcPr>
          <w:p w14:paraId="64D8A25B" w14:textId="77777777" w:rsidR="00726C45" w:rsidRPr="00BD6DBC" w:rsidRDefault="00726C45" w:rsidP="00A37677">
            <w:pPr>
              <w:spacing w:before="0" w:line="240" w:lineRule="auto"/>
              <w:jc w:val="right"/>
              <w:rPr>
                <w:rFonts w:cs="Segoe UI"/>
                <w:sz w:val="16"/>
                <w:szCs w:val="16"/>
              </w:rPr>
            </w:pPr>
            <w:r>
              <w:rPr>
                <w:rFonts w:cs="Segoe UI"/>
                <w:sz w:val="16"/>
                <w:szCs w:val="16"/>
              </w:rPr>
              <w:t>1.9</w:t>
            </w:r>
          </w:p>
        </w:tc>
        <w:tc>
          <w:tcPr>
            <w:tcW w:w="708" w:type="dxa"/>
            <w:tcBorders>
              <w:top w:val="nil"/>
              <w:left w:val="single" w:sz="4" w:space="0" w:color="auto"/>
              <w:bottom w:val="nil"/>
              <w:right w:val="single" w:sz="4" w:space="0" w:color="auto"/>
            </w:tcBorders>
          </w:tcPr>
          <w:p w14:paraId="65D97996" w14:textId="77777777" w:rsidR="00726C45" w:rsidRPr="00BD6DBC" w:rsidRDefault="00726C45" w:rsidP="00A37677">
            <w:pPr>
              <w:spacing w:before="0" w:line="240" w:lineRule="auto"/>
              <w:jc w:val="right"/>
              <w:rPr>
                <w:rFonts w:cs="Segoe UI"/>
                <w:sz w:val="16"/>
                <w:szCs w:val="16"/>
              </w:rPr>
            </w:pPr>
            <w:r>
              <w:rPr>
                <w:rFonts w:cs="Segoe UI"/>
                <w:sz w:val="16"/>
                <w:szCs w:val="16"/>
              </w:rPr>
              <w:t>3.4</w:t>
            </w:r>
          </w:p>
        </w:tc>
        <w:tc>
          <w:tcPr>
            <w:tcW w:w="993" w:type="dxa"/>
            <w:tcBorders>
              <w:top w:val="nil"/>
              <w:left w:val="single" w:sz="4" w:space="0" w:color="auto"/>
              <w:bottom w:val="nil"/>
              <w:right w:val="single" w:sz="4" w:space="0" w:color="auto"/>
            </w:tcBorders>
          </w:tcPr>
          <w:p w14:paraId="631A6B59" w14:textId="77777777" w:rsidR="00726C45" w:rsidRPr="00BD6DBC" w:rsidRDefault="00726C45" w:rsidP="00A37677">
            <w:pPr>
              <w:spacing w:before="0" w:line="240" w:lineRule="auto"/>
              <w:jc w:val="right"/>
              <w:rPr>
                <w:rFonts w:cs="Segoe UI"/>
                <w:sz w:val="16"/>
                <w:szCs w:val="16"/>
              </w:rPr>
            </w:pPr>
            <w:r>
              <w:rPr>
                <w:rFonts w:cs="Segoe UI"/>
                <w:sz w:val="16"/>
                <w:szCs w:val="16"/>
              </w:rPr>
              <w:t>2.4</w:t>
            </w:r>
          </w:p>
        </w:tc>
        <w:tc>
          <w:tcPr>
            <w:tcW w:w="992" w:type="dxa"/>
            <w:tcBorders>
              <w:top w:val="nil"/>
              <w:left w:val="single" w:sz="4" w:space="0" w:color="auto"/>
              <w:bottom w:val="nil"/>
              <w:right w:val="single" w:sz="4" w:space="0" w:color="auto"/>
            </w:tcBorders>
          </w:tcPr>
          <w:p w14:paraId="079518D7"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4.5</w:t>
            </w:r>
          </w:p>
        </w:tc>
        <w:tc>
          <w:tcPr>
            <w:tcW w:w="850" w:type="dxa"/>
            <w:tcBorders>
              <w:top w:val="nil"/>
              <w:left w:val="single" w:sz="4" w:space="0" w:color="auto"/>
              <w:bottom w:val="nil"/>
              <w:right w:val="single" w:sz="4" w:space="0" w:color="auto"/>
            </w:tcBorders>
          </w:tcPr>
          <w:p w14:paraId="7DE6ABF8" w14:textId="77777777" w:rsidR="00726C45" w:rsidRPr="00F37A41" w:rsidRDefault="00726C45" w:rsidP="00A37677">
            <w:pPr>
              <w:spacing w:before="0" w:line="240" w:lineRule="auto"/>
              <w:jc w:val="right"/>
              <w:rPr>
                <w:rFonts w:cs="Segoe UI"/>
                <w:sz w:val="16"/>
                <w:szCs w:val="16"/>
              </w:rPr>
            </w:pPr>
            <w:r>
              <w:rPr>
                <w:rFonts w:cs="Segoe UI"/>
                <w:sz w:val="16"/>
                <w:szCs w:val="16"/>
              </w:rPr>
              <w:t>2.7</w:t>
            </w:r>
          </w:p>
        </w:tc>
        <w:tc>
          <w:tcPr>
            <w:tcW w:w="567" w:type="dxa"/>
            <w:tcBorders>
              <w:top w:val="nil"/>
              <w:left w:val="single" w:sz="4" w:space="0" w:color="auto"/>
              <w:bottom w:val="nil"/>
              <w:right w:val="single" w:sz="4" w:space="0" w:color="auto"/>
            </w:tcBorders>
          </w:tcPr>
          <w:p w14:paraId="15604E52" w14:textId="77777777" w:rsidR="00726C45" w:rsidRPr="00F37A41" w:rsidRDefault="00726C45" w:rsidP="00A37677">
            <w:pPr>
              <w:spacing w:before="0" w:line="240" w:lineRule="auto"/>
              <w:jc w:val="right"/>
              <w:rPr>
                <w:rFonts w:cs="Segoe UI"/>
                <w:sz w:val="16"/>
                <w:szCs w:val="16"/>
              </w:rPr>
            </w:pPr>
            <w:r>
              <w:rPr>
                <w:rFonts w:cs="Segoe UI"/>
                <w:sz w:val="16"/>
                <w:szCs w:val="16"/>
              </w:rPr>
              <w:t>1.1</w:t>
            </w:r>
          </w:p>
        </w:tc>
        <w:tc>
          <w:tcPr>
            <w:tcW w:w="709" w:type="dxa"/>
            <w:tcBorders>
              <w:top w:val="nil"/>
              <w:left w:val="single" w:sz="4" w:space="0" w:color="auto"/>
              <w:bottom w:val="nil"/>
              <w:right w:val="single" w:sz="4" w:space="0" w:color="auto"/>
            </w:tcBorders>
          </w:tcPr>
          <w:p w14:paraId="2AA951C5" w14:textId="77777777" w:rsidR="00726C45" w:rsidRDefault="00726C45" w:rsidP="00A37677">
            <w:pPr>
              <w:spacing w:before="0" w:line="240" w:lineRule="auto"/>
              <w:jc w:val="right"/>
              <w:rPr>
                <w:rFonts w:cs="Segoe UI"/>
                <w:sz w:val="16"/>
                <w:szCs w:val="16"/>
              </w:rPr>
            </w:pPr>
            <w:r>
              <w:rPr>
                <w:rFonts w:cs="Segoe UI"/>
                <w:sz w:val="16"/>
                <w:szCs w:val="16"/>
              </w:rPr>
              <w:t>1.2</w:t>
            </w:r>
          </w:p>
        </w:tc>
        <w:tc>
          <w:tcPr>
            <w:tcW w:w="1133" w:type="dxa"/>
            <w:tcBorders>
              <w:top w:val="nil"/>
              <w:left w:val="single" w:sz="4" w:space="0" w:color="auto"/>
              <w:bottom w:val="nil"/>
              <w:right w:val="single" w:sz="4" w:space="0" w:color="auto"/>
            </w:tcBorders>
          </w:tcPr>
          <w:p w14:paraId="3CB2ABF6" w14:textId="77777777" w:rsidR="00726C45" w:rsidRDefault="00726C45" w:rsidP="00A37677">
            <w:pPr>
              <w:spacing w:before="0" w:line="240" w:lineRule="auto"/>
              <w:jc w:val="right"/>
              <w:rPr>
                <w:rFonts w:cs="Segoe UI"/>
                <w:sz w:val="16"/>
                <w:szCs w:val="16"/>
              </w:rPr>
            </w:pPr>
            <w:r>
              <w:rPr>
                <w:rFonts w:cs="Segoe UI"/>
                <w:sz w:val="16"/>
                <w:szCs w:val="16"/>
              </w:rPr>
              <w:t>90.7</w:t>
            </w:r>
          </w:p>
        </w:tc>
      </w:tr>
      <w:tr w:rsidR="00726C45" w:rsidRPr="00BD6DBC" w14:paraId="45079C41" w14:textId="77777777" w:rsidTr="00A37677">
        <w:tc>
          <w:tcPr>
            <w:tcW w:w="1418" w:type="dxa"/>
            <w:tcBorders>
              <w:top w:val="nil"/>
              <w:left w:val="single" w:sz="4" w:space="0" w:color="auto"/>
              <w:bottom w:val="nil"/>
              <w:right w:val="single" w:sz="4" w:space="0" w:color="auto"/>
            </w:tcBorders>
            <w:vAlign w:val="bottom"/>
          </w:tcPr>
          <w:p w14:paraId="039EB7E0"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Thailand</w:t>
            </w:r>
          </w:p>
        </w:tc>
        <w:tc>
          <w:tcPr>
            <w:tcW w:w="709" w:type="dxa"/>
            <w:tcBorders>
              <w:top w:val="nil"/>
              <w:left w:val="single" w:sz="4" w:space="0" w:color="auto"/>
              <w:bottom w:val="nil"/>
              <w:right w:val="single" w:sz="4" w:space="0" w:color="auto"/>
            </w:tcBorders>
          </w:tcPr>
          <w:p w14:paraId="7B00D1D5" w14:textId="77777777" w:rsidR="00726C45" w:rsidRPr="00BD6DBC" w:rsidRDefault="00726C45" w:rsidP="00A37677">
            <w:pPr>
              <w:spacing w:before="0" w:line="240" w:lineRule="auto"/>
              <w:jc w:val="right"/>
              <w:rPr>
                <w:rFonts w:cs="Segoe UI"/>
                <w:sz w:val="16"/>
                <w:szCs w:val="16"/>
              </w:rPr>
            </w:pPr>
            <w:r>
              <w:rPr>
                <w:rFonts w:cs="Segoe UI"/>
                <w:sz w:val="16"/>
                <w:szCs w:val="16"/>
              </w:rPr>
              <w:t>0.3</w:t>
            </w:r>
          </w:p>
        </w:tc>
        <w:tc>
          <w:tcPr>
            <w:tcW w:w="708" w:type="dxa"/>
            <w:tcBorders>
              <w:top w:val="nil"/>
              <w:left w:val="single" w:sz="4" w:space="0" w:color="auto"/>
              <w:bottom w:val="nil"/>
              <w:right w:val="single" w:sz="4" w:space="0" w:color="auto"/>
            </w:tcBorders>
          </w:tcPr>
          <w:p w14:paraId="697EC0D4" w14:textId="77777777" w:rsidR="00726C45" w:rsidRPr="00BD6DBC" w:rsidRDefault="00726C45" w:rsidP="00A37677">
            <w:pPr>
              <w:spacing w:before="0" w:line="240" w:lineRule="auto"/>
              <w:jc w:val="right"/>
              <w:rPr>
                <w:rFonts w:cs="Segoe UI"/>
                <w:sz w:val="16"/>
                <w:szCs w:val="16"/>
              </w:rPr>
            </w:pPr>
            <w:r>
              <w:rPr>
                <w:rFonts w:cs="Segoe UI"/>
                <w:sz w:val="16"/>
                <w:szCs w:val="16"/>
              </w:rPr>
              <w:t>0.3</w:t>
            </w:r>
          </w:p>
        </w:tc>
        <w:tc>
          <w:tcPr>
            <w:tcW w:w="993" w:type="dxa"/>
            <w:tcBorders>
              <w:top w:val="nil"/>
              <w:left w:val="single" w:sz="4" w:space="0" w:color="auto"/>
              <w:bottom w:val="nil"/>
              <w:right w:val="single" w:sz="4" w:space="0" w:color="auto"/>
            </w:tcBorders>
          </w:tcPr>
          <w:p w14:paraId="3EB866F3" w14:textId="77777777" w:rsidR="00726C45" w:rsidRPr="00BD6DBC" w:rsidRDefault="00726C45" w:rsidP="00A37677">
            <w:pPr>
              <w:spacing w:before="0" w:line="240" w:lineRule="auto"/>
              <w:jc w:val="right"/>
              <w:rPr>
                <w:rFonts w:cs="Segoe UI"/>
                <w:sz w:val="16"/>
                <w:szCs w:val="16"/>
              </w:rPr>
            </w:pPr>
            <w:r>
              <w:rPr>
                <w:rFonts w:cs="Segoe UI"/>
                <w:sz w:val="16"/>
                <w:szCs w:val="16"/>
              </w:rPr>
              <w:t>0.6</w:t>
            </w:r>
          </w:p>
        </w:tc>
        <w:tc>
          <w:tcPr>
            <w:tcW w:w="567" w:type="dxa"/>
            <w:tcBorders>
              <w:top w:val="nil"/>
              <w:left w:val="single" w:sz="4" w:space="0" w:color="auto"/>
              <w:bottom w:val="nil"/>
              <w:right w:val="single" w:sz="4" w:space="0" w:color="auto"/>
            </w:tcBorders>
            <w:vAlign w:val="bottom"/>
          </w:tcPr>
          <w:p w14:paraId="43523B43" w14:textId="77777777" w:rsidR="00726C45" w:rsidRPr="00BD6DBC" w:rsidRDefault="00726C45" w:rsidP="00A37677">
            <w:pPr>
              <w:spacing w:before="0" w:line="240" w:lineRule="auto"/>
              <w:jc w:val="right"/>
              <w:rPr>
                <w:rFonts w:cs="Segoe UI"/>
                <w:sz w:val="16"/>
                <w:szCs w:val="16"/>
              </w:rPr>
            </w:pPr>
            <w:r>
              <w:rPr>
                <w:rFonts w:cs="Segoe UI"/>
                <w:sz w:val="16"/>
                <w:szCs w:val="16"/>
              </w:rPr>
              <w:t>0.3</w:t>
            </w:r>
          </w:p>
        </w:tc>
        <w:tc>
          <w:tcPr>
            <w:tcW w:w="708" w:type="dxa"/>
            <w:tcBorders>
              <w:top w:val="nil"/>
              <w:left w:val="single" w:sz="4" w:space="0" w:color="auto"/>
              <w:bottom w:val="nil"/>
              <w:right w:val="single" w:sz="4" w:space="0" w:color="auto"/>
            </w:tcBorders>
          </w:tcPr>
          <w:p w14:paraId="44B86204" w14:textId="77777777" w:rsidR="00726C45" w:rsidRPr="00BD6DBC" w:rsidRDefault="00726C45" w:rsidP="00A37677">
            <w:pPr>
              <w:spacing w:before="0" w:line="240" w:lineRule="auto"/>
              <w:jc w:val="right"/>
              <w:rPr>
                <w:rFonts w:cs="Segoe UI"/>
                <w:sz w:val="16"/>
                <w:szCs w:val="16"/>
              </w:rPr>
            </w:pPr>
            <w:r>
              <w:rPr>
                <w:rFonts w:cs="Segoe UI"/>
                <w:sz w:val="16"/>
                <w:szCs w:val="16"/>
              </w:rPr>
              <w:t>0.3</w:t>
            </w:r>
          </w:p>
        </w:tc>
        <w:tc>
          <w:tcPr>
            <w:tcW w:w="993" w:type="dxa"/>
            <w:tcBorders>
              <w:top w:val="nil"/>
              <w:left w:val="single" w:sz="4" w:space="0" w:color="auto"/>
              <w:bottom w:val="nil"/>
              <w:right w:val="single" w:sz="4" w:space="0" w:color="auto"/>
            </w:tcBorders>
          </w:tcPr>
          <w:p w14:paraId="709503C6" w14:textId="77777777" w:rsidR="00726C45" w:rsidRPr="00BD6DBC" w:rsidRDefault="00726C45" w:rsidP="00A37677">
            <w:pPr>
              <w:spacing w:before="0" w:line="240" w:lineRule="auto"/>
              <w:jc w:val="right"/>
              <w:rPr>
                <w:rFonts w:cs="Segoe UI"/>
                <w:sz w:val="16"/>
                <w:szCs w:val="16"/>
              </w:rPr>
            </w:pPr>
            <w:r>
              <w:rPr>
                <w:rFonts w:cs="Segoe UI"/>
                <w:sz w:val="16"/>
                <w:szCs w:val="16"/>
              </w:rPr>
              <w:t>0.5</w:t>
            </w:r>
          </w:p>
        </w:tc>
        <w:tc>
          <w:tcPr>
            <w:tcW w:w="992" w:type="dxa"/>
            <w:tcBorders>
              <w:top w:val="nil"/>
              <w:left w:val="single" w:sz="4" w:space="0" w:color="auto"/>
              <w:bottom w:val="nil"/>
              <w:right w:val="single" w:sz="4" w:space="0" w:color="auto"/>
            </w:tcBorders>
          </w:tcPr>
          <w:p w14:paraId="1FBEB858"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0.3</w:t>
            </w:r>
          </w:p>
        </w:tc>
        <w:tc>
          <w:tcPr>
            <w:tcW w:w="850" w:type="dxa"/>
            <w:tcBorders>
              <w:top w:val="nil"/>
              <w:left w:val="single" w:sz="4" w:space="0" w:color="auto"/>
              <w:bottom w:val="nil"/>
              <w:right w:val="single" w:sz="4" w:space="0" w:color="auto"/>
            </w:tcBorders>
          </w:tcPr>
          <w:p w14:paraId="72B2D3B8" w14:textId="77777777" w:rsidR="00726C45" w:rsidRPr="00F37A41" w:rsidRDefault="00726C45" w:rsidP="00A37677">
            <w:pPr>
              <w:spacing w:before="0" w:line="240" w:lineRule="auto"/>
              <w:jc w:val="right"/>
              <w:rPr>
                <w:rFonts w:cs="Segoe UI"/>
                <w:sz w:val="16"/>
                <w:szCs w:val="16"/>
              </w:rPr>
            </w:pPr>
            <w:r>
              <w:rPr>
                <w:rFonts w:cs="Segoe UI"/>
                <w:sz w:val="16"/>
                <w:szCs w:val="16"/>
              </w:rPr>
              <w:t>0.6</w:t>
            </w:r>
          </w:p>
        </w:tc>
        <w:tc>
          <w:tcPr>
            <w:tcW w:w="567" w:type="dxa"/>
            <w:tcBorders>
              <w:top w:val="nil"/>
              <w:left w:val="single" w:sz="4" w:space="0" w:color="auto"/>
              <w:bottom w:val="nil"/>
              <w:right w:val="single" w:sz="4" w:space="0" w:color="auto"/>
            </w:tcBorders>
          </w:tcPr>
          <w:p w14:paraId="51712C2F" w14:textId="77777777" w:rsidR="00726C45" w:rsidRPr="00F37A41" w:rsidRDefault="00726C45" w:rsidP="00A37677">
            <w:pPr>
              <w:spacing w:before="0" w:line="240" w:lineRule="auto"/>
              <w:jc w:val="right"/>
              <w:rPr>
                <w:rFonts w:cs="Segoe UI"/>
                <w:sz w:val="16"/>
                <w:szCs w:val="16"/>
              </w:rPr>
            </w:pPr>
            <w:r>
              <w:rPr>
                <w:rFonts w:cs="Segoe UI"/>
                <w:sz w:val="16"/>
                <w:szCs w:val="16"/>
              </w:rPr>
              <w:t>0.2</w:t>
            </w:r>
          </w:p>
        </w:tc>
        <w:tc>
          <w:tcPr>
            <w:tcW w:w="709" w:type="dxa"/>
            <w:tcBorders>
              <w:top w:val="nil"/>
              <w:left w:val="single" w:sz="4" w:space="0" w:color="auto"/>
              <w:bottom w:val="nil"/>
              <w:right w:val="single" w:sz="4" w:space="0" w:color="auto"/>
            </w:tcBorders>
          </w:tcPr>
          <w:p w14:paraId="7DB8E81A" w14:textId="77777777" w:rsidR="00726C45" w:rsidRDefault="00726C45" w:rsidP="00A37677">
            <w:pPr>
              <w:spacing w:before="0" w:line="240" w:lineRule="auto"/>
              <w:jc w:val="right"/>
              <w:rPr>
                <w:rFonts w:cs="Segoe UI"/>
                <w:sz w:val="16"/>
                <w:szCs w:val="16"/>
              </w:rPr>
            </w:pPr>
            <w:r>
              <w:rPr>
                <w:rFonts w:cs="Segoe UI"/>
                <w:sz w:val="16"/>
                <w:szCs w:val="16"/>
              </w:rPr>
              <w:t>0.3</w:t>
            </w:r>
          </w:p>
        </w:tc>
        <w:tc>
          <w:tcPr>
            <w:tcW w:w="1133" w:type="dxa"/>
            <w:tcBorders>
              <w:top w:val="nil"/>
              <w:left w:val="single" w:sz="4" w:space="0" w:color="auto"/>
              <w:bottom w:val="nil"/>
              <w:right w:val="single" w:sz="4" w:space="0" w:color="auto"/>
            </w:tcBorders>
          </w:tcPr>
          <w:p w14:paraId="39AD3644" w14:textId="77777777" w:rsidR="00726C45" w:rsidRDefault="00726C45" w:rsidP="00A37677">
            <w:pPr>
              <w:spacing w:before="0" w:line="240" w:lineRule="auto"/>
              <w:jc w:val="right"/>
              <w:rPr>
                <w:rFonts w:cs="Segoe UI"/>
                <w:sz w:val="16"/>
                <w:szCs w:val="16"/>
              </w:rPr>
            </w:pPr>
            <w:r>
              <w:rPr>
                <w:rFonts w:cs="Segoe UI"/>
                <w:sz w:val="16"/>
                <w:szCs w:val="16"/>
              </w:rPr>
              <w:t>98.1</w:t>
            </w:r>
          </w:p>
        </w:tc>
      </w:tr>
      <w:tr w:rsidR="00726C45" w:rsidRPr="00BD6DBC" w14:paraId="31EC5662" w14:textId="77777777" w:rsidTr="00A37677">
        <w:tc>
          <w:tcPr>
            <w:tcW w:w="1418" w:type="dxa"/>
            <w:tcBorders>
              <w:top w:val="nil"/>
              <w:left w:val="single" w:sz="4" w:space="0" w:color="auto"/>
              <w:bottom w:val="nil"/>
              <w:right w:val="single" w:sz="4" w:space="0" w:color="auto"/>
            </w:tcBorders>
            <w:vAlign w:val="bottom"/>
          </w:tcPr>
          <w:p w14:paraId="50024360"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Trin. &amp; Tobago</w:t>
            </w:r>
          </w:p>
        </w:tc>
        <w:tc>
          <w:tcPr>
            <w:tcW w:w="709" w:type="dxa"/>
            <w:tcBorders>
              <w:top w:val="nil"/>
              <w:left w:val="single" w:sz="4" w:space="0" w:color="auto"/>
              <w:bottom w:val="nil"/>
              <w:right w:val="single" w:sz="4" w:space="0" w:color="auto"/>
            </w:tcBorders>
            <w:vAlign w:val="bottom"/>
          </w:tcPr>
          <w:p w14:paraId="01DFAAF2" w14:textId="77777777" w:rsidR="00726C45" w:rsidRPr="00BD6DBC" w:rsidRDefault="00726C45" w:rsidP="00A37677">
            <w:pPr>
              <w:spacing w:before="0" w:line="240" w:lineRule="auto"/>
              <w:jc w:val="right"/>
              <w:rPr>
                <w:rFonts w:cs="Segoe UI"/>
                <w:sz w:val="16"/>
                <w:szCs w:val="16"/>
              </w:rPr>
            </w:pPr>
            <w:r>
              <w:rPr>
                <w:rFonts w:cs="Segoe UI"/>
                <w:sz w:val="16"/>
                <w:szCs w:val="16"/>
              </w:rPr>
              <w:t>0.9</w:t>
            </w:r>
          </w:p>
        </w:tc>
        <w:tc>
          <w:tcPr>
            <w:tcW w:w="708" w:type="dxa"/>
            <w:tcBorders>
              <w:top w:val="nil"/>
              <w:left w:val="single" w:sz="4" w:space="0" w:color="auto"/>
              <w:bottom w:val="nil"/>
              <w:right w:val="single" w:sz="4" w:space="0" w:color="auto"/>
            </w:tcBorders>
            <w:vAlign w:val="bottom"/>
          </w:tcPr>
          <w:p w14:paraId="7CADBD0F"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993" w:type="dxa"/>
            <w:tcBorders>
              <w:top w:val="nil"/>
              <w:left w:val="single" w:sz="4" w:space="0" w:color="auto"/>
              <w:bottom w:val="nil"/>
              <w:right w:val="single" w:sz="4" w:space="0" w:color="auto"/>
            </w:tcBorders>
            <w:vAlign w:val="bottom"/>
          </w:tcPr>
          <w:p w14:paraId="303ADCAB" w14:textId="77777777" w:rsidR="00726C45" w:rsidRPr="00BD6DBC" w:rsidRDefault="00726C45" w:rsidP="00A37677">
            <w:pPr>
              <w:spacing w:before="0" w:line="240" w:lineRule="auto"/>
              <w:jc w:val="right"/>
              <w:rPr>
                <w:rFonts w:cs="Segoe UI"/>
                <w:sz w:val="16"/>
                <w:szCs w:val="16"/>
              </w:rPr>
            </w:pPr>
            <w:r>
              <w:rPr>
                <w:rFonts w:cs="Segoe UI"/>
                <w:sz w:val="16"/>
                <w:szCs w:val="16"/>
              </w:rPr>
              <w:t>1.2</w:t>
            </w:r>
          </w:p>
        </w:tc>
        <w:tc>
          <w:tcPr>
            <w:tcW w:w="567" w:type="dxa"/>
            <w:tcBorders>
              <w:top w:val="nil"/>
              <w:left w:val="single" w:sz="4" w:space="0" w:color="auto"/>
              <w:bottom w:val="nil"/>
              <w:right w:val="single" w:sz="4" w:space="0" w:color="auto"/>
            </w:tcBorders>
            <w:vAlign w:val="bottom"/>
          </w:tcPr>
          <w:p w14:paraId="5D304C09" w14:textId="77777777" w:rsidR="00726C45" w:rsidRPr="00BD6DBC" w:rsidRDefault="00726C45" w:rsidP="00A37677">
            <w:pPr>
              <w:spacing w:before="0" w:line="240" w:lineRule="auto"/>
              <w:jc w:val="right"/>
              <w:rPr>
                <w:rFonts w:cs="Segoe UI"/>
                <w:sz w:val="16"/>
                <w:szCs w:val="16"/>
              </w:rPr>
            </w:pPr>
            <w:r>
              <w:rPr>
                <w:rFonts w:cs="Segoe UI"/>
                <w:sz w:val="16"/>
                <w:szCs w:val="16"/>
              </w:rPr>
              <w:t>1.3</w:t>
            </w:r>
          </w:p>
        </w:tc>
        <w:tc>
          <w:tcPr>
            <w:tcW w:w="708" w:type="dxa"/>
            <w:tcBorders>
              <w:top w:val="nil"/>
              <w:left w:val="single" w:sz="4" w:space="0" w:color="auto"/>
              <w:bottom w:val="nil"/>
              <w:right w:val="single" w:sz="4" w:space="0" w:color="auto"/>
            </w:tcBorders>
            <w:vAlign w:val="bottom"/>
          </w:tcPr>
          <w:p w14:paraId="20E1CCCA"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993" w:type="dxa"/>
            <w:tcBorders>
              <w:top w:val="nil"/>
              <w:left w:val="single" w:sz="4" w:space="0" w:color="auto"/>
              <w:bottom w:val="nil"/>
              <w:right w:val="single" w:sz="4" w:space="0" w:color="auto"/>
            </w:tcBorders>
            <w:vAlign w:val="bottom"/>
          </w:tcPr>
          <w:p w14:paraId="117A1ADB" w14:textId="77777777" w:rsidR="00726C45" w:rsidRPr="00BD6DBC" w:rsidRDefault="00726C45" w:rsidP="00A37677">
            <w:pPr>
              <w:spacing w:before="0" w:line="240" w:lineRule="auto"/>
              <w:jc w:val="right"/>
              <w:rPr>
                <w:rFonts w:cs="Segoe UI"/>
                <w:sz w:val="16"/>
                <w:szCs w:val="16"/>
              </w:rPr>
            </w:pPr>
            <w:r>
              <w:rPr>
                <w:rFonts w:cs="Segoe UI"/>
                <w:sz w:val="16"/>
                <w:szCs w:val="16"/>
              </w:rPr>
              <w:t>1.7</w:t>
            </w:r>
          </w:p>
        </w:tc>
        <w:tc>
          <w:tcPr>
            <w:tcW w:w="992" w:type="dxa"/>
            <w:tcBorders>
              <w:top w:val="nil"/>
              <w:left w:val="single" w:sz="4" w:space="0" w:color="auto"/>
              <w:bottom w:val="nil"/>
              <w:right w:val="single" w:sz="4" w:space="0" w:color="auto"/>
            </w:tcBorders>
          </w:tcPr>
          <w:p w14:paraId="14650340"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1.1</w:t>
            </w:r>
          </w:p>
        </w:tc>
        <w:tc>
          <w:tcPr>
            <w:tcW w:w="850" w:type="dxa"/>
            <w:tcBorders>
              <w:top w:val="nil"/>
              <w:left w:val="single" w:sz="4" w:space="0" w:color="auto"/>
              <w:bottom w:val="nil"/>
              <w:right w:val="single" w:sz="4" w:space="0" w:color="auto"/>
            </w:tcBorders>
          </w:tcPr>
          <w:p w14:paraId="023A70DE" w14:textId="77777777" w:rsidR="00726C45" w:rsidRPr="00F37A41" w:rsidRDefault="00726C45" w:rsidP="00A37677">
            <w:pPr>
              <w:spacing w:before="0" w:line="240" w:lineRule="auto"/>
              <w:jc w:val="right"/>
              <w:rPr>
                <w:rFonts w:cs="Segoe UI"/>
                <w:sz w:val="16"/>
                <w:szCs w:val="16"/>
              </w:rPr>
            </w:pPr>
            <w:r>
              <w:rPr>
                <w:rFonts w:cs="Segoe UI"/>
                <w:sz w:val="16"/>
                <w:szCs w:val="16"/>
              </w:rPr>
              <w:t>0.6</w:t>
            </w:r>
          </w:p>
        </w:tc>
        <w:tc>
          <w:tcPr>
            <w:tcW w:w="567" w:type="dxa"/>
            <w:tcBorders>
              <w:top w:val="nil"/>
              <w:left w:val="single" w:sz="4" w:space="0" w:color="auto"/>
              <w:bottom w:val="nil"/>
              <w:right w:val="single" w:sz="4" w:space="0" w:color="auto"/>
            </w:tcBorders>
          </w:tcPr>
          <w:p w14:paraId="1708941F" w14:textId="77777777" w:rsidR="00726C45" w:rsidRPr="00F37A41" w:rsidRDefault="00726C45" w:rsidP="00A37677">
            <w:pPr>
              <w:spacing w:before="0" w:line="240" w:lineRule="auto"/>
              <w:jc w:val="right"/>
              <w:rPr>
                <w:rFonts w:cs="Segoe UI"/>
                <w:sz w:val="16"/>
                <w:szCs w:val="16"/>
              </w:rPr>
            </w:pPr>
            <w:r>
              <w:rPr>
                <w:rFonts w:cs="Segoe UI"/>
                <w:sz w:val="16"/>
                <w:szCs w:val="16"/>
              </w:rPr>
              <w:t>0.5</w:t>
            </w:r>
          </w:p>
        </w:tc>
        <w:tc>
          <w:tcPr>
            <w:tcW w:w="709" w:type="dxa"/>
            <w:tcBorders>
              <w:top w:val="nil"/>
              <w:left w:val="single" w:sz="4" w:space="0" w:color="auto"/>
              <w:bottom w:val="nil"/>
              <w:right w:val="single" w:sz="4" w:space="0" w:color="auto"/>
            </w:tcBorders>
          </w:tcPr>
          <w:p w14:paraId="3F2727D4" w14:textId="77777777" w:rsidR="00726C45" w:rsidRDefault="00726C45" w:rsidP="00A37677">
            <w:pPr>
              <w:spacing w:before="0" w:line="240" w:lineRule="auto"/>
              <w:jc w:val="right"/>
              <w:rPr>
                <w:rFonts w:cs="Segoe UI"/>
                <w:sz w:val="16"/>
                <w:szCs w:val="16"/>
              </w:rPr>
            </w:pPr>
            <w:r>
              <w:rPr>
                <w:rFonts w:cs="Segoe UI"/>
                <w:sz w:val="16"/>
                <w:szCs w:val="16"/>
              </w:rPr>
              <w:t>0.3</w:t>
            </w:r>
          </w:p>
        </w:tc>
        <w:tc>
          <w:tcPr>
            <w:tcW w:w="1133" w:type="dxa"/>
            <w:tcBorders>
              <w:top w:val="nil"/>
              <w:left w:val="single" w:sz="4" w:space="0" w:color="auto"/>
              <w:bottom w:val="nil"/>
              <w:right w:val="single" w:sz="4" w:space="0" w:color="auto"/>
            </w:tcBorders>
          </w:tcPr>
          <w:p w14:paraId="5C2FD431" w14:textId="77777777" w:rsidR="00726C45" w:rsidRDefault="00726C45" w:rsidP="00A37677">
            <w:pPr>
              <w:spacing w:before="0" w:line="240" w:lineRule="auto"/>
              <w:jc w:val="right"/>
              <w:rPr>
                <w:rFonts w:cs="Segoe UI"/>
                <w:sz w:val="16"/>
                <w:szCs w:val="16"/>
              </w:rPr>
            </w:pPr>
            <w:r>
              <w:rPr>
                <w:rFonts w:cs="Segoe UI"/>
                <w:sz w:val="16"/>
                <w:szCs w:val="16"/>
              </w:rPr>
              <w:t>92.4</w:t>
            </w:r>
          </w:p>
        </w:tc>
      </w:tr>
      <w:tr w:rsidR="00726C45" w:rsidRPr="00BD6DBC" w14:paraId="69E7AAB4" w14:textId="77777777" w:rsidTr="00A37677">
        <w:tc>
          <w:tcPr>
            <w:tcW w:w="1418" w:type="dxa"/>
            <w:tcBorders>
              <w:top w:val="nil"/>
              <w:left w:val="single" w:sz="4" w:space="0" w:color="auto"/>
              <w:bottom w:val="nil"/>
              <w:right w:val="single" w:sz="4" w:space="0" w:color="auto"/>
            </w:tcBorders>
            <w:vAlign w:val="bottom"/>
          </w:tcPr>
          <w:p w14:paraId="52BACDBC"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Turkey</w:t>
            </w:r>
          </w:p>
        </w:tc>
        <w:tc>
          <w:tcPr>
            <w:tcW w:w="709" w:type="dxa"/>
            <w:tcBorders>
              <w:top w:val="nil"/>
              <w:left w:val="single" w:sz="4" w:space="0" w:color="auto"/>
              <w:bottom w:val="nil"/>
              <w:right w:val="single" w:sz="4" w:space="0" w:color="auto"/>
            </w:tcBorders>
          </w:tcPr>
          <w:p w14:paraId="637380DB" w14:textId="77777777" w:rsidR="00726C45" w:rsidRPr="00BD6DBC" w:rsidRDefault="00726C45" w:rsidP="00A37677">
            <w:pPr>
              <w:spacing w:before="0" w:line="240" w:lineRule="auto"/>
              <w:jc w:val="right"/>
              <w:rPr>
                <w:rFonts w:cs="Segoe UI"/>
                <w:sz w:val="16"/>
                <w:szCs w:val="16"/>
              </w:rPr>
            </w:pPr>
            <w:r>
              <w:rPr>
                <w:rFonts w:cs="Segoe UI"/>
                <w:sz w:val="16"/>
                <w:szCs w:val="16"/>
              </w:rPr>
              <w:t>2.9</w:t>
            </w:r>
          </w:p>
        </w:tc>
        <w:tc>
          <w:tcPr>
            <w:tcW w:w="708" w:type="dxa"/>
            <w:tcBorders>
              <w:top w:val="nil"/>
              <w:left w:val="single" w:sz="4" w:space="0" w:color="auto"/>
              <w:bottom w:val="nil"/>
              <w:right w:val="single" w:sz="4" w:space="0" w:color="auto"/>
            </w:tcBorders>
          </w:tcPr>
          <w:p w14:paraId="61235069" w14:textId="77777777" w:rsidR="00726C45" w:rsidRPr="00BD6DBC" w:rsidRDefault="00726C45" w:rsidP="00A37677">
            <w:pPr>
              <w:spacing w:before="0" w:line="240" w:lineRule="auto"/>
              <w:jc w:val="right"/>
              <w:rPr>
                <w:rFonts w:cs="Segoe UI"/>
                <w:sz w:val="16"/>
                <w:szCs w:val="16"/>
              </w:rPr>
            </w:pPr>
            <w:r>
              <w:rPr>
                <w:rFonts w:cs="Segoe UI"/>
                <w:sz w:val="16"/>
                <w:szCs w:val="16"/>
              </w:rPr>
              <w:t>4.7</w:t>
            </w:r>
          </w:p>
        </w:tc>
        <w:tc>
          <w:tcPr>
            <w:tcW w:w="993" w:type="dxa"/>
            <w:tcBorders>
              <w:top w:val="nil"/>
              <w:left w:val="single" w:sz="4" w:space="0" w:color="auto"/>
              <w:bottom w:val="nil"/>
              <w:right w:val="single" w:sz="4" w:space="0" w:color="auto"/>
            </w:tcBorders>
          </w:tcPr>
          <w:p w14:paraId="22D0B9D7" w14:textId="77777777" w:rsidR="00726C45" w:rsidRPr="00BD6DBC" w:rsidRDefault="00726C45" w:rsidP="00A37677">
            <w:pPr>
              <w:spacing w:before="0" w:line="240" w:lineRule="auto"/>
              <w:jc w:val="right"/>
              <w:rPr>
                <w:rFonts w:cs="Segoe UI"/>
                <w:sz w:val="16"/>
                <w:szCs w:val="16"/>
              </w:rPr>
            </w:pPr>
            <w:r>
              <w:rPr>
                <w:rFonts w:cs="Segoe UI"/>
                <w:sz w:val="16"/>
                <w:szCs w:val="16"/>
              </w:rPr>
              <w:t>1.9</w:t>
            </w:r>
          </w:p>
        </w:tc>
        <w:tc>
          <w:tcPr>
            <w:tcW w:w="567" w:type="dxa"/>
            <w:tcBorders>
              <w:top w:val="nil"/>
              <w:left w:val="single" w:sz="4" w:space="0" w:color="auto"/>
              <w:bottom w:val="nil"/>
              <w:right w:val="single" w:sz="4" w:space="0" w:color="auto"/>
            </w:tcBorders>
            <w:vAlign w:val="bottom"/>
          </w:tcPr>
          <w:p w14:paraId="3C7643F3" w14:textId="77777777" w:rsidR="00726C45" w:rsidRPr="00BD6DBC" w:rsidRDefault="00726C45" w:rsidP="00A37677">
            <w:pPr>
              <w:spacing w:before="0" w:line="240" w:lineRule="auto"/>
              <w:jc w:val="right"/>
              <w:rPr>
                <w:rFonts w:cs="Segoe UI"/>
                <w:sz w:val="16"/>
                <w:szCs w:val="16"/>
              </w:rPr>
            </w:pPr>
            <w:r>
              <w:rPr>
                <w:rFonts w:cs="Segoe UI"/>
                <w:sz w:val="16"/>
                <w:szCs w:val="16"/>
              </w:rPr>
              <w:t>3.0</w:t>
            </w:r>
          </w:p>
        </w:tc>
        <w:tc>
          <w:tcPr>
            <w:tcW w:w="708" w:type="dxa"/>
            <w:tcBorders>
              <w:top w:val="nil"/>
              <w:left w:val="single" w:sz="4" w:space="0" w:color="auto"/>
              <w:bottom w:val="nil"/>
              <w:right w:val="single" w:sz="4" w:space="0" w:color="auto"/>
            </w:tcBorders>
          </w:tcPr>
          <w:p w14:paraId="201988C3" w14:textId="77777777" w:rsidR="00726C45" w:rsidRPr="00BD6DBC" w:rsidRDefault="00726C45" w:rsidP="00A37677">
            <w:pPr>
              <w:spacing w:before="0" w:line="240" w:lineRule="auto"/>
              <w:jc w:val="right"/>
              <w:rPr>
                <w:rFonts w:cs="Segoe UI"/>
                <w:sz w:val="16"/>
                <w:szCs w:val="16"/>
              </w:rPr>
            </w:pPr>
            <w:r>
              <w:rPr>
                <w:rFonts w:cs="Segoe UI"/>
                <w:sz w:val="16"/>
                <w:szCs w:val="16"/>
              </w:rPr>
              <w:t>6.1</w:t>
            </w:r>
          </w:p>
        </w:tc>
        <w:tc>
          <w:tcPr>
            <w:tcW w:w="993" w:type="dxa"/>
            <w:tcBorders>
              <w:top w:val="nil"/>
              <w:left w:val="single" w:sz="4" w:space="0" w:color="auto"/>
              <w:bottom w:val="nil"/>
              <w:right w:val="single" w:sz="4" w:space="0" w:color="auto"/>
            </w:tcBorders>
          </w:tcPr>
          <w:p w14:paraId="0EA05F42" w14:textId="77777777" w:rsidR="00726C45" w:rsidRPr="00BD6DBC" w:rsidRDefault="00726C45" w:rsidP="00A37677">
            <w:pPr>
              <w:spacing w:before="0" w:line="240" w:lineRule="auto"/>
              <w:jc w:val="right"/>
              <w:rPr>
                <w:rFonts w:cs="Segoe UI"/>
                <w:sz w:val="16"/>
                <w:szCs w:val="16"/>
              </w:rPr>
            </w:pPr>
            <w:r>
              <w:rPr>
                <w:rFonts w:cs="Segoe UI"/>
                <w:sz w:val="16"/>
                <w:szCs w:val="16"/>
              </w:rPr>
              <w:t>2.9</w:t>
            </w:r>
          </w:p>
        </w:tc>
        <w:tc>
          <w:tcPr>
            <w:tcW w:w="992" w:type="dxa"/>
            <w:tcBorders>
              <w:top w:val="nil"/>
              <w:left w:val="single" w:sz="4" w:space="0" w:color="auto"/>
              <w:bottom w:val="nil"/>
              <w:right w:val="single" w:sz="4" w:space="0" w:color="auto"/>
            </w:tcBorders>
          </w:tcPr>
          <w:p w14:paraId="39732637"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3.0</w:t>
            </w:r>
          </w:p>
        </w:tc>
        <w:tc>
          <w:tcPr>
            <w:tcW w:w="850" w:type="dxa"/>
            <w:tcBorders>
              <w:top w:val="nil"/>
              <w:left w:val="single" w:sz="4" w:space="0" w:color="auto"/>
              <w:bottom w:val="nil"/>
              <w:right w:val="single" w:sz="4" w:space="0" w:color="auto"/>
            </w:tcBorders>
          </w:tcPr>
          <w:p w14:paraId="118DF183" w14:textId="77777777" w:rsidR="00726C45" w:rsidRPr="00F37A41" w:rsidRDefault="00726C45" w:rsidP="00A37677">
            <w:pPr>
              <w:spacing w:before="0" w:line="240" w:lineRule="auto"/>
              <w:jc w:val="right"/>
              <w:rPr>
                <w:rFonts w:cs="Segoe UI"/>
                <w:sz w:val="16"/>
                <w:szCs w:val="16"/>
              </w:rPr>
            </w:pPr>
            <w:r>
              <w:rPr>
                <w:rFonts w:cs="Segoe UI"/>
                <w:sz w:val="16"/>
                <w:szCs w:val="16"/>
              </w:rPr>
              <w:t>3.7</w:t>
            </w:r>
          </w:p>
        </w:tc>
        <w:tc>
          <w:tcPr>
            <w:tcW w:w="567" w:type="dxa"/>
            <w:tcBorders>
              <w:top w:val="nil"/>
              <w:left w:val="single" w:sz="4" w:space="0" w:color="auto"/>
              <w:bottom w:val="nil"/>
              <w:right w:val="single" w:sz="4" w:space="0" w:color="auto"/>
            </w:tcBorders>
          </w:tcPr>
          <w:p w14:paraId="0D76E6CA" w14:textId="77777777" w:rsidR="00726C45" w:rsidRPr="00F37A41" w:rsidRDefault="00726C45" w:rsidP="00A37677">
            <w:pPr>
              <w:spacing w:before="0" w:line="240" w:lineRule="auto"/>
              <w:jc w:val="right"/>
              <w:rPr>
                <w:rFonts w:cs="Segoe UI"/>
                <w:sz w:val="16"/>
                <w:szCs w:val="16"/>
              </w:rPr>
            </w:pPr>
            <w:r>
              <w:rPr>
                <w:rFonts w:cs="Segoe UI"/>
                <w:sz w:val="16"/>
                <w:szCs w:val="16"/>
              </w:rPr>
              <w:t>2.7</w:t>
            </w:r>
          </w:p>
        </w:tc>
        <w:tc>
          <w:tcPr>
            <w:tcW w:w="709" w:type="dxa"/>
            <w:tcBorders>
              <w:top w:val="nil"/>
              <w:left w:val="single" w:sz="4" w:space="0" w:color="auto"/>
              <w:bottom w:val="nil"/>
              <w:right w:val="single" w:sz="4" w:space="0" w:color="auto"/>
            </w:tcBorders>
          </w:tcPr>
          <w:p w14:paraId="25808FB4" w14:textId="77777777" w:rsidR="00726C45" w:rsidRDefault="00726C45" w:rsidP="00A37677">
            <w:pPr>
              <w:spacing w:before="0" w:line="240" w:lineRule="auto"/>
              <w:jc w:val="right"/>
              <w:rPr>
                <w:rFonts w:cs="Segoe UI"/>
                <w:sz w:val="16"/>
                <w:szCs w:val="16"/>
              </w:rPr>
            </w:pPr>
            <w:r>
              <w:rPr>
                <w:rFonts w:cs="Segoe UI"/>
                <w:sz w:val="16"/>
                <w:szCs w:val="16"/>
              </w:rPr>
              <w:t>1.6</w:t>
            </w:r>
          </w:p>
        </w:tc>
        <w:tc>
          <w:tcPr>
            <w:tcW w:w="1133" w:type="dxa"/>
            <w:tcBorders>
              <w:top w:val="nil"/>
              <w:left w:val="single" w:sz="4" w:space="0" w:color="auto"/>
              <w:bottom w:val="nil"/>
              <w:right w:val="single" w:sz="4" w:space="0" w:color="auto"/>
            </w:tcBorders>
          </w:tcPr>
          <w:p w14:paraId="5015A855" w14:textId="77777777" w:rsidR="00726C45" w:rsidRDefault="00726C45" w:rsidP="00A37677">
            <w:pPr>
              <w:spacing w:before="0" w:line="240" w:lineRule="auto"/>
              <w:jc w:val="right"/>
              <w:rPr>
                <w:rFonts w:cs="Segoe UI"/>
                <w:sz w:val="16"/>
                <w:szCs w:val="16"/>
              </w:rPr>
            </w:pPr>
            <w:r>
              <w:rPr>
                <w:rFonts w:cs="Segoe UI"/>
                <w:sz w:val="16"/>
                <w:szCs w:val="16"/>
              </w:rPr>
              <w:t>89.6</w:t>
            </w:r>
          </w:p>
        </w:tc>
      </w:tr>
      <w:tr w:rsidR="00726C45" w:rsidRPr="00BD6DBC" w14:paraId="00A14594" w14:textId="77777777" w:rsidTr="00A37677">
        <w:tc>
          <w:tcPr>
            <w:tcW w:w="1418" w:type="dxa"/>
            <w:tcBorders>
              <w:top w:val="nil"/>
              <w:left w:val="single" w:sz="4" w:space="0" w:color="auto"/>
              <w:bottom w:val="nil"/>
              <w:right w:val="single" w:sz="4" w:space="0" w:color="auto"/>
            </w:tcBorders>
            <w:vAlign w:val="bottom"/>
          </w:tcPr>
          <w:p w14:paraId="778CB5D2"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Ukraine</w:t>
            </w:r>
          </w:p>
        </w:tc>
        <w:tc>
          <w:tcPr>
            <w:tcW w:w="709" w:type="dxa"/>
            <w:tcBorders>
              <w:top w:val="nil"/>
              <w:left w:val="single" w:sz="4" w:space="0" w:color="auto"/>
              <w:bottom w:val="nil"/>
              <w:right w:val="single" w:sz="4" w:space="0" w:color="auto"/>
            </w:tcBorders>
          </w:tcPr>
          <w:p w14:paraId="6C2831D9" w14:textId="77777777" w:rsidR="00726C45" w:rsidRPr="00BD6DBC" w:rsidRDefault="00726C45" w:rsidP="00A37677">
            <w:pPr>
              <w:spacing w:before="0" w:line="240" w:lineRule="auto"/>
              <w:jc w:val="right"/>
              <w:rPr>
                <w:rFonts w:cs="Segoe UI"/>
                <w:sz w:val="16"/>
                <w:szCs w:val="16"/>
              </w:rPr>
            </w:pPr>
            <w:r>
              <w:rPr>
                <w:rFonts w:cs="Segoe UI"/>
                <w:sz w:val="16"/>
                <w:szCs w:val="16"/>
              </w:rPr>
              <w:t>9.7</w:t>
            </w:r>
          </w:p>
        </w:tc>
        <w:tc>
          <w:tcPr>
            <w:tcW w:w="708" w:type="dxa"/>
            <w:tcBorders>
              <w:top w:val="nil"/>
              <w:left w:val="single" w:sz="4" w:space="0" w:color="auto"/>
              <w:bottom w:val="nil"/>
              <w:right w:val="single" w:sz="4" w:space="0" w:color="auto"/>
            </w:tcBorders>
          </w:tcPr>
          <w:p w14:paraId="5D0D35B6" w14:textId="77777777" w:rsidR="00726C45" w:rsidRPr="00BD6DBC" w:rsidRDefault="00726C45" w:rsidP="00A37677">
            <w:pPr>
              <w:spacing w:before="0" w:line="240" w:lineRule="auto"/>
              <w:jc w:val="right"/>
              <w:rPr>
                <w:rFonts w:cs="Segoe UI"/>
                <w:sz w:val="16"/>
                <w:szCs w:val="16"/>
              </w:rPr>
            </w:pPr>
            <w:r>
              <w:rPr>
                <w:rFonts w:cs="Segoe UI"/>
                <w:sz w:val="16"/>
                <w:szCs w:val="16"/>
              </w:rPr>
              <w:t>20.8</w:t>
            </w:r>
          </w:p>
        </w:tc>
        <w:tc>
          <w:tcPr>
            <w:tcW w:w="993" w:type="dxa"/>
            <w:tcBorders>
              <w:top w:val="nil"/>
              <w:left w:val="single" w:sz="4" w:space="0" w:color="auto"/>
              <w:bottom w:val="nil"/>
              <w:right w:val="single" w:sz="4" w:space="0" w:color="auto"/>
            </w:tcBorders>
          </w:tcPr>
          <w:p w14:paraId="5ED265E6" w14:textId="77777777" w:rsidR="00726C45" w:rsidRPr="00BD6DBC" w:rsidRDefault="00726C45" w:rsidP="00A37677">
            <w:pPr>
              <w:spacing w:before="0" w:line="240" w:lineRule="auto"/>
              <w:jc w:val="right"/>
              <w:rPr>
                <w:rFonts w:cs="Segoe UI"/>
                <w:sz w:val="16"/>
                <w:szCs w:val="16"/>
              </w:rPr>
            </w:pPr>
            <w:r>
              <w:rPr>
                <w:rFonts w:cs="Segoe UI"/>
                <w:sz w:val="16"/>
                <w:szCs w:val="16"/>
              </w:rPr>
              <w:t>5.9</w:t>
            </w:r>
          </w:p>
        </w:tc>
        <w:tc>
          <w:tcPr>
            <w:tcW w:w="567" w:type="dxa"/>
            <w:tcBorders>
              <w:top w:val="nil"/>
              <w:left w:val="single" w:sz="4" w:space="0" w:color="auto"/>
              <w:bottom w:val="nil"/>
              <w:right w:val="single" w:sz="4" w:space="0" w:color="auto"/>
            </w:tcBorders>
            <w:vAlign w:val="bottom"/>
          </w:tcPr>
          <w:p w14:paraId="489C2024" w14:textId="77777777" w:rsidR="00726C45" w:rsidRPr="00BD6DBC" w:rsidRDefault="00726C45" w:rsidP="00A37677">
            <w:pPr>
              <w:spacing w:before="0" w:line="240" w:lineRule="auto"/>
              <w:jc w:val="right"/>
              <w:rPr>
                <w:rFonts w:cs="Segoe UI"/>
                <w:sz w:val="16"/>
                <w:szCs w:val="16"/>
              </w:rPr>
            </w:pPr>
            <w:r>
              <w:rPr>
                <w:rFonts w:cs="Segoe UI"/>
                <w:sz w:val="16"/>
                <w:szCs w:val="16"/>
              </w:rPr>
              <w:t>6.3</w:t>
            </w:r>
          </w:p>
        </w:tc>
        <w:tc>
          <w:tcPr>
            <w:tcW w:w="708" w:type="dxa"/>
            <w:tcBorders>
              <w:top w:val="nil"/>
              <w:left w:val="single" w:sz="4" w:space="0" w:color="auto"/>
              <w:bottom w:val="nil"/>
              <w:right w:val="single" w:sz="4" w:space="0" w:color="auto"/>
            </w:tcBorders>
          </w:tcPr>
          <w:p w14:paraId="2889DB06" w14:textId="77777777" w:rsidR="00726C45" w:rsidRPr="00BD6DBC" w:rsidRDefault="00726C45" w:rsidP="00A37677">
            <w:pPr>
              <w:spacing w:before="0" w:line="240" w:lineRule="auto"/>
              <w:jc w:val="right"/>
              <w:rPr>
                <w:rFonts w:cs="Segoe UI"/>
                <w:sz w:val="16"/>
                <w:szCs w:val="16"/>
              </w:rPr>
            </w:pPr>
            <w:r>
              <w:rPr>
                <w:rFonts w:cs="Segoe UI"/>
                <w:sz w:val="16"/>
                <w:szCs w:val="16"/>
              </w:rPr>
              <w:t>14.2</w:t>
            </w:r>
          </w:p>
        </w:tc>
        <w:tc>
          <w:tcPr>
            <w:tcW w:w="993" w:type="dxa"/>
            <w:tcBorders>
              <w:top w:val="nil"/>
              <w:left w:val="single" w:sz="4" w:space="0" w:color="auto"/>
              <w:bottom w:val="nil"/>
              <w:right w:val="single" w:sz="4" w:space="0" w:color="auto"/>
            </w:tcBorders>
          </w:tcPr>
          <w:p w14:paraId="4BA435C4" w14:textId="77777777" w:rsidR="00726C45" w:rsidRPr="00BD6DBC" w:rsidRDefault="00726C45" w:rsidP="00A37677">
            <w:pPr>
              <w:spacing w:before="0" w:line="240" w:lineRule="auto"/>
              <w:jc w:val="right"/>
              <w:rPr>
                <w:rFonts w:cs="Segoe UI"/>
                <w:sz w:val="16"/>
                <w:szCs w:val="16"/>
              </w:rPr>
            </w:pPr>
            <w:r>
              <w:rPr>
                <w:rFonts w:cs="Segoe UI"/>
                <w:sz w:val="16"/>
                <w:szCs w:val="16"/>
              </w:rPr>
              <w:t>9.2</w:t>
            </w:r>
          </w:p>
        </w:tc>
        <w:tc>
          <w:tcPr>
            <w:tcW w:w="992" w:type="dxa"/>
            <w:tcBorders>
              <w:top w:val="nil"/>
              <w:left w:val="single" w:sz="4" w:space="0" w:color="auto"/>
              <w:bottom w:val="nil"/>
              <w:right w:val="single" w:sz="4" w:space="0" w:color="auto"/>
            </w:tcBorders>
          </w:tcPr>
          <w:p w14:paraId="75AF9011"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7.4</w:t>
            </w:r>
          </w:p>
        </w:tc>
        <w:tc>
          <w:tcPr>
            <w:tcW w:w="850" w:type="dxa"/>
            <w:tcBorders>
              <w:top w:val="nil"/>
              <w:left w:val="single" w:sz="4" w:space="0" w:color="auto"/>
              <w:bottom w:val="nil"/>
              <w:right w:val="single" w:sz="4" w:space="0" w:color="auto"/>
            </w:tcBorders>
          </w:tcPr>
          <w:p w14:paraId="6B36E3A5" w14:textId="77777777" w:rsidR="00726C45" w:rsidRPr="00F37A41" w:rsidRDefault="00726C45" w:rsidP="00A37677">
            <w:pPr>
              <w:spacing w:before="0" w:line="240" w:lineRule="auto"/>
              <w:jc w:val="right"/>
              <w:rPr>
                <w:rFonts w:cs="Segoe UI"/>
                <w:sz w:val="16"/>
                <w:szCs w:val="16"/>
              </w:rPr>
            </w:pPr>
            <w:r>
              <w:rPr>
                <w:rFonts w:cs="Segoe UI"/>
                <w:sz w:val="16"/>
                <w:szCs w:val="16"/>
              </w:rPr>
              <w:t>10.0</w:t>
            </w:r>
          </w:p>
        </w:tc>
        <w:tc>
          <w:tcPr>
            <w:tcW w:w="567" w:type="dxa"/>
            <w:tcBorders>
              <w:top w:val="nil"/>
              <w:left w:val="single" w:sz="4" w:space="0" w:color="auto"/>
              <w:bottom w:val="nil"/>
              <w:right w:val="single" w:sz="4" w:space="0" w:color="auto"/>
            </w:tcBorders>
          </w:tcPr>
          <w:p w14:paraId="33C81A5E" w14:textId="77777777" w:rsidR="00726C45" w:rsidRPr="00F37A41" w:rsidRDefault="00726C45" w:rsidP="00A37677">
            <w:pPr>
              <w:spacing w:before="0" w:line="240" w:lineRule="auto"/>
              <w:jc w:val="right"/>
              <w:rPr>
                <w:rFonts w:cs="Segoe UI"/>
                <w:sz w:val="16"/>
                <w:szCs w:val="16"/>
              </w:rPr>
            </w:pPr>
            <w:r>
              <w:rPr>
                <w:rFonts w:cs="Segoe UI"/>
                <w:sz w:val="16"/>
                <w:szCs w:val="16"/>
              </w:rPr>
              <w:t>9.2</w:t>
            </w:r>
          </w:p>
        </w:tc>
        <w:tc>
          <w:tcPr>
            <w:tcW w:w="709" w:type="dxa"/>
            <w:tcBorders>
              <w:top w:val="nil"/>
              <w:left w:val="single" w:sz="4" w:space="0" w:color="auto"/>
              <w:bottom w:val="nil"/>
              <w:right w:val="single" w:sz="4" w:space="0" w:color="auto"/>
            </w:tcBorders>
          </w:tcPr>
          <w:p w14:paraId="1EA85181" w14:textId="77777777" w:rsidR="00726C45" w:rsidRDefault="00726C45" w:rsidP="00A37677">
            <w:pPr>
              <w:spacing w:before="0" w:line="240" w:lineRule="auto"/>
              <w:jc w:val="right"/>
              <w:rPr>
                <w:rFonts w:cs="Segoe UI"/>
                <w:sz w:val="16"/>
                <w:szCs w:val="16"/>
              </w:rPr>
            </w:pPr>
            <w:r>
              <w:rPr>
                <w:rFonts w:cs="Segoe UI"/>
                <w:sz w:val="16"/>
                <w:szCs w:val="16"/>
              </w:rPr>
              <w:t>6.6</w:t>
            </w:r>
          </w:p>
        </w:tc>
        <w:tc>
          <w:tcPr>
            <w:tcW w:w="1133" w:type="dxa"/>
            <w:tcBorders>
              <w:top w:val="nil"/>
              <w:left w:val="single" w:sz="4" w:space="0" w:color="auto"/>
              <w:bottom w:val="nil"/>
              <w:right w:val="single" w:sz="4" w:space="0" w:color="auto"/>
            </w:tcBorders>
          </w:tcPr>
          <w:p w14:paraId="3A4B9509" w14:textId="77777777" w:rsidR="00726C45" w:rsidRDefault="00726C45" w:rsidP="00A37677">
            <w:pPr>
              <w:spacing w:before="0" w:line="240" w:lineRule="auto"/>
              <w:jc w:val="right"/>
              <w:rPr>
                <w:rFonts w:cs="Segoe UI"/>
                <w:sz w:val="16"/>
                <w:szCs w:val="16"/>
              </w:rPr>
            </w:pPr>
            <w:r>
              <w:rPr>
                <w:rFonts w:cs="Segoe UI"/>
                <w:sz w:val="16"/>
                <w:szCs w:val="16"/>
              </w:rPr>
              <w:t>71.0</w:t>
            </w:r>
          </w:p>
        </w:tc>
      </w:tr>
      <w:tr w:rsidR="00726C45" w:rsidRPr="00BD6DBC" w14:paraId="42F699F1" w14:textId="77777777" w:rsidTr="00A37677">
        <w:tc>
          <w:tcPr>
            <w:tcW w:w="1418" w:type="dxa"/>
            <w:tcBorders>
              <w:top w:val="nil"/>
              <w:left w:val="single" w:sz="4" w:space="0" w:color="auto"/>
              <w:bottom w:val="nil"/>
              <w:right w:val="single" w:sz="4" w:space="0" w:color="auto"/>
            </w:tcBorders>
            <w:vAlign w:val="bottom"/>
          </w:tcPr>
          <w:p w14:paraId="45F6E0EF"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Uruguay</w:t>
            </w:r>
          </w:p>
        </w:tc>
        <w:tc>
          <w:tcPr>
            <w:tcW w:w="709" w:type="dxa"/>
            <w:tcBorders>
              <w:top w:val="nil"/>
              <w:left w:val="single" w:sz="4" w:space="0" w:color="auto"/>
              <w:bottom w:val="nil"/>
              <w:right w:val="single" w:sz="4" w:space="0" w:color="auto"/>
            </w:tcBorders>
          </w:tcPr>
          <w:p w14:paraId="2B200413" w14:textId="77777777" w:rsidR="00726C45" w:rsidRPr="00BD6DBC" w:rsidRDefault="00726C45" w:rsidP="00A37677">
            <w:pPr>
              <w:spacing w:before="0" w:line="240" w:lineRule="auto"/>
              <w:jc w:val="right"/>
              <w:rPr>
                <w:rFonts w:cs="Segoe UI"/>
                <w:sz w:val="16"/>
                <w:szCs w:val="16"/>
              </w:rPr>
            </w:pPr>
            <w:r>
              <w:rPr>
                <w:rFonts w:cs="Segoe UI"/>
                <w:sz w:val="16"/>
                <w:szCs w:val="16"/>
              </w:rPr>
              <w:t>4.8</w:t>
            </w:r>
          </w:p>
        </w:tc>
        <w:tc>
          <w:tcPr>
            <w:tcW w:w="708" w:type="dxa"/>
            <w:tcBorders>
              <w:top w:val="nil"/>
              <w:left w:val="single" w:sz="4" w:space="0" w:color="auto"/>
              <w:bottom w:val="nil"/>
              <w:right w:val="single" w:sz="4" w:space="0" w:color="auto"/>
            </w:tcBorders>
          </w:tcPr>
          <w:p w14:paraId="06490447" w14:textId="77777777" w:rsidR="00726C45" w:rsidRPr="00BD6DBC" w:rsidRDefault="00726C45" w:rsidP="00A37677">
            <w:pPr>
              <w:spacing w:before="0" w:line="240" w:lineRule="auto"/>
              <w:jc w:val="right"/>
              <w:rPr>
                <w:rFonts w:cs="Segoe UI"/>
                <w:sz w:val="16"/>
                <w:szCs w:val="16"/>
              </w:rPr>
            </w:pPr>
            <w:r>
              <w:rPr>
                <w:rFonts w:cs="Segoe UI"/>
                <w:sz w:val="16"/>
                <w:szCs w:val="16"/>
              </w:rPr>
              <w:t>5.7</w:t>
            </w:r>
          </w:p>
        </w:tc>
        <w:tc>
          <w:tcPr>
            <w:tcW w:w="993" w:type="dxa"/>
            <w:tcBorders>
              <w:top w:val="nil"/>
              <w:left w:val="single" w:sz="4" w:space="0" w:color="auto"/>
              <w:bottom w:val="nil"/>
              <w:right w:val="single" w:sz="4" w:space="0" w:color="auto"/>
            </w:tcBorders>
          </w:tcPr>
          <w:p w14:paraId="3A35D430" w14:textId="77777777" w:rsidR="00726C45" w:rsidRPr="00BD6DBC" w:rsidRDefault="00726C45" w:rsidP="00A37677">
            <w:pPr>
              <w:spacing w:before="0" w:line="240" w:lineRule="auto"/>
              <w:jc w:val="right"/>
              <w:rPr>
                <w:rFonts w:cs="Segoe UI"/>
                <w:sz w:val="16"/>
                <w:szCs w:val="16"/>
              </w:rPr>
            </w:pPr>
            <w:r>
              <w:rPr>
                <w:rFonts w:cs="Segoe UI"/>
                <w:sz w:val="16"/>
                <w:szCs w:val="16"/>
              </w:rPr>
              <w:t>2.8</w:t>
            </w:r>
          </w:p>
        </w:tc>
        <w:tc>
          <w:tcPr>
            <w:tcW w:w="567" w:type="dxa"/>
            <w:tcBorders>
              <w:top w:val="nil"/>
              <w:left w:val="single" w:sz="4" w:space="0" w:color="auto"/>
              <w:bottom w:val="nil"/>
              <w:right w:val="single" w:sz="4" w:space="0" w:color="auto"/>
            </w:tcBorders>
            <w:vAlign w:val="bottom"/>
          </w:tcPr>
          <w:p w14:paraId="3E19F859" w14:textId="77777777" w:rsidR="00726C45" w:rsidRPr="00BD6DBC" w:rsidRDefault="00726C45" w:rsidP="00A37677">
            <w:pPr>
              <w:spacing w:before="0" w:line="240" w:lineRule="auto"/>
              <w:jc w:val="right"/>
              <w:rPr>
                <w:rFonts w:cs="Segoe UI"/>
                <w:sz w:val="16"/>
                <w:szCs w:val="16"/>
              </w:rPr>
            </w:pPr>
            <w:r>
              <w:rPr>
                <w:rFonts w:cs="Segoe UI"/>
                <w:sz w:val="16"/>
                <w:szCs w:val="16"/>
              </w:rPr>
              <w:t>4.2</w:t>
            </w:r>
          </w:p>
        </w:tc>
        <w:tc>
          <w:tcPr>
            <w:tcW w:w="708" w:type="dxa"/>
            <w:tcBorders>
              <w:top w:val="nil"/>
              <w:left w:val="single" w:sz="4" w:space="0" w:color="auto"/>
              <w:bottom w:val="nil"/>
              <w:right w:val="single" w:sz="4" w:space="0" w:color="auto"/>
            </w:tcBorders>
          </w:tcPr>
          <w:p w14:paraId="0559500B" w14:textId="77777777" w:rsidR="00726C45" w:rsidRPr="00BD6DBC" w:rsidRDefault="00726C45" w:rsidP="00A37677">
            <w:pPr>
              <w:spacing w:before="0" w:line="240" w:lineRule="auto"/>
              <w:jc w:val="right"/>
              <w:rPr>
                <w:rFonts w:cs="Segoe UI"/>
                <w:sz w:val="16"/>
                <w:szCs w:val="16"/>
              </w:rPr>
            </w:pPr>
            <w:r>
              <w:rPr>
                <w:rFonts w:cs="Segoe UI"/>
                <w:sz w:val="16"/>
                <w:szCs w:val="16"/>
              </w:rPr>
              <w:t>4.4</w:t>
            </w:r>
          </w:p>
        </w:tc>
        <w:tc>
          <w:tcPr>
            <w:tcW w:w="993" w:type="dxa"/>
            <w:tcBorders>
              <w:top w:val="nil"/>
              <w:left w:val="single" w:sz="4" w:space="0" w:color="auto"/>
              <w:bottom w:val="nil"/>
              <w:right w:val="single" w:sz="4" w:space="0" w:color="auto"/>
            </w:tcBorders>
          </w:tcPr>
          <w:p w14:paraId="4E606414" w14:textId="77777777" w:rsidR="00726C45" w:rsidRPr="00BD6DBC" w:rsidRDefault="00726C45" w:rsidP="00A37677">
            <w:pPr>
              <w:spacing w:before="0" w:line="240" w:lineRule="auto"/>
              <w:jc w:val="right"/>
              <w:rPr>
                <w:rFonts w:cs="Segoe UI"/>
                <w:sz w:val="16"/>
                <w:szCs w:val="16"/>
              </w:rPr>
            </w:pPr>
            <w:r>
              <w:rPr>
                <w:rFonts w:cs="Segoe UI"/>
                <w:sz w:val="16"/>
                <w:szCs w:val="16"/>
              </w:rPr>
              <w:t>5.4</w:t>
            </w:r>
          </w:p>
        </w:tc>
        <w:tc>
          <w:tcPr>
            <w:tcW w:w="992" w:type="dxa"/>
            <w:tcBorders>
              <w:top w:val="nil"/>
              <w:left w:val="single" w:sz="4" w:space="0" w:color="auto"/>
              <w:bottom w:val="nil"/>
              <w:right w:val="single" w:sz="4" w:space="0" w:color="auto"/>
            </w:tcBorders>
          </w:tcPr>
          <w:p w14:paraId="62EC21F0"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3.5</w:t>
            </w:r>
          </w:p>
        </w:tc>
        <w:tc>
          <w:tcPr>
            <w:tcW w:w="850" w:type="dxa"/>
            <w:tcBorders>
              <w:top w:val="nil"/>
              <w:left w:val="single" w:sz="4" w:space="0" w:color="auto"/>
              <w:bottom w:val="nil"/>
              <w:right w:val="single" w:sz="4" w:space="0" w:color="auto"/>
            </w:tcBorders>
          </w:tcPr>
          <w:p w14:paraId="17DEE9C1" w14:textId="77777777" w:rsidR="00726C45" w:rsidRPr="00F37A41" w:rsidRDefault="00726C45" w:rsidP="00A37677">
            <w:pPr>
              <w:spacing w:before="0" w:line="240" w:lineRule="auto"/>
              <w:jc w:val="right"/>
              <w:rPr>
                <w:rFonts w:cs="Segoe UI"/>
                <w:sz w:val="16"/>
                <w:szCs w:val="16"/>
              </w:rPr>
            </w:pPr>
            <w:r>
              <w:rPr>
                <w:rFonts w:cs="Segoe UI"/>
                <w:sz w:val="16"/>
                <w:szCs w:val="16"/>
              </w:rPr>
              <w:t>3.7</w:t>
            </w:r>
          </w:p>
        </w:tc>
        <w:tc>
          <w:tcPr>
            <w:tcW w:w="567" w:type="dxa"/>
            <w:tcBorders>
              <w:top w:val="nil"/>
              <w:left w:val="single" w:sz="4" w:space="0" w:color="auto"/>
              <w:bottom w:val="nil"/>
              <w:right w:val="single" w:sz="4" w:space="0" w:color="auto"/>
            </w:tcBorders>
          </w:tcPr>
          <w:p w14:paraId="5DBA445D" w14:textId="77777777" w:rsidR="00726C45" w:rsidRPr="00F37A41" w:rsidRDefault="00726C45" w:rsidP="00A37677">
            <w:pPr>
              <w:spacing w:before="0" w:line="240" w:lineRule="auto"/>
              <w:jc w:val="right"/>
              <w:rPr>
                <w:rFonts w:cs="Segoe UI"/>
                <w:sz w:val="16"/>
                <w:szCs w:val="16"/>
              </w:rPr>
            </w:pPr>
            <w:r>
              <w:rPr>
                <w:rFonts w:cs="Segoe UI"/>
                <w:sz w:val="16"/>
                <w:szCs w:val="16"/>
              </w:rPr>
              <w:t>3.6</w:t>
            </w:r>
          </w:p>
        </w:tc>
        <w:tc>
          <w:tcPr>
            <w:tcW w:w="709" w:type="dxa"/>
            <w:tcBorders>
              <w:top w:val="nil"/>
              <w:left w:val="single" w:sz="4" w:space="0" w:color="auto"/>
              <w:bottom w:val="nil"/>
              <w:right w:val="single" w:sz="4" w:space="0" w:color="auto"/>
            </w:tcBorders>
          </w:tcPr>
          <w:p w14:paraId="4DDD86EA" w14:textId="77777777" w:rsidR="00726C45" w:rsidRDefault="00726C45" w:rsidP="00A37677">
            <w:pPr>
              <w:spacing w:before="0" w:line="240" w:lineRule="auto"/>
              <w:jc w:val="right"/>
              <w:rPr>
                <w:rFonts w:cs="Segoe UI"/>
                <w:sz w:val="16"/>
                <w:szCs w:val="16"/>
              </w:rPr>
            </w:pPr>
            <w:r>
              <w:rPr>
                <w:rFonts w:cs="Segoe UI"/>
                <w:sz w:val="16"/>
                <w:szCs w:val="16"/>
              </w:rPr>
              <w:t>3.0</w:t>
            </w:r>
          </w:p>
        </w:tc>
        <w:tc>
          <w:tcPr>
            <w:tcW w:w="1133" w:type="dxa"/>
            <w:tcBorders>
              <w:top w:val="nil"/>
              <w:left w:val="single" w:sz="4" w:space="0" w:color="auto"/>
              <w:bottom w:val="nil"/>
              <w:right w:val="single" w:sz="4" w:space="0" w:color="auto"/>
            </w:tcBorders>
          </w:tcPr>
          <w:p w14:paraId="468DA4C3" w14:textId="77777777" w:rsidR="00726C45" w:rsidRDefault="00726C45" w:rsidP="00A37677">
            <w:pPr>
              <w:spacing w:before="0" w:line="240" w:lineRule="auto"/>
              <w:jc w:val="right"/>
              <w:rPr>
                <w:rFonts w:cs="Segoe UI"/>
                <w:sz w:val="16"/>
                <w:szCs w:val="16"/>
              </w:rPr>
            </w:pPr>
            <w:r>
              <w:rPr>
                <w:rFonts w:cs="Segoe UI"/>
                <w:sz w:val="16"/>
                <w:szCs w:val="16"/>
              </w:rPr>
              <w:t>91.3</w:t>
            </w:r>
          </w:p>
        </w:tc>
      </w:tr>
      <w:tr w:rsidR="00726C45" w:rsidRPr="00BD6DBC" w14:paraId="6381CCEB" w14:textId="77777777" w:rsidTr="00A37677">
        <w:tc>
          <w:tcPr>
            <w:tcW w:w="1418" w:type="dxa"/>
            <w:tcBorders>
              <w:top w:val="nil"/>
              <w:left w:val="single" w:sz="4" w:space="0" w:color="auto"/>
              <w:bottom w:val="nil"/>
              <w:right w:val="single" w:sz="4" w:space="0" w:color="auto"/>
            </w:tcBorders>
            <w:vAlign w:val="bottom"/>
          </w:tcPr>
          <w:p w14:paraId="097C88DF"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USA</w:t>
            </w:r>
          </w:p>
        </w:tc>
        <w:tc>
          <w:tcPr>
            <w:tcW w:w="709" w:type="dxa"/>
            <w:tcBorders>
              <w:top w:val="nil"/>
              <w:left w:val="single" w:sz="4" w:space="0" w:color="auto"/>
              <w:bottom w:val="nil"/>
              <w:right w:val="single" w:sz="4" w:space="0" w:color="auto"/>
            </w:tcBorders>
          </w:tcPr>
          <w:p w14:paraId="099B9015" w14:textId="77777777" w:rsidR="00726C45" w:rsidRPr="00BD6DBC" w:rsidRDefault="00726C45" w:rsidP="00A37677">
            <w:pPr>
              <w:spacing w:before="0" w:line="240" w:lineRule="auto"/>
              <w:jc w:val="right"/>
              <w:rPr>
                <w:rFonts w:cs="Segoe UI"/>
                <w:sz w:val="16"/>
                <w:szCs w:val="16"/>
              </w:rPr>
            </w:pPr>
            <w:r>
              <w:rPr>
                <w:rFonts w:cs="Segoe UI"/>
                <w:sz w:val="16"/>
                <w:szCs w:val="16"/>
              </w:rPr>
              <w:t>1.3</w:t>
            </w:r>
          </w:p>
        </w:tc>
        <w:tc>
          <w:tcPr>
            <w:tcW w:w="708" w:type="dxa"/>
            <w:tcBorders>
              <w:top w:val="nil"/>
              <w:left w:val="single" w:sz="4" w:space="0" w:color="auto"/>
              <w:bottom w:val="nil"/>
              <w:right w:val="single" w:sz="4" w:space="0" w:color="auto"/>
            </w:tcBorders>
          </w:tcPr>
          <w:p w14:paraId="2FF32A88" w14:textId="77777777" w:rsidR="00726C45" w:rsidRPr="00BD6DBC" w:rsidRDefault="00726C45" w:rsidP="00A37677">
            <w:pPr>
              <w:spacing w:before="0" w:line="240" w:lineRule="auto"/>
              <w:jc w:val="right"/>
              <w:rPr>
                <w:rFonts w:cs="Segoe UI"/>
                <w:sz w:val="16"/>
                <w:szCs w:val="16"/>
              </w:rPr>
            </w:pPr>
            <w:r>
              <w:rPr>
                <w:rFonts w:cs="Segoe UI"/>
                <w:sz w:val="16"/>
                <w:szCs w:val="16"/>
              </w:rPr>
              <w:t>1.7</w:t>
            </w:r>
          </w:p>
        </w:tc>
        <w:tc>
          <w:tcPr>
            <w:tcW w:w="993" w:type="dxa"/>
            <w:tcBorders>
              <w:top w:val="nil"/>
              <w:left w:val="single" w:sz="4" w:space="0" w:color="auto"/>
              <w:bottom w:val="nil"/>
              <w:right w:val="single" w:sz="4" w:space="0" w:color="auto"/>
            </w:tcBorders>
          </w:tcPr>
          <w:p w14:paraId="1EB36007" w14:textId="77777777" w:rsidR="00726C45" w:rsidRPr="00BD6DBC" w:rsidRDefault="00726C45" w:rsidP="00A37677">
            <w:pPr>
              <w:spacing w:before="0" w:line="240" w:lineRule="auto"/>
              <w:jc w:val="right"/>
              <w:rPr>
                <w:rFonts w:cs="Segoe UI"/>
                <w:sz w:val="16"/>
                <w:szCs w:val="16"/>
              </w:rPr>
            </w:pPr>
            <w:r>
              <w:rPr>
                <w:rFonts w:cs="Segoe UI"/>
                <w:sz w:val="16"/>
                <w:szCs w:val="16"/>
              </w:rPr>
              <w:t>1.4</w:t>
            </w:r>
          </w:p>
        </w:tc>
        <w:tc>
          <w:tcPr>
            <w:tcW w:w="567" w:type="dxa"/>
            <w:tcBorders>
              <w:top w:val="nil"/>
              <w:left w:val="single" w:sz="4" w:space="0" w:color="auto"/>
              <w:bottom w:val="nil"/>
              <w:right w:val="single" w:sz="4" w:space="0" w:color="auto"/>
            </w:tcBorders>
            <w:vAlign w:val="bottom"/>
          </w:tcPr>
          <w:p w14:paraId="62779DFE" w14:textId="77777777" w:rsidR="00726C45" w:rsidRPr="00BD6DBC" w:rsidRDefault="00726C45" w:rsidP="00A37677">
            <w:pPr>
              <w:spacing w:before="0" w:line="240" w:lineRule="auto"/>
              <w:jc w:val="right"/>
              <w:rPr>
                <w:rFonts w:cs="Segoe UI"/>
                <w:sz w:val="16"/>
                <w:szCs w:val="16"/>
              </w:rPr>
            </w:pPr>
            <w:r>
              <w:rPr>
                <w:rFonts w:cs="Segoe UI"/>
                <w:sz w:val="16"/>
                <w:szCs w:val="16"/>
              </w:rPr>
              <w:t>1.4</w:t>
            </w:r>
          </w:p>
        </w:tc>
        <w:tc>
          <w:tcPr>
            <w:tcW w:w="708" w:type="dxa"/>
            <w:tcBorders>
              <w:top w:val="nil"/>
              <w:left w:val="single" w:sz="4" w:space="0" w:color="auto"/>
              <w:bottom w:val="nil"/>
              <w:right w:val="single" w:sz="4" w:space="0" w:color="auto"/>
            </w:tcBorders>
          </w:tcPr>
          <w:p w14:paraId="21F514FB"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993" w:type="dxa"/>
            <w:tcBorders>
              <w:top w:val="nil"/>
              <w:left w:val="single" w:sz="4" w:space="0" w:color="auto"/>
              <w:bottom w:val="nil"/>
              <w:right w:val="single" w:sz="4" w:space="0" w:color="auto"/>
            </w:tcBorders>
          </w:tcPr>
          <w:p w14:paraId="5232B6C0" w14:textId="77777777" w:rsidR="00726C45" w:rsidRPr="00BD6DBC" w:rsidRDefault="00726C45" w:rsidP="00A37677">
            <w:pPr>
              <w:spacing w:before="0" w:line="240" w:lineRule="auto"/>
              <w:jc w:val="right"/>
              <w:rPr>
                <w:rFonts w:cs="Segoe UI"/>
                <w:sz w:val="16"/>
                <w:szCs w:val="16"/>
              </w:rPr>
            </w:pPr>
            <w:r>
              <w:rPr>
                <w:rFonts w:cs="Segoe UI"/>
                <w:sz w:val="16"/>
                <w:szCs w:val="16"/>
              </w:rPr>
              <w:t>1.4</w:t>
            </w:r>
          </w:p>
        </w:tc>
        <w:tc>
          <w:tcPr>
            <w:tcW w:w="992" w:type="dxa"/>
            <w:tcBorders>
              <w:top w:val="nil"/>
              <w:left w:val="single" w:sz="4" w:space="0" w:color="auto"/>
              <w:bottom w:val="nil"/>
              <w:right w:val="single" w:sz="4" w:space="0" w:color="auto"/>
            </w:tcBorders>
          </w:tcPr>
          <w:p w14:paraId="7E99CE38"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1.5</w:t>
            </w:r>
          </w:p>
        </w:tc>
        <w:tc>
          <w:tcPr>
            <w:tcW w:w="850" w:type="dxa"/>
            <w:tcBorders>
              <w:top w:val="nil"/>
              <w:left w:val="single" w:sz="4" w:space="0" w:color="auto"/>
              <w:bottom w:val="nil"/>
              <w:right w:val="single" w:sz="4" w:space="0" w:color="auto"/>
            </w:tcBorders>
          </w:tcPr>
          <w:p w14:paraId="6D893ED1" w14:textId="77777777" w:rsidR="00726C45" w:rsidRPr="00F37A41" w:rsidRDefault="00726C45" w:rsidP="00A37677">
            <w:pPr>
              <w:spacing w:before="0" w:line="240" w:lineRule="auto"/>
              <w:jc w:val="right"/>
              <w:rPr>
                <w:rFonts w:cs="Segoe UI"/>
                <w:sz w:val="16"/>
                <w:szCs w:val="16"/>
              </w:rPr>
            </w:pPr>
            <w:r>
              <w:rPr>
                <w:rFonts w:cs="Segoe UI"/>
                <w:sz w:val="16"/>
                <w:szCs w:val="16"/>
              </w:rPr>
              <w:t>1.3</w:t>
            </w:r>
          </w:p>
        </w:tc>
        <w:tc>
          <w:tcPr>
            <w:tcW w:w="567" w:type="dxa"/>
            <w:tcBorders>
              <w:top w:val="nil"/>
              <w:left w:val="single" w:sz="4" w:space="0" w:color="auto"/>
              <w:bottom w:val="nil"/>
              <w:right w:val="single" w:sz="4" w:space="0" w:color="auto"/>
            </w:tcBorders>
          </w:tcPr>
          <w:p w14:paraId="453BB729" w14:textId="77777777" w:rsidR="00726C45" w:rsidRPr="00F37A41" w:rsidRDefault="00726C45" w:rsidP="00A37677">
            <w:pPr>
              <w:spacing w:before="0" w:line="240" w:lineRule="auto"/>
              <w:jc w:val="right"/>
              <w:rPr>
                <w:rFonts w:cs="Segoe UI"/>
                <w:sz w:val="16"/>
                <w:szCs w:val="16"/>
              </w:rPr>
            </w:pPr>
            <w:r>
              <w:rPr>
                <w:rFonts w:cs="Segoe UI"/>
                <w:sz w:val="16"/>
                <w:szCs w:val="16"/>
              </w:rPr>
              <w:t>1.3</w:t>
            </w:r>
          </w:p>
        </w:tc>
        <w:tc>
          <w:tcPr>
            <w:tcW w:w="709" w:type="dxa"/>
            <w:tcBorders>
              <w:top w:val="nil"/>
              <w:left w:val="single" w:sz="4" w:space="0" w:color="auto"/>
              <w:bottom w:val="nil"/>
              <w:right w:val="single" w:sz="4" w:space="0" w:color="auto"/>
            </w:tcBorders>
          </w:tcPr>
          <w:p w14:paraId="1EEE74A4" w14:textId="77777777" w:rsidR="00726C45" w:rsidRDefault="00726C45" w:rsidP="00A37677">
            <w:pPr>
              <w:spacing w:before="0" w:line="240" w:lineRule="auto"/>
              <w:jc w:val="right"/>
              <w:rPr>
                <w:rFonts w:cs="Segoe UI"/>
                <w:sz w:val="16"/>
                <w:szCs w:val="16"/>
              </w:rPr>
            </w:pPr>
            <w:r>
              <w:rPr>
                <w:rFonts w:cs="Segoe UI"/>
                <w:sz w:val="16"/>
                <w:szCs w:val="16"/>
              </w:rPr>
              <w:t>1.1</w:t>
            </w:r>
          </w:p>
        </w:tc>
        <w:tc>
          <w:tcPr>
            <w:tcW w:w="1133" w:type="dxa"/>
            <w:tcBorders>
              <w:top w:val="nil"/>
              <w:left w:val="single" w:sz="4" w:space="0" w:color="auto"/>
              <w:bottom w:val="nil"/>
              <w:right w:val="single" w:sz="4" w:space="0" w:color="auto"/>
            </w:tcBorders>
          </w:tcPr>
          <w:p w14:paraId="3CFD7BC3" w14:textId="77777777" w:rsidR="00726C45" w:rsidRDefault="00726C45" w:rsidP="00A37677">
            <w:pPr>
              <w:spacing w:before="0" w:line="240" w:lineRule="auto"/>
              <w:jc w:val="right"/>
              <w:rPr>
                <w:rFonts w:cs="Segoe UI"/>
                <w:sz w:val="16"/>
                <w:szCs w:val="16"/>
              </w:rPr>
            </w:pPr>
            <w:r>
              <w:rPr>
                <w:rFonts w:cs="Segoe UI"/>
                <w:sz w:val="16"/>
                <w:szCs w:val="16"/>
              </w:rPr>
              <w:t>97.4</w:t>
            </w:r>
          </w:p>
        </w:tc>
      </w:tr>
      <w:tr w:rsidR="00726C45" w:rsidRPr="00BD6DBC" w14:paraId="70237CDA" w14:textId="77777777" w:rsidTr="00A37677">
        <w:trPr>
          <w:trHeight w:val="74"/>
        </w:trPr>
        <w:tc>
          <w:tcPr>
            <w:tcW w:w="1418" w:type="dxa"/>
            <w:tcBorders>
              <w:top w:val="nil"/>
              <w:left w:val="single" w:sz="4" w:space="0" w:color="auto"/>
              <w:bottom w:val="nil"/>
              <w:right w:val="single" w:sz="4" w:space="0" w:color="auto"/>
            </w:tcBorders>
            <w:vAlign w:val="bottom"/>
          </w:tcPr>
          <w:p w14:paraId="059F2E7D" w14:textId="77777777" w:rsidR="00726C45" w:rsidRPr="00BD6DBC" w:rsidRDefault="00726C45" w:rsidP="00A37677">
            <w:pPr>
              <w:spacing w:before="0" w:line="240" w:lineRule="auto"/>
              <w:rPr>
                <w:rFonts w:eastAsia="Times New Roman" w:cs="Segoe UI"/>
                <w:sz w:val="16"/>
                <w:szCs w:val="16"/>
              </w:rPr>
            </w:pPr>
            <w:r w:rsidRPr="00BD6DBC">
              <w:rPr>
                <w:rFonts w:eastAsia="Times New Roman" w:cs="Segoe UI"/>
                <w:sz w:val="16"/>
                <w:szCs w:val="16"/>
              </w:rPr>
              <w:t>Vietnam</w:t>
            </w:r>
          </w:p>
        </w:tc>
        <w:tc>
          <w:tcPr>
            <w:tcW w:w="709" w:type="dxa"/>
            <w:tcBorders>
              <w:top w:val="nil"/>
              <w:left w:val="single" w:sz="4" w:space="0" w:color="auto"/>
              <w:bottom w:val="nil"/>
              <w:right w:val="single" w:sz="4" w:space="0" w:color="auto"/>
            </w:tcBorders>
          </w:tcPr>
          <w:p w14:paraId="46C72017" w14:textId="77777777" w:rsidR="00726C45" w:rsidRPr="00BD6DBC" w:rsidRDefault="00726C45" w:rsidP="00A37677">
            <w:pPr>
              <w:spacing w:before="0" w:line="240" w:lineRule="auto"/>
              <w:jc w:val="right"/>
              <w:rPr>
                <w:rFonts w:cs="Segoe UI"/>
                <w:sz w:val="16"/>
                <w:szCs w:val="16"/>
              </w:rPr>
            </w:pPr>
            <w:r>
              <w:rPr>
                <w:rFonts w:cs="Segoe UI"/>
                <w:sz w:val="16"/>
                <w:szCs w:val="16"/>
              </w:rPr>
              <w:t>4.8</w:t>
            </w:r>
          </w:p>
        </w:tc>
        <w:tc>
          <w:tcPr>
            <w:tcW w:w="708" w:type="dxa"/>
            <w:tcBorders>
              <w:top w:val="nil"/>
              <w:left w:val="single" w:sz="4" w:space="0" w:color="auto"/>
              <w:bottom w:val="nil"/>
              <w:right w:val="single" w:sz="4" w:space="0" w:color="auto"/>
            </w:tcBorders>
          </w:tcPr>
          <w:p w14:paraId="6026F269" w14:textId="77777777" w:rsidR="00726C45" w:rsidRPr="00BD6DBC" w:rsidRDefault="00726C45" w:rsidP="00A37677">
            <w:pPr>
              <w:spacing w:before="0" w:line="240" w:lineRule="auto"/>
              <w:jc w:val="right"/>
              <w:rPr>
                <w:rFonts w:cs="Segoe UI"/>
                <w:sz w:val="16"/>
                <w:szCs w:val="16"/>
              </w:rPr>
            </w:pPr>
            <w:r>
              <w:rPr>
                <w:rFonts w:cs="Segoe UI"/>
                <w:sz w:val="16"/>
                <w:szCs w:val="16"/>
              </w:rPr>
              <w:t>11.5</w:t>
            </w:r>
          </w:p>
        </w:tc>
        <w:tc>
          <w:tcPr>
            <w:tcW w:w="993" w:type="dxa"/>
            <w:tcBorders>
              <w:top w:val="nil"/>
              <w:left w:val="single" w:sz="4" w:space="0" w:color="auto"/>
              <w:bottom w:val="nil"/>
              <w:right w:val="single" w:sz="4" w:space="0" w:color="auto"/>
            </w:tcBorders>
          </w:tcPr>
          <w:p w14:paraId="512EA11A" w14:textId="77777777" w:rsidR="00726C45" w:rsidRPr="00BD6DBC" w:rsidRDefault="00726C45" w:rsidP="00A37677">
            <w:pPr>
              <w:spacing w:before="0" w:line="240" w:lineRule="auto"/>
              <w:jc w:val="right"/>
              <w:rPr>
                <w:rFonts w:cs="Segoe UI"/>
                <w:sz w:val="16"/>
                <w:szCs w:val="16"/>
              </w:rPr>
            </w:pPr>
            <w:r>
              <w:rPr>
                <w:rFonts w:cs="Segoe UI"/>
                <w:sz w:val="16"/>
                <w:szCs w:val="16"/>
              </w:rPr>
              <w:t>3.1</w:t>
            </w:r>
          </w:p>
        </w:tc>
        <w:tc>
          <w:tcPr>
            <w:tcW w:w="567" w:type="dxa"/>
            <w:tcBorders>
              <w:top w:val="nil"/>
              <w:left w:val="single" w:sz="4" w:space="0" w:color="auto"/>
              <w:bottom w:val="nil"/>
              <w:right w:val="single" w:sz="4" w:space="0" w:color="auto"/>
            </w:tcBorders>
            <w:vAlign w:val="bottom"/>
          </w:tcPr>
          <w:p w14:paraId="04E73F10" w14:textId="77777777" w:rsidR="00726C45" w:rsidRPr="00BD6DBC" w:rsidRDefault="00726C45" w:rsidP="00A37677">
            <w:pPr>
              <w:spacing w:before="0" w:line="240" w:lineRule="auto"/>
              <w:jc w:val="right"/>
              <w:rPr>
                <w:rFonts w:cs="Segoe UI"/>
                <w:sz w:val="16"/>
                <w:szCs w:val="16"/>
              </w:rPr>
            </w:pPr>
            <w:r>
              <w:rPr>
                <w:rFonts w:cs="Segoe UI"/>
                <w:sz w:val="16"/>
                <w:szCs w:val="16"/>
              </w:rPr>
              <w:t>4.3</w:t>
            </w:r>
          </w:p>
        </w:tc>
        <w:tc>
          <w:tcPr>
            <w:tcW w:w="708" w:type="dxa"/>
            <w:tcBorders>
              <w:top w:val="nil"/>
              <w:left w:val="single" w:sz="4" w:space="0" w:color="auto"/>
              <w:bottom w:val="nil"/>
              <w:right w:val="single" w:sz="4" w:space="0" w:color="auto"/>
            </w:tcBorders>
          </w:tcPr>
          <w:p w14:paraId="366AE968" w14:textId="77777777" w:rsidR="00726C45" w:rsidRPr="00BD6DBC" w:rsidRDefault="00726C45" w:rsidP="00A37677">
            <w:pPr>
              <w:spacing w:before="0" w:line="240" w:lineRule="auto"/>
              <w:jc w:val="right"/>
              <w:rPr>
                <w:rFonts w:cs="Segoe UI"/>
                <w:sz w:val="16"/>
                <w:szCs w:val="16"/>
              </w:rPr>
            </w:pPr>
            <w:r>
              <w:rPr>
                <w:rFonts w:cs="Segoe UI"/>
                <w:sz w:val="16"/>
                <w:szCs w:val="16"/>
              </w:rPr>
              <w:t>13.5</w:t>
            </w:r>
          </w:p>
        </w:tc>
        <w:tc>
          <w:tcPr>
            <w:tcW w:w="993" w:type="dxa"/>
            <w:tcBorders>
              <w:top w:val="nil"/>
              <w:left w:val="single" w:sz="4" w:space="0" w:color="auto"/>
              <w:bottom w:val="nil"/>
              <w:right w:val="single" w:sz="4" w:space="0" w:color="auto"/>
            </w:tcBorders>
          </w:tcPr>
          <w:p w14:paraId="3E891525" w14:textId="77777777" w:rsidR="00726C45" w:rsidRPr="00BD6DBC" w:rsidRDefault="00726C45" w:rsidP="00A37677">
            <w:pPr>
              <w:spacing w:before="0" w:line="240" w:lineRule="auto"/>
              <w:jc w:val="right"/>
              <w:rPr>
                <w:rFonts w:cs="Segoe UI"/>
                <w:sz w:val="16"/>
                <w:szCs w:val="16"/>
              </w:rPr>
            </w:pPr>
            <w:r>
              <w:rPr>
                <w:rFonts w:cs="Segoe UI"/>
                <w:sz w:val="16"/>
                <w:szCs w:val="16"/>
              </w:rPr>
              <w:t>3.3</w:t>
            </w:r>
          </w:p>
        </w:tc>
        <w:tc>
          <w:tcPr>
            <w:tcW w:w="992" w:type="dxa"/>
            <w:tcBorders>
              <w:top w:val="nil"/>
              <w:left w:val="single" w:sz="4" w:space="0" w:color="auto"/>
              <w:bottom w:val="nil"/>
              <w:right w:val="single" w:sz="4" w:space="0" w:color="auto"/>
            </w:tcBorders>
          </w:tcPr>
          <w:p w14:paraId="2BFD0888"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3.0</w:t>
            </w:r>
          </w:p>
        </w:tc>
        <w:tc>
          <w:tcPr>
            <w:tcW w:w="850" w:type="dxa"/>
            <w:tcBorders>
              <w:top w:val="nil"/>
              <w:left w:val="single" w:sz="4" w:space="0" w:color="auto"/>
              <w:bottom w:val="nil"/>
              <w:right w:val="single" w:sz="4" w:space="0" w:color="auto"/>
            </w:tcBorders>
          </w:tcPr>
          <w:p w14:paraId="253D05F3" w14:textId="77777777" w:rsidR="00726C45" w:rsidRPr="00F37A41" w:rsidRDefault="00726C45" w:rsidP="00A37677">
            <w:pPr>
              <w:spacing w:before="0" w:line="240" w:lineRule="auto"/>
              <w:jc w:val="right"/>
              <w:rPr>
                <w:rFonts w:cs="Segoe UI"/>
                <w:sz w:val="16"/>
                <w:szCs w:val="16"/>
              </w:rPr>
            </w:pPr>
            <w:r>
              <w:rPr>
                <w:rFonts w:cs="Segoe UI"/>
                <w:sz w:val="16"/>
                <w:szCs w:val="16"/>
              </w:rPr>
              <w:t>2.1</w:t>
            </w:r>
          </w:p>
        </w:tc>
        <w:tc>
          <w:tcPr>
            <w:tcW w:w="567" w:type="dxa"/>
            <w:tcBorders>
              <w:top w:val="nil"/>
              <w:left w:val="single" w:sz="4" w:space="0" w:color="auto"/>
              <w:bottom w:val="nil"/>
              <w:right w:val="single" w:sz="4" w:space="0" w:color="auto"/>
            </w:tcBorders>
          </w:tcPr>
          <w:p w14:paraId="311A0C20" w14:textId="77777777" w:rsidR="00726C45" w:rsidRPr="00F37A41" w:rsidRDefault="00726C45" w:rsidP="00A37677">
            <w:pPr>
              <w:spacing w:before="0" w:line="240" w:lineRule="auto"/>
              <w:jc w:val="right"/>
              <w:rPr>
                <w:rFonts w:cs="Segoe UI"/>
                <w:sz w:val="16"/>
                <w:szCs w:val="16"/>
              </w:rPr>
            </w:pPr>
            <w:r>
              <w:rPr>
                <w:rFonts w:cs="Segoe UI"/>
                <w:sz w:val="16"/>
                <w:szCs w:val="16"/>
              </w:rPr>
              <w:t>5.0</w:t>
            </w:r>
          </w:p>
        </w:tc>
        <w:tc>
          <w:tcPr>
            <w:tcW w:w="709" w:type="dxa"/>
            <w:tcBorders>
              <w:top w:val="nil"/>
              <w:left w:val="single" w:sz="4" w:space="0" w:color="auto"/>
              <w:bottom w:val="nil"/>
              <w:right w:val="single" w:sz="4" w:space="0" w:color="auto"/>
            </w:tcBorders>
          </w:tcPr>
          <w:p w14:paraId="4F500117" w14:textId="77777777" w:rsidR="00726C45" w:rsidRDefault="00726C45" w:rsidP="00A37677">
            <w:pPr>
              <w:spacing w:before="0" w:line="240" w:lineRule="auto"/>
              <w:jc w:val="right"/>
              <w:rPr>
                <w:rFonts w:cs="Segoe UI"/>
                <w:sz w:val="16"/>
                <w:szCs w:val="16"/>
              </w:rPr>
            </w:pPr>
            <w:r>
              <w:rPr>
                <w:rFonts w:cs="Segoe UI"/>
                <w:sz w:val="16"/>
                <w:szCs w:val="16"/>
              </w:rPr>
              <w:t>1.9</w:t>
            </w:r>
          </w:p>
        </w:tc>
        <w:tc>
          <w:tcPr>
            <w:tcW w:w="1133" w:type="dxa"/>
            <w:tcBorders>
              <w:top w:val="nil"/>
              <w:left w:val="single" w:sz="4" w:space="0" w:color="auto"/>
              <w:bottom w:val="nil"/>
              <w:right w:val="single" w:sz="4" w:space="0" w:color="auto"/>
            </w:tcBorders>
          </w:tcPr>
          <w:p w14:paraId="4B46A48C" w14:textId="77777777" w:rsidR="00726C45" w:rsidRDefault="00726C45" w:rsidP="00A37677">
            <w:pPr>
              <w:spacing w:before="0" w:line="240" w:lineRule="auto"/>
              <w:jc w:val="right"/>
              <w:rPr>
                <w:rFonts w:cs="Segoe UI"/>
                <w:sz w:val="16"/>
                <w:szCs w:val="16"/>
              </w:rPr>
            </w:pPr>
            <w:r>
              <w:rPr>
                <w:rFonts w:cs="Segoe UI"/>
                <w:sz w:val="16"/>
                <w:szCs w:val="16"/>
              </w:rPr>
              <w:t>80.3</w:t>
            </w:r>
          </w:p>
        </w:tc>
      </w:tr>
      <w:tr w:rsidR="00726C45" w:rsidRPr="00BD6DBC" w14:paraId="27CC69A4" w14:textId="77777777" w:rsidTr="00A37677">
        <w:tc>
          <w:tcPr>
            <w:tcW w:w="1418" w:type="dxa"/>
            <w:tcBorders>
              <w:top w:val="nil"/>
              <w:left w:val="single" w:sz="4" w:space="0" w:color="auto"/>
              <w:bottom w:val="nil"/>
              <w:right w:val="single" w:sz="4" w:space="0" w:color="auto"/>
            </w:tcBorders>
          </w:tcPr>
          <w:p w14:paraId="1C79A9EA" w14:textId="77777777" w:rsidR="00726C45" w:rsidRPr="00BD6DBC" w:rsidRDefault="00726C45" w:rsidP="00A37677">
            <w:pPr>
              <w:spacing w:before="0" w:line="240" w:lineRule="auto"/>
              <w:rPr>
                <w:rFonts w:cs="Segoe UI"/>
                <w:sz w:val="16"/>
                <w:szCs w:val="16"/>
              </w:rPr>
            </w:pPr>
            <w:r w:rsidRPr="00BD6DBC">
              <w:rPr>
                <w:rFonts w:cs="Segoe UI"/>
                <w:sz w:val="16"/>
                <w:szCs w:val="16"/>
              </w:rPr>
              <w:t>Zambia</w:t>
            </w:r>
          </w:p>
        </w:tc>
        <w:tc>
          <w:tcPr>
            <w:tcW w:w="709" w:type="dxa"/>
            <w:tcBorders>
              <w:top w:val="nil"/>
              <w:left w:val="single" w:sz="4" w:space="0" w:color="auto"/>
              <w:bottom w:val="nil"/>
              <w:right w:val="single" w:sz="4" w:space="0" w:color="auto"/>
            </w:tcBorders>
          </w:tcPr>
          <w:p w14:paraId="02782D16" w14:textId="77777777" w:rsidR="00726C45" w:rsidRPr="00BD6DBC" w:rsidRDefault="00726C45" w:rsidP="00A37677">
            <w:pPr>
              <w:spacing w:before="0" w:line="240" w:lineRule="auto"/>
              <w:jc w:val="right"/>
              <w:rPr>
                <w:rFonts w:cs="Segoe UI"/>
                <w:sz w:val="16"/>
                <w:szCs w:val="16"/>
              </w:rPr>
            </w:pPr>
            <w:r>
              <w:rPr>
                <w:rFonts w:cs="Segoe UI"/>
                <w:sz w:val="16"/>
                <w:szCs w:val="16"/>
              </w:rPr>
              <w:t>2.8</w:t>
            </w:r>
          </w:p>
        </w:tc>
        <w:tc>
          <w:tcPr>
            <w:tcW w:w="708" w:type="dxa"/>
            <w:tcBorders>
              <w:top w:val="nil"/>
              <w:left w:val="single" w:sz="4" w:space="0" w:color="auto"/>
              <w:bottom w:val="nil"/>
              <w:right w:val="single" w:sz="4" w:space="0" w:color="auto"/>
            </w:tcBorders>
          </w:tcPr>
          <w:p w14:paraId="57664583" w14:textId="77777777" w:rsidR="00726C45" w:rsidRPr="00BD6DBC" w:rsidRDefault="00726C45" w:rsidP="00A37677">
            <w:pPr>
              <w:spacing w:before="0" w:line="240" w:lineRule="auto"/>
              <w:jc w:val="right"/>
              <w:rPr>
                <w:rFonts w:cs="Segoe UI"/>
                <w:sz w:val="16"/>
                <w:szCs w:val="16"/>
              </w:rPr>
            </w:pPr>
            <w:r>
              <w:rPr>
                <w:rFonts w:cs="Segoe UI"/>
                <w:sz w:val="16"/>
                <w:szCs w:val="16"/>
              </w:rPr>
              <w:t>3.3</w:t>
            </w:r>
          </w:p>
        </w:tc>
        <w:tc>
          <w:tcPr>
            <w:tcW w:w="993" w:type="dxa"/>
            <w:tcBorders>
              <w:top w:val="nil"/>
              <w:left w:val="single" w:sz="4" w:space="0" w:color="auto"/>
              <w:bottom w:val="nil"/>
              <w:right w:val="single" w:sz="4" w:space="0" w:color="auto"/>
            </w:tcBorders>
          </w:tcPr>
          <w:p w14:paraId="098585FE" w14:textId="77777777" w:rsidR="00726C45" w:rsidRPr="00BD6DBC" w:rsidRDefault="00726C45" w:rsidP="00A37677">
            <w:pPr>
              <w:spacing w:before="0" w:line="240" w:lineRule="auto"/>
              <w:jc w:val="right"/>
              <w:rPr>
                <w:rFonts w:cs="Segoe UI"/>
                <w:sz w:val="16"/>
                <w:szCs w:val="16"/>
              </w:rPr>
            </w:pPr>
            <w:r>
              <w:rPr>
                <w:rFonts w:cs="Segoe UI"/>
                <w:sz w:val="16"/>
                <w:szCs w:val="16"/>
              </w:rPr>
              <w:t>1.6</w:t>
            </w:r>
          </w:p>
        </w:tc>
        <w:tc>
          <w:tcPr>
            <w:tcW w:w="567" w:type="dxa"/>
            <w:tcBorders>
              <w:top w:val="nil"/>
              <w:left w:val="single" w:sz="4" w:space="0" w:color="auto"/>
              <w:bottom w:val="nil"/>
              <w:right w:val="single" w:sz="4" w:space="0" w:color="auto"/>
            </w:tcBorders>
            <w:vAlign w:val="bottom"/>
          </w:tcPr>
          <w:p w14:paraId="62720BC2" w14:textId="77777777" w:rsidR="00726C45" w:rsidRPr="00BD6DBC" w:rsidRDefault="00726C45" w:rsidP="00A37677">
            <w:pPr>
              <w:spacing w:before="0" w:line="240" w:lineRule="auto"/>
              <w:jc w:val="right"/>
              <w:rPr>
                <w:rFonts w:cs="Segoe UI"/>
                <w:sz w:val="16"/>
                <w:szCs w:val="16"/>
              </w:rPr>
            </w:pPr>
            <w:r>
              <w:rPr>
                <w:rFonts w:cs="Segoe UI"/>
                <w:sz w:val="16"/>
                <w:szCs w:val="16"/>
              </w:rPr>
              <w:t>4.8</w:t>
            </w:r>
          </w:p>
        </w:tc>
        <w:tc>
          <w:tcPr>
            <w:tcW w:w="708" w:type="dxa"/>
            <w:tcBorders>
              <w:top w:val="nil"/>
              <w:left w:val="single" w:sz="4" w:space="0" w:color="auto"/>
              <w:bottom w:val="nil"/>
              <w:right w:val="single" w:sz="4" w:space="0" w:color="auto"/>
            </w:tcBorders>
          </w:tcPr>
          <w:p w14:paraId="4C39EAF1" w14:textId="77777777" w:rsidR="00726C45" w:rsidRPr="00BD6DBC" w:rsidRDefault="00726C45" w:rsidP="00A37677">
            <w:pPr>
              <w:spacing w:before="0" w:line="240" w:lineRule="auto"/>
              <w:jc w:val="right"/>
              <w:rPr>
                <w:rFonts w:cs="Segoe UI"/>
                <w:sz w:val="16"/>
                <w:szCs w:val="16"/>
              </w:rPr>
            </w:pPr>
            <w:r>
              <w:rPr>
                <w:rFonts w:cs="Segoe UI"/>
                <w:sz w:val="16"/>
                <w:szCs w:val="16"/>
              </w:rPr>
              <w:t>3.2</w:t>
            </w:r>
          </w:p>
        </w:tc>
        <w:tc>
          <w:tcPr>
            <w:tcW w:w="993" w:type="dxa"/>
            <w:tcBorders>
              <w:top w:val="nil"/>
              <w:left w:val="single" w:sz="4" w:space="0" w:color="auto"/>
              <w:bottom w:val="nil"/>
              <w:right w:val="single" w:sz="4" w:space="0" w:color="auto"/>
            </w:tcBorders>
          </w:tcPr>
          <w:p w14:paraId="64F6F4BE" w14:textId="77777777" w:rsidR="00726C45" w:rsidRPr="00BD6DBC" w:rsidRDefault="00726C45" w:rsidP="00A37677">
            <w:pPr>
              <w:spacing w:before="0" w:line="240" w:lineRule="auto"/>
              <w:jc w:val="right"/>
              <w:rPr>
                <w:rFonts w:cs="Segoe UI"/>
                <w:sz w:val="16"/>
                <w:szCs w:val="16"/>
              </w:rPr>
            </w:pPr>
            <w:r>
              <w:rPr>
                <w:rFonts w:cs="Segoe UI"/>
                <w:sz w:val="16"/>
                <w:szCs w:val="16"/>
              </w:rPr>
              <w:t>3.5</w:t>
            </w:r>
          </w:p>
        </w:tc>
        <w:tc>
          <w:tcPr>
            <w:tcW w:w="992" w:type="dxa"/>
            <w:tcBorders>
              <w:top w:val="nil"/>
              <w:left w:val="single" w:sz="4" w:space="0" w:color="auto"/>
              <w:bottom w:val="nil"/>
              <w:right w:val="single" w:sz="4" w:space="0" w:color="auto"/>
            </w:tcBorders>
          </w:tcPr>
          <w:p w14:paraId="71180B04" w14:textId="77777777" w:rsidR="00726C45" w:rsidRPr="00F37A41" w:rsidRDefault="00726C45" w:rsidP="00A37677">
            <w:pPr>
              <w:spacing w:before="0" w:line="240" w:lineRule="auto"/>
              <w:jc w:val="right"/>
              <w:rPr>
                <w:rFonts w:cs="Segoe UI"/>
                <w:sz w:val="16"/>
                <w:szCs w:val="16"/>
              </w:rPr>
            </w:pPr>
            <w:r w:rsidRPr="00F37A41">
              <w:rPr>
                <w:rFonts w:cs="Segoe UI"/>
                <w:sz w:val="16"/>
                <w:szCs w:val="16"/>
              </w:rPr>
              <w:t>3.3</w:t>
            </w:r>
          </w:p>
        </w:tc>
        <w:tc>
          <w:tcPr>
            <w:tcW w:w="850" w:type="dxa"/>
            <w:tcBorders>
              <w:top w:val="nil"/>
              <w:left w:val="single" w:sz="4" w:space="0" w:color="auto"/>
              <w:bottom w:val="nil"/>
              <w:right w:val="single" w:sz="4" w:space="0" w:color="auto"/>
            </w:tcBorders>
          </w:tcPr>
          <w:p w14:paraId="426B8B2B" w14:textId="77777777" w:rsidR="00726C45" w:rsidRPr="00F37A41" w:rsidRDefault="00726C45" w:rsidP="00A37677">
            <w:pPr>
              <w:spacing w:before="0" w:line="240" w:lineRule="auto"/>
              <w:jc w:val="right"/>
              <w:rPr>
                <w:rFonts w:cs="Segoe UI"/>
                <w:sz w:val="16"/>
                <w:szCs w:val="16"/>
              </w:rPr>
            </w:pPr>
            <w:r>
              <w:rPr>
                <w:rFonts w:cs="Segoe UI"/>
                <w:sz w:val="16"/>
                <w:szCs w:val="16"/>
              </w:rPr>
              <w:t>2.9</w:t>
            </w:r>
          </w:p>
        </w:tc>
        <w:tc>
          <w:tcPr>
            <w:tcW w:w="567" w:type="dxa"/>
            <w:tcBorders>
              <w:top w:val="nil"/>
              <w:left w:val="single" w:sz="4" w:space="0" w:color="auto"/>
              <w:bottom w:val="nil"/>
              <w:right w:val="single" w:sz="4" w:space="0" w:color="auto"/>
            </w:tcBorders>
          </w:tcPr>
          <w:p w14:paraId="32C6CE0F" w14:textId="77777777" w:rsidR="00726C45" w:rsidRPr="00F37A41" w:rsidRDefault="00726C45" w:rsidP="00A37677">
            <w:pPr>
              <w:spacing w:before="0" w:line="240" w:lineRule="auto"/>
              <w:jc w:val="right"/>
              <w:rPr>
                <w:rFonts w:cs="Segoe UI"/>
                <w:sz w:val="16"/>
                <w:szCs w:val="16"/>
              </w:rPr>
            </w:pPr>
            <w:r>
              <w:rPr>
                <w:rFonts w:cs="Segoe UI"/>
                <w:sz w:val="16"/>
                <w:szCs w:val="16"/>
              </w:rPr>
              <w:t>3.8</w:t>
            </w:r>
          </w:p>
        </w:tc>
        <w:tc>
          <w:tcPr>
            <w:tcW w:w="709" w:type="dxa"/>
            <w:tcBorders>
              <w:top w:val="nil"/>
              <w:left w:val="single" w:sz="4" w:space="0" w:color="auto"/>
              <w:bottom w:val="nil"/>
              <w:right w:val="single" w:sz="4" w:space="0" w:color="auto"/>
            </w:tcBorders>
          </w:tcPr>
          <w:p w14:paraId="0FDBDC56" w14:textId="77777777" w:rsidR="00726C45" w:rsidRDefault="00726C45" w:rsidP="00A37677">
            <w:pPr>
              <w:spacing w:before="0" w:line="240" w:lineRule="auto"/>
              <w:jc w:val="right"/>
              <w:rPr>
                <w:rFonts w:cs="Segoe UI"/>
                <w:sz w:val="16"/>
                <w:szCs w:val="16"/>
              </w:rPr>
            </w:pPr>
            <w:r>
              <w:rPr>
                <w:rFonts w:cs="Segoe UI"/>
                <w:sz w:val="16"/>
                <w:szCs w:val="16"/>
              </w:rPr>
              <w:t>2.0</w:t>
            </w:r>
          </w:p>
        </w:tc>
        <w:tc>
          <w:tcPr>
            <w:tcW w:w="1133" w:type="dxa"/>
            <w:tcBorders>
              <w:top w:val="nil"/>
              <w:left w:val="single" w:sz="4" w:space="0" w:color="auto"/>
              <w:bottom w:val="nil"/>
              <w:right w:val="single" w:sz="4" w:space="0" w:color="auto"/>
            </w:tcBorders>
          </w:tcPr>
          <w:p w14:paraId="00A07C47" w14:textId="77777777" w:rsidR="00726C45" w:rsidRDefault="00726C45" w:rsidP="00A37677">
            <w:pPr>
              <w:spacing w:before="0" w:line="240" w:lineRule="auto"/>
              <w:jc w:val="right"/>
              <w:rPr>
                <w:rFonts w:cs="Segoe UI"/>
                <w:sz w:val="16"/>
                <w:szCs w:val="16"/>
              </w:rPr>
            </w:pPr>
            <w:r>
              <w:rPr>
                <w:rFonts w:cs="Segoe UI"/>
                <w:sz w:val="16"/>
                <w:szCs w:val="16"/>
              </w:rPr>
              <w:t>88.7</w:t>
            </w:r>
          </w:p>
        </w:tc>
      </w:tr>
      <w:tr w:rsidR="00726C45" w:rsidRPr="00BD6DBC" w14:paraId="0BA16575" w14:textId="77777777" w:rsidTr="00A37677">
        <w:tc>
          <w:tcPr>
            <w:tcW w:w="1418" w:type="dxa"/>
            <w:tcBorders>
              <w:top w:val="nil"/>
              <w:left w:val="single" w:sz="4" w:space="0" w:color="auto"/>
              <w:bottom w:val="single" w:sz="4" w:space="0" w:color="auto"/>
              <w:right w:val="single" w:sz="4" w:space="0" w:color="auto"/>
            </w:tcBorders>
          </w:tcPr>
          <w:p w14:paraId="67FD74BF" w14:textId="77777777" w:rsidR="00726C45" w:rsidRPr="000060C8" w:rsidRDefault="00726C45" w:rsidP="00A37677">
            <w:pPr>
              <w:spacing w:before="0" w:line="240" w:lineRule="auto"/>
              <w:jc w:val="right"/>
              <w:rPr>
                <w:rFonts w:cs="Segoe UI"/>
                <w:b/>
                <w:sz w:val="16"/>
                <w:szCs w:val="16"/>
              </w:rPr>
            </w:pPr>
            <w:r>
              <w:rPr>
                <w:rFonts w:cs="Segoe UI"/>
                <w:b/>
                <w:sz w:val="16"/>
                <w:szCs w:val="16"/>
              </w:rPr>
              <w:t>Average</w:t>
            </w:r>
          </w:p>
        </w:tc>
        <w:tc>
          <w:tcPr>
            <w:tcW w:w="709" w:type="dxa"/>
            <w:tcBorders>
              <w:top w:val="nil"/>
              <w:left w:val="single" w:sz="4" w:space="0" w:color="auto"/>
              <w:bottom w:val="single" w:sz="4" w:space="0" w:color="auto"/>
              <w:right w:val="single" w:sz="4" w:space="0" w:color="auto"/>
            </w:tcBorders>
          </w:tcPr>
          <w:p w14:paraId="0174A343"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5.1</w:t>
            </w:r>
          </w:p>
        </w:tc>
        <w:tc>
          <w:tcPr>
            <w:tcW w:w="708" w:type="dxa"/>
            <w:tcBorders>
              <w:top w:val="nil"/>
              <w:left w:val="single" w:sz="4" w:space="0" w:color="auto"/>
              <w:bottom w:val="single" w:sz="4" w:space="0" w:color="auto"/>
              <w:right w:val="single" w:sz="4" w:space="0" w:color="auto"/>
            </w:tcBorders>
          </w:tcPr>
          <w:p w14:paraId="72A7F14B"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8.3</w:t>
            </w:r>
          </w:p>
        </w:tc>
        <w:tc>
          <w:tcPr>
            <w:tcW w:w="993" w:type="dxa"/>
            <w:tcBorders>
              <w:top w:val="nil"/>
              <w:left w:val="single" w:sz="4" w:space="0" w:color="auto"/>
              <w:bottom w:val="single" w:sz="4" w:space="0" w:color="auto"/>
              <w:right w:val="single" w:sz="4" w:space="0" w:color="auto"/>
            </w:tcBorders>
          </w:tcPr>
          <w:p w14:paraId="2FE0ADAE"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3.7</w:t>
            </w:r>
          </w:p>
        </w:tc>
        <w:tc>
          <w:tcPr>
            <w:tcW w:w="567" w:type="dxa"/>
            <w:tcBorders>
              <w:top w:val="nil"/>
              <w:left w:val="single" w:sz="4" w:space="0" w:color="auto"/>
              <w:bottom w:val="single" w:sz="4" w:space="0" w:color="auto"/>
              <w:right w:val="single" w:sz="4" w:space="0" w:color="auto"/>
            </w:tcBorders>
            <w:vAlign w:val="bottom"/>
          </w:tcPr>
          <w:p w14:paraId="5973ACB9"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4.3</w:t>
            </w:r>
          </w:p>
        </w:tc>
        <w:tc>
          <w:tcPr>
            <w:tcW w:w="708" w:type="dxa"/>
            <w:tcBorders>
              <w:top w:val="nil"/>
              <w:left w:val="single" w:sz="4" w:space="0" w:color="auto"/>
              <w:bottom w:val="single" w:sz="4" w:space="0" w:color="auto"/>
              <w:right w:val="single" w:sz="4" w:space="0" w:color="auto"/>
            </w:tcBorders>
          </w:tcPr>
          <w:p w14:paraId="45B61E1B"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7.9</w:t>
            </w:r>
          </w:p>
        </w:tc>
        <w:tc>
          <w:tcPr>
            <w:tcW w:w="993" w:type="dxa"/>
            <w:tcBorders>
              <w:top w:val="nil"/>
              <w:left w:val="single" w:sz="4" w:space="0" w:color="auto"/>
              <w:bottom w:val="single" w:sz="4" w:space="0" w:color="auto"/>
              <w:right w:val="single" w:sz="4" w:space="0" w:color="auto"/>
            </w:tcBorders>
          </w:tcPr>
          <w:p w14:paraId="76ADD709"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6.4</w:t>
            </w:r>
          </w:p>
        </w:tc>
        <w:tc>
          <w:tcPr>
            <w:tcW w:w="992" w:type="dxa"/>
            <w:tcBorders>
              <w:top w:val="nil"/>
              <w:left w:val="single" w:sz="4" w:space="0" w:color="auto"/>
              <w:bottom w:val="single" w:sz="4" w:space="0" w:color="auto"/>
              <w:right w:val="single" w:sz="4" w:space="0" w:color="auto"/>
            </w:tcBorders>
          </w:tcPr>
          <w:p w14:paraId="061F5D53"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5.0</w:t>
            </w:r>
          </w:p>
        </w:tc>
        <w:tc>
          <w:tcPr>
            <w:tcW w:w="850" w:type="dxa"/>
            <w:tcBorders>
              <w:top w:val="nil"/>
              <w:left w:val="single" w:sz="4" w:space="0" w:color="auto"/>
              <w:bottom w:val="single" w:sz="4" w:space="0" w:color="auto"/>
              <w:right w:val="single" w:sz="4" w:space="0" w:color="auto"/>
            </w:tcBorders>
          </w:tcPr>
          <w:p w14:paraId="7C4BDFBD"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4.3</w:t>
            </w:r>
          </w:p>
        </w:tc>
        <w:tc>
          <w:tcPr>
            <w:tcW w:w="567" w:type="dxa"/>
            <w:tcBorders>
              <w:top w:val="nil"/>
              <w:left w:val="single" w:sz="4" w:space="0" w:color="auto"/>
              <w:bottom w:val="single" w:sz="4" w:space="0" w:color="auto"/>
              <w:right w:val="single" w:sz="4" w:space="0" w:color="auto"/>
            </w:tcBorders>
          </w:tcPr>
          <w:p w14:paraId="05D34468"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6.7</w:t>
            </w:r>
          </w:p>
        </w:tc>
        <w:tc>
          <w:tcPr>
            <w:tcW w:w="709" w:type="dxa"/>
            <w:tcBorders>
              <w:top w:val="nil"/>
              <w:left w:val="single" w:sz="4" w:space="0" w:color="auto"/>
              <w:bottom w:val="single" w:sz="4" w:space="0" w:color="auto"/>
              <w:right w:val="single" w:sz="4" w:space="0" w:color="auto"/>
            </w:tcBorders>
          </w:tcPr>
          <w:p w14:paraId="14F40F3E"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3.3</w:t>
            </w:r>
          </w:p>
        </w:tc>
        <w:tc>
          <w:tcPr>
            <w:tcW w:w="1133" w:type="dxa"/>
            <w:tcBorders>
              <w:top w:val="nil"/>
              <w:left w:val="single" w:sz="4" w:space="0" w:color="auto"/>
              <w:bottom w:val="single" w:sz="4" w:space="0" w:color="auto"/>
              <w:right w:val="single" w:sz="4" w:space="0" w:color="auto"/>
            </w:tcBorders>
          </w:tcPr>
          <w:p w14:paraId="71F97F9C" w14:textId="77777777" w:rsidR="00726C45" w:rsidRPr="000060C8" w:rsidRDefault="00726C45" w:rsidP="00A37677">
            <w:pPr>
              <w:spacing w:before="0" w:line="240" w:lineRule="auto"/>
              <w:jc w:val="right"/>
              <w:rPr>
                <w:rFonts w:cs="Segoe UI"/>
                <w:b/>
                <w:sz w:val="16"/>
                <w:szCs w:val="16"/>
              </w:rPr>
            </w:pPr>
            <w:r w:rsidRPr="000060C8">
              <w:rPr>
                <w:rFonts w:cs="Segoe UI"/>
                <w:b/>
                <w:sz w:val="16"/>
                <w:szCs w:val="16"/>
              </w:rPr>
              <w:t>86.8</w:t>
            </w:r>
          </w:p>
        </w:tc>
      </w:tr>
    </w:tbl>
    <w:p w14:paraId="49BDEEA1" w14:textId="77777777" w:rsidR="00726C45" w:rsidRPr="00084A3F" w:rsidRDefault="00726C45" w:rsidP="00726C45">
      <w:pPr>
        <w:rPr>
          <w:sz w:val="18"/>
        </w:rPr>
      </w:pPr>
      <w:r>
        <w:rPr>
          <w:sz w:val="18"/>
        </w:rPr>
        <w:t xml:space="preserve">Note: Before PCA is carried out, total </w:t>
      </w:r>
      <w:r>
        <w:rPr>
          <w:i/>
          <w:sz w:val="18"/>
        </w:rPr>
        <w:t>n</w:t>
      </w:r>
      <w:r>
        <w:rPr>
          <w:sz w:val="18"/>
        </w:rPr>
        <w:t xml:space="preserve"> is 53,108. After listwise deletion total </w:t>
      </w:r>
      <w:r>
        <w:rPr>
          <w:i/>
          <w:sz w:val="18"/>
        </w:rPr>
        <w:t>n</w:t>
      </w:r>
      <w:r>
        <w:rPr>
          <w:sz w:val="18"/>
        </w:rPr>
        <w:t xml:space="preserve"> = 45,545</w:t>
      </w:r>
    </w:p>
    <w:p w14:paraId="16786803" w14:textId="77777777" w:rsidR="00726C45" w:rsidRDefault="00726C45" w:rsidP="00726C45"/>
    <w:p w14:paraId="243B068B" w14:textId="77777777" w:rsidR="00726C45" w:rsidRDefault="00726C45" w:rsidP="00726C45">
      <w:r>
        <w:t>The following are summaries of logistic regression models output for each individual characteristic Tax through to Equality and for the full PCA model which is after step-wise deletion of cases. Dependent variable is whether the respondent answered the question or not:  Not answering question = 1, Answering question = 0.</w:t>
      </w:r>
    </w:p>
    <w:p w14:paraId="0776D8F8" w14:textId="77777777" w:rsidR="00726C45" w:rsidRPr="0092616C" w:rsidRDefault="00726C45" w:rsidP="00726C45">
      <w:pPr>
        <w:rPr>
          <w:b/>
        </w:rPr>
      </w:pPr>
      <w:r w:rsidRPr="0092616C">
        <w:rPr>
          <w:b/>
        </w:rPr>
        <w:t xml:space="preserve">Figure </w:t>
      </w:r>
      <w:r>
        <w:rPr>
          <w:b/>
        </w:rPr>
        <w:t>B2:</w:t>
      </w:r>
      <w:r w:rsidRPr="0092616C">
        <w:rPr>
          <w:b/>
        </w:rPr>
        <w:t xml:space="preserve"> Likelihood of not answering question, or not included in the PCA - All respondents</w:t>
      </w:r>
    </w:p>
    <w:tbl>
      <w:tblPr>
        <w:tblStyle w:val="TableGrid"/>
        <w:tblW w:w="10347" w:type="dxa"/>
        <w:tblLayout w:type="fixed"/>
        <w:tblLook w:val="04A0" w:firstRow="1" w:lastRow="0" w:firstColumn="1" w:lastColumn="0" w:noHBand="0" w:noVBand="1"/>
      </w:tblPr>
      <w:tblGrid>
        <w:gridCol w:w="988"/>
        <w:gridCol w:w="992"/>
        <w:gridCol w:w="855"/>
        <w:gridCol w:w="993"/>
        <w:gridCol w:w="703"/>
        <w:gridCol w:w="709"/>
        <w:gridCol w:w="992"/>
        <w:gridCol w:w="993"/>
        <w:gridCol w:w="850"/>
        <w:gridCol w:w="709"/>
        <w:gridCol w:w="709"/>
        <w:gridCol w:w="854"/>
      </w:tblGrid>
      <w:tr w:rsidR="00726C45" w:rsidRPr="00BD6DBC" w14:paraId="661AA027" w14:textId="77777777" w:rsidTr="00A37677">
        <w:trPr>
          <w:trHeight w:val="284"/>
        </w:trPr>
        <w:tc>
          <w:tcPr>
            <w:tcW w:w="988" w:type="dxa"/>
            <w:tcBorders>
              <w:top w:val="single" w:sz="4" w:space="0" w:color="auto"/>
              <w:left w:val="single" w:sz="4" w:space="0" w:color="auto"/>
              <w:bottom w:val="single" w:sz="4" w:space="0" w:color="auto"/>
              <w:right w:val="single" w:sz="4" w:space="0" w:color="auto"/>
            </w:tcBorders>
            <w:vAlign w:val="bottom"/>
          </w:tcPr>
          <w:p w14:paraId="756E46BB" w14:textId="77777777" w:rsidR="00726C45" w:rsidRPr="00BD6DBC" w:rsidRDefault="00726C45" w:rsidP="00A37677">
            <w:pPr>
              <w:spacing w:before="0" w:line="240" w:lineRule="auto"/>
              <w:rPr>
                <w:rFonts w:eastAsia="Times New Roman" w:cs="Segoe UI"/>
                <w:b/>
                <w:bCs/>
                <w:sz w:val="16"/>
                <w:szCs w:val="16"/>
              </w:rPr>
            </w:pPr>
          </w:p>
        </w:tc>
        <w:tc>
          <w:tcPr>
            <w:tcW w:w="9359" w:type="dxa"/>
            <w:gridSpan w:val="11"/>
            <w:tcBorders>
              <w:top w:val="single" w:sz="4" w:space="0" w:color="auto"/>
              <w:left w:val="single" w:sz="4" w:space="0" w:color="auto"/>
              <w:bottom w:val="single" w:sz="4" w:space="0" w:color="auto"/>
              <w:right w:val="single" w:sz="4" w:space="0" w:color="auto"/>
            </w:tcBorders>
            <w:vAlign w:val="bottom"/>
          </w:tcPr>
          <w:p w14:paraId="229C6D52" w14:textId="77777777" w:rsidR="00726C45" w:rsidRDefault="00726C45" w:rsidP="00A37677">
            <w:pPr>
              <w:spacing w:before="0" w:line="240" w:lineRule="auto"/>
              <w:jc w:val="center"/>
              <w:rPr>
                <w:rFonts w:cs="Segoe UI"/>
                <w:b/>
                <w:bCs/>
                <w:sz w:val="16"/>
                <w:szCs w:val="16"/>
              </w:rPr>
            </w:pPr>
            <w:r>
              <w:rPr>
                <w:rFonts w:cs="Segoe UI"/>
                <w:b/>
                <w:bCs/>
                <w:sz w:val="16"/>
                <w:szCs w:val="16"/>
              </w:rPr>
              <w:t>Likelihood of not answering question or being included in PCA [All coefficients significant at p&lt;0.001]</w:t>
            </w:r>
          </w:p>
        </w:tc>
      </w:tr>
      <w:tr w:rsidR="00726C45" w:rsidRPr="00BD6DBC" w14:paraId="376330C3" w14:textId="77777777" w:rsidTr="00A37677">
        <w:trPr>
          <w:trHeight w:val="284"/>
        </w:trPr>
        <w:tc>
          <w:tcPr>
            <w:tcW w:w="988" w:type="dxa"/>
            <w:tcBorders>
              <w:top w:val="nil"/>
              <w:left w:val="single" w:sz="4" w:space="0" w:color="auto"/>
              <w:bottom w:val="single" w:sz="4" w:space="0" w:color="auto"/>
              <w:right w:val="single" w:sz="4" w:space="0" w:color="auto"/>
            </w:tcBorders>
            <w:vAlign w:val="bottom"/>
          </w:tcPr>
          <w:p w14:paraId="267EEF4E" w14:textId="77777777" w:rsidR="00726C45" w:rsidRPr="00BD6DBC" w:rsidRDefault="00726C45" w:rsidP="00A37677">
            <w:pPr>
              <w:spacing w:before="0" w:line="240" w:lineRule="auto"/>
              <w:rPr>
                <w:rFonts w:eastAsia="Times New Roman" w:cs="Segoe UI"/>
                <w:b/>
                <w:bCs/>
                <w:sz w:val="16"/>
                <w:szCs w:val="16"/>
              </w:rPr>
            </w:pPr>
            <w:r>
              <w:rPr>
                <w:rFonts w:eastAsia="Times New Roman" w:cs="Segoe UI"/>
                <w:b/>
                <w:bCs/>
                <w:sz w:val="16"/>
                <w:szCs w:val="16"/>
              </w:rPr>
              <w:t>Variable</w:t>
            </w:r>
          </w:p>
        </w:tc>
        <w:tc>
          <w:tcPr>
            <w:tcW w:w="992" w:type="dxa"/>
            <w:tcBorders>
              <w:top w:val="nil"/>
              <w:left w:val="single" w:sz="4" w:space="0" w:color="auto"/>
              <w:bottom w:val="single" w:sz="4" w:space="0" w:color="auto"/>
              <w:right w:val="single" w:sz="4" w:space="0" w:color="auto"/>
            </w:tcBorders>
            <w:vAlign w:val="bottom"/>
          </w:tcPr>
          <w:p w14:paraId="6EAF55D4" w14:textId="77777777" w:rsidR="00726C45" w:rsidRPr="00BD6DBC" w:rsidRDefault="00726C45" w:rsidP="00A37677">
            <w:pPr>
              <w:spacing w:before="0" w:line="240" w:lineRule="auto"/>
              <w:rPr>
                <w:rFonts w:cs="Segoe UI"/>
                <w:b/>
                <w:bCs/>
                <w:sz w:val="16"/>
                <w:szCs w:val="16"/>
              </w:rPr>
            </w:pPr>
            <w:r>
              <w:rPr>
                <w:rFonts w:cs="Segoe UI"/>
                <w:b/>
                <w:bCs/>
                <w:sz w:val="16"/>
                <w:szCs w:val="16"/>
              </w:rPr>
              <w:t>Tax</w:t>
            </w:r>
          </w:p>
        </w:tc>
        <w:tc>
          <w:tcPr>
            <w:tcW w:w="855" w:type="dxa"/>
            <w:tcBorders>
              <w:top w:val="nil"/>
              <w:left w:val="single" w:sz="4" w:space="0" w:color="auto"/>
              <w:bottom w:val="single" w:sz="4" w:space="0" w:color="auto"/>
              <w:right w:val="single" w:sz="4" w:space="0" w:color="auto"/>
            </w:tcBorders>
            <w:vAlign w:val="bottom"/>
          </w:tcPr>
          <w:p w14:paraId="577CA5B1" w14:textId="77777777" w:rsidR="00726C45" w:rsidRPr="00BD6DBC" w:rsidRDefault="00726C45" w:rsidP="00A37677">
            <w:pPr>
              <w:spacing w:before="0" w:line="240" w:lineRule="auto"/>
              <w:rPr>
                <w:rFonts w:cs="Segoe UI"/>
                <w:b/>
                <w:bCs/>
                <w:sz w:val="16"/>
                <w:szCs w:val="16"/>
              </w:rPr>
            </w:pPr>
            <w:r>
              <w:rPr>
                <w:rFonts w:cs="Segoe UI"/>
                <w:b/>
                <w:bCs/>
                <w:sz w:val="16"/>
                <w:szCs w:val="16"/>
              </w:rPr>
              <w:t>Relig.</w:t>
            </w:r>
          </w:p>
        </w:tc>
        <w:tc>
          <w:tcPr>
            <w:tcW w:w="993" w:type="dxa"/>
            <w:tcBorders>
              <w:top w:val="nil"/>
              <w:left w:val="single" w:sz="4" w:space="0" w:color="auto"/>
              <w:bottom w:val="single" w:sz="4" w:space="0" w:color="auto"/>
              <w:right w:val="single" w:sz="4" w:space="0" w:color="auto"/>
            </w:tcBorders>
            <w:vAlign w:val="bottom"/>
          </w:tcPr>
          <w:p w14:paraId="63ED64EB" w14:textId="77777777" w:rsidR="00726C45" w:rsidRPr="00BD6DBC" w:rsidRDefault="00726C45" w:rsidP="00A37677">
            <w:pPr>
              <w:spacing w:before="0" w:line="240" w:lineRule="auto"/>
              <w:rPr>
                <w:rFonts w:cs="Segoe UI"/>
                <w:b/>
                <w:bCs/>
                <w:sz w:val="16"/>
                <w:szCs w:val="16"/>
              </w:rPr>
            </w:pPr>
            <w:r>
              <w:rPr>
                <w:rFonts w:cs="Segoe UI"/>
                <w:b/>
                <w:bCs/>
                <w:sz w:val="16"/>
                <w:szCs w:val="16"/>
              </w:rPr>
              <w:t>Elections</w:t>
            </w:r>
          </w:p>
        </w:tc>
        <w:tc>
          <w:tcPr>
            <w:tcW w:w="703" w:type="dxa"/>
            <w:tcBorders>
              <w:top w:val="nil"/>
              <w:left w:val="single" w:sz="4" w:space="0" w:color="auto"/>
              <w:bottom w:val="single" w:sz="4" w:space="0" w:color="auto"/>
              <w:right w:val="single" w:sz="4" w:space="0" w:color="auto"/>
            </w:tcBorders>
            <w:vAlign w:val="bottom"/>
          </w:tcPr>
          <w:p w14:paraId="2545819C" w14:textId="77777777" w:rsidR="00726C45" w:rsidRPr="00BD6DBC" w:rsidRDefault="00726C45" w:rsidP="00A37677">
            <w:pPr>
              <w:spacing w:before="0" w:line="240" w:lineRule="auto"/>
              <w:rPr>
                <w:rFonts w:cs="Segoe UI"/>
                <w:b/>
                <w:bCs/>
                <w:sz w:val="16"/>
                <w:szCs w:val="16"/>
              </w:rPr>
            </w:pPr>
            <w:r>
              <w:rPr>
                <w:rFonts w:cs="Segoe UI"/>
                <w:b/>
                <w:bCs/>
                <w:sz w:val="16"/>
                <w:szCs w:val="16"/>
              </w:rPr>
              <w:t>Aid</w:t>
            </w:r>
          </w:p>
        </w:tc>
        <w:tc>
          <w:tcPr>
            <w:tcW w:w="709" w:type="dxa"/>
            <w:tcBorders>
              <w:top w:val="nil"/>
              <w:left w:val="single" w:sz="4" w:space="0" w:color="auto"/>
              <w:bottom w:val="single" w:sz="4" w:space="0" w:color="auto"/>
              <w:right w:val="single" w:sz="4" w:space="0" w:color="auto"/>
            </w:tcBorders>
            <w:vAlign w:val="bottom"/>
          </w:tcPr>
          <w:p w14:paraId="768A0946" w14:textId="77777777" w:rsidR="00726C45" w:rsidRPr="00BD6DBC" w:rsidRDefault="00726C45" w:rsidP="00A37677">
            <w:pPr>
              <w:spacing w:before="0" w:line="240" w:lineRule="auto"/>
              <w:rPr>
                <w:rFonts w:cs="Segoe UI"/>
                <w:b/>
                <w:bCs/>
                <w:sz w:val="16"/>
                <w:szCs w:val="16"/>
              </w:rPr>
            </w:pPr>
            <w:r>
              <w:rPr>
                <w:rFonts w:cs="Segoe UI"/>
                <w:b/>
                <w:bCs/>
                <w:sz w:val="16"/>
                <w:szCs w:val="16"/>
              </w:rPr>
              <w:t>Army</w:t>
            </w:r>
          </w:p>
        </w:tc>
        <w:tc>
          <w:tcPr>
            <w:tcW w:w="992" w:type="dxa"/>
            <w:tcBorders>
              <w:top w:val="nil"/>
              <w:left w:val="single" w:sz="4" w:space="0" w:color="auto"/>
              <w:bottom w:val="single" w:sz="4" w:space="0" w:color="auto"/>
              <w:right w:val="single" w:sz="4" w:space="0" w:color="auto"/>
            </w:tcBorders>
            <w:vAlign w:val="bottom"/>
          </w:tcPr>
          <w:p w14:paraId="2892A6D6" w14:textId="77777777" w:rsidR="00726C45" w:rsidRPr="00BD6DBC" w:rsidRDefault="00726C45" w:rsidP="00A37677">
            <w:pPr>
              <w:spacing w:before="0" w:line="240" w:lineRule="auto"/>
              <w:rPr>
                <w:rFonts w:cs="Segoe UI"/>
                <w:b/>
                <w:bCs/>
                <w:sz w:val="16"/>
                <w:szCs w:val="16"/>
              </w:rPr>
            </w:pPr>
            <w:r>
              <w:rPr>
                <w:rFonts w:cs="Segoe UI"/>
                <w:b/>
                <w:bCs/>
                <w:sz w:val="16"/>
                <w:szCs w:val="16"/>
              </w:rPr>
              <w:t>Civ.Rights</w:t>
            </w:r>
          </w:p>
        </w:tc>
        <w:tc>
          <w:tcPr>
            <w:tcW w:w="993" w:type="dxa"/>
            <w:tcBorders>
              <w:top w:val="nil"/>
              <w:left w:val="single" w:sz="4" w:space="0" w:color="auto"/>
              <w:bottom w:val="single" w:sz="4" w:space="0" w:color="auto"/>
              <w:right w:val="single" w:sz="4" w:space="0" w:color="auto"/>
            </w:tcBorders>
            <w:vAlign w:val="bottom"/>
          </w:tcPr>
          <w:p w14:paraId="1D172281" w14:textId="77777777" w:rsidR="00726C45" w:rsidRPr="002738FA" w:rsidRDefault="00726C45" w:rsidP="00A37677">
            <w:pPr>
              <w:spacing w:before="0" w:line="240" w:lineRule="auto"/>
              <w:rPr>
                <w:rFonts w:cs="Segoe UI"/>
                <w:b/>
                <w:bCs/>
                <w:sz w:val="16"/>
                <w:szCs w:val="16"/>
                <w:highlight w:val="yellow"/>
              </w:rPr>
            </w:pPr>
            <w:r>
              <w:rPr>
                <w:rFonts w:cs="Segoe UI"/>
                <w:b/>
                <w:bCs/>
                <w:sz w:val="16"/>
                <w:szCs w:val="16"/>
              </w:rPr>
              <w:t>Economy</w:t>
            </w:r>
          </w:p>
        </w:tc>
        <w:tc>
          <w:tcPr>
            <w:tcW w:w="850" w:type="dxa"/>
            <w:tcBorders>
              <w:top w:val="nil"/>
              <w:left w:val="single" w:sz="4" w:space="0" w:color="auto"/>
              <w:bottom w:val="single" w:sz="4" w:space="0" w:color="auto"/>
              <w:right w:val="single" w:sz="4" w:space="0" w:color="auto"/>
            </w:tcBorders>
            <w:vAlign w:val="bottom"/>
          </w:tcPr>
          <w:p w14:paraId="1B9382A3" w14:textId="77777777" w:rsidR="00726C45" w:rsidRDefault="00726C45" w:rsidP="00A37677">
            <w:pPr>
              <w:spacing w:before="0" w:line="240" w:lineRule="auto"/>
              <w:rPr>
                <w:rFonts w:cs="Segoe UI"/>
                <w:b/>
                <w:bCs/>
                <w:sz w:val="16"/>
                <w:szCs w:val="16"/>
              </w:rPr>
            </w:pPr>
            <w:r>
              <w:rPr>
                <w:rFonts w:cs="Segoe UI"/>
                <w:b/>
                <w:bCs/>
                <w:sz w:val="16"/>
                <w:szCs w:val="16"/>
              </w:rPr>
              <w:t>Criminal</w:t>
            </w:r>
          </w:p>
        </w:tc>
        <w:tc>
          <w:tcPr>
            <w:tcW w:w="709" w:type="dxa"/>
            <w:tcBorders>
              <w:top w:val="nil"/>
              <w:left w:val="single" w:sz="4" w:space="0" w:color="auto"/>
              <w:bottom w:val="single" w:sz="4" w:space="0" w:color="auto"/>
              <w:right w:val="single" w:sz="4" w:space="0" w:color="auto"/>
            </w:tcBorders>
            <w:vAlign w:val="bottom"/>
          </w:tcPr>
          <w:p w14:paraId="05075D8B" w14:textId="77777777" w:rsidR="00726C45" w:rsidRDefault="00726C45" w:rsidP="00A37677">
            <w:pPr>
              <w:spacing w:before="0" w:line="240" w:lineRule="auto"/>
              <w:rPr>
                <w:rFonts w:cs="Segoe UI"/>
                <w:b/>
                <w:bCs/>
                <w:sz w:val="16"/>
                <w:szCs w:val="16"/>
              </w:rPr>
            </w:pPr>
            <w:r>
              <w:rPr>
                <w:rFonts w:cs="Segoe UI"/>
                <w:b/>
                <w:bCs/>
                <w:sz w:val="16"/>
                <w:szCs w:val="16"/>
              </w:rPr>
              <w:t>Ref</w:t>
            </w:r>
          </w:p>
        </w:tc>
        <w:tc>
          <w:tcPr>
            <w:tcW w:w="709" w:type="dxa"/>
            <w:tcBorders>
              <w:top w:val="nil"/>
              <w:left w:val="single" w:sz="4" w:space="0" w:color="auto"/>
              <w:bottom w:val="single" w:sz="4" w:space="0" w:color="auto"/>
              <w:right w:val="single" w:sz="4" w:space="0" w:color="auto"/>
            </w:tcBorders>
            <w:vAlign w:val="bottom"/>
          </w:tcPr>
          <w:p w14:paraId="069C4510" w14:textId="77777777" w:rsidR="00726C45" w:rsidRDefault="00726C45" w:rsidP="00A37677">
            <w:pPr>
              <w:spacing w:before="0" w:line="240" w:lineRule="auto"/>
              <w:rPr>
                <w:rFonts w:cs="Segoe UI"/>
                <w:b/>
                <w:bCs/>
                <w:sz w:val="16"/>
                <w:szCs w:val="16"/>
              </w:rPr>
            </w:pPr>
            <w:r>
              <w:rPr>
                <w:rFonts w:cs="Segoe UI"/>
                <w:b/>
                <w:bCs/>
                <w:sz w:val="16"/>
                <w:szCs w:val="16"/>
              </w:rPr>
              <w:t>Equal.</w:t>
            </w:r>
          </w:p>
        </w:tc>
        <w:tc>
          <w:tcPr>
            <w:tcW w:w="854" w:type="dxa"/>
            <w:tcBorders>
              <w:left w:val="single" w:sz="4" w:space="0" w:color="auto"/>
              <w:bottom w:val="single" w:sz="4" w:space="0" w:color="auto"/>
              <w:right w:val="single" w:sz="4" w:space="0" w:color="auto"/>
            </w:tcBorders>
            <w:vAlign w:val="bottom"/>
          </w:tcPr>
          <w:p w14:paraId="341226B1" w14:textId="77777777" w:rsidR="00726C45" w:rsidRDefault="00726C45" w:rsidP="00A37677">
            <w:pPr>
              <w:spacing w:before="0" w:line="240" w:lineRule="auto"/>
              <w:rPr>
                <w:rFonts w:cs="Segoe UI"/>
                <w:b/>
                <w:bCs/>
                <w:sz w:val="16"/>
                <w:szCs w:val="16"/>
              </w:rPr>
            </w:pPr>
            <w:r>
              <w:rPr>
                <w:rFonts w:cs="Segoe UI"/>
                <w:b/>
                <w:bCs/>
                <w:sz w:val="16"/>
                <w:szCs w:val="16"/>
              </w:rPr>
              <w:t>PCA</w:t>
            </w:r>
          </w:p>
        </w:tc>
      </w:tr>
      <w:tr w:rsidR="00726C45" w:rsidRPr="00BD6DBC" w14:paraId="7DD971B4" w14:textId="77777777" w:rsidTr="00A37677">
        <w:tc>
          <w:tcPr>
            <w:tcW w:w="988" w:type="dxa"/>
            <w:tcBorders>
              <w:top w:val="single" w:sz="4" w:space="0" w:color="auto"/>
              <w:left w:val="single" w:sz="4" w:space="0" w:color="auto"/>
              <w:bottom w:val="nil"/>
              <w:right w:val="single" w:sz="4" w:space="0" w:color="auto"/>
            </w:tcBorders>
            <w:vAlign w:val="bottom"/>
          </w:tcPr>
          <w:p w14:paraId="73528839"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Age</w:t>
            </w:r>
          </w:p>
        </w:tc>
        <w:tc>
          <w:tcPr>
            <w:tcW w:w="992" w:type="dxa"/>
            <w:tcBorders>
              <w:top w:val="single" w:sz="4" w:space="0" w:color="auto"/>
              <w:left w:val="single" w:sz="4" w:space="0" w:color="auto"/>
              <w:bottom w:val="nil"/>
              <w:right w:val="single" w:sz="4" w:space="0" w:color="auto"/>
            </w:tcBorders>
          </w:tcPr>
          <w:p w14:paraId="4040D550"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855" w:type="dxa"/>
            <w:tcBorders>
              <w:top w:val="single" w:sz="4" w:space="0" w:color="auto"/>
              <w:left w:val="single" w:sz="4" w:space="0" w:color="auto"/>
              <w:bottom w:val="nil"/>
              <w:right w:val="single" w:sz="4" w:space="0" w:color="auto"/>
            </w:tcBorders>
          </w:tcPr>
          <w:p w14:paraId="12443967"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993" w:type="dxa"/>
            <w:tcBorders>
              <w:top w:val="single" w:sz="4" w:space="0" w:color="auto"/>
              <w:left w:val="single" w:sz="4" w:space="0" w:color="auto"/>
              <w:bottom w:val="nil"/>
              <w:right w:val="single" w:sz="4" w:space="0" w:color="auto"/>
            </w:tcBorders>
          </w:tcPr>
          <w:p w14:paraId="5E5AE800"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703" w:type="dxa"/>
            <w:tcBorders>
              <w:top w:val="single" w:sz="4" w:space="0" w:color="auto"/>
              <w:left w:val="single" w:sz="4" w:space="0" w:color="auto"/>
              <w:bottom w:val="nil"/>
              <w:right w:val="single" w:sz="4" w:space="0" w:color="auto"/>
            </w:tcBorders>
            <w:vAlign w:val="bottom"/>
          </w:tcPr>
          <w:p w14:paraId="6083420E" w14:textId="77777777" w:rsidR="00726C45" w:rsidRPr="00BD6DBC" w:rsidRDefault="00726C45" w:rsidP="00A37677">
            <w:pPr>
              <w:spacing w:before="0" w:line="240" w:lineRule="auto"/>
              <w:jc w:val="right"/>
              <w:rPr>
                <w:rFonts w:cs="Segoe UI"/>
                <w:sz w:val="16"/>
                <w:szCs w:val="16"/>
              </w:rPr>
            </w:pPr>
            <w:r>
              <w:rPr>
                <w:rFonts w:cs="Segoe UI"/>
                <w:sz w:val="16"/>
                <w:szCs w:val="16"/>
              </w:rPr>
              <w:t>0.00</w:t>
            </w:r>
          </w:p>
        </w:tc>
        <w:tc>
          <w:tcPr>
            <w:tcW w:w="709" w:type="dxa"/>
            <w:tcBorders>
              <w:top w:val="single" w:sz="4" w:space="0" w:color="auto"/>
              <w:left w:val="single" w:sz="4" w:space="0" w:color="auto"/>
              <w:bottom w:val="nil"/>
              <w:right w:val="single" w:sz="4" w:space="0" w:color="auto"/>
            </w:tcBorders>
          </w:tcPr>
          <w:p w14:paraId="268A0F2B" w14:textId="77777777" w:rsidR="00726C45" w:rsidRPr="00BD6DBC" w:rsidRDefault="00726C45" w:rsidP="00A37677">
            <w:pPr>
              <w:spacing w:before="0" w:line="240" w:lineRule="auto"/>
              <w:jc w:val="right"/>
              <w:rPr>
                <w:rFonts w:cs="Segoe UI"/>
                <w:sz w:val="16"/>
                <w:szCs w:val="16"/>
              </w:rPr>
            </w:pPr>
            <w:r>
              <w:rPr>
                <w:rFonts w:cs="Segoe UI"/>
                <w:sz w:val="16"/>
                <w:szCs w:val="16"/>
              </w:rPr>
              <w:t>0.00</w:t>
            </w:r>
          </w:p>
        </w:tc>
        <w:tc>
          <w:tcPr>
            <w:tcW w:w="992" w:type="dxa"/>
            <w:tcBorders>
              <w:top w:val="single" w:sz="4" w:space="0" w:color="auto"/>
              <w:left w:val="single" w:sz="4" w:space="0" w:color="auto"/>
              <w:bottom w:val="nil"/>
              <w:right w:val="single" w:sz="4" w:space="0" w:color="auto"/>
            </w:tcBorders>
          </w:tcPr>
          <w:p w14:paraId="1974B6AC"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993" w:type="dxa"/>
            <w:tcBorders>
              <w:top w:val="single" w:sz="4" w:space="0" w:color="auto"/>
              <w:left w:val="single" w:sz="4" w:space="0" w:color="auto"/>
              <w:bottom w:val="nil"/>
              <w:right w:val="single" w:sz="4" w:space="0" w:color="auto"/>
            </w:tcBorders>
          </w:tcPr>
          <w:p w14:paraId="2D9093FE" w14:textId="77777777" w:rsidR="00726C45" w:rsidRPr="002738FA" w:rsidRDefault="00726C45" w:rsidP="00A37677">
            <w:pPr>
              <w:spacing w:before="0" w:line="240" w:lineRule="auto"/>
              <w:jc w:val="right"/>
              <w:rPr>
                <w:rFonts w:cs="Segoe UI"/>
                <w:sz w:val="16"/>
                <w:szCs w:val="16"/>
                <w:highlight w:val="yellow"/>
              </w:rPr>
            </w:pPr>
            <w:r w:rsidRPr="00C55950">
              <w:rPr>
                <w:rFonts w:cs="Segoe UI"/>
                <w:sz w:val="16"/>
                <w:szCs w:val="16"/>
              </w:rPr>
              <w:t>0.01</w:t>
            </w:r>
          </w:p>
        </w:tc>
        <w:tc>
          <w:tcPr>
            <w:tcW w:w="850" w:type="dxa"/>
            <w:tcBorders>
              <w:top w:val="single" w:sz="4" w:space="0" w:color="auto"/>
              <w:left w:val="single" w:sz="4" w:space="0" w:color="auto"/>
              <w:bottom w:val="nil"/>
              <w:right w:val="single" w:sz="4" w:space="0" w:color="auto"/>
            </w:tcBorders>
          </w:tcPr>
          <w:p w14:paraId="1E8A30E5" w14:textId="77777777" w:rsidR="00726C45" w:rsidRPr="00F37A41" w:rsidRDefault="00726C45" w:rsidP="00A37677">
            <w:pPr>
              <w:spacing w:before="0" w:line="240" w:lineRule="auto"/>
              <w:jc w:val="right"/>
              <w:rPr>
                <w:rFonts w:cs="Segoe UI"/>
                <w:sz w:val="16"/>
                <w:szCs w:val="16"/>
              </w:rPr>
            </w:pPr>
            <w:r>
              <w:rPr>
                <w:rFonts w:cs="Segoe UI"/>
                <w:sz w:val="16"/>
                <w:szCs w:val="16"/>
              </w:rPr>
              <w:t>0.01</w:t>
            </w:r>
          </w:p>
        </w:tc>
        <w:tc>
          <w:tcPr>
            <w:tcW w:w="709" w:type="dxa"/>
            <w:tcBorders>
              <w:top w:val="single" w:sz="4" w:space="0" w:color="auto"/>
              <w:left w:val="single" w:sz="4" w:space="0" w:color="auto"/>
              <w:bottom w:val="nil"/>
              <w:right w:val="single" w:sz="4" w:space="0" w:color="auto"/>
            </w:tcBorders>
          </w:tcPr>
          <w:p w14:paraId="36828ED1" w14:textId="77777777" w:rsidR="00726C45" w:rsidRPr="00F37A41" w:rsidRDefault="00726C45" w:rsidP="00A37677">
            <w:pPr>
              <w:spacing w:before="0" w:line="240" w:lineRule="auto"/>
              <w:jc w:val="right"/>
              <w:rPr>
                <w:rFonts w:cs="Segoe UI"/>
                <w:sz w:val="16"/>
                <w:szCs w:val="16"/>
              </w:rPr>
            </w:pPr>
            <w:r>
              <w:rPr>
                <w:rFonts w:cs="Segoe UI"/>
                <w:sz w:val="16"/>
                <w:szCs w:val="16"/>
              </w:rPr>
              <w:t>0.00</w:t>
            </w:r>
          </w:p>
        </w:tc>
        <w:tc>
          <w:tcPr>
            <w:tcW w:w="709" w:type="dxa"/>
            <w:tcBorders>
              <w:top w:val="single" w:sz="4" w:space="0" w:color="auto"/>
              <w:left w:val="single" w:sz="4" w:space="0" w:color="auto"/>
              <w:bottom w:val="nil"/>
              <w:right w:val="single" w:sz="4" w:space="0" w:color="auto"/>
            </w:tcBorders>
          </w:tcPr>
          <w:p w14:paraId="49ADC8A8" w14:textId="77777777" w:rsidR="00726C45" w:rsidRDefault="00726C45" w:rsidP="00A37677">
            <w:pPr>
              <w:spacing w:before="0" w:line="240" w:lineRule="auto"/>
              <w:jc w:val="right"/>
              <w:rPr>
                <w:rFonts w:cs="Segoe UI"/>
                <w:sz w:val="16"/>
                <w:szCs w:val="16"/>
              </w:rPr>
            </w:pPr>
            <w:r>
              <w:rPr>
                <w:rFonts w:cs="Segoe UI"/>
                <w:sz w:val="16"/>
                <w:szCs w:val="16"/>
              </w:rPr>
              <w:t>0.01</w:t>
            </w:r>
          </w:p>
        </w:tc>
        <w:tc>
          <w:tcPr>
            <w:tcW w:w="854" w:type="dxa"/>
            <w:tcBorders>
              <w:top w:val="single" w:sz="4" w:space="0" w:color="auto"/>
              <w:left w:val="single" w:sz="4" w:space="0" w:color="auto"/>
              <w:bottom w:val="nil"/>
              <w:right w:val="single" w:sz="4" w:space="0" w:color="auto"/>
            </w:tcBorders>
          </w:tcPr>
          <w:p w14:paraId="2AF7C1FB" w14:textId="77777777" w:rsidR="00726C45" w:rsidRDefault="00726C45" w:rsidP="00A37677">
            <w:pPr>
              <w:spacing w:before="0" w:line="240" w:lineRule="auto"/>
              <w:jc w:val="right"/>
              <w:rPr>
                <w:rFonts w:cs="Segoe UI"/>
                <w:sz w:val="16"/>
                <w:szCs w:val="16"/>
              </w:rPr>
            </w:pPr>
            <w:r>
              <w:rPr>
                <w:rFonts w:cs="Segoe UI"/>
                <w:sz w:val="16"/>
                <w:szCs w:val="16"/>
              </w:rPr>
              <w:t>0.01</w:t>
            </w:r>
          </w:p>
        </w:tc>
      </w:tr>
      <w:tr w:rsidR="00726C45" w:rsidRPr="00BD6DBC" w14:paraId="67619C2C" w14:textId="77777777" w:rsidTr="00A37677">
        <w:tc>
          <w:tcPr>
            <w:tcW w:w="988" w:type="dxa"/>
            <w:tcBorders>
              <w:top w:val="nil"/>
              <w:left w:val="single" w:sz="4" w:space="0" w:color="auto"/>
              <w:bottom w:val="nil"/>
              <w:right w:val="single" w:sz="4" w:space="0" w:color="auto"/>
            </w:tcBorders>
            <w:vAlign w:val="bottom"/>
          </w:tcPr>
          <w:p w14:paraId="19EBF716"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Male</w:t>
            </w:r>
          </w:p>
        </w:tc>
        <w:tc>
          <w:tcPr>
            <w:tcW w:w="992" w:type="dxa"/>
            <w:tcBorders>
              <w:top w:val="nil"/>
              <w:left w:val="single" w:sz="4" w:space="0" w:color="auto"/>
              <w:bottom w:val="nil"/>
              <w:right w:val="single" w:sz="4" w:space="0" w:color="auto"/>
            </w:tcBorders>
          </w:tcPr>
          <w:p w14:paraId="0C72C1AA" w14:textId="77777777" w:rsidR="00726C45" w:rsidRPr="00BD6DBC" w:rsidRDefault="00726C45" w:rsidP="00A37677">
            <w:pPr>
              <w:spacing w:before="0" w:line="240" w:lineRule="auto"/>
              <w:jc w:val="right"/>
              <w:rPr>
                <w:rFonts w:cs="Segoe UI"/>
                <w:sz w:val="16"/>
                <w:szCs w:val="16"/>
              </w:rPr>
            </w:pPr>
            <w:r>
              <w:rPr>
                <w:rFonts w:cs="Segoe UI"/>
                <w:sz w:val="16"/>
                <w:szCs w:val="16"/>
              </w:rPr>
              <w:t>-0.51</w:t>
            </w:r>
          </w:p>
        </w:tc>
        <w:tc>
          <w:tcPr>
            <w:tcW w:w="855" w:type="dxa"/>
            <w:tcBorders>
              <w:top w:val="nil"/>
              <w:left w:val="single" w:sz="4" w:space="0" w:color="auto"/>
              <w:bottom w:val="nil"/>
              <w:right w:val="single" w:sz="4" w:space="0" w:color="auto"/>
            </w:tcBorders>
          </w:tcPr>
          <w:p w14:paraId="297C52DA" w14:textId="77777777" w:rsidR="00726C45" w:rsidRPr="00BD6DBC" w:rsidRDefault="00726C45" w:rsidP="00A37677">
            <w:pPr>
              <w:spacing w:before="0" w:line="240" w:lineRule="auto"/>
              <w:jc w:val="right"/>
              <w:rPr>
                <w:rFonts w:cs="Segoe UI"/>
                <w:sz w:val="16"/>
                <w:szCs w:val="16"/>
              </w:rPr>
            </w:pPr>
            <w:r>
              <w:rPr>
                <w:rFonts w:cs="Segoe UI"/>
                <w:sz w:val="16"/>
                <w:szCs w:val="16"/>
              </w:rPr>
              <w:t>-0.43</w:t>
            </w:r>
          </w:p>
        </w:tc>
        <w:tc>
          <w:tcPr>
            <w:tcW w:w="993" w:type="dxa"/>
            <w:tcBorders>
              <w:top w:val="nil"/>
              <w:left w:val="single" w:sz="4" w:space="0" w:color="auto"/>
              <w:bottom w:val="nil"/>
              <w:right w:val="single" w:sz="4" w:space="0" w:color="auto"/>
            </w:tcBorders>
          </w:tcPr>
          <w:p w14:paraId="21834299" w14:textId="77777777" w:rsidR="00726C45" w:rsidRPr="00BD6DBC" w:rsidRDefault="00726C45" w:rsidP="00A37677">
            <w:pPr>
              <w:spacing w:before="0" w:line="240" w:lineRule="auto"/>
              <w:jc w:val="right"/>
              <w:rPr>
                <w:rFonts w:cs="Segoe UI"/>
                <w:sz w:val="16"/>
                <w:szCs w:val="16"/>
              </w:rPr>
            </w:pPr>
            <w:r>
              <w:rPr>
                <w:rFonts w:cs="Segoe UI"/>
                <w:sz w:val="16"/>
                <w:szCs w:val="16"/>
              </w:rPr>
              <w:t>-0.61</w:t>
            </w:r>
          </w:p>
        </w:tc>
        <w:tc>
          <w:tcPr>
            <w:tcW w:w="703" w:type="dxa"/>
            <w:tcBorders>
              <w:top w:val="nil"/>
              <w:left w:val="single" w:sz="4" w:space="0" w:color="auto"/>
              <w:bottom w:val="nil"/>
              <w:right w:val="single" w:sz="4" w:space="0" w:color="auto"/>
            </w:tcBorders>
            <w:vAlign w:val="bottom"/>
          </w:tcPr>
          <w:p w14:paraId="439EB369" w14:textId="77777777" w:rsidR="00726C45" w:rsidRPr="00BD6DBC" w:rsidRDefault="00726C45" w:rsidP="00A37677">
            <w:pPr>
              <w:spacing w:before="0" w:line="240" w:lineRule="auto"/>
              <w:jc w:val="right"/>
              <w:rPr>
                <w:rFonts w:cs="Segoe UI"/>
                <w:sz w:val="16"/>
                <w:szCs w:val="16"/>
              </w:rPr>
            </w:pPr>
            <w:r>
              <w:rPr>
                <w:rFonts w:cs="Segoe UI"/>
                <w:sz w:val="16"/>
                <w:szCs w:val="16"/>
              </w:rPr>
              <w:t>-0.50</w:t>
            </w:r>
          </w:p>
        </w:tc>
        <w:tc>
          <w:tcPr>
            <w:tcW w:w="709" w:type="dxa"/>
            <w:tcBorders>
              <w:top w:val="nil"/>
              <w:left w:val="single" w:sz="4" w:space="0" w:color="auto"/>
              <w:bottom w:val="nil"/>
              <w:right w:val="single" w:sz="4" w:space="0" w:color="auto"/>
            </w:tcBorders>
          </w:tcPr>
          <w:p w14:paraId="3A559617" w14:textId="77777777" w:rsidR="00726C45" w:rsidRPr="00BD6DBC" w:rsidRDefault="00726C45" w:rsidP="00A37677">
            <w:pPr>
              <w:spacing w:before="0" w:line="240" w:lineRule="auto"/>
              <w:jc w:val="right"/>
              <w:rPr>
                <w:rFonts w:cs="Segoe UI"/>
                <w:sz w:val="16"/>
                <w:szCs w:val="16"/>
              </w:rPr>
            </w:pPr>
            <w:r>
              <w:rPr>
                <w:rFonts w:cs="Segoe UI"/>
                <w:sz w:val="16"/>
                <w:szCs w:val="16"/>
              </w:rPr>
              <w:t>-0.51</w:t>
            </w:r>
          </w:p>
        </w:tc>
        <w:tc>
          <w:tcPr>
            <w:tcW w:w="992" w:type="dxa"/>
            <w:tcBorders>
              <w:top w:val="nil"/>
              <w:left w:val="single" w:sz="4" w:space="0" w:color="auto"/>
              <w:bottom w:val="nil"/>
              <w:right w:val="single" w:sz="4" w:space="0" w:color="auto"/>
            </w:tcBorders>
          </w:tcPr>
          <w:p w14:paraId="006BCD1F" w14:textId="77777777" w:rsidR="00726C45" w:rsidRPr="00BD6DBC" w:rsidRDefault="00726C45" w:rsidP="00A37677">
            <w:pPr>
              <w:spacing w:before="0" w:line="240" w:lineRule="auto"/>
              <w:jc w:val="right"/>
              <w:rPr>
                <w:rFonts w:cs="Segoe UI"/>
                <w:sz w:val="16"/>
                <w:szCs w:val="16"/>
              </w:rPr>
            </w:pPr>
            <w:r>
              <w:rPr>
                <w:rFonts w:cs="Segoe UI"/>
                <w:sz w:val="16"/>
                <w:szCs w:val="16"/>
              </w:rPr>
              <w:t>-0.51</w:t>
            </w:r>
          </w:p>
        </w:tc>
        <w:tc>
          <w:tcPr>
            <w:tcW w:w="993" w:type="dxa"/>
            <w:tcBorders>
              <w:top w:val="nil"/>
              <w:left w:val="single" w:sz="4" w:space="0" w:color="auto"/>
              <w:bottom w:val="nil"/>
              <w:right w:val="single" w:sz="4" w:space="0" w:color="auto"/>
            </w:tcBorders>
          </w:tcPr>
          <w:p w14:paraId="42A8CCCB" w14:textId="77777777" w:rsidR="00726C45" w:rsidRPr="00F37A41" w:rsidRDefault="00726C45" w:rsidP="00A37677">
            <w:pPr>
              <w:spacing w:before="0" w:line="240" w:lineRule="auto"/>
              <w:jc w:val="right"/>
              <w:rPr>
                <w:rFonts w:cs="Segoe UI"/>
                <w:sz w:val="16"/>
                <w:szCs w:val="16"/>
              </w:rPr>
            </w:pPr>
            <w:r>
              <w:rPr>
                <w:rFonts w:cs="Segoe UI"/>
                <w:sz w:val="16"/>
                <w:szCs w:val="16"/>
              </w:rPr>
              <w:t>-0.51</w:t>
            </w:r>
          </w:p>
        </w:tc>
        <w:tc>
          <w:tcPr>
            <w:tcW w:w="850" w:type="dxa"/>
            <w:tcBorders>
              <w:top w:val="nil"/>
              <w:left w:val="single" w:sz="4" w:space="0" w:color="auto"/>
              <w:bottom w:val="nil"/>
              <w:right w:val="single" w:sz="4" w:space="0" w:color="auto"/>
            </w:tcBorders>
          </w:tcPr>
          <w:p w14:paraId="60C559DE" w14:textId="77777777" w:rsidR="00726C45" w:rsidRPr="00F37A41" w:rsidRDefault="00726C45" w:rsidP="00A37677">
            <w:pPr>
              <w:spacing w:before="0" w:line="240" w:lineRule="auto"/>
              <w:jc w:val="right"/>
              <w:rPr>
                <w:rFonts w:cs="Segoe UI"/>
                <w:sz w:val="16"/>
                <w:szCs w:val="16"/>
              </w:rPr>
            </w:pPr>
            <w:r>
              <w:rPr>
                <w:rFonts w:cs="Segoe UI"/>
                <w:sz w:val="16"/>
                <w:szCs w:val="16"/>
              </w:rPr>
              <w:t>-0.52</w:t>
            </w:r>
          </w:p>
        </w:tc>
        <w:tc>
          <w:tcPr>
            <w:tcW w:w="709" w:type="dxa"/>
            <w:tcBorders>
              <w:top w:val="nil"/>
              <w:left w:val="single" w:sz="4" w:space="0" w:color="auto"/>
              <w:bottom w:val="nil"/>
              <w:right w:val="single" w:sz="4" w:space="0" w:color="auto"/>
            </w:tcBorders>
          </w:tcPr>
          <w:p w14:paraId="0E1581F4" w14:textId="77777777" w:rsidR="00726C45" w:rsidRPr="00F37A41" w:rsidRDefault="00726C45" w:rsidP="00A37677">
            <w:pPr>
              <w:spacing w:before="0" w:line="240" w:lineRule="auto"/>
              <w:jc w:val="right"/>
              <w:rPr>
                <w:rFonts w:cs="Segoe UI"/>
                <w:sz w:val="16"/>
                <w:szCs w:val="16"/>
              </w:rPr>
            </w:pPr>
            <w:r>
              <w:rPr>
                <w:rFonts w:cs="Segoe UI"/>
                <w:sz w:val="16"/>
                <w:szCs w:val="16"/>
              </w:rPr>
              <w:t>-0.47</w:t>
            </w:r>
          </w:p>
        </w:tc>
        <w:tc>
          <w:tcPr>
            <w:tcW w:w="709" w:type="dxa"/>
            <w:tcBorders>
              <w:top w:val="nil"/>
              <w:left w:val="single" w:sz="4" w:space="0" w:color="auto"/>
              <w:bottom w:val="nil"/>
              <w:right w:val="single" w:sz="4" w:space="0" w:color="auto"/>
            </w:tcBorders>
          </w:tcPr>
          <w:p w14:paraId="6A271B1F" w14:textId="77777777" w:rsidR="00726C45" w:rsidRDefault="00726C45" w:rsidP="00A37677">
            <w:pPr>
              <w:spacing w:before="0" w:line="240" w:lineRule="auto"/>
              <w:jc w:val="right"/>
              <w:rPr>
                <w:rFonts w:cs="Segoe UI"/>
                <w:sz w:val="16"/>
                <w:szCs w:val="16"/>
              </w:rPr>
            </w:pPr>
            <w:r>
              <w:rPr>
                <w:rFonts w:cs="Segoe UI"/>
                <w:sz w:val="16"/>
                <w:szCs w:val="16"/>
              </w:rPr>
              <w:t>-0.34</w:t>
            </w:r>
          </w:p>
        </w:tc>
        <w:tc>
          <w:tcPr>
            <w:tcW w:w="854" w:type="dxa"/>
            <w:tcBorders>
              <w:top w:val="nil"/>
              <w:left w:val="single" w:sz="4" w:space="0" w:color="auto"/>
              <w:bottom w:val="nil"/>
              <w:right w:val="single" w:sz="4" w:space="0" w:color="auto"/>
            </w:tcBorders>
          </w:tcPr>
          <w:p w14:paraId="794857EA" w14:textId="77777777" w:rsidR="00726C45" w:rsidRDefault="00726C45" w:rsidP="00A37677">
            <w:pPr>
              <w:spacing w:before="0" w:line="240" w:lineRule="auto"/>
              <w:jc w:val="right"/>
              <w:rPr>
                <w:rFonts w:cs="Segoe UI"/>
                <w:sz w:val="16"/>
                <w:szCs w:val="16"/>
              </w:rPr>
            </w:pPr>
            <w:r>
              <w:rPr>
                <w:rFonts w:cs="Segoe UI"/>
                <w:sz w:val="16"/>
                <w:szCs w:val="16"/>
              </w:rPr>
              <w:t>-0.39</w:t>
            </w:r>
          </w:p>
        </w:tc>
      </w:tr>
      <w:tr w:rsidR="00726C45" w:rsidRPr="00BD6DBC" w14:paraId="149F5C0B" w14:textId="77777777" w:rsidTr="00A37677">
        <w:tc>
          <w:tcPr>
            <w:tcW w:w="988" w:type="dxa"/>
            <w:tcBorders>
              <w:top w:val="nil"/>
              <w:left w:val="single" w:sz="4" w:space="0" w:color="auto"/>
              <w:bottom w:val="nil"/>
              <w:right w:val="single" w:sz="4" w:space="0" w:color="auto"/>
            </w:tcBorders>
            <w:vAlign w:val="bottom"/>
          </w:tcPr>
          <w:p w14:paraId="26B1410B" w14:textId="77777777" w:rsidR="00726C45" w:rsidRPr="00123881" w:rsidRDefault="00726C45" w:rsidP="00A37677">
            <w:pPr>
              <w:spacing w:before="0" w:line="240" w:lineRule="auto"/>
              <w:rPr>
                <w:rFonts w:eastAsia="Times New Roman" w:cs="Segoe UI"/>
                <w:i/>
                <w:sz w:val="16"/>
                <w:szCs w:val="16"/>
              </w:rPr>
            </w:pPr>
            <w:r w:rsidRPr="00123881">
              <w:rPr>
                <w:rFonts w:eastAsia="Times New Roman" w:cs="Segoe UI"/>
                <w:i/>
                <w:sz w:val="16"/>
                <w:szCs w:val="16"/>
              </w:rPr>
              <w:t>Education</w:t>
            </w:r>
            <w:r>
              <w:rPr>
                <w:rFonts w:eastAsia="Times New Roman" w:cs="Segoe UI"/>
                <w:i/>
                <w:sz w:val="16"/>
                <w:szCs w:val="16"/>
              </w:rPr>
              <w:t xml:space="preserve"> (ref:Lower)</w:t>
            </w:r>
          </w:p>
        </w:tc>
        <w:tc>
          <w:tcPr>
            <w:tcW w:w="992" w:type="dxa"/>
            <w:tcBorders>
              <w:top w:val="nil"/>
              <w:left w:val="single" w:sz="4" w:space="0" w:color="auto"/>
              <w:bottom w:val="nil"/>
              <w:right w:val="single" w:sz="4" w:space="0" w:color="auto"/>
            </w:tcBorders>
          </w:tcPr>
          <w:p w14:paraId="7918FC8A" w14:textId="77777777" w:rsidR="00726C45" w:rsidRPr="00BD6DBC" w:rsidRDefault="00726C45" w:rsidP="00A37677">
            <w:pPr>
              <w:spacing w:before="0" w:line="240" w:lineRule="auto"/>
              <w:jc w:val="right"/>
              <w:rPr>
                <w:rFonts w:cs="Segoe UI"/>
                <w:sz w:val="16"/>
                <w:szCs w:val="16"/>
              </w:rPr>
            </w:pPr>
          </w:p>
        </w:tc>
        <w:tc>
          <w:tcPr>
            <w:tcW w:w="855" w:type="dxa"/>
            <w:tcBorders>
              <w:top w:val="nil"/>
              <w:left w:val="single" w:sz="4" w:space="0" w:color="auto"/>
              <w:bottom w:val="nil"/>
              <w:right w:val="single" w:sz="4" w:space="0" w:color="auto"/>
            </w:tcBorders>
          </w:tcPr>
          <w:p w14:paraId="4E9D2727" w14:textId="77777777" w:rsidR="00726C45" w:rsidRPr="00BD6DBC" w:rsidRDefault="00726C45" w:rsidP="00A37677">
            <w:pPr>
              <w:spacing w:before="0" w:line="240" w:lineRule="auto"/>
              <w:jc w:val="right"/>
              <w:rPr>
                <w:rFonts w:cs="Segoe UI"/>
                <w:sz w:val="16"/>
                <w:szCs w:val="16"/>
              </w:rPr>
            </w:pPr>
          </w:p>
        </w:tc>
        <w:tc>
          <w:tcPr>
            <w:tcW w:w="993" w:type="dxa"/>
            <w:tcBorders>
              <w:top w:val="nil"/>
              <w:left w:val="single" w:sz="4" w:space="0" w:color="auto"/>
              <w:bottom w:val="nil"/>
              <w:right w:val="single" w:sz="4" w:space="0" w:color="auto"/>
            </w:tcBorders>
          </w:tcPr>
          <w:p w14:paraId="7DF3E818" w14:textId="77777777" w:rsidR="00726C45" w:rsidRPr="00BD6DBC" w:rsidRDefault="00726C45" w:rsidP="00A37677">
            <w:pPr>
              <w:spacing w:before="0" w:line="240" w:lineRule="auto"/>
              <w:jc w:val="right"/>
              <w:rPr>
                <w:rFonts w:cs="Segoe UI"/>
                <w:sz w:val="16"/>
                <w:szCs w:val="16"/>
              </w:rPr>
            </w:pPr>
          </w:p>
        </w:tc>
        <w:tc>
          <w:tcPr>
            <w:tcW w:w="703" w:type="dxa"/>
            <w:tcBorders>
              <w:top w:val="nil"/>
              <w:left w:val="single" w:sz="4" w:space="0" w:color="auto"/>
              <w:bottom w:val="nil"/>
              <w:right w:val="single" w:sz="4" w:space="0" w:color="auto"/>
            </w:tcBorders>
            <w:vAlign w:val="bottom"/>
          </w:tcPr>
          <w:p w14:paraId="111BD443" w14:textId="77777777" w:rsidR="00726C45" w:rsidRPr="00BD6DBC"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73AAC569" w14:textId="77777777" w:rsidR="00726C45" w:rsidRPr="00BD6DBC" w:rsidRDefault="00726C45" w:rsidP="00A37677">
            <w:pPr>
              <w:spacing w:before="0" w:line="240" w:lineRule="auto"/>
              <w:jc w:val="right"/>
              <w:rPr>
                <w:rFonts w:cs="Segoe UI"/>
                <w:sz w:val="16"/>
                <w:szCs w:val="16"/>
              </w:rPr>
            </w:pPr>
          </w:p>
        </w:tc>
        <w:tc>
          <w:tcPr>
            <w:tcW w:w="992" w:type="dxa"/>
            <w:tcBorders>
              <w:top w:val="nil"/>
              <w:left w:val="single" w:sz="4" w:space="0" w:color="auto"/>
              <w:bottom w:val="nil"/>
              <w:right w:val="single" w:sz="4" w:space="0" w:color="auto"/>
            </w:tcBorders>
          </w:tcPr>
          <w:p w14:paraId="79643A63" w14:textId="77777777" w:rsidR="00726C45" w:rsidRPr="00BD6DBC" w:rsidRDefault="00726C45" w:rsidP="00A37677">
            <w:pPr>
              <w:spacing w:before="0" w:line="240" w:lineRule="auto"/>
              <w:jc w:val="right"/>
              <w:rPr>
                <w:rFonts w:cs="Segoe UI"/>
                <w:sz w:val="16"/>
                <w:szCs w:val="16"/>
              </w:rPr>
            </w:pPr>
          </w:p>
        </w:tc>
        <w:tc>
          <w:tcPr>
            <w:tcW w:w="993" w:type="dxa"/>
            <w:tcBorders>
              <w:top w:val="nil"/>
              <w:left w:val="single" w:sz="4" w:space="0" w:color="auto"/>
              <w:bottom w:val="nil"/>
              <w:right w:val="single" w:sz="4" w:space="0" w:color="auto"/>
            </w:tcBorders>
          </w:tcPr>
          <w:p w14:paraId="1520E1E0" w14:textId="77777777" w:rsidR="00726C45" w:rsidRPr="00F37A41" w:rsidRDefault="00726C45" w:rsidP="00A37677">
            <w:pPr>
              <w:spacing w:before="0" w:line="240" w:lineRule="auto"/>
              <w:jc w:val="right"/>
              <w:rPr>
                <w:rFonts w:cs="Segoe UI"/>
                <w:sz w:val="16"/>
                <w:szCs w:val="16"/>
              </w:rPr>
            </w:pPr>
          </w:p>
        </w:tc>
        <w:tc>
          <w:tcPr>
            <w:tcW w:w="850" w:type="dxa"/>
            <w:tcBorders>
              <w:top w:val="nil"/>
              <w:left w:val="single" w:sz="4" w:space="0" w:color="auto"/>
              <w:bottom w:val="nil"/>
              <w:right w:val="single" w:sz="4" w:space="0" w:color="auto"/>
            </w:tcBorders>
          </w:tcPr>
          <w:p w14:paraId="2986163C" w14:textId="77777777" w:rsidR="00726C45" w:rsidRPr="00F37A41"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180FB6B1" w14:textId="77777777" w:rsidR="00726C45" w:rsidRPr="00F37A41"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2DE0754D" w14:textId="77777777" w:rsidR="00726C45" w:rsidRDefault="00726C45" w:rsidP="00A37677">
            <w:pPr>
              <w:spacing w:before="0" w:line="240" w:lineRule="auto"/>
              <w:jc w:val="right"/>
              <w:rPr>
                <w:rFonts w:cs="Segoe UI"/>
                <w:sz w:val="16"/>
                <w:szCs w:val="16"/>
              </w:rPr>
            </w:pPr>
          </w:p>
        </w:tc>
        <w:tc>
          <w:tcPr>
            <w:tcW w:w="854" w:type="dxa"/>
            <w:tcBorders>
              <w:top w:val="nil"/>
              <w:left w:val="single" w:sz="4" w:space="0" w:color="auto"/>
              <w:bottom w:val="nil"/>
              <w:right w:val="single" w:sz="4" w:space="0" w:color="auto"/>
            </w:tcBorders>
          </w:tcPr>
          <w:p w14:paraId="1700CC03" w14:textId="77777777" w:rsidR="00726C45" w:rsidRDefault="00726C45" w:rsidP="00A37677">
            <w:pPr>
              <w:spacing w:before="0" w:line="240" w:lineRule="auto"/>
              <w:jc w:val="right"/>
              <w:rPr>
                <w:rFonts w:cs="Segoe UI"/>
                <w:sz w:val="16"/>
                <w:szCs w:val="16"/>
              </w:rPr>
            </w:pPr>
          </w:p>
        </w:tc>
      </w:tr>
      <w:tr w:rsidR="00726C45" w:rsidRPr="00BD6DBC" w14:paraId="2B61DE86" w14:textId="77777777" w:rsidTr="00A37677">
        <w:tc>
          <w:tcPr>
            <w:tcW w:w="988" w:type="dxa"/>
            <w:tcBorders>
              <w:top w:val="nil"/>
              <w:left w:val="single" w:sz="4" w:space="0" w:color="auto"/>
              <w:bottom w:val="nil"/>
              <w:right w:val="single" w:sz="4" w:space="0" w:color="auto"/>
            </w:tcBorders>
            <w:vAlign w:val="bottom"/>
          </w:tcPr>
          <w:p w14:paraId="409ADA61"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 xml:space="preserve">  Middle</w:t>
            </w:r>
          </w:p>
        </w:tc>
        <w:tc>
          <w:tcPr>
            <w:tcW w:w="992" w:type="dxa"/>
            <w:tcBorders>
              <w:top w:val="nil"/>
              <w:left w:val="single" w:sz="4" w:space="0" w:color="auto"/>
              <w:bottom w:val="nil"/>
              <w:right w:val="single" w:sz="4" w:space="0" w:color="auto"/>
            </w:tcBorders>
          </w:tcPr>
          <w:p w14:paraId="0FB8808D" w14:textId="77777777" w:rsidR="00726C45" w:rsidRPr="00BD6DBC" w:rsidRDefault="00726C45" w:rsidP="00A37677">
            <w:pPr>
              <w:spacing w:before="0" w:line="240" w:lineRule="auto"/>
              <w:jc w:val="right"/>
              <w:rPr>
                <w:rFonts w:cs="Segoe UI"/>
                <w:sz w:val="16"/>
                <w:szCs w:val="16"/>
              </w:rPr>
            </w:pPr>
            <w:r>
              <w:rPr>
                <w:rFonts w:cs="Segoe UI"/>
                <w:sz w:val="16"/>
                <w:szCs w:val="16"/>
              </w:rPr>
              <w:t>-0.72</w:t>
            </w:r>
          </w:p>
        </w:tc>
        <w:tc>
          <w:tcPr>
            <w:tcW w:w="855" w:type="dxa"/>
            <w:tcBorders>
              <w:top w:val="nil"/>
              <w:left w:val="single" w:sz="4" w:space="0" w:color="auto"/>
              <w:bottom w:val="nil"/>
              <w:right w:val="single" w:sz="4" w:space="0" w:color="auto"/>
            </w:tcBorders>
          </w:tcPr>
          <w:p w14:paraId="34285560" w14:textId="77777777" w:rsidR="00726C45" w:rsidRPr="00BD6DBC" w:rsidRDefault="00726C45" w:rsidP="00A37677">
            <w:pPr>
              <w:spacing w:before="0" w:line="240" w:lineRule="auto"/>
              <w:jc w:val="right"/>
              <w:rPr>
                <w:rFonts w:cs="Segoe UI"/>
                <w:sz w:val="16"/>
                <w:szCs w:val="16"/>
              </w:rPr>
            </w:pPr>
            <w:r>
              <w:rPr>
                <w:rFonts w:cs="Segoe UI"/>
                <w:sz w:val="16"/>
                <w:szCs w:val="16"/>
              </w:rPr>
              <w:t>-0.67</w:t>
            </w:r>
          </w:p>
        </w:tc>
        <w:tc>
          <w:tcPr>
            <w:tcW w:w="993" w:type="dxa"/>
            <w:tcBorders>
              <w:top w:val="nil"/>
              <w:left w:val="single" w:sz="4" w:space="0" w:color="auto"/>
              <w:bottom w:val="nil"/>
              <w:right w:val="single" w:sz="4" w:space="0" w:color="auto"/>
            </w:tcBorders>
          </w:tcPr>
          <w:p w14:paraId="0A60078A" w14:textId="77777777" w:rsidR="00726C45" w:rsidRPr="00BD6DBC" w:rsidRDefault="00726C45" w:rsidP="00A37677">
            <w:pPr>
              <w:spacing w:before="0" w:line="240" w:lineRule="auto"/>
              <w:jc w:val="right"/>
              <w:rPr>
                <w:rFonts w:cs="Segoe UI"/>
                <w:sz w:val="16"/>
                <w:szCs w:val="16"/>
              </w:rPr>
            </w:pPr>
            <w:r>
              <w:rPr>
                <w:rFonts w:cs="Segoe UI"/>
                <w:sz w:val="16"/>
                <w:szCs w:val="16"/>
              </w:rPr>
              <w:t>-1.02</w:t>
            </w:r>
          </w:p>
        </w:tc>
        <w:tc>
          <w:tcPr>
            <w:tcW w:w="703" w:type="dxa"/>
            <w:tcBorders>
              <w:top w:val="nil"/>
              <w:left w:val="single" w:sz="4" w:space="0" w:color="auto"/>
              <w:bottom w:val="nil"/>
              <w:right w:val="single" w:sz="4" w:space="0" w:color="auto"/>
            </w:tcBorders>
            <w:vAlign w:val="bottom"/>
          </w:tcPr>
          <w:p w14:paraId="210DED6F" w14:textId="77777777" w:rsidR="00726C45" w:rsidRPr="00BD6DBC" w:rsidRDefault="00726C45" w:rsidP="00A37677">
            <w:pPr>
              <w:spacing w:before="0" w:line="240" w:lineRule="auto"/>
              <w:jc w:val="right"/>
              <w:rPr>
                <w:rFonts w:cs="Segoe UI"/>
                <w:sz w:val="16"/>
                <w:szCs w:val="16"/>
              </w:rPr>
            </w:pPr>
            <w:r>
              <w:rPr>
                <w:rFonts w:cs="Segoe UI"/>
                <w:sz w:val="16"/>
                <w:szCs w:val="16"/>
              </w:rPr>
              <w:t>-0.90</w:t>
            </w:r>
          </w:p>
        </w:tc>
        <w:tc>
          <w:tcPr>
            <w:tcW w:w="709" w:type="dxa"/>
            <w:tcBorders>
              <w:top w:val="nil"/>
              <w:left w:val="single" w:sz="4" w:space="0" w:color="auto"/>
              <w:bottom w:val="nil"/>
              <w:right w:val="single" w:sz="4" w:space="0" w:color="auto"/>
            </w:tcBorders>
          </w:tcPr>
          <w:p w14:paraId="2E5A8CEC" w14:textId="77777777" w:rsidR="00726C45" w:rsidRPr="00BD6DBC" w:rsidRDefault="00726C45" w:rsidP="00A37677">
            <w:pPr>
              <w:spacing w:before="0" w:line="240" w:lineRule="auto"/>
              <w:jc w:val="right"/>
              <w:rPr>
                <w:rFonts w:cs="Segoe UI"/>
                <w:sz w:val="16"/>
                <w:szCs w:val="16"/>
              </w:rPr>
            </w:pPr>
            <w:r>
              <w:rPr>
                <w:rFonts w:cs="Segoe UI"/>
                <w:sz w:val="16"/>
                <w:szCs w:val="16"/>
              </w:rPr>
              <w:t>-0.72</w:t>
            </w:r>
          </w:p>
        </w:tc>
        <w:tc>
          <w:tcPr>
            <w:tcW w:w="992" w:type="dxa"/>
            <w:tcBorders>
              <w:top w:val="nil"/>
              <w:left w:val="single" w:sz="4" w:space="0" w:color="auto"/>
              <w:bottom w:val="nil"/>
              <w:right w:val="single" w:sz="4" w:space="0" w:color="auto"/>
            </w:tcBorders>
          </w:tcPr>
          <w:p w14:paraId="62DD0C27" w14:textId="77777777" w:rsidR="00726C45" w:rsidRPr="00BD6DBC" w:rsidRDefault="00726C45" w:rsidP="00A37677">
            <w:pPr>
              <w:spacing w:before="0" w:line="240" w:lineRule="auto"/>
              <w:jc w:val="right"/>
              <w:rPr>
                <w:rFonts w:cs="Segoe UI"/>
                <w:sz w:val="16"/>
                <w:szCs w:val="16"/>
              </w:rPr>
            </w:pPr>
            <w:r>
              <w:rPr>
                <w:rFonts w:cs="Segoe UI"/>
                <w:sz w:val="16"/>
                <w:szCs w:val="16"/>
              </w:rPr>
              <w:t>-1.00</w:t>
            </w:r>
          </w:p>
        </w:tc>
        <w:tc>
          <w:tcPr>
            <w:tcW w:w="993" w:type="dxa"/>
            <w:tcBorders>
              <w:top w:val="nil"/>
              <w:left w:val="single" w:sz="4" w:space="0" w:color="auto"/>
              <w:bottom w:val="nil"/>
              <w:right w:val="single" w:sz="4" w:space="0" w:color="auto"/>
            </w:tcBorders>
          </w:tcPr>
          <w:p w14:paraId="55282CE0" w14:textId="77777777" w:rsidR="00726C45" w:rsidRPr="00F37A41" w:rsidRDefault="00726C45" w:rsidP="00A37677">
            <w:pPr>
              <w:spacing w:before="0" w:line="240" w:lineRule="auto"/>
              <w:jc w:val="right"/>
              <w:rPr>
                <w:rFonts w:cs="Segoe UI"/>
                <w:sz w:val="16"/>
                <w:szCs w:val="16"/>
              </w:rPr>
            </w:pPr>
            <w:r>
              <w:rPr>
                <w:rFonts w:cs="Segoe UI"/>
                <w:sz w:val="16"/>
                <w:szCs w:val="16"/>
              </w:rPr>
              <w:t>-0.92</w:t>
            </w:r>
          </w:p>
        </w:tc>
        <w:tc>
          <w:tcPr>
            <w:tcW w:w="850" w:type="dxa"/>
            <w:tcBorders>
              <w:top w:val="nil"/>
              <w:left w:val="single" w:sz="4" w:space="0" w:color="auto"/>
              <w:bottom w:val="nil"/>
              <w:right w:val="single" w:sz="4" w:space="0" w:color="auto"/>
            </w:tcBorders>
          </w:tcPr>
          <w:p w14:paraId="014E7F1F" w14:textId="77777777" w:rsidR="00726C45" w:rsidRPr="00F37A41" w:rsidRDefault="00726C45" w:rsidP="00A37677">
            <w:pPr>
              <w:spacing w:before="0" w:line="240" w:lineRule="auto"/>
              <w:jc w:val="right"/>
              <w:rPr>
                <w:rFonts w:cs="Segoe UI"/>
                <w:sz w:val="16"/>
                <w:szCs w:val="16"/>
              </w:rPr>
            </w:pPr>
            <w:r>
              <w:rPr>
                <w:rFonts w:cs="Segoe UI"/>
                <w:sz w:val="16"/>
                <w:szCs w:val="16"/>
              </w:rPr>
              <w:t>-0.84</w:t>
            </w:r>
          </w:p>
        </w:tc>
        <w:tc>
          <w:tcPr>
            <w:tcW w:w="709" w:type="dxa"/>
            <w:tcBorders>
              <w:top w:val="nil"/>
              <w:left w:val="single" w:sz="4" w:space="0" w:color="auto"/>
              <w:bottom w:val="nil"/>
              <w:right w:val="single" w:sz="4" w:space="0" w:color="auto"/>
            </w:tcBorders>
          </w:tcPr>
          <w:p w14:paraId="3B6F7166" w14:textId="77777777" w:rsidR="00726C45" w:rsidRPr="00F37A41" w:rsidRDefault="00726C45" w:rsidP="00A37677">
            <w:pPr>
              <w:spacing w:before="0" w:line="240" w:lineRule="auto"/>
              <w:jc w:val="right"/>
              <w:rPr>
                <w:rFonts w:cs="Segoe UI"/>
                <w:sz w:val="16"/>
                <w:szCs w:val="16"/>
              </w:rPr>
            </w:pPr>
            <w:r>
              <w:rPr>
                <w:rFonts w:cs="Segoe UI"/>
                <w:sz w:val="16"/>
                <w:szCs w:val="16"/>
              </w:rPr>
              <w:t>-0.92</w:t>
            </w:r>
          </w:p>
        </w:tc>
        <w:tc>
          <w:tcPr>
            <w:tcW w:w="709" w:type="dxa"/>
            <w:tcBorders>
              <w:top w:val="nil"/>
              <w:left w:val="single" w:sz="4" w:space="0" w:color="auto"/>
              <w:bottom w:val="nil"/>
              <w:right w:val="single" w:sz="4" w:space="0" w:color="auto"/>
            </w:tcBorders>
          </w:tcPr>
          <w:p w14:paraId="3D5E252E" w14:textId="77777777" w:rsidR="00726C45" w:rsidRDefault="00726C45" w:rsidP="00A37677">
            <w:pPr>
              <w:spacing w:before="0" w:line="240" w:lineRule="auto"/>
              <w:jc w:val="right"/>
              <w:rPr>
                <w:rFonts w:cs="Segoe UI"/>
                <w:sz w:val="16"/>
                <w:szCs w:val="16"/>
              </w:rPr>
            </w:pPr>
            <w:r>
              <w:rPr>
                <w:rFonts w:cs="Segoe UI"/>
                <w:sz w:val="16"/>
                <w:szCs w:val="16"/>
              </w:rPr>
              <w:t>-1.00</w:t>
            </w:r>
          </w:p>
        </w:tc>
        <w:tc>
          <w:tcPr>
            <w:tcW w:w="854" w:type="dxa"/>
            <w:tcBorders>
              <w:top w:val="nil"/>
              <w:left w:val="single" w:sz="4" w:space="0" w:color="auto"/>
              <w:bottom w:val="nil"/>
              <w:right w:val="single" w:sz="4" w:space="0" w:color="auto"/>
            </w:tcBorders>
          </w:tcPr>
          <w:p w14:paraId="5FC533D2" w14:textId="77777777" w:rsidR="00726C45" w:rsidRDefault="00726C45" w:rsidP="00A37677">
            <w:pPr>
              <w:spacing w:before="0" w:line="240" w:lineRule="auto"/>
              <w:jc w:val="right"/>
              <w:rPr>
                <w:rFonts w:cs="Segoe UI"/>
                <w:sz w:val="16"/>
                <w:szCs w:val="16"/>
              </w:rPr>
            </w:pPr>
            <w:r>
              <w:rPr>
                <w:rFonts w:cs="Segoe UI"/>
                <w:sz w:val="16"/>
                <w:szCs w:val="16"/>
              </w:rPr>
              <w:t>-0.53</w:t>
            </w:r>
          </w:p>
        </w:tc>
      </w:tr>
      <w:tr w:rsidR="00726C45" w:rsidRPr="00BD6DBC" w14:paraId="302F37F5" w14:textId="77777777" w:rsidTr="00A37677">
        <w:tc>
          <w:tcPr>
            <w:tcW w:w="988" w:type="dxa"/>
            <w:tcBorders>
              <w:top w:val="nil"/>
              <w:left w:val="single" w:sz="4" w:space="0" w:color="auto"/>
              <w:bottom w:val="nil"/>
              <w:right w:val="single" w:sz="4" w:space="0" w:color="auto"/>
            </w:tcBorders>
            <w:vAlign w:val="bottom"/>
          </w:tcPr>
          <w:p w14:paraId="64A28F59"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 xml:space="preserve">  Higher</w:t>
            </w:r>
          </w:p>
        </w:tc>
        <w:tc>
          <w:tcPr>
            <w:tcW w:w="992" w:type="dxa"/>
            <w:tcBorders>
              <w:top w:val="nil"/>
              <w:left w:val="single" w:sz="4" w:space="0" w:color="auto"/>
              <w:bottom w:val="nil"/>
              <w:right w:val="single" w:sz="4" w:space="0" w:color="auto"/>
            </w:tcBorders>
          </w:tcPr>
          <w:p w14:paraId="4B622CE9" w14:textId="77777777" w:rsidR="00726C45" w:rsidRPr="00BD6DBC" w:rsidRDefault="00726C45" w:rsidP="00A37677">
            <w:pPr>
              <w:spacing w:before="0" w:line="240" w:lineRule="auto"/>
              <w:jc w:val="right"/>
              <w:rPr>
                <w:rFonts w:cs="Segoe UI"/>
                <w:sz w:val="16"/>
                <w:szCs w:val="16"/>
              </w:rPr>
            </w:pPr>
            <w:r>
              <w:rPr>
                <w:rFonts w:cs="Segoe UI"/>
                <w:sz w:val="16"/>
                <w:szCs w:val="16"/>
              </w:rPr>
              <w:t>-1.36</w:t>
            </w:r>
          </w:p>
        </w:tc>
        <w:tc>
          <w:tcPr>
            <w:tcW w:w="855" w:type="dxa"/>
            <w:tcBorders>
              <w:top w:val="nil"/>
              <w:left w:val="single" w:sz="4" w:space="0" w:color="auto"/>
              <w:bottom w:val="nil"/>
              <w:right w:val="single" w:sz="4" w:space="0" w:color="auto"/>
            </w:tcBorders>
          </w:tcPr>
          <w:p w14:paraId="1061CFD9" w14:textId="77777777" w:rsidR="00726C45" w:rsidRPr="00BD6DBC" w:rsidRDefault="00726C45" w:rsidP="00A37677">
            <w:pPr>
              <w:spacing w:before="0" w:line="240" w:lineRule="auto"/>
              <w:jc w:val="right"/>
              <w:rPr>
                <w:rFonts w:cs="Segoe UI"/>
                <w:sz w:val="16"/>
                <w:szCs w:val="16"/>
              </w:rPr>
            </w:pPr>
            <w:r>
              <w:rPr>
                <w:rFonts w:cs="Segoe UI"/>
                <w:sz w:val="16"/>
                <w:szCs w:val="16"/>
              </w:rPr>
              <w:t>-1.36</w:t>
            </w:r>
          </w:p>
        </w:tc>
        <w:tc>
          <w:tcPr>
            <w:tcW w:w="993" w:type="dxa"/>
            <w:tcBorders>
              <w:top w:val="nil"/>
              <w:left w:val="single" w:sz="4" w:space="0" w:color="auto"/>
              <w:bottom w:val="nil"/>
              <w:right w:val="single" w:sz="4" w:space="0" w:color="auto"/>
            </w:tcBorders>
          </w:tcPr>
          <w:p w14:paraId="136F6C36" w14:textId="77777777" w:rsidR="00726C45" w:rsidRPr="00BD6DBC" w:rsidRDefault="00726C45" w:rsidP="00A37677">
            <w:pPr>
              <w:spacing w:before="0" w:line="240" w:lineRule="auto"/>
              <w:jc w:val="right"/>
              <w:rPr>
                <w:rFonts w:cs="Segoe UI"/>
                <w:sz w:val="16"/>
                <w:szCs w:val="16"/>
              </w:rPr>
            </w:pPr>
            <w:r>
              <w:rPr>
                <w:rFonts w:cs="Segoe UI"/>
                <w:sz w:val="16"/>
                <w:szCs w:val="16"/>
              </w:rPr>
              <w:t>-1.87</w:t>
            </w:r>
          </w:p>
        </w:tc>
        <w:tc>
          <w:tcPr>
            <w:tcW w:w="703" w:type="dxa"/>
            <w:tcBorders>
              <w:top w:val="nil"/>
              <w:left w:val="single" w:sz="4" w:space="0" w:color="auto"/>
              <w:bottom w:val="nil"/>
              <w:right w:val="single" w:sz="4" w:space="0" w:color="auto"/>
            </w:tcBorders>
            <w:vAlign w:val="bottom"/>
          </w:tcPr>
          <w:p w14:paraId="349705D2" w14:textId="77777777" w:rsidR="00726C45" w:rsidRPr="00BD6DBC" w:rsidRDefault="00726C45" w:rsidP="00A37677">
            <w:pPr>
              <w:spacing w:before="0" w:line="240" w:lineRule="auto"/>
              <w:jc w:val="right"/>
              <w:rPr>
                <w:rFonts w:cs="Segoe UI"/>
                <w:sz w:val="16"/>
                <w:szCs w:val="16"/>
              </w:rPr>
            </w:pPr>
            <w:r>
              <w:rPr>
                <w:rFonts w:cs="Segoe UI"/>
                <w:sz w:val="16"/>
                <w:szCs w:val="16"/>
              </w:rPr>
              <w:t>-1.63</w:t>
            </w:r>
          </w:p>
        </w:tc>
        <w:tc>
          <w:tcPr>
            <w:tcW w:w="709" w:type="dxa"/>
            <w:tcBorders>
              <w:top w:val="nil"/>
              <w:left w:val="single" w:sz="4" w:space="0" w:color="auto"/>
              <w:bottom w:val="nil"/>
              <w:right w:val="single" w:sz="4" w:space="0" w:color="auto"/>
            </w:tcBorders>
          </w:tcPr>
          <w:p w14:paraId="20C71797" w14:textId="77777777" w:rsidR="00726C45" w:rsidRPr="00BD6DBC" w:rsidRDefault="00726C45" w:rsidP="00A37677">
            <w:pPr>
              <w:spacing w:before="0" w:line="240" w:lineRule="auto"/>
              <w:jc w:val="right"/>
              <w:rPr>
                <w:rFonts w:cs="Segoe UI"/>
                <w:sz w:val="16"/>
                <w:szCs w:val="16"/>
              </w:rPr>
            </w:pPr>
            <w:r>
              <w:rPr>
                <w:rFonts w:cs="Segoe UI"/>
                <w:sz w:val="16"/>
                <w:szCs w:val="16"/>
              </w:rPr>
              <w:t>-1.38</w:t>
            </w:r>
          </w:p>
        </w:tc>
        <w:tc>
          <w:tcPr>
            <w:tcW w:w="992" w:type="dxa"/>
            <w:tcBorders>
              <w:top w:val="nil"/>
              <w:left w:val="single" w:sz="4" w:space="0" w:color="auto"/>
              <w:bottom w:val="nil"/>
              <w:right w:val="single" w:sz="4" w:space="0" w:color="auto"/>
            </w:tcBorders>
          </w:tcPr>
          <w:p w14:paraId="10E0CE94" w14:textId="77777777" w:rsidR="00726C45" w:rsidRPr="00BD6DBC" w:rsidRDefault="00726C45" w:rsidP="00A37677">
            <w:pPr>
              <w:spacing w:before="0" w:line="240" w:lineRule="auto"/>
              <w:jc w:val="right"/>
              <w:rPr>
                <w:rFonts w:cs="Segoe UI"/>
                <w:sz w:val="16"/>
                <w:szCs w:val="16"/>
              </w:rPr>
            </w:pPr>
            <w:r>
              <w:rPr>
                <w:rFonts w:cs="Segoe UI"/>
                <w:sz w:val="16"/>
                <w:szCs w:val="16"/>
              </w:rPr>
              <w:t>-1.87</w:t>
            </w:r>
          </w:p>
        </w:tc>
        <w:tc>
          <w:tcPr>
            <w:tcW w:w="993" w:type="dxa"/>
            <w:tcBorders>
              <w:top w:val="nil"/>
              <w:left w:val="single" w:sz="4" w:space="0" w:color="auto"/>
              <w:bottom w:val="nil"/>
              <w:right w:val="single" w:sz="4" w:space="0" w:color="auto"/>
            </w:tcBorders>
          </w:tcPr>
          <w:p w14:paraId="1B61CBA0" w14:textId="77777777" w:rsidR="00726C45" w:rsidRPr="00F37A41" w:rsidRDefault="00726C45" w:rsidP="00A37677">
            <w:pPr>
              <w:spacing w:before="0" w:line="240" w:lineRule="auto"/>
              <w:jc w:val="right"/>
              <w:rPr>
                <w:rFonts w:cs="Segoe UI"/>
                <w:sz w:val="16"/>
                <w:szCs w:val="16"/>
              </w:rPr>
            </w:pPr>
            <w:r>
              <w:rPr>
                <w:rFonts w:cs="Segoe UI"/>
                <w:sz w:val="16"/>
                <w:szCs w:val="16"/>
              </w:rPr>
              <w:t>-1.64</w:t>
            </w:r>
          </w:p>
        </w:tc>
        <w:tc>
          <w:tcPr>
            <w:tcW w:w="850" w:type="dxa"/>
            <w:tcBorders>
              <w:top w:val="nil"/>
              <w:left w:val="single" w:sz="4" w:space="0" w:color="auto"/>
              <w:bottom w:val="nil"/>
              <w:right w:val="single" w:sz="4" w:space="0" w:color="auto"/>
            </w:tcBorders>
          </w:tcPr>
          <w:p w14:paraId="11CD7406" w14:textId="77777777" w:rsidR="00726C45" w:rsidRPr="00F37A41" w:rsidRDefault="00726C45" w:rsidP="00A37677">
            <w:pPr>
              <w:spacing w:before="0" w:line="240" w:lineRule="auto"/>
              <w:jc w:val="right"/>
              <w:rPr>
                <w:rFonts w:cs="Segoe UI"/>
                <w:sz w:val="16"/>
                <w:szCs w:val="16"/>
              </w:rPr>
            </w:pPr>
            <w:r>
              <w:rPr>
                <w:rFonts w:cs="Segoe UI"/>
                <w:sz w:val="16"/>
                <w:szCs w:val="16"/>
              </w:rPr>
              <w:t>-1.40</w:t>
            </w:r>
          </w:p>
        </w:tc>
        <w:tc>
          <w:tcPr>
            <w:tcW w:w="709" w:type="dxa"/>
            <w:tcBorders>
              <w:top w:val="nil"/>
              <w:left w:val="single" w:sz="4" w:space="0" w:color="auto"/>
              <w:bottom w:val="nil"/>
              <w:right w:val="single" w:sz="4" w:space="0" w:color="auto"/>
            </w:tcBorders>
          </w:tcPr>
          <w:p w14:paraId="11E8B4D1" w14:textId="77777777" w:rsidR="00726C45" w:rsidRPr="00F37A41" w:rsidRDefault="00726C45" w:rsidP="00A37677">
            <w:pPr>
              <w:spacing w:before="0" w:line="240" w:lineRule="auto"/>
              <w:jc w:val="right"/>
              <w:rPr>
                <w:rFonts w:cs="Segoe UI"/>
                <w:sz w:val="16"/>
                <w:szCs w:val="16"/>
              </w:rPr>
            </w:pPr>
            <w:r>
              <w:rPr>
                <w:rFonts w:cs="Segoe UI"/>
                <w:sz w:val="16"/>
                <w:szCs w:val="16"/>
              </w:rPr>
              <w:t>-1.72</w:t>
            </w:r>
          </w:p>
        </w:tc>
        <w:tc>
          <w:tcPr>
            <w:tcW w:w="709" w:type="dxa"/>
            <w:tcBorders>
              <w:top w:val="nil"/>
              <w:left w:val="single" w:sz="4" w:space="0" w:color="auto"/>
              <w:bottom w:val="nil"/>
              <w:right w:val="single" w:sz="4" w:space="0" w:color="auto"/>
            </w:tcBorders>
          </w:tcPr>
          <w:p w14:paraId="276D76F7" w14:textId="77777777" w:rsidR="00726C45" w:rsidRDefault="00726C45" w:rsidP="00A37677">
            <w:pPr>
              <w:spacing w:before="0" w:line="240" w:lineRule="auto"/>
              <w:jc w:val="right"/>
              <w:rPr>
                <w:rFonts w:cs="Segoe UI"/>
                <w:sz w:val="16"/>
                <w:szCs w:val="16"/>
              </w:rPr>
            </w:pPr>
            <w:r>
              <w:rPr>
                <w:rFonts w:cs="Segoe UI"/>
                <w:sz w:val="16"/>
                <w:szCs w:val="16"/>
              </w:rPr>
              <w:t>-1.74</w:t>
            </w:r>
          </w:p>
        </w:tc>
        <w:tc>
          <w:tcPr>
            <w:tcW w:w="854" w:type="dxa"/>
            <w:tcBorders>
              <w:top w:val="nil"/>
              <w:left w:val="single" w:sz="4" w:space="0" w:color="auto"/>
              <w:bottom w:val="nil"/>
              <w:right w:val="single" w:sz="4" w:space="0" w:color="auto"/>
            </w:tcBorders>
          </w:tcPr>
          <w:p w14:paraId="2D79AEAF" w14:textId="77777777" w:rsidR="00726C45" w:rsidRDefault="00726C45" w:rsidP="00A37677">
            <w:pPr>
              <w:spacing w:before="0" w:line="240" w:lineRule="auto"/>
              <w:jc w:val="right"/>
              <w:rPr>
                <w:rFonts w:cs="Segoe UI"/>
                <w:sz w:val="16"/>
                <w:szCs w:val="16"/>
              </w:rPr>
            </w:pPr>
            <w:r>
              <w:rPr>
                <w:rFonts w:cs="Segoe UI"/>
                <w:sz w:val="16"/>
                <w:szCs w:val="16"/>
              </w:rPr>
              <w:t>-1.09</w:t>
            </w:r>
          </w:p>
        </w:tc>
      </w:tr>
      <w:tr w:rsidR="00726C45" w:rsidRPr="00BD6DBC" w14:paraId="16CCEED1" w14:textId="77777777" w:rsidTr="00A37677">
        <w:tc>
          <w:tcPr>
            <w:tcW w:w="988" w:type="dxa"/>
            <w:tcBorders>
              <w:top w:val="nil"/>
              <w:left w:val="single" w:sz="4" w:space="0" w:color="auto"/>
              <w:bottom w:val="nil"/>
              <w:right w:val="single" w:sz="4" w:space="0" w:color="auto"/>
            </w:tcBorders>
            <w:vAlign w:val="bottom"/>
          </w:tcPr>
          <w:p w14:paraId="1E827751" w14:textId="77777777" w:rsidR="00726C45" w:rsidRDefault="00726C45" w:rsidP="00A37677">
            <w:pPr>
              <w:spacing w:before="0" w:line="240" w:lineRule="auto"/>
              <w:rPr>
                <w:rFonts w:eastAsia="Times New Roman" w:cs="Segoe UI"/>
                <w:sz w:val="16"/>
                <w:szCs w:val="16"/>
              </w:rPr>
            </w:pPr>
          </w:p>
          <w:p w14:paraId="0E281294" w14:textId="77777777" w:rsidR="00726C45" w:rsidRPr="000F389F" w:rsidRDefault="00726C45" w:rsidP="00A37677">
            <w:pPr>
              <w:spacing w:before="0" w:line="240" w:lineRule="auto"/>
              <w:rPr>
                <w:rFonts w:eastAsia="Times New Roman" w:cs="Segoe UI"/>
                <w:sz w:val="16"/>
                <w:szCs w:val="16"/>
                <w:vertAlign w:val="superscript"/>
              </w:rPr>
            </w:pPr>
            <w:r>
              <w:rPr>
                <w:rFonts w:eastAsia="Times New Roman" w:cs="Segoe UI"/>
                <w:sz w:val="16"/>
                <w:szCs w:val="16"/>
              </w:rPr>
              <w:t>Pseudo-R</w:t>
            </w:r>
            <w:r>
              <w:rPr>
                <w:rFonts w:eastAsia="Times New Roman" w:cs="Segoe UI"/>
                <w:sz w:val="16"/>
                <w:szCs w:val="16"/>
                <w:vertAlign w:val="superscript"/>
              </w:rPr>
              <w:t>2</w:t>
            </w:r>
          </w:p>
        </w:tc>
        <w:tc>
          <w:tcPr>
            <w:tcW w:w="992" w:type="dxa"/>
            <w:tcBorders>
              <w:top w:val="nil"/>
              <w:left w:val="single" w:sz="4" w:space="0" w:color="auto"/>
              <w:bottom w:val="nil"/>
              <w:right w:val="single" w:sz="4" w:space="0" w:color="auto"/>
            </w:tcBorders>
          </w:tcPr>
          <w:p w14:paraId="325D7B6D" w14:textId="77777777" w:rsidR="00726C45" w:rsidRDefault="00726C45" w:rsidP="00A37677">
            <w:pPr>
              <w:spacing w:before="0" w:line="240" w:lineRule="auto"/>
              <w:jc w:val="right"/>
              <w:rPr>
                <w:rFonts w:cs="Segoe UI"/>
                <w:sz w:val="16"/>
                <w:szCs w:val="16"/>
              </w:rPr>
            </w:pPr>
          </w:p>
          <w:p w14:paraId="4754DF43" w14:textId="77777777" w:rsidR="00726C45" w:rsidRPr="00BD6DBC" w:rsidRDefault="00726C45" w:rsidP="00A37677">
            <w:pPr>
              <w:spacing w:before="0" w:line="240" w:lineRule="auto"/>
              <w:jc w:val="right"/>
              <w:rPr>
                <w:rFonts w:cs="Segoe UI"/>
                <w:sz w:val="16"/>
                <w:szCs w:val="16"/>
              </w:rPr>
            </w:pPr>
            <w:r>
              <w:rPr>
                <w:rFonts w:cs="Segoe UI"/>
                <w:sz w:val="16"/>
                <w:szCs w:val="16"/>
              </w:rPr>
              <w:t>0.05</w:t>
            </w:r>
          </w:p>
        </w:tc>
        <w:tc>
          <w:tcPr>
            <w:tcW w:w="855" w:type="dxa"/>
            <w:tcBorders>
              <w:top w:val="nil"/>
              <w:left w:val="single" w:sz="4" w:space="0" w:color="auto"/>
              <w:bottom w:val="nil"/>
              <w:right w:val="single" w:sz="4" w:space="0" w:color="auto"/>
            </w:tcBorders>
          </w:tcPr>
          <w:p w14:paraId="1E05DEF0" w14:textId="77777777" w:rsidR="00726C45" w:rsidRDefault="00726C45" w:rsidP="00A37677">
            <w:pPr>
              <w:spacing w:before="0" w:line="240" w:lineRule="auto"/>
              <w:jc w:val="right"/>
              <w:rPr>
                <w:rFonts w:cs="Segoe UI"/>
                <w:sz w:val="16"/>
                <w:szCs w:val="16"/>
              </w:rPr>
            </w:pPr>
          </w:p>
          <w:p w14:paraId="62466F9B" w14:textId="77777777" w:rsidR="00726C45" w:rsidRPr="00BD6DBC" w:rsidRDefault="00726C45" w:rsidP="00A37677">
            <w:pPr>
              <w:spacing w:before="0" w:line="240" w:lineRule="auto"/>
              <w:jc w:val="right"/>
              <w:rPr>
                <w:rFonts w:cs="Segoe UI"/>
                <w:sz w:val="16"/>
                <w:szCs w:val="16"/>
              </w:rPr>
            </w:pPr>
            <w:r>
              <w:rPr>
                <w:rFonts w:cs="Segoe UI"/>
                <w:sz w:val="16"/>
                <w:szCs w:val="16"/>
              </w:rPr>
              <w:t>0.04</w:t>
            </w:r>
          </w:p>
        </w:tc>
        <w:tc>
          <w:tcPr>
            <w:tcW w:w="993" w:type="dxa"/>
            <w:tcBorders>
              <w:top w:val="nil"/>
              <w:left w:val="single" w:sz="4" w:space="0" w:color="auto"/>
              <w:bottom w:val="nil"/>
              <w:right w:val="single" w:sz="4" w:space="0" w:color="auto"/>
            </w:tcBorders>
          </w:tcPr>
          <w:p w14:paraId="43348605" w14:textId="77777777" w:rsidR="00726C45" w:rsidRDefault="00726C45" w:rsidP="00A37677">
            <w:pPr>
              <w:spacing w:before="0" w:line="240" w:lineRule="auto"/>
              <w:jc w:val="right"/>
              <w:rPr>
                <w:rFonts w:cs="Segoe UI"/>
                <w:sz w:val="16"/>
                <w:szCs w:val="16"/>
              </w:rPr>
            </w:pPr>
          </w:p>
          <w:p w14:paraId="51063932" w14:textId="77777777" w:rsidR="00726C45" w:rsidRPr="00BD6DBC" w:rsidRDefault="00726C45" w:rsidP="00A37677">
            <w:pPr>
              <w:spacing w:before="0" w:line="240" w:lineRule="auto"/>
              <w:jc w:val="right"/>
              <w:rPr>
                <w:rFonts w:cs="Segoe UI"/>
                <w:sz w:val="16"/>
                <w:szCs w:val="16"/>
              </w:rPr>
            </w:pPr>
            <w:r>
              <w:rPr>
                <w:rFonts w:cs="Segoe UI"/>
                <w:sz w:val="16"/>
                <w:szCs w:val="16"/>
              </w:rPr>
              <w:t>0.06</w:t>
            </w:r>
          </w:p>
        </w:tc>
        <w:tc>
          <w:tcPr>
            <w:tcW w:w="703" w:type="dxa"/>
            <w:tcBorders>
              <w:top w:val="nil"/>
              <w:left w:val="single" w:sz="4" w:space="0" w:color="auto"/>
              <w:bottom w:val="nil"/>
              <w:right w:val="single" w:sz="4" w:space="0" w:color="auto"/>
            </w:tcBorders>
            <w:vAlign w:val="bottom"/>
          </w:tcPr>
          <w:p w14:paraId="76CD02A9" w14:textId="77777777" w:rsidR="00726C45" w:rsidRPr="00BD6DBC" w:rsidRDefault="00726C45" w:rsidP="00A37677">
            <w:pPr>
              <w:spacing w:before="0" w:line="240" w:lineRule="auto"/>
              <w:jc w:val="right"/>
              <w:rPr>
                <w:rFonts w:cs="Segoe UI"/>
                <w:sz w:val="16"/>
                <w:szCs w:val="16"/>
              </w:rPr>
            </w:pPr>
            <w:r>
              <w:rPr>
                <w:rFonts w:cs="Segoe UI"/>
                <w:sz w:val="16"/>
                <w:szCs w:val="16"/>
              </w:rPr>
              <w:t>0.05</w:t>
            </w:r>
          </w:p>
        </w:tc>
        <w:tc>
          <w:tcPr>
            <w:tcW w:w="709" w:type="dxa"/>
            <w:tcBorders>
              <w:top w:val="nil"/>
              <w:left w:val="single" w:sz="4" w:space="0" w:color="auto"/>
              <w:bottom w:val="nil"/>
              <w:right w:val="single" w:sz="4" w:space="0" w:color="auto"/>
            </w:tcBorders>
          </w:tcPr>
          <w:p w14:paraId="31EC02E2" w14:textId="77777777" w:rsidR="00726C45" w:rsidRDefault="00726C45" w:rsidP="00A37677">
            <w:pPr>
              <w:spacing w:before="0" w:line="240" w:lineRule="auto"/>
              <w:jc w:val="right"/>
              <w:rPr>
                <w:rFonts w:cs="Segoe UI"/>
                <w:sz w:val="16"/>
                <w:szCs w:val="16"/>
              </w:rPr>
            </w:pPr>
          </w:p>
          <w:p w14:paraId="46376ABF" w14:textId="77777777" w:rsidR="00726C45" w:rsidRPr="00BD6DBC" w:rsidRDefault="00726C45" w:rsidP="00A37677">
            <w:pPr>
              <w:spacing w:before="0" w:line="240" w:lineRule="auto"/>
              <w:jc w:val="right"/>
              <w:rPr>
                <w:rFonts w:cs="Segoe UI"/>
                <w:sz w:val="16"/>
                <w:szCs w:val="16"/>
              </w:rPr>
            </w:pPr>
            <w:r>
              <w:rPr>
                <w:rFonts w:cs="Segoe UI"/>
                <w:sz w:val="16"/>
                <w:szCs w:val="16"/>
              </w:rPr>
              <w:t>0.04</w:t>
            </w:r>
          </w:p>
        </w:tc>
        <w:tc>
          <w:tcPr>
            <w:tcW w:w="992" w:type="dxa"/>
            <w:tcBorders>
              <w:top w:val="nil"/>
              <w:left w:val="single" w:sz="4" w:space="0" w:color="auto"/>
              <w:bottom w:val="nil"/>
              <w:right w:val="single" w:sz="4" w:space="0" w:color="auto"/>
            </w:tcBorders>
          </w:tcPr>
          <w:p w14:paraId="570708A3" w14:textId="77777777" w:rsidR="00726C45" w:rsidRDefault="00726C45" w:rsidP="00A37677">
            <w:pPr>
              <w:spacing w:before="0" w:line="240" w:lineRule="auto"/>
              <w:jc w:val="right"/>
              <w:rPr>
                <w:rFonts w:cs="Segoe UI"/>
                <w:sz w:val="16"/>
                <w:szCs w:val="16"/>
              </w:rPr>
            </w:pPr>
          </w:p>
          <w:p w14:paraId="43E33A98" w14:textId="77777777" w:rsidR="00726C45" w:rsidRPr="00BD6DBC" w:rsidRDefault="00726C45" w:rsidP="00A37677">
            <w:pPr>
              <w:spacing w:before="0" w:line="240" w:lineRule="auto"/>
              <w:jc w:val="right"/>
              <w:rPr>
                <w:rFonts w:cs="Segoe UI"/>
                <w:sz w:val="16"/>
                <w:szCs w:val="16"/>
              </w:rPr>
            </w:pPr>
            <w:r>
              <w:rPr>
                <w:rFonts w:cs="Segoe UI"/>
                <w:sz w:val="16"/>
                <w:szCs w:val="16"/>
              </w:rPr>
              <w:t>0.07</w:t>
            </w:r>
          </w:p>
        </w:tc>
        <w:tc>
          <w:tcPr>
            <w:tcW w:w="993" w:type="dxa"/>
            <w:tcBorders>
              <w:top w:val="nil"/>
              <w:left w:val="single" w:sz="4" w:space="0" w:color="auto"/>
              <w:bottom w:val="nil"/>
              <w:right w:val="single" w:sz="4" w:space="0" w:color="auto"/>
            </w:tcBorders>
          </w:tcPr>
          <w:p w14:paraId="7F4BA9D7" w14:textId="77777777" w:rsidR="00726C45" w:rsidRDefault="00726C45" w:rsidP="00A37677">
            <w:pPr>
              <w:spacing w:before="0" w:line="240" w:lineRule="auto"/>
              <w:jc w:val="right"/>
              <w:rPr>
                <w:rFonts w:cs="Segoe UI"/>
                <w:sz w:val="16"/>
                <w:szCs w:val="16"/>
              </w:rPr>
            </w:pPr>
          </w:p>
          <w:p w14:paraId="14BF8808" w14:textId="77777777" w:rsidR="00726C45" w:rsidRPr="00F37A41" w:rsidRDefault="00726C45" w:rsidP="00A37677">
            <w:pPr>
              <w:spacing w:before="0" w:line="240" w:lineRule="auto"/>
              <w:jc w:val="right"/>
              <w:rPr>
                <w:rFonts w:cs="Segoe UI"/>
                <w:sz w:val="16"/>
                <w:szCs w:val="16"/>
              </w:rPr>
            </w:pPr>
            <w:r>
              <w:rPr>
                <w:rFonts w:cs="Segoe UI"/>
                <w:sz w:val="16"/>
                <w:szCs w:val="16"/>
              </w:rPr>
              <w:t>0.05</w:t>
            </w:r>
          </w:p>
        </w:tc>
        <w:tc>
          <w:tcPr>
            <w:tcW w:w="850" w:type="dxa"/>
            <w:tcBorders>
              <w:top w:val="nil"/>
              <w:left w:val="single" w:sz="4" w:space="0" w:color="auto"/>
              <w:bottom w:val="nil"/>
              <w:right w:val="single" w:sz="4" w:space="0" w:color="auto"/>
            </w:tcBorders>
          </w:tcPr>
          <w:p w14:paraId="12D2562D" w14:textId="77777777" w:rsidR="00726C45" w:rsidRDefault="00726C45" w:rsidP="00A37677">
            <w:pPr>
              <w:spacing w:before="0" w:line="240" w:lineRule="auto"/>
              <w:jc w:val="right"/>
              <w:rPr>
                <w:rFonts w:cs="Segoe UI"/>
                <w:sz w:val="16"/>
                <w:szCs w:val="16"/>
              </w:rPr>
            </w:pPr>
          </w:p>
          <w:p w14:paraId="2A40C9D3" w14:textId="77777777" w:rsidR="00726C45" w:rsidRPr="00F37A41" w:rsidRDefault="00726C45" w:rsidP="00A37677">
            <w:pPr>
              <w:spacing w:before="0" w:line="240" w:lineRule="auto"/>
              <w:jc w:val="right"/>
              <w:rPr>
                <w:rFonts w:cs="Segoe UI"/>
                <w:sz w:val="16"/>
                <w:szCs w:val="16"/>
              </w:rPr>
            </w:pPr>
            <w:r>
              <w:rPr>
                <w:rFonts w:cs="Segoe UI"/>
                <w:sz w:val="16"/>
                <w:szCs w:val="16"/>
              </w:rPr>
              <w:t>0.04</w:t>
            </w:r>
          </w:p>
        </w:tc>
        <w:tc>
          <w:tcPr>
            <w:tcW w:w="709" w:type="dxa"/>
            <w:tcBorders>
              <w:top w:val="nil"/>
              <w:left w:val="single" w:sz="4" w:space="0" w:color="auto"/>
              <w:bottom w:val="nil"/>
              <w:right w:val="single" w:sz="4" w:space="0" w:color="auto"/>
            </w:tcBorders>
          </w:tcPr>
          <w:p w14:paraId="128B7674" w14:textId="77777777" w:rsidR="00726C45" w:rsidRDefault="00726C45" w:rsidP="00A37677">
            <w:pPr>
              <w:spacing w:before="0" w:line="240" w:lineRule="auto"/>
              <w:jc w:val="right"/>
              <w:rPr>
                <w:rFonts w:cs="Segoe UI"/>
                <w:sz w:val="16"/>
                <w:szCs w:val="16"/>
              </w:rPr>
            </w:pPr>
          </w:p>
          <w:p w14:paraId="0B4BE89B" w14:textId="77777777" w:rsidR="00726C45" w:rsidRPr="00F37A41" w:rsidRDefault="00726C45" w:rsidP="00A37677">
            <w:pPr>
              <w:spacing w:before="0" w:line="240" w:lineRule="auto"/>
              <w:jc w:val="right"/>
              <w:rPr>
                <w:rFonts w:cs="Segoe UI"/>
                <w:sz w:val="16"/>
                <w:szCs w:val="16"/>
              </w:rPr>
            </w:pPr>
            <w:r>
              <w:rPr>
                <w:rFonts w:cs="Segoe UI"/>
                <w:sz w:val="16"/>
                <w:szCs w:val="16"/>
              </w:rPr>
              <w:t>0.05</w:t>
            </w:r>
          </w:p>
        </w:tc>
        <w:tc>
          <w:tcPr>
            <w:tcW w:w="709" w:type="dxa"/>
            <w:tcBorders>
              <w:top w:val="nil"/>
              <w:left w:val="single" w:sz="4" w:space="0" w:color="auto"/>
              <w:bottom w:val="nil"/>
              <w:right w:val="single" w:sz="4" w:space="0" w:color="auto"/>
            </w:tcBorders>
          </w:tcPr>
          <w:p w14:paraId="7A273914" w14:textId="77777777" w:rsidR="00726C45" w:rsidRDefault="00726C45" w:rsidP="00A37677">
            <w:pPr>
              <w:spacing w:before="0" w:line="240" w:lineRule="auto"/>
              <w:jc w:val="right"/>
              <w:rPr>
                <w:rFonts w:cs="Segoe UI"/>
                <w:sz w:val="16"/>
                <w:szCs w:val="16"/>
              </w:rPr>
            </w:pPr>
          </w:p>
          <w:p w14:paraId="4DC5AC00" w14:textId="77777777" w:rsidR="00726C45" w:rsidRDefault="00726C45" w:rsidP="00A37677">
            <w:pPr>
              <w:spacing w:before="0" w:line="240" w:lineRule="auto"/>
              <w:jc w:val="right"/>
              <w:rPr>
                <w:rFonts w:cs="Segoe UI"/>
                <w:sz w:val="16"/>
                <w:szCs w:val="16"/>
              </w:rPr>
            </w:pPr>
            <w:r>
              <w:rPr>
                <w:rFonts w:cs="Segoe UI"/>
                <w:sz w:val="16"/>
                <w:szCs w:val="16"/>
              </w:rPr>
              <w:t>0.05</w:t>
            </w:r>
          </w:p>
        </w:tc>
        <w:tc>
          <w:tcPr>
            <w:tcW w:w="854" w:type="dxa"/>
            <w:tcBorders>
              <w:top w:val="nil"/>
              <w:left w:val="single" w:sz="4" w:space="0" w:color="auto"/>
              <w:bottom w:val="nil"/>
              <w:right w:val="single" w:sz="4" w:space="0" w:color="auto"/>
            </w:tcBorders>
          </w:tcPr>
          <w:p w14:paraId="33646008" w14:textId="77777777" w:rsidR="00726C45" w:rsidRDefault="00726C45" w:rsidP="00A37677">
            <w:pPr>
              <w:spacing w:before="0" w:line="240" w:lineRule="auto"/>
              <w:jc w:val="right"/>
              <w:rPr>
                <w:rFonts w:cs="Segoe UI"/>
                <w:sz w:val="16"/>
                <w:szCs w:val="16"/>
              </w:rPr>
            </w:pPr>
          </w:p>
          <w:p w14:paraId="2CC4D931" w14:textId="77777777" w:rsidR="00726C45" w:rsidRDefault="00726C45" w:rsidP="00A37677">
            <w:pPr>
              <w:spacing w:before="0" w:line="240" w:lineRule="auto"/>
              <w:jc w:val="right"/>
              <w:rPr>
                <w:rFonts w:cs="Segoe UI"/>
                <w:sz w:val="16"/>
                <w:szCs w:val="16"/>
              </w:rPr>
            </w:pPr>
            <w:r>
              <w:rPr>
                <w:rFonts w:cs="Segoe UI"/>
                <w:sz w:val="16"/>
                <w:szCs w:val="16"/>
              </w:rPr>
              <w:t>0.03</w:t>
            </w:r>
          </w:p>
        </w:tc>
      </w:tr>
      <w:tr w:rsidR="00726C45" w:rsidRPr="00BD6DBC" w14:paraId="32A69EEA" w14:textId="77777777" w:rsidTr="00A37677">
        <w:tc>
          <w:tcPr>
            <w:tcW w:w="988" w:type="dxa"/>
            <w:tcBorders>
              <w:top w:val="nil"/>
              <w:left w:val="single" w:sz="4" w:space="0" w:color="auto"/>
              <w:bottom w:val="nil"/>
              <w:right w:val="single" w:sz="4" w:space="0" w:color="auto"/>
            </w:tcBorders>
            <w:vAlign w:val="bottom"/>
          </w:tcPr>
          <w:p w14:paraId="4EF27C60" w14:textId="77777777" w:rsidR="00726C45" w:rsidRPr="00C55950" w:rsidRDefault="00726C45" w:rsidP="00A37677">
            <w:pPr>
              <w:spacing w:before="0" w:line="240" w:lineRule="auto"/>
              <w:rPr>
                <w:rFonts w:eastAsia="Times New Roman" w:cs="Segoe UI"/>
                <w:i/>
                <w:sz w:val="16"/>
                <w:szCs w:val="16"/>
              </w:rPr>
            </w:pPr>
            <w:r>
              <w:rPr>
                <w:rFonts w:eastAsia="Times New Roman" w:cs="Segoe UI"/>
                <w:i/>
                <w:sz w:val="16"/>
                <w:szCs w:val="16"/>
              </w:rPr>
              <w:t>n</w:t>
            </w:r>
          </w:p>
        </w:tc>
        <w:tc>
          <w:tcPr>
            <w:tcW w:w="992" w:type="dxa"/>
            <w:tcBorders>
              <w:top w:val="nil"/>
              <w:left w:val="single" w:sz="4" w:space="0" w:color="auto"/>
              <w:bottom w:val="nil"/>
              <w:right w:val="single" w:sz="4" w:space="0" w:color="auto"/>
            </w:tcBorders>
          </w:tcPr>
          <w:p w14:paraId="479A4E69"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855" w:type="dxa"/>
            <w:tcBorders>
              <w:top w:val="nil"/>
              <w:left w:val="single" w:sz="4" w:space="0" w:color="auto"/>
              <w:bottom w:val="nil"/>
              <w:right w:val="single" w:sz="4" w:space="0" w:color="auto"/>
            </w:tcBorders>
          </w:tcPr>
          <w:p w14:paraId="05BEDC54"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993" w:type="dxa"/>
            <w:tcBorders>
              <w:top w:val="nil"/>
              <w:left w:val="single" w:sz="4" w:space="0" w:color="auto"/>
              <w:bottom w:val="nil"/>
              <w:right w:val="single" w:sz="4" w:space="0" w:color="auto"/>
            </w:tcBorders>
          </w:tcPr>
          <w:p w14:paraId="06172F40"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703" w:type="dxa"/>
            <w:tcBorders>
              <w:top w:val="nil"/>
              <w:left w:val="single" w:sz="4" w:space="0" w:color="auto"/>
              <w:bottom w:val="nil"/>
              <w:right w:val="single" w:sz="4" w:space="0" w:color="auto"/>
            </w:tcBorders>
          </w:tcPr>
          <w:p w14:paraId="427C6E96"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709" w:type="dxa"/>
            <w:tcBorders>
              <w:top w:val="nil"/>
              <w:left w:val="single" w:sz="4" w:space="0" w:color="auto"/>
              <w:bottom w:val="nil"/>
              <w:right w:val="single" w:sz="4" w:space="0" w:color="auto"/>
            </w:tcBorders>
          </w:tcPr>
          <w:p w14:paraId="3AAB3D25"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992" w:type="dxa"/>
            <w:tcBorders>
              <w:top w:val="nil"/>
              <w:left w:val="single" w:sz="4" w:space="0" w:color="auto"/>
              <w:bottom w:val="nil"/>
              <w:right w:val="single" w:sz="4" w:space="0" w:color="auto"/>
            </w:tcBorders>
          </w:tcPr>
          <w:p w14:paraId="56558750"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993" w:type="dxa"/>
            <w:tcBorders>
              <w:top w:val="nil"/>
              <w:left w:val="single" w:sz="4" w:space="0" w:color="auto"/>
              <w:bottom w:val="nil"/>
              <w:right w:val="single" w:sz="4" w:space="0" w:color="auto"/>
            </w:tcBorders>
          </w:tcPr>
          <w:p w14:paraId="2A34DDDB"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850" w:type="dxa"/>
            <w:tcBorders>
              <w:top w:val="nil"/>
              <w:left w:val="single" w:sz="4" w:space="0" w:color="auto"/>
              <w:bottom w:val="nil"/>
              <w:right w:val="single" w:sz="4" w:space="0" w:color="auto"/>
            </w:tcBorders>
          </w:tcPr>
          <w:p w14:paraId="492FF393"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709" w:type="dxa"/>
            <w:tcBorders>
              <w:top w:val="nil"/>
              <w:left w:val="single" w:sz="4" w:space="0" w:color="auto"/>
              <w:bottom w:val="nil"/>
              <w:right w:val="single" w:sz="4" w:space="0" w:color="auto"/>
            </w:tcBorders>
          </w:tcPr>
          <w:p w14:paraId="4FA02026"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709" w:type="dxa"/>
            <w:tcBorders>
              <w:top w:val="nil"/>
              <w:left w:val="single" w:sz="4" w:space="0" w:color="auto"/>
              <w:bottom w:val="nil"/>
              <w:right w:val="single" w:sz="4" w:space="0" w:color="auto"/>
            </w:tcBorders>
          </w:tcPr>
          <w:p w14:paraId="4CFE3229"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c>
          <w:tcPr>
            <w:tcW w:w="854" w:type="dxa"/>
            <w:tcBorders>
              <w:top w:val="nil"/>
              <w:left w:val="single" w:sz="4" w:space="0" w:color="auto"/>
              <w:bottom w:val="nil"/>
              <w:right w:val="single" w:sz="4" w:space="0" w:color="auto"/>
            </w:tcBorders>
          </w:tcPr>
          <w:p w14:paraId="4ED73F5C" w14:textId="77777777" w:rsidR="00726C45" w:rsidRPr="00BD6DBC" w:rsidRDefault="00726C45" w:rsidP="00A37677">
            <w:pPr>
              <w:spacing w:before="0" w:line="240" w:lineRule="auto"/>
              <w:jc w:val="right"/>
              <w:rPr>
                <w:rFonts w:cs="Segoe UI"/>
                <w:sz w:val="16"/>
                <w:szCs w:val="16"/>
              </w:rPr>
            </w:pPr>
            <w:r>
              <w:rPr>
                <w:rFonts w:cs="Segoe UI"/>
                <w:sz w:val="16"/>
                <w:szCs w:val="16"/>
              </w:rPr>
              <w:t>53,108</w:t>
            </w:r>
          </w:p>
        </w:tc>
      </w:tr>
      <w:tr w:rsidR="00726C45" w:rsidRPr="00BD6DBC" w14:paraId="40C86787" w14:textId="77777777" w:rsidTr="00A37677">
        <w:tc>
          <w:tcPr>
            <w:tcW w:w="988" w:type="dxa"/>
            <w:tcBorders>
              <w:top w:val="nil"/>
              <w:left w:val="single" w:sz="4" w:space="0" w:color="auto"/>
              <w:bottom w:val="single" w:sz="4" w:space="0" w:color="auto"/>
              <w:right w:val="single" w:sz="4" w:space="0" w:color="auto"/>
            </w:tcBorders>
            <w:vAlign w:val="bottom"/>
          </w:tcPr>
          <w:p w14:paraId="3D2B3F77" w14:textId="77777777" w:rsidR="00726C45" w:rsidRPr="002437BF" w:rsidRDefault="00726C45" w:rsidP="00A37677">
            <w:pPr>
              <w:spacing w:before="0" w:line="240" w:lineRule="auto"/>
              <w:rPr>
                <w:rFonts w:eastAsia="Times New Roman" w:cs="Segoe UI"/>
                <w:color w:val="FF0000"/>
                <w:sz w:val="16"/>
                <w:szCs w:val="16"/>
              </w:rPr>
            </w:pPr>
          </w:p>
        </w:tc>
        <w:tc>
          <w:tcPr>
            <w:tcW w:w="992" w:type="dxa"/>
            <w:tcBorders>
              <w:top w:val="nil"/>
              <w:left w:val="single" w:sz="4" w:space="0" w:color="auto"/>
              <w:bottom w:val="single" w:sz="4" w:space="0" w:color="auto"/>
              <w:right w:val="single" w:sz="4" w:space="0" w:color="auto"/>
            </w:tcBorders>
          </w:tcPr>
          <w:p w14:paraId="3F2E8482" w14:textId="77777777" w:rsidR="00726C45" w:rsidRPr="002437BF" w:rsidRDefault="00726C45" w:rsidP="00A37677">
            <w:pPr>
              <w:spacing w:before="0" w:line="240" w:lineRule="auto"/>
              <w:jc w:val="right"/>
              <w:rPr>
                <w:rFonts w:cs="Segoe UI"/>
                <w:color w:val="FF0000"/>
                <w:sz w:val="16"/>
                <w:szCs w:val="16"/>
              </w:rPr>
            </w:pPr>
          </w:p>
        </w:tc>
        <w:tc>
          <w:tcPr>
            <w:tcW w:w="855" w:type="dxa"/>
            <w:tcBorders>
              <w:top w:val="nil"/>
              <w:left w:val="single" w:sz="4" w:space="0" w:color="auto"/>
              <w:bottom w:val="single" w:sz="4" w:space="0" w:color="auto"/>
              <w:right w:val="single" w:sz="4" w:space="0" w:color="auto"/>
            </w:tcBorders>
          </w:tcPr>
          <w:p w14:paraId="769E459E" w14:textId="77777777" w:rsidR="00726C45" w:rsidRPr="002437BF" w:rsidRDefault="00726C45" w:rsidP="00A37677">
            <w:pPr>
              <w:spacing w:before="0" w:line="240" w:lineRule="auto"/>
              <w:jc w:val="right"/>
              <w:rPr>
                <w:rFonts w:cs="Segoe UI"/>
                <w:color w:val="FF0000"/>
                <w:sz w:val="16"/>
                <w:szCs w:val="16"/>
              </w:rPr>
            </w:pPr>
          </w:p>
        </w:tc>
        <w:tc>
          <w:tcPr>
            <w:tcW w:w="993" w:type="dxa"/>
            <w:tcBorders>
              <w:top w:val="nil"/>
              <w:left w:val="single" w:sz="4" w:space="0" w:color="auto"/>
              <w:bottom w:val="single" w:sz="4" w:space="0" w:color="auto"/>
              <w:right w:val="single" w:sz="4" w:space="0" w:color="auto"/>
            </w:tcBorders>
          </w:tcPr>
          <w:p w14:paraId="30E1A8CC" w14:textId="77777777" w:rsidR="00726C45" w:rsidRPr="002437BF" w:rsidRDefault="00726C45" w:rsidP="00A37677">
            <w:pPr>
              <w:spacing w:before="0" w:line="240" w:lineRule="auto"/>
              <w:jc w:val="right"/>
              <w:rPr>
                <w:rFonts w:cs="Segoe UI"/>
                <w:color w:val="FF0000"/>
                <w:sz w:val="16"/>
                <w:szCs w:val="16"/>
              </w:rPr>
            </w:pPr>
          </w:p>
        </w:tc>
        <w:tc>
          <w:tcPr>
            <w:tcW w:w="703" w:type="dxa"/>
            <w:tcBorders>
              <w:top w:val="nil"/>
              <w:left w:val="single" w:sz="4" w:space="0" w:color="auto"/>
              <w:bottom w:val="single" w:sz="4" w:space="0" w:color="auto"/>
              <w:right w:val="single" w:sz="4" w:space="0" w:color="auto"/>
            </w:tcBorders>
            <w:vAlign w:val="bottom"/>
          </w:tcPr>
          <w:p w14:paraId="5C157140"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3DA6879B" w14:textId="77777777" w:rsidR="00726C45" w:rsidRPr="002437BF" w:rsidRDefault="00726C45" w:rsidP="00A37677">
            <w:pPr>
              <w:spacing w:before="0" w:line="240" w:lineRule="auto"/>
              <w:jc w:val="right"/>
              <w:rPr>
                <w:rFonts w:cs="Segoe UI"/>
                <w:color w:val="FF0000"/>
                <w:sz w:val="16"/>
                <w:szCs w:val="16"/>
              </w:rPr>
            </w:pPr>
          </w:p>
        </w:tc>
        <w:tc>
          <w:tcPr>
            <w:tcW w:w="992" w:type="dxa"/>
            <w:tcBorders>
              <w:top w:val="nil"/>
              <w:left w:val="single" w:sz="4" w:space="0" w:color="auto"/>
              <w:bottom w:val="single" w:sz="4" w:space="0" w:color="auto"/>
              <w:right w:val="single" w:sz="4" w:space="0" w:color="auto"/>
            </w:tcBorders>
          </w:tcPr>
          <w:p w14:paraId="38AD199B" w14:textId="77777777" w:rsidR="00726C45" w:rsidRPr="002437BF" w:rsidRDefault="00726C45" w:rsidP="00A37677">
            <w:pPr>
              <w:spacing w:before="0" w:line="240" w:lineRule="auto"/>
              <w:jc w:val="right"/>
              <w:rPr>
                <w:rFonts w:cs="Segoe UI"/>
                <w:color w:val="FF0000"/>
                <w:sz w:val="16"/>
                <w:szCs w:val="16"/>
              </w:rPr>
            </w:pPr>
          </w:p>
        </w:tc>
        <w:tc>
          <w:tcPr>
            <w:tcW w:w="993" w:type="dxa"/>
            <w:tcBorders>
              <w:top w:val="nil"/>
              <w:left w:val="single" w:sz="4" w:space="0" w:color="auto"/>
              <w:bottom w:val="single" w:sz="4" w:space="0" w:color="auto"/>
              <w:right w:val="single" w:sz="4" w:space="0" w:color="auto"/>
            </w:tcBorders>
          </w:tcPr>
          <w:p w14:paraId="63BC100B" w14:textId="77777777" w:rsidR="00726C45" w:rsidRPr="002437BF" w:rsidRDefault="00726C45" w:rsidP="00A37677">
            <w:pPr>
              <w:spacing w:before="0" w:line="240" w:lineRule="auto"/>
              <w:jc w:val="right"/>
              <w:rPr>
                <w:rFonts w:cs="Segoe UI"/>
                <w:color w:val="FF0000"/>
                <w:sz w:val="16"/>
                <w:szCs w:val="16"/>
              </w:rPr>
            </w:pPr>
          </w:p>
        </w:tc>
        <w:tc>
          <w:tcPr>
            <w:tcW w:w="850" w:type="dxa"/>
            <w:tcBorders>
              <w:top w:val="nil"/>
              <w:left w:val="single" w:sz="4" w:space="0" w:color="auto"/>
              <w:bottom w:val="single" w:sz="4" w:space="0" w:color="auto"/>
              <w:right w:val="single" w:sz="4" w:space="0" w:color="auto"/>
            </w:tcBorders>
          </w:tcPr>
          <w:p w14:paraId="40C073CD"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32275857"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2A74C56B" w14:textId="77777777" w:rsidR="00726C45" w:rsidRPr="002437BF" w:rsidRDefault="00726C45" w:rsidP="00A37677">
            <w:pPr>
              <w:spacing w:before="0" w:line="240" w:lineRule="auto"/>
              <w:jc w:val="right"/>
              <w:rPr>
                <w:rFonts w:cs="Segoe UI"/>
                <w:color w:val="FF0000"/>
                <w:sz w:val="16"/>
                <w:szCs w:val="16"/>
              </w:rPr>
            </w:pPr>
          </w:p>
        </w:tc>
        <w:tc>
          <w:tcPr>
            <w:tcW w:w="854" w:type="dxa"/>
            <w:tcBorders>
              <w:top w:val="nil"/>
              <w:left w:val="single" w:sz="4" w:space="0" w:color="auto"/>
              <w:bottom w:val="single" w:sz="4" w:space="0" w:color="auto"/>
              <w:right w:val="single" w:sz="4" w:space="0" w:color="auto"/>
            </w:tcBorders>
          </w:tcPr>
          <w:p w14:paraId="5CC65C1B" w14:textId="77777777" w:rsidR="00726C45" w:rsidRPr="002437BF" w:rsidRDefault="00726C45" w:rsidP="00A37677">
            <w:pPr>
              <w:spacing w:before="0" w:line="240" w:lineRule="auto"/>
              <w:jc w:val="right"/>
              <w:rPr>
                <w:rFonts w:cs="Segoe UI"/>
                <w:color w:val="FF0000"/>
                <w:sz w:val="16"/>
                <w:szCs w:val="16"/>
              </w:rPr>
            </w:pPr>
          </w:p>
        </w:tc>
      </w:tr>
    </w:tbl>
    <w:p w14:paraId="63387936" w14:textId="77777777" w:rsidR="00726C45" w:rsidRDefault="00726C45" w:rsidP="00726C45"/>
    <w:p w14:paraId="088EFE4A" w14:textId="77777777" w:rsidR="00726C45" w:rsidRPr="0092616C" w:rsidRDefault="00726C45" w:rsidP="00726C45">
      <w:pPr>
        <w:rPr>
          <w:b/>
        </w:rPr>
      </w:pPr>
      <w:r>
        <w:rPr>
          <w:b/>
        </w:rPr>
        <w:t>Figure B3</w:t>
      </w:r>
      <w:r w:rsidRPr="0092616C">
        <w:rPr>
          <w:b/>
        </w:rPr>
        <w:t xml:space="preserve">: Likelihood of not answering question, or not included in the PCA - China </w:t>
      </w:r>
    </w:p>
    <w:tbl>
      <w:tblPr>
        <w:tblStyle w:val="TableGrid"/>
        <w:tblW w:w="10347" w:type="dxa"/>
        <w:tblLayout w:type="fixed"/>
        <w:tblLook w:val="04A0" w:firstRow="1" w:lastRow="0" w:firstColumn="1" w:lastColumn="0" w:noHBand="0" w:noVBand="1"/>
      </w:tblPr>
      <w:tblGrid>
        <w:gridCol w:w="1418"/>
        <w:gridCol w:w="709"/>
        <w:gridCol w:w="708"/>
        <w:gridCol w:w="993"/>
        <w:gridCol w:w="703"/>
        <w:gridCol w:w="709"/>
        <w:gridCol w:w="992"/>
        <w:gridCol w:w="993"/>
        <w:gridCol w:w="850"/>
        <w:gridCol w:w="709"/>
        <w:gridCol w:w="709"/>
        <w:gridCol w:w="854"/>
      </w:tblGrid>
      <w:tr w:rsidR="00726C45" w:rsidRPr="00BD6DBC" w14:paraId="2C3DC471" w14:textId="77777777" w:rsidTr="00A37677">
        <w:trPr>
          <w:trHeight w:val="284"/>
        </w:trPr>
        <w:tc>
          <w:tcPr>
            <w:tcW w:w="1418" w:type="dxa"/>
            <w:tcBorders>
              <w:top w:val="single" w:sz="4" w:space="0" w:color="auto"/>
              <w:left w:val="single" w:sz="4" w:space="0" w:color="auto"/>
              <w:bottom w:val="single" w:sz="4" w:space="0" w:color="auto"/>
              <w:right w:val="single" w:sz="4" w:space="0" w:color="auto"/>
            </w:tcBorders>
            <w:vAlign w:val="bottom"/>
          </w:tcPr>
          <w:p w14:paraId="70BDFF0C" w14:textId="77777777" w:rsidR="00726C45" w:rsidRPr="00BD6DBC" w:rsidRDefault="00726C45" w:rsidP="00A37677">
            <w:pPr>
              <w:spacing w:before="0" w:line="240" w:lineRule="auto"/>
              <w:rPr>
                <w:rFonts w:eastAsia="Times New Roman" w:cs="Segoe UI"/>
                <w:b/>
                <w:bCs/>
                <w:sz w:val="16"/>
                <w:szCs w:val="16"/>
              </w:rPr>
            </w:pPr>
          </w:p>
        </w:tc>
        <w:tc>
          <w:tcPr>
            <w:tcW w:w="8929" w:type="dxa"/>
            <w:gridSpan w:val="11"/>
            <w:tcBorders>
              <w:top w:val="single" w:sz="4" w:space="0" w:color="auto"/>
              <w:left w:val="single" w:sz="4" w:space="0" w:color="auto"/>
              <w:bottom w:val="single" w:sz="4" w:space="0" w:color="auto"/>
              <w:right w:val="single" w:sz="4" w:space="0" w:color="auto"/>
            </w:tcBorders>
            <w:vAlign w:val="bottom"/>
          </w:tcPr>
          <w:p w14:paraId="43EE68F8" w14:textId="77777777" w:rsidR="00726C45" w:rsidRDefault="00726C45" w:rsidP="00A37677">
            <w:pPr>
              <w:spacing w:before="0" w:line="240" w:lineRule="auto"/>
              <w:jc w:val="center"/>
              <w:rPr>
                <w:rFonts w:cs="Segoe UI"/>
                <w:b/>
                <w:bCs/>
                <w:sz w:val="16"/>
                <w:szCs w:val="16"/>
              </w:rPr>
            </w:pPr>
            <w:r>
              <w:rPr>
                <w:rFonts w:cs="Segoe UI"/>
                <w:b/>
                <w:bCs/>
                <w:sz w:val="16"/>
                <w:szCs w:val="16"/>
              </w:rPr>
              <w:t>Likelihood for not answering question or being included in full PCA [Coefficients * if significant at p&lt;0.05]</w:t>
            </w:r>
          </w:p>
        </w:tc>
      </w:tr>
      <w:tr w:rsidR="00726C45" w:rsidRPr="00BD6DBC" w14:paraId="3C9712C7" w14:textId="77777777" w:rsidTr="00A37677">
        <w:trPr>
          <w:trHeight w:val="284"/>
        </w:trPr>
        <w:tc>
          <w:tcPr>
            <w:tcW w:w="1418" w:type="dxa"/>
            <w:tcBorders>
              <w:top w:val="nil"/>
              <w:left w:val="single" w:sz="4" w:space="0" w:color="auto"/>
              <w:bottom w:val="single" w:sz="4" w:space="0" w:color="auto"/>
              <w:right w:val="single" w:sz="4" w:space="0" w:color="auto"/>
            </w:tcBorders>
            <w:vAlign w:val="bottom"/>
          </w:tcPr>
          <w:p w14:paraId="58A5EE6D" w14:textId="77777777" w:rsidR="00726C45" w:rsidRPr="00BD6DBC" w:rsidRDefault="00726C45" w:rsidP="00A37677">
            <w:pPr>
              <w:spacing w:before="0" w:line="240" w:lineRule="auto"/>
              <w:rPr>
                <w:rFonts w:eastAsia="Times New Roman" w:cs="Segoe UI"/>
                <w:b/>
                <w:bCs/>
                <w:sz w:val="16"/>
                <w:szCs w:val="16"/>
              </w:rPr>
            </w:pPr>
            <w:r>
              <w:rPr>
                <w:rFonts w:eastAsia="Times New Roman" w:cs="Segoe UI"/>
                <w:b/>
                <w:bCs/>
                <w:sz w:val="16"/>
                <w:szCs w:val="16"/>
              </w:rPr>
              <w:t>Variable</w:t>
            </w:r>
          </w:p>
        </w:tc>
        <w:tc>
          <w:tcPr>
            <w:tcW w:w="709" w:type="dxa"/>
            <w:tcBorders>
              <w:top w:val="nil"/>
              <w:left w:val="single" w:sz="4" w:space="0" w:color="auto"/>
              <w:bottom w:val="single" w:sz="4" w:space="0" w:color="auto"/>
              <w:right w:val="single" w:sz="4" w:space="0" w:color="auto"/>
            </w:tcBorders>
            <w:vAlign w:val="bottom"/>
          </w:tcPr>
          <w:p w14:paraId="70B8C175" w14:textId="77777777" w:rsidR="00726C45" w:rsidRPr="00BD6DBC" w:rsidRDefault="00726C45" w:rsidP="00A37677">
            <w:pPr>
              <w:spacing w:before="0" w:line="240" w:lineRule="auto"/>
              <w:rPr>
                <w:rFonts w:cs="Segoe UI"/>
                <w:b/>
                <w:bCs/>
                <w:sz w:val="16"/>
                <w:szCs w:val="16"/>
              </w:rPr>
            </w:pPr>
            <w:r>
              <w:rPr>
                <w:rFonts w:cs="Segoe UI"/>
                <w:b/>
                <w:bCs/>
                <w:sz w:val="16"/>
                <w:szCs w:val="16"/>
              </w:rPr>
              <w:t>Tax</w:t>
            </w:r>
          </w:p>
        </w:tc>
        <w:tc>
          <w:tcPr>
            <w:tcW w:w="708" w:type="dxa"/>
            <w:tcBorders>
              <w:top w:val="nil"/>
              <w:left w:val="single" w:sz="4" w:space="0" w:color="auto"/>
              <w:bottom w:val="single" w:sz="4" w:space="0" w:color="auto"/>
              <w:right w:val="single" w:sz="4" w:space="0" w:color="auto"/>
            </w:tcBorders>
            <w:vAlign w:val="bottom"/>
          </w:tcPr>
          <w:p w14:paraId="7AE29AFD" w14:textId="77777777" w:rsidR="00726C45" w:rsidRPr="00BD6DBC" w:rsidRDefault="00726C45" w:rsidP="00A37677">
            <w:pPr>
              <w:spacing w:before="0" w:line="240" w:lineRule="auto"/>
              <w:rPr>
                <w:rFonts w:cs="Segoe UI"/>
                <w:b/>
                <w:bCs/>
                <w:sz w:val="16"/>
                <w:szCs w:val="16"/>
              </w:rPr>
            </w:pPr>
            <w:r>
              <w:rPr>
                <w:rFonts w:cs="Segoe UI"/>
                <w:b/>
                <w:bCs/>
                <w:sz w:val="16"/>
                <w:szCs w:val="16"/>
              </w:rPr>
              <w:t>Relig.</w:t>
            </w:r>
          </w:p>
        </w:tc>
        <w:tc>
          <w:tcPr>
            <w:tcW w:w="993" w:type="dxa"/>
            <w:tcBorders>
              <w:top w:val="nil"/>
              <w:left w:val="single" w:sz="4" w:space="0" w:color="auto"/>
              <w:bottom w:val="single" w:sz="4" w:space="0" w:color="auto"/>
              <w:right w:val="single" w:sz="4" w:space="0" w:color="auto"/>
            </w:tcBorders>
            <w:vAlign w:val="bottom"/>
          </w:tcPr>
          <w:p w14:paraId="6260D4EB" w14:textId="77777777" w:rsidR="00726C45" w:rsidRPr="00BD6DBC" w:rsidRDefault="00726C45" w:rsidP="00A37677">
            <w:pPr>
              <w:spacing w:before="0" w:line="240" w:lineRule="auto"/>
              <w:rPr>
                <w:rFonts w:cs="Segoe UI"/>
                <w:b/>
                <w:bCs/>
                <w:sz w:val="16"/>
                <w:szCs w:val="16"/>
              </w:rPr>
            </w:pPr>
            <w:r>
              <w:rPr>
                <w:rFonts w:cs="Segoe UI"/>
                <w:b/>
                <w:bCs/>
                <w:sz w:val="16"/>
                <w:szCs w:val="16"/>
              </w:rPr>
              <w:t>Elections</w:t>
            </w:r>
          </w:p>
        </w:tc>
        <w:tc>
          <w:tcPr>
            <w:tcW w:w="703" w:type="dxa"/>
            <w:tcBorders>
              <w:top w:val="nil"/>
              <w:left w:val="single" w:sz="4" w:space="0" w:color="auto"/>
              <w:bottom w:val="single" w:sz="4" w:space="0" w:color="auto"/>
              <w:right w:val="single" w:sz="4" w:space="0" w:color="auto"/>
            </w:tcBorders>
            <w:vAlign w:val="bottom"/>
          </w:tcPr>
          <w:p w14:paraId="37D522B3" w14:textId="77777777" w:rsidR="00726C45" w:rsidRPr="00BD6DBC" w:rsidRDefault="00726C45" w:rsidP="00A37677">
            <w:pPr>
              <w:spacing w:before="0" w:line="240" w:lineRule="auto"/>
              <w:rPr>
                <w:rFonts w:cs="Segoe UI"/>
                <w:b/>
                <w:bCs/>
                <w:sz w:val="16"/>
                <w:szCs w:val="16"/>
              </w:rPr>
            </w:pPr>
            <w:r>
              <w:rPr>
                <w:rFonts w:cs="Segoe UI"/>
                <w:b/>
                <w:bCs/>
                <w:sz w:val="16"/>
                <w:szCs w:val="16"/>
              </w:rPr>
              <w:t>Aid</w:t>
            </w:r>
          </w:p>
        </w:tc>
        <w:tc>
          <w:tcPr>
            <w:tcW w:w="709" w:type="dxa"/>
            <w:tcBorders>
              <w:top w:val="nil"/>
              <w:left w:val="single" w:sz="4" w:space="0" w:color="auto"/>
              <w:bottom w:val="single" w:sz="4" w:space="0" w:color="auto"/>
              <w:right w:val="single" w:sz="4" w:space="0" w:color="auto"/>
            </w:tcBorders>
            <w:vAlign w:val="bottom"/>
          </w:tcPr>
          <w:p w14:paraId="06A0F304" w14:textId="77777777" w:rsidR="00726C45" w:rsidRPr="00BD6DBC" w:rsidRDefault="00726C45" w:rsidP="00A37677">
            <w:pPr>
              <w:spacing w:before="0" w:line="240" w:lineRule="auto"/>
              <w:rPr>
                <w:rFonts w:cs="Segoe UI"/>
                <w:b/>
                <w:bCs/>
                <w:sz w:val="16"/>
                <w:szCs w:val="16"/>
              </w:rPr>
            </w:pPr>
            <w:r>
              <w:rPr>
                <w:rFonts w:cs="Segoe UI"/>
                <w:b/>
                <w:bCs/>
                <w:sz w:val="16"/>
                <w:szCs w:val="16"/>
              </w:rPr>
              <w:t>Army</w:t>
            </w:r>
          </w:p>
        </w:tc>
        <w:tc>
          <w:tcPr>
            <w:tcW w:w="992" w:type="dxa"/>
            <w:tcBorders>
              <w:top w:val="nil"/>
              <w:left w:val="single" w:sz="4" w:space="0" w:color="auto"/>
              <w:bottom w:val="single" w:sz="4" w:space="0" w:color="auto"/>
              <w:right w:val="single" w:sz="4" w:space="0" w:color="auto"/>
            </w:tcBorders>
            <w:vAlign w:val="bottom"/>
          </w:tcPr>
          <w:p w14:paraId="67978697" w14:textId="77777777" w:rsidR="00726C45" w:rsidRPr="00BD6DBC" w:rsidRDefault="00726C45" w:rsidP="00A37677">
            <w:pPr>
              <w:spacing w:before="0" w:line="240" w:lineRule="auto"/>
              <w:rPr>
                <w:rFonts w:cs="Segoe UI"/>
                <w:b/>
                <w:bCs/>
                <w:sz w:val="16"/>
                <w:szCs w:val="16"/>
              </w:rPr>
            </w:pPr>
            <w:r>
              <w:rPr>
                <w:rFonts w:cs="Segoe UI"/>
                <w:b/>
                <w:bCs/>
                <w:sz w:val="16"/>
                <w:szCs w:val="16"/>
              </w:rPr>
              <w:t>Civ.Rights</w:t>
            </w:r>
          </w:p>
        </w:tc>
        <w:tc>
          <w:tcPr>
            <w:tcW w:w="993" w:type="dxa"/>
            <w:tcBorders>
              <w:top w:val="nil"/>
              <w:left w:val="single" w:sz="4" w:space="0" w:color="auto"/>
              <w:bottom w:val="single" w:sz="4" w:space="0" w:color="auto"/>
              <w:right w:val="single" w:sz="4" w:space="0" w:color="auto"/>
            </w:tcBorders>
            <w:vAlign w:val="bottom"/>
          </w:tcPr>
          <w:p w14:paraId="3B133A27" w14:textId="77777777" w:rsidR="00726C45" w:rsidRPr="002738FA" w:rsidRDefault="00726C45" w:rsidP="00A37677">
            <w:pPr>
              <w:spacing w:before="0" w:line="240" w:lineRule="auto"/>
              <w:rPr>
                <w:rFonts w:cs="Segoe UI"/>
                <w:b/>
                <w:bCs/>
                <w:sz w:val="16"/>
                <w:szCs w:val="16"/>
                <w:highlight w:val="yellow"/>
              </w:rPr>
            </w:pPr>
            <w:r>
              <w:rPr>
                <w:rFonts w:cs="Segoe UI"/>
                <w:b/>
                <w:bCs/>
                <w:sz w:val="16"/>
                <w:szCs w:val="16"/>
              </w:rPr>
              <w:t>Economy</w:t>
            </w:r>
          </w:p>
        </w:tc>
        <w:tc>
          <w:tcPr>
            <w:tcW w:w="850" w:type="dxa"/>
            <w:tcBorders>
              <w:top w:val="nil"/>
              <w:left w:val="single" w:sz="4" w:space="0" w:color="auto"/>
              <w:bottom w:val="single" w:sz="4" w:space="0" w:color="auto"/>
              <w:right w:val="single" w:sz="4" w:space="0" w:color="auto"/>
            </w:tcBorders>
            <w:vAlign w:val="bottom"/>
          </w:tcPr>
          <w:p w14:paraId="6BAAC833" w14:textId="77777777" w:rsidR="00726C45" w:rsidRDefault="00726C45" w:rsidP="00A37677">
            <w:pPr>
              <w:spacing w:before="0" w:line="240" w:lineRule="auto"/>
              <w:rPr>
                <w:rFonts w:cs="Segoe UI"/>
                <w:b/>
                <w:bCs/>
                <w:sz w:val="16"/>
                <w:szCs w:val="16"/>
              </w:rPr>
            </w:pPr>
            <w:r>
              <w:rPr>
                <w:rFonts w:cs="Segoe UI"/>
                <w:b/>
                <w:bCs/>
                <w:sz w:val="16"/>
                <w:szCs w:val="16"/>
              </w:rPr>
              <w:t>Criminal</w:t>
            </w:r>
          </w:p>
        </w:tc>
        <w:tc>
          <w:tcPr>
            <w:tcW w:w="709" w:type="dxa"/>
            <w:tcBorders>
              <w:top w:val="nil"/>
              <w:left w:val="single" w:sz="4" w:space="0" w:color="auto"/>
              <w:bottom w:val="single" w:sz="4" w:space="0" w:color="auto"/>
              <w:right w:val="single" w:sz="4" w:space="0" w:color="auto"/>
            </w:tcBorders>
            <w:vAlign w:val="bottom"/>
          </w:tcPr>
          <w:p w14:paraId="11CF4B29" w14:textId="77777777" w:rsidR="00726C45" w:rsidRDefault="00726C45" w:rsidP="00A37677">
            <w:pPr>
              <w:spacing w:before="0" w:line="240" w:lineRule="auto"/>
              <w:rPr>
                <w:rFonts w:cs="Segoe UI"/>
                <w:b/>
                <w:bCs/>
                <w:sz w:val="16"/>
                <w:szCs w:val="16"/>
              </w:rPr>
            </w:pPr>
            <w:r>
              <w:rPr>
                <w:rFonts w:cs="Segoe UI"/>
                <w:b/>
                <w:bCs/>
                <w:sz w:val="16"/>
                <w:szCs w:val="16"/>
              </w:rPr>
              <w:t>Ref</w:t>
            </w:r>
          </w:p>
        </w:tc>
        <w:tc>
          <w:tcPr>
            <w:tcW w:w="709" w:type="dxa"/>
            <w:tcBorders>
              <w:top w:val="nil"/>
              <w:left w:val="single" w:sz="4" w:space="0" w:color="auto"/>
              <w:bottom w:val="single" w:sz="4" w:space="0" w:color="auto"/>
              <w:right w:val="single" w:sz="4" w:space="0" w:color="auto"/>
            </w:tcBorders>
            <w:vAlign w:val="bottom"/>
          </w:tcPr>
          <w:p w14:paraId="58831678" w14:textId="77777777" w:rsidR="00726C45" w:rsidRDefault="00726C45" w:rsidP="00A37677">
            <w:pPr>
              <w:spacing w:before="0" w:line="240" w:lineRule="auto"/>
              <w:rPr>
                <w:rFonts w:cs="Segoe UI"/>
                <w:b/>
                <w:bCs/>
                <w:sz w:val="16"/>
                <w:szCs w:val="16"/>
              </w:rPr>
            </w:pPr>
            <w:r>
              <w:rPr>
                <w:rFonts w:cs="Segoe UI"/>
                <w:b/>
                <w:bCs/>
                <w:sz w:val="16"/>
                <w:szCs w:val="16"/>
              </w:rPr>
              <w:t>Equal.</w:t>
            </w:r>
          </w:p>
        </w:tc>
        <w:tc>
          <w:tcPr>
            <w:tcW w:w="854" w:type="dxa"/>
            <w:tcBorders>
              <w:left w:val="single" w:sz="4" w:space="0" w:color="auto"/>
              <w:bottom w:val="single" w:sz="4" w:space="0" w:color="auto"/>
              <w:right w:val="single" w:sz="4" w:space="0" w:color="auto"/>
            </w:tcBorders>
            <w:vAlign w:val="bottom"/>
          </w:tcPr>
          <w:p w14:paraId="3801EABC" w14:textId="77777777" w:rsidR="00726C45" w:rsidRDefault="00726C45" w:rsidP="00A37677">
            <w:pPr>
              <w:spacing w:before="0" w:line="240" w:lineRule="auto"/>
              <w:rPr>
                <w:rFonts w:cs="Segoe UI"/>
                <w:b/>
                <w:bCs/>
                <w:sz w:val="16"/>
                <w:szCs w:val="16"/>
              </w:rPr>
            </w:pPr>
            <w:r>
              <w:rPr>
                <w:rFonts w:cs="Segoe UI"/>
                <w:b/>
                <w:bCs/>
                <w:sz w:val="16"/>
                <w:szCs w:val="16"/>
              </w:rPr>
              <w:t>PCA</w:t>
            </w:r>
          </w:p>
        </w:tc>
      </w:tr>
      <w:tr w:rsidR="00726C45" w:rsidRPr="00BD6DBC" w14:paraId="099F323B" w14:textId="77777777" w:rsidTr="00A37677">
        <w:tc>
          <w:tcPr>
            <w:tcW w:w="1418" w:type="dxa"/>
            <w:tcBorders>
              <w:top w:val="single" w:sz="4" w:space="0" w:color="auto"/>
              <w:left w:val="single" w:sz="4" w:space="0" w:color="auto"/>
              <w:bottom w:val="nil"/>
              <w:right w:val="single" w:sz="4" w:space="0" w:color="auto"/>
            </w:tcBorders>
            <w:vAlign w:val="bottom"/>
          </w:tcPr>
          <w:p w14:paraId="0AB82607"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Age</w:t>
            </w:r>
          </w:p>
        </w:tc>
        <w:tc>
          <w:tcPr>
            <w:tcW w:w="709" w:type="dxa"/>
            <w:tcBorders>
              <w:top w:val="single" w:sz="4" w:space="0" w:color="auto"/>
              <w:left w:val="single" w:sz="4" w:space="0" w:color="auto"/>
              <w:bottom w:val="nil"/>
              <w:right w:val="single" w:sz="4" w:space="0" w:color="auto"/>
            </w:tcBorders>
          </w:tcPr>
          <w:p w14:paraId="559783D4"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708" w:type="dxa"/>
            <w:tcBorders>
              <w:top w:val="single" w:sz="4" w:space="0" w:color="auto"/>
              <w:left w:val="single" w:sz="4" w:space="0" w:color="auto"/>
              <w:bottom w:val="nil"/>
              <w:right w:val="single" w:sz="4" w:space="0" w:color="auto"/>
            </w:tcBorders>
          </w:tcPr>
          <w:p w14:paraId="30A93914"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993" w:type="dxa"/>
            <w:tcBorders>
              <w:top w:val="single" w:sz="4" w:space="0" w:color="auto"/>
              <w:left w:val="single" w:sz="4" w:space="0" w:color="auto"/>
              <w:bottom w:val="nil"/>
              <w:right w:val="single" w:sz="4" w:space="0" w:color="auto"/>
            </w:tcBorders>
          </w:tcPr>
          <w:p w14:paraId="66FF7EAB"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703" w:type="dxa"/>
            <w:tcBorders>
              <w:top w:val="single" w:sz="4" w:space="0" w:color="auto"/>
              <w:left w:val="single" w:sz="4" w:space="0" w:color="auto"/>
              <w:bottom w:val="nil"/>
              <w:right w:val="single" w:sz="4" w:space="0" w:color="auto"/>
            </w:tcBorders>
            <w:vAlign w:val="bottom"/>
          </w:tcPr>
          <w:p w14:paraId="72AB4E1E"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709" w:type="dxa"/>
            <w:tcBorders>
              <w:top w:val="single" w:sz="4" w:space="0" w:color="auto"/>
              <w:left w:val="single" w:sz="4" w:space="0" w:color="auto"/>
              <w:bottom w:val="nil"/>
              <w:right w:val="single" w:sz="4" w:space="0" w:color="auto"/>
            </w:tcBorders>
          </w:tcPr>
          <w:p w14:paraId="30E0D999"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992" w:type="dxa"/>
            <w:tcBorders>
              <w:top w:val="single" w:sz="4" w:space="0" w:color="auto"/>
              <w:left w:val="single" w:sz="4" w:space="0" w:color="auto"/>
              <w:bottom w:val="nil"/>
              <w:right w:val="single" w:sz="4" w:space="0" w:color="auto"/>
            </w:tcBorders>
          </w:tcPr>
          <w:p w14:paraId="3D08906F"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993" w:type="dxa"/>
            <w:tcBorders>
              <w:top w:val="single" w:sz="4" w:space="0" w:color="auto"/>
              <w:left w:val="single" w:sz="4" w:space="0" w:color="auto"/>
              <w:bottom w:val="nil"/>
              <w:right w:val="single" w:sz="4" w:space="0" w:color="auto"/>
            </w:tcBorders>
          </w:tcPr>
          <w:p w14:paraId="0C99C19A" w14:textId="77777777" w:rsidR="00726C45" w:rsidRPr="002738FA" w:rsidRDefault="00726C45" w:rsidP="00A37677">
            <w:pPr>
              <w:spacing w:before="0" w:line="240" w:lineRule="auto"/>
              <w:jc w:val="right"/>
              <w:rPr>
                <w:rFonts w:cs="Segoe UI"/>
                <w:sz w:val="16"/>
                <w:szCs w:val="16"/>
                <w:highlight w:val="yellow"/>
              </w:rPr>
            </w:pPr>
            <w:r>
              <w:rPr>
                <w:rFonts w:cs="Segoe UI"/>
                <w:sz w:val="16"/>
                <w:szCs w:val="16"/>
              </w:rPr>
              <w:t>0.00</w:t>
            </w:r>
          </w:p>
        </w:tc>
        <w:tc>
          <w:tcPr>
            <w:tcW w:w="850" w:type="dxa"/>
            <w:tcBorders>
              <w:top w:val="single" w:sz="4" w:space="0" w:color="auto"/>
              <w:left w:val="single" w:sz="4" w:space="0" w:color="auto"/>
              <w:bottom w:val="nil"/>
              <w:right w:val="single" w:sz="4" w:space="0" w:color="auto"/>
            </w:tcBorders>
          </w:tcPr>
          <w:p w14:paraId="01A4EB2B" w14:textId="77777777" w:rsidR="00726C45" w:rsidRPr="00F37A41" w:rsidRDefault="00726C45" w:rsidP="00A37677">
            <w:pPr>
              <w:spacing w:before="0" w:line="240" w:lineRule="auto"/>
              <w:jc w:val="right"/>
              <w:rPr>
                <w:rFonts w:cs="Segoe UI"/>
                <w:sz w:val="16"/>
                <w:szCs w:val="16"/>
              </w:rPr>
            </w:pPr>
            <w:r>
              <w:rPr>
                <w:rFonts w:cs="Segoe UI"/>
                <w:sz w:val="16"/>
                <w:szCs w:val="16"/>
              </w:rPr>
              <w:t>0.01</w:t>
            </w:r>
          </w:p>
        </w:tc>
        <w:tc>
          <w:tcPr>
            <w:tcW w:w="709" w:type="dxa"/>
            <w:tcBorders>
              <w:top w:val="single" w:sz="4" w:space="0" w:color="auto"/>
              <w:left w:val="single" w:sz="4" w:space="0" w:color="auto"/>
              <w:bottom w:val="nil"/>
              <w:right w:val="single" w:sz="4" w:space="0" w:color="auto"/>
            </w:tcBorders>
          </w:tcPr>
          <w:p w14:paraId="2EDE8945" w14:textId="77777777" w:rsidR="00726C45" w:rsidRPr="00F37A41" w:rsidRDefault="00726C45" w:rsidP="00A37677">
            <w:pPr>
              <w:spacing w:before="0" w:line="240" w:lineRule="auto"/>
              <w:jc w:val="right"/>
              <w:rPr>
                <w:rFonts w:cs="Segoe UI"/>
                <w:sz w:val="16"/>
                <w:szCs w:val="16"/>
              </w:rPr>
            </w:pPr>
            <w:r>
              <w:rPr>
                <w:rFonts w:cs="Segoe UI"/>
                <w:sz w:val="16"/>
                <w:szCs w:val="16"/>
              </w:rPr>
              <w:t>0.01</w:t>
            </w:r>
          </w:p>
        </w:tc>
        <w:tc>
          <w:tcPr>
            <w:tcW w:w="709" w:type="dxa"/>
            <w:tcBorders>
              <w:top w:val="single" w:sz="4" w:space="0" w:color="auto"/>
              <w:left w:val="single" w:sz="4" w:space="0" w:color="auto"/>
              <w:bottom w:val="nil"/>
              <w:right w:val="single" w:sz="4" w:space="0" w:color="auto"/>
            </w:tcBorders>
          </w:tcPr>
          <w:p w14:paraId="2A44DBD5" w14:textId="77777777" w:rsidR="00726C45" w:rsidRDefault="00726C45" w:rsidP="00A37677">
            <w:pPr>
              <w:spacing w:before="0" w:line="240" w:lineRule="auto"/>
              <w:jc w:val="right"/>
              <w:rPr>
                <w:rFonts w:cs="Segoe UI"/>
                <w:sz w:val="16"/>
                <w:szCs w:val="16"/>
              </w:rPr>
            </w:pPr>
            <w:r>
              <w:rPr>
                <w:rFonts w:cs="Segoe UI"/>
                <w:sz w:val="16"/>
                <w:szCs w:val="16"/>
              </w:rPr>
              <w:t>0.01</w:t>
            </w:r>
          </w:p>
        </w:tc>
        <w:tc>
          <w:tcPr>
            <w:tcW w:w="854" w:type="dxa"/>
            <w:tcBorders>
              <w:top w:val="single" w:sz="4" w:space="0" w:color="auto"/>
              <w:left w:val="single" w:sz="4" w:space="0" w:color="auto"/>
              <w:bottom w:val="nil"/>
              <w:right w:val="single" w:sz="4" w:space="0" w:color="auto"/>
            </w:tcBorders>
          </w:tcPr>
          <w:p w14:paraId="2EB24F76" w14:textId="77777777" w:rsidR="00726C45" w:rsidRDefault="00726C45" w:rsidP="00A37677">
            <w:pPr>
              <w:spacing w:before="0" w:line="240" w:lineRule="auto"/>
              <w:jc w:val="right"/>
              <w:rPr>
                <w:rFonts w:cs="Segoe UI"/>
                <w:sz w:val="16"/>
                <w:szCs w:val="16"/>
              </w:rPr>
            </w:pPr>
            <w:r>
              <w:rPr>
                <w:rFonts w:cs="Segoe UI"/>
                <w:sz w:val="16"/>
                <w:szCs w:val="16"/>
              </w:rPr>
              <w:t>0.01</w:t>
            </w:r>
          </w:p>
        </w:tc>
      </w:tr>
      <w:tr w:rsidR="00726C45" w:rsidRPr="00BD6DBC" w14:paraId="5D27B7AE" w14:textId="77777777" w:rsidTr="00A37677">
        <w:tc>
          <w:tcPr>
            <w:tcW w:w="1418" w:type="dxa"/>
            <w:tcBorders>
              <w:top w:val="nil"/>
              <w:left w:val="single" w:sz="4" w:space="0" w:color="auto"/>
              <w:bottom w:val="nil"/>
              <w:right w:val="single" w:sz="4" w:space="0" w:color="auto"/>
            </w:tcBorders>
            <w:vAlign w:val="bottom"/>
          </w:tcPr>
          <w:p w14:paraId="3B56C0C9"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Male</w:t>
            </w:r>
          </w:p>
        </w:tc>
        <w:tc>
          <w:tcPr>
            <w:tcW w:w="709" w:type="dxa"/>
            <w:tcBorders>
              <w:top w:val="nil"/>
              <w:left w:val="single" w:sz="4" w:space="0" w:color="auto"/>
              <w:bottom w:val="nil"/>
              <w:right w:val="single" w:sz="4" w:space="0" w:color="auto"/>
            </w:tcBorders>
          </w:tcPr>
          <w:p w14:paraId="0A2EBBD2" w14:textId="77777777" w:rsidR="00726C45" w:rsidRPr="00BD6DBC" w:rsidRDefault="00726C45" w:rsidP="00A37677">
            <w:pPr>
              <w:spacing w:before="0" w:line="240" w:lineRule="auto"/>
              <w:jc w:val="right"/>
              <w:rPr>
                <w:rFonts w:cs="Segoe UI"/>
                <w:sz w:val="16"/>
                <w:szCs w:val="16"/>
              </w:rPr>
            </w:pPr>
            <w:r>
              <w:rPr>
                <w:rFonts w:cs="Segoe UI"/>
                <w:sz w:val="16"/>
                <w:szCs w:val="16"/>
              </w:rPr>
              <w:t>-0.65*</w:t>
            </w:r>
          </w:p>
        </w:tc>
        <w:tc>
          <w:tcPr>
            <w:tcW w:w="708" w:type="dxa"/>
            <w:tcBorders>
              <w:top w:val="nil"/>
              <w:left w:val="single" w:sz="4" w:space="0" w:color="auto"/>
              <w:bottom w:val="nil"/>
              <w:right w:val="single" w:sz="4" w:space="0" w:color="auto"/>
            </w:tcBorders>
          </w:tcPr>
          <w:p w14:paraId="3DE82C86" w14:textId="77777777" w:rsidR="00726C45" w:rsidRPr="00BD6DBC" w:rsidRDefault="00726C45" w:rsidP="00A37677">
            <w:pPr>
              <w:spacing w:before="0" w:line="240" w:lineRule="auto"/>
              <w:jc w:val="right"/>
              <w:rPr>
                <w:rFonts w:cs="Segoe UI"/>
                <w:sz w:val="16"/>
                <w:szCs w:val="16"/>
              </w:rPr>
            </w:pPr>
            <w:r>
              <w:rPr>
                <w:rFonts w:cs="Segoe UI"/>
                <w:sz w:val="16"/>
                <w:szCs w:val="16"/>
              </w:rPr>
              <w:t>-0.38*</w:t>
            </w:r>
          </w:p>
        </w:tc>
        <w:tc>
          <w:tcPr>
            <w:tcW w:w="993" w:type="dxa"/>
            <w:tcBorders>
              <w:top w:val="nil"/>
              <w:left w:val="single" w:sz="4" w:space="0" w:color="auto"/>
              <w:bottom w:val="nil"/>
              <w:right w:val="single" w:sz="4" w:space="0" w:color="auto"/>
            </w:tcBorders>
          </w:tcPr>
          <w:p w14:paraId="0F00E43A" w14:textId="77777777" w:rsidR="00726C45" w:rsidRPr="00BD6DBC" w:rsidRDefault="00726C45" w:rsidP="00A37677">
            <w:pPr>
              <w:spacing w:before="0" w:line="240" w:lineRule="auto"/>
              <w:jc w:val="right"/>
              <w:rPr>
                <w:rFonts w:cs="Segoe UI"/>
                <w:sz w:val="16"/>
                <w:szCs w:val="16"/>
              </w:rPr>
            </w:pPr>
            <w:r>
              <w:rPr>
                <w:rFonts w:cs="Segoe UI"/>
                <w:sz w:val="16"/>
                <w:szCs w:val="16"/>
              </w:rPr>
              <w:t>-0.61*</w:t>
            </w:r>
          </w:p>
        </w:tc>
        <w:tc>
          <w:tcPr>
            <w:tcW w:w="703" w:type="dxa"/>
            <w:tcBorders>
              <w:top w:val="nil"/>
              <w:left w:val="single" w:sz="4" w:space="0" w:color="auto"/>
              <w:bottom w:val="nil"/>
              <w:right w:val="single" w:sz="4" w:space="0" w:color="auto"/>
            </w:tcBorders>
            <w:vAlign w:val="bottom"/>
          </w:tcPr>
          <w:p w14:paraId="30404CDA" w14:textId="77777777" w:rsidR="00726C45" w:rsidRPr="00BD6DBC" w:rsidRDefault="00726C45" w:rsidP="00A37677">
            <w:pPr>
              <w:spacing w:before="0" w:line="240" w:lineRule="auto"/>
              <w:jc w:val="right"/>
              <w:rPr>
                <w:rFonts w:cs="Segoe UI"/>
                <w:sz w:val="16"/>
                <w:szCs w:val="16"/>
              </w:rPr>
            </w:pPr>
            <w:r>
              <w:rPr>
                <w:rFonts w:cs="Segoe UI"/>
                <w:sz w:val="16"/>
                <w:szCs w:val="16"/>
              </w:rPr>
              <w:t>-0.48*</w:t>
            </w:r>
          </w:p>
        </w:tc>
        <w:tc>
          <w:tcPr>
            <w:tcW w:w="709" w:type="dxa"/>
            <w:tcBorders>
              <w:top w:val="nil"/>
              <w:left w:val="single" w:sz="4" w:space="0" w:color="auto"/>
              <w:bottom w:val="nil"/>
              <w:right w:val="single" w:sz="4" w:space="0" w:color="auto"/>
            </w:tcBorders>
          </w:tcPr>
          <w:p w14:paraId="2DD1217C" w14:textId="77777777" w:rsidR="00726C45" w:rsidRPr="00BD6DBC" w:rsidRDefault="00726C45" w:rsidP="00A37677">
            <w:pPr>
              <w:spacing w:before="0" w:line="240" w:lineRule="auto"/>
              <w:jc w:val="right"/>
              <w:rPr>
                <w:rFonts w:cs="Segoe UI"/>
                <w:sz w:val="16"/>
                <w:szCs w:val="16"/>
              </w:rPr>
            </w:pPr>
            <w:r>
              <w:rPr>
                <w:rFonts w:cs="Segoe UI"/>
                <w:sz w:val="16"/>
                <w:szCs w:val="16"/>
              </w:rPr>
              <w:t>-0.44*</w:t>
            </w:r>
          </w:p>
        </w:tc>
        <w:tc>
          <w:tcPr>
            <w:tcW w:w="992" w:type="dxa"/>
            <w:tcBorders>
              <w:top w:val="nil"/>
              <w:left w:val="single" w:sz="4" w:space="0" w:color="auto"/>
              <w:bottom w:val="nil"/>
              <w:right w:val="single" w:sz="4" w:space="0" w:color="auto"/>
            </w:tcBorders>
          </w:tcPr>
          <w:p w14:paraId="4AFE672A" w14:textId="77777777" w:rsidR="00726C45" w:rsidRPr="00BD6DBC" w:rsidRDefault="00726C45" w:rsidP="00A37677">
            <w:pPr>
              <w:spacing w:before="0" w:line="240" w:lineRule="auto"/>
              <w:jc w:val="right"/>
              <w:rPr>
                <w:rFonts w:cs="Segoe UI"/>
                <w:sz w:val="16"/>
                <w:szCs w:val="16"/>
              </w:rPr>
            </w:pPr>
            <w:r>
              <w:rPr>
                <w:rFonts w:cs="Segoe UI"/>
                <w:sz w:val="16"/>
                <w:szCs w:val="16"/>
              </w:rPr>
              <w:t>-0.78*</w:t>
            </w:r>
          </w:p>
        </w:tc>
        <w:tc>
          <w:tcPr>
            <w:tcW w:w="993" w:type="dxa"/>
            <w:tcBorders>
              <w:top w:val="nil"/>
              <w:left w:val="single" w:sz="4" w:space="0" w:color="auto"/>
              <w:bottom w:val="nil"/>
              <w:right w:val="single" w:sz="4" w:space="0" w:color="auto"/>
            </w:tcBorders>
          </w:tcPr>
          <w:p w14:paraId="1CC89D49" w14:textId="77777777" w:rsidR="00726C45" w:rsidRPr="00F37A41" w:rsidRDefault="00726C45" w:rsidP="00A37677">
            <w:pPr>
              <w:spacing w:before="0" w:line="240" w:lineRule="auto"/>
              <w:jc w:val="right"/>
              <w:rPr>
                <w:rFonts w:cs="Segoe UI"/>
                <w:sz w:val="16"/>
                <w:szCs w:val="16"/>
              </w:rPr>
            </w:pPr>
            <w:r>
              <w:rPr>
                <w:rFonts w:cs="Segoe UI"/>
                <w:sz w:val="16"/>
                <w:szCs w:val="16"/>
              </w:rPr>
              <w:t>-0.95*</w:t>
            </w:r>
          </w:p>
        </w:tc>
        <w:tc>
          <w:tcPr>
            <w:tcW w:w="850" w:type="dxa"/>
            <w:tcBorders>
              <w:top w:val="nil"/>
              <w:left w:val="single" w:sz="4" w:space="0" w:color="auto"/>
              <w:bottom w:val="nil"/>
              <w:right w:val="single" w:sz="4" w:space="0" w:color="auto"/>
            </w:tcBorders>
          </w:tcPr>
          <w:p w14:paraId="5746C9FE" w14:textId="77777777" w:rsidR="00726C45" w:rsidRPr="00F37A41" w:rsidRDefault="00726C45" w:rsidP="00A37677">
            <w:pPr>
              <w:spacing w:before="0" w:line="240" w:lineRule="auto"/>
              <w:jc w:val="right"/>
              <w:rPr>
                <w:rFonts w:cs="Segoe UI"/>
                <w:sz w:val="16"/>
                <w:szCs w:val="16"/>
              </w:rPr>
            </w:pPr>
            <w:r>
              <w:rPr>
                <w:rFonts w:cs="Segoe UI"/>
                <w:sz w:val="16"/>
                <w:szCs w:val="16"/>
              </w:rPr>
              <w:t>-0.58*</w:t>
            </w:r>
          </w:p>
        </w:tc>
        <w:tc>
          <w:tcPr>
            <w:tcW w:w="709" w:type="dxa"/>
            <w:tcBorders>
              <w:top w:val="nil"/>
              <w:left w:val="single" w:sz="4" w:space="0" w:color="auto"/>
              <w:bottom w:val="nil"/>
              <w:right w:val="single" w:sz="4" w:space="0" w:color="auto"/>
            </w:tcBorders>
          </w:tcPr>
          <w:p w14:paraId="51BFF242" w14:textId="77777777" w:rsidR="00726C45" w:rsidRPr="00F37A41" w:rsidRDefault="00726C45" w:rsidP="00A37677">
            <w:pPr>
              <w:spacing w:before="0" w:line="240" w:lineRule="auto"/>
              <w:jc w:val="right"/>
              <w:rPr>
                <w:rFonts w:cs="Segoe UI"/>
                <w:sz w:val="16"/>
                <w:szCs w:val="16"/>
              </w:rPr>
            </w:pPr>
            <w:r>
              <w:rPr>
                <w:rFonts w:cs="Segoe UI"/>
                <w:sz w:val="16"/>
                <w:szCs w:val="16"/>
              </w:rPr>
              <w:t>-0.48*</w:t>
            </w:r>
          </w:p>
        </w:tc>
        <w:tc>
          <w:tcPr>
            <w:tcW w:w="709" w:type="dxa"/>
            <w:tcBorders>
              <w:top w:val="nil"/>
              <w:left w:val="single" w:sz="4" w:space="0" w:color="auto"/>
              <w:bottom w:val="nil"/>
              <w:right w:val="single" w:sz="4" w:space="0" w:color="auto"/>
            </w:tcBorders>
          </w:tcPr>
          <w:p w14:paraId="4BBDB7C6" w14:textId="77777777" w:rsidR="00726C45" w:rsidRDefault="00726C45" w:rsidP="00A37677">
            <w:pPr>
              <w:spacing w:before="0" w:line="240" w:lineRule="auto"/>
              <w:jc w:val="right"/>
              <w:rPr>
                <w:rFonts w:cs="Segoe UI"/>
                <w:sz w:val="16"/>
                <w:szCs w:val="16"/>
              </w:rPr>
            </w:pPr>
            <w:r>
              <w:rPr>
                <w:rFonts w:cs="Segoe UI"/>
                <w:sz w:val="16"/>
                <w:szCs w:val="16"/>
              </w:rPr>
              <w:t>-0.77*</w:t>
            </w:r>
          </w:p>
        </w:tc>
        <w:tc>
          <w:tcPr>
            <w:tcW w:w="854" w:type="dxa"/>
            <w:tcBorders>
              <w:top w:val="nil"/>
              <w:left w:val="single" w:sz="4" w:space="0" w:color="auto"/>
              <w:bottom w:val="nil"/>
              <w:right w:val="single" w:sz="4" w:space="0" w:color="auto"/>
            </w:tcBorders>
          </w:tcPr>
          <w:p w14:paraId="4840130D" w14:textId="77777777" w:rsidR="00726C45" w:rsidRDefault="00726C45" w:rsidP="00A37677">
            <w:pPr>
              <w:spacing w:before="0" w:line="240" w:lineRule="auto"/>
              <w:jc w:val="right"/>
              <w:rPr>
                <w:rFonts w:cs="Segoe UI"/>
                <w:sz w:val="16"/>
                <w:szCs w:val="16"/>
              </w:rPr>
            </w:pPr>
            <w:r>
              <w:rPr>
                <w:rFonts w:cs="Segoe UI"/>
                <w:sz w:val="16"/>
                <w:szCs w:val="16"/>
              </w:rPr>
              <w:t>-0.33*</w:t>
            </w:r>
          </w:p>
        </w:tc>
      </w:tr>
      <w:tr w:rsidR="00726C45" w:rsidRPr="00BD6DBC" w14:paraId="7B2E9625" w14:textId="77777777" w:rsidTr="00A37677">
        <w:tc>
          <w:tcPr>
            <w:tcW w:w="1418" w:type="dxa"/>
            <w:tcBorders>
              <w:top w:val="nil"/>
              <w:left w:val="single" w:sz="4" w:space="0" w:color="auto"/>
              <w:bottom w:val="nil"/>
              <w:right w:val="single" w:sz="4" w:space="0" w:color="auto"/>
            </w:tcBorders>
            <w:vAlign w:val="bottom"/>
          </w:tcPr>
          <w:p w14:paraId="57BE85DF" w14:textId="77777777" w:rsidR="00726C45" w:rsidRPr="00123881" w:rsidRDefault="00726C45" w:rsidP="00A37677">
            <w:pPr>
              <w:spacing w:before="0" w:line="240" w:lineRule="auto"/>
              <w:rPr>
                <w:rFonts w:eastAsia="Times New Roman" w:cs="Segoe UI"/>
                <w:i/>
                <w:sz w:val="16"/>
                <w:szCs w:val="16"/>
              </w:rPr>
            </w:pPr>
            <w:r w:rsidRPr="00123881">
              <w:rPr>
                <w:rFonts w:eastAsia="Times New Roman" w:cs="Segoe UI"/>
                <w:i/>
                <w:sz w:val="16"/>
                <w:szCs w:val="16"/>
              </w:rPr>
              <w:t>Education</w:t>
            </w:r>
            <w:r>
              <w:rPr>
                <w:rFonts w:eastAsia="Times New Roman" w:cs="Segoe UI"/>
                <w:i/>
                <w:sz w:val="16"/>
                <w:szCs w:val="16"/>
              </w:rPr>
              <w:t xml:space="preserve"> (ref:Lower)</w:t>
            </w:r>
          </w:p>
        </w:tc>
        <w:tc>
          <w:tcPr>
            <w:tcW w:w="709" w:type="dxa"/>
            <w:tcBorders>
              <w:top w:val="nil"/>
              <w:left w:val="single" w:sz="4" w:space="0" w:color="auto"/>
              <w:bottom w:val="nil"/>
              <w:right w:val="single" w:sz="4" w:space="0" w:color="auto"/>
            </w:tcBorders>
          </w:tcPr>
          <w:p w14:paraId="432298EC" w14:textId="77777777" w:rsidR="00726C45" w:rsidRPr="00BD6DBC" w:rsidRDefault="00726C45" w:rsidP="00A37677">
            <w:pPr>
              <w:spacing w:before="0" w:line="240" w:lineRule="auto"/>
              <w:jc w:val="right"/>
              <w:rPr>
                <w:rFonts w:cs="Segoe UI"/>
                <w:sz w:val="16"/>
                <w:szCs w:val="16"/>
              </w:rPr>
            </w:pPr>
          </w:p>
        </w:tc>
        <w:tc>
          <w:tcPr>
            <w:tcW w:w="708" w:type="dxa"/>
            <w:tcBorders>
              <w:top w:val="nil"/>
              <w:left w:val="single" w:sz="4" w:space="0" w:color="auto"/>
              <w:bottom w:val="nil"/>
              <w:right w:val="single" w:sz="4" w:space="0" w:color="auto"/>
            </w:tcBorders>
          </w:tcPr>
          <w:p w14:paraId="21517891" w14:textId="77777777" w:rsidR="00726C45" w:rsidRPr="00BD6DBC" w:rsidRDefault="00726C45" w:rsidP="00A37677">
            <w:pPr>
              <w:spacing w:before="0" w:line="240" w:lineRule="auto"/>
              <w:jc w:val="right"/>
              <w:rPr>
                <w:rFonts w:cs="Segoe UI"/>
                <w:sz w:val="16"/>
                <w:szCs w:val="16"/>
              </w:rPr>
            </w:pPr>
          </w:p>
        </w:tc>
        <w:tc>
          <w:tcPr>
            <w:tcW w:w="993" w:type="dxa"/>
            <w:tcBorders>
              <w:top w:val="nil"/>
              <w:left w:val="single" w:sz="4" w:space="0" w:color="auto"/>
              <w:bottom w:val="nil"/>
              <w:right w:val="single" w:sz="4" w:space="0" w:color="auto"/>
            </w:tcBorders>
          </w:tcPr>
          <w:p w14:paraId="4D8B1C8E" w14:textId="77777777" w:rsidR="00726C45" w:rsidRPr="00BD6DBC" w:rsidRDefault="00726C45" w:rsidP="00A37677">
            <w:pPr>
              <w:spacing w:before="0" w:line="240" w:lineRule="auto"/>
              <w:jc w:val="right"/>
              <w:rPr>
                <w:rFonts w:cs="Segoe UI"/>
                <w:sz w:val="16"/>
                <w:szCs w:val="16"/>
              </w:rPr>
            </w:pPr>
          </w:p>
        </w:tc>
        <w:tc>
          <w:tcPr>
            <w:tcW w:w="703" w:type="dxa"/>
            <w:tcBorders>
              <w:top w:val="nil"/>
              <w:left w:val="single" w:sz="4" w:space="0" w:color="auto"/>
              <w:bottom w:val="nil"/>
              <w:right w:val="single" w:sz="4" w:space="0" w:color="auto"/>
            </w:tcBorders>
            <w:vAlign w:val="bottom"/>
          </w:tcPr>
          <w:p w14:paraId="6CD3512B" w14:textId="77777777" w:rsidR="00726C45" w:rsidRPr="00BD6DBC"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01DDD9CF" w14:textId="77777777" w:rsidR="00726C45" w:rsidRPr="00BD6DBC" w:rsidRDefault="00726C45" w:rsidP="00A37677">
            <w:pPr>
              <w:spacing w:before="0" w:line="240" w:lineRule="auto"/>
              <w:jc w:val="right"/>
              <w:rPr>
                <w:rFonts w:cs="Segoe UI"/>
                <w:sz w:val="16"/>
                <w:szCs w:val="16"/>
              </w:rPr>
            </w:pPr>
          </w:p>
        </w:tc>
        <w:tc>
          <w:tcPr>
            <w:tcW w:w="992" w:type="dxa"/>
            <w:tcBorders>
              <w:top w:val="nil"/>
              <w:left w:val="single" w:sz="4" w:space="0" w:color="auto"/>
              <w:bottom w:val="nil"/>
              <w:right w:val="single" w:sz="4" w:space="0" w:color="auto"/>
            </w:tcBorders>
          </w:tcPr>
          <w:p w14:paraId="36F97EFD" w14:textId="77777777" w:rsidR="00726C45" w:rsidRPr="00BD6DBC" w:rsidRDefault="00726C45" w:rsidP="00A37677">
            <w:pPr>
              <w:spacing w:before="0" w:line="240" w:lineRule="auto"/>
              <w:jc w:val="right"/>
              <w:rPr>
                <w:rFonts w:cs="Segoe UI"/>
                <w:sz w:val="16"/>
                <w:szCs w:val="16"/>
              </w:rPr>
            </w:pPr>
          </w:p>
        </w:tc>
        <w:tc>
          <w:tcPr>
            <w:tcW w:w="993" w:type="dxa"/>
            <w:tcBorders>
              <w:top w:val="nil"/>
              <w:left w:val="single" w:sz="4" w:space="0" w:color="auto"/>
              <w:bottom w:val="nil"/>
              <w:right w:val="single" w:sz="4" w:space="0" w:color="auto"/>
            </w:tcBorders>
          </w:tcPr>
          <w:p w14:paraId="1C8990DF" w14:textId="77777777" w:rsidR="00726C45" w:rsidRPr="00F37A41" w:rsidRDefault="00726C45" w:rsidP="00A37677">
            <w:pPr>
              <w:spacing w:before="0" w:line="240" w:lineRule="auto"/>
              <w:jc w:val="right"/>
              <w:rPr>
                <w:rFonts w:cs="Segoe UI"/>
                <w:sz w:val="16"/>
                <w:szCs w:val="16"/>
              </w:rPr>
            </w:pPr>
          </w:p>
        </w:tc>
        <w:tc>
          <w:tcPr>
            <w:tcW w:w="850" w:type="dxa"/>
            <w:tcBorders>
              <w:top w:val="nil"/>
              <w:left w:val="single" w:sz="4" w:space="0" w:color="auto"/>
              <w:bottom w:val="nil"/>
              <w:right w:val="single" w:sz="4" w:space="0" w:color="auto"/>
            </w:tcBorders>
          </w:tcPr>
          <w:p w14:paraId="64878723" w14:textId="77777777" w:rsidR="00726C45" w:rsidRPr="00F37A41"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3E583889" w14:textId="77777777" w:rsidR="00726C45" w:rsidRPr="00F37A41"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597DAC0C" w14:textId="77777777" w:rsidR="00726C45" w:rsidRDefault="00726C45" w:rsidP="00A37677">
            <w:pPr>
              <w:spacing w:before="0" w:line="240" w:lineRule="auto"/>
              <w:jc w:val="right"/>
              <w:rPr>
                <w:rFonts w:cs="Segoe UI"/>
                <w:sz w:val="16"/>
                <w:szCs w:val="16"/>
              </w:rPr>
            </w:pPr>
          </w:p>
        </w:tc>
        <w:tc>
          <w:tcPr>
            <w:tcW w:w="854" w:type="dxa"/>
            <w:tcBorders>
              <w:top w:val="nil"/>
              <w:left w:val="single" w:sz="4" w:space="0" w:color="auto"/>
              <w:bottom w:val="nil"/>
              <w:right w:val="single" w:sz="4" w:space="0" w:color="auto"/>
            </w:tcBorders>
          </w:tcPr>
          <w:p w14:paraId="453E1EC0" w14:textId="77777777" w:rsidR="00726C45" w:rsidRDefault="00726C45" w:rsidP="00A37677">
            <w:pPr>
              <w:spacing w:before="0" w:line="240" w:lineRule="auto"/>
              <w:jc w:val="right"/>
              <w:rPr>
                <w:rFonts w:cs="Segoe UI"/>
                <w:sz w:val="16"/>
                <w:szCs w:val="16"/>
              </w:rPr>
            </w:pPr>
          </w:p>
        </w:tc>
      </w:tr>
      <w:tr w:rsidR="00726C45" w:rsidRPr="00BD6DBC" w14:paraId="412BF823" w14:textId="77777777" w:rsidTr="00A37677">
        <w:tc>
          <w:tcPr>
            <w:tcW w:w="1418" w:type="dxa"/>
            <w:tcBorders>
              <w:top w:val="nil"/>
              <w:left w:val="single" w:sz="4" w:space="0" w:color="auto"/>
              <w:bottom w:val="nil"/>
              <w:right w:val="single" w:sz="4" w:space="0" w:color="auto"/>
            </w:tcBorders>
            <w:vAlign w:val="bottom"/>
          </w:tcPr>
          <w:p w14:paraId="454306F2"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 xml:space="preserve">  Middle</w:t>
            </w:r>
          </w:p>
        </w:tc>
        <w:tc>
          <w:tcPr>
            <w:tcW w:w="709" w:type="dxa"/>
            <w:tcBorders>
              <w:top w:val="nil"/>
              <w:left w:val="single" w:sz="4" w:space="0" w:color="auto"/>
              <w:bottom w:val="nil"/>
              <w:right w:val="single" w:sz="4" w:space="0" w:color="auto"/>
            </w:tcBorders>
          </w:tcPr>
          <w:p w14:paraId="376E5558" w14:textId="77777777" w:rsidR="00726C45" w:rsidRPr="00BD6DBC" w:rsidRDefault="00726C45" w:rsidP="00A37677">
            <w:pPr>
              <w:spacing w:before="0" w:line="240" w:lineRule="auto"/>
              <w:jc w:val="right"/>
              <w:rPr>
                <w:rFonts w:cs="Segoe UI"/>
                <w:sz w:val="16"/>
                <w:szCs w:val="16"/>
              </w:rPr>
            </w:pPr>
            <w:r>
              <w:rPr>
                <w:rFonts w:cs="Segoe UI"/>
                <w:sz w:val="16"/>
                <w:szCs w:val="16"/>
              </w:rPr>
              <w:t>-0.61*</w:t>
            </w:r>
          </w:p>
        </w:tc>
        <w:tc>
          <w:tcPr>
            <w:tcW w:w="708" w:type="dxa"/>
            <w:tcBorders>
              <w:top w:val="nil"/>
              <w:left w:val="single" w:sz="4" w:space="0" w:color="auto"/>
              <w:bottom w:val="nil"/>
              <w:right w:val="single" w:sz="4" w:space="0" w:color="auto"/>
            </w:tcBorders>
          </w:tcPr>
          <w:p w14:paraId="1ECCEC3C" w14:textId="77777777" w:rsidR="00726C45" w:rsidRPr="00BD6DBC" w:rsidRDefault="00726C45" w:rsidP="00A37677">
            <w:pPr>
              <w:spacing w:before="0" w:line="240" w:lineRule="auto"/>
              <w:jc w:val="right"/>
              <w:rPr>
                <w:rFonts w:cs="Segoe UI"/>
                <w:sz w:val="16"/>
                <w:szCs w:val="16"/>
              </w:rPr>
            </w:pPr>
            <w:r>
              <w:rPr>
                <w:rFonts w:cs="Segoe UI"/>
                <w:sz w:val="16"/>
                <w:szCs w:val="16"/>
              </w:rPr>
              <w:t>-0.86*</w:t>
            </w:r>
          </w:p>
        </w:tc>
        <w:tc>
          <w:tcPr>
            <w:tcW w:w="993" w:type="dxa"/>
            <w:tcBorders>
              <w:top w:val="nil"/>
              <w:left w:val="single" w:sz="4" w:space="0" w:color="auto"/>
              <w:bottom w:val="nil"/>
              <w:right w:val="single" w:sz="4" w:space="0" w:color="auto"/>
            </w:tcBorders>
          </w:tcPr>
          <w:p w14:paraId="368F766A" w14:textId="77777777" w:rsidR="00726C45" w:rsidRPr="00BD6DBC" w:rsidRDefault="00726C45" w:rsidP="00A37677">
            <w:pPr>
              <w:spacing w:before="0" w:line="240" w:lineRule="auto"/>
              <w:jc w:val="right"/>
              <w:rPr>
                <w:rFonts w:cs="Segoe UI"/>
                <w:sz w:val="16"/>
                <w:szCs w:val="16"/>
              </w:rPr>
            </w:pPr>
            <w:r>
              <w:rPr>
                <w:rFonts w:cs="Segoe UI"/>
                <w:sz w:val="16"/>
                <w:szCs w:val="16"/>
              </w:rPr>
              <w:t>-1.00*</w:t>
            </w:r>
          </w:p>
        </w:tc>
        <w:tc>
          <w:tcPr>
            <w:tcW w:w="703" w:type="dxa"/>
            <w:tcBorders>
              <w:top w:val="nil"/>
              <w:left w:val="single" w:sz="4" w:space="0" w:color="auto"/>
              <w:bottom w:val="nil"/>
              <w:right w:val="single" w:sz="4" w:space="0" w:color="auto"/>
            </w:tcBorders>
            <w:vAlign w:val="bottom"/>
          </w:tcPr>
          <w:p w14:paraId="38BE9853" w14:textId="77777777" w:rsidR="00726C45" w:rsidRPr="00BD6DBC" w:rsidRDefault="00726C45" w:rsidP="00A37677">
            <w:pPr>
              <w:spacing w:before="0" w:line="240" w:lineRule="auto"/>
              <w:jc w:val="right"/>
              <w:rPr>
                <w:rFonts w:cs="Segoe UI"/>
                <w:sz w:val="16"/>
                <w:szCs w:val="16"/>
              </w:rPr>
            </w:pPr>
            <w:r>
              <w:rPr>
                <w:rFonts w:cs="Segoe UI"/>
                <w:sz w:val="16"/>
                <w:szCs w:val="16"/>
              </w:rPr>
              <w:t>-1.11*</w:t>
            </w:r>
          </w:p>
        </w:tc>
        <w:tc>
          <w:tcPr>
            <w:tcW w:w="709" w:type="dxa"/>
            <w:tcBorders>
              <w:top w:val="nil"/>
              <w:left w:val="single" w:sz="4" w:space="0" w:color="auto"/>
              <w:bottom w:val="nil"/>
              <w:right w:val="single" w:sz="4" w:space="0" w:color="auto"/>
            </w:tcBorders>
          </w:tcPr>
          <w:p w14:paraId="02E67D80" w14:textId="77777777" w:rsidR="00726C45" w:rsidRPr="00BD6DBC" w:rsidRDefault="00726C45" w:rsidP="00A37677">
            <w:pPr>
              <w:spacing w:before="0" w:line="240" w:lineRule="auto"/>
              <w:jc w:val="right"/>
              <w:rPr>
                <w:rFonts w:cs="Segoe UI"/>
                <w:sz w:val="16"/>
                <w:szCs w:val="16"/>
              </w:rPr>
            </w:pPr>
            <w:r>
              <w:rPr>
                <w:rFonts w:cs="Segoe UI"/>
                <w:sz w:val="16"/>
                <w:szCs w:val="16"/>
              </w:rPr>
              <w:t>-0.83*</w:t>
            </w:r>
          </w:p>
        </w:tc>
        <w:tc>
          <w:tcPr>
            <w:tcW w:w="992" w:type="dxa"/>
            <w:tcBorders>
              <w:top w:val="nil"/>
              <w:left w:val="single" w:sz="4" w:space="0" w:color="auto"/>
              <w:bottom w:val="nil"/>
              <w:right w:val="single" w:sz="4" w:space="0" w:color="auto"/>
            </w:tcBorders>
          </w:tcPr>
          <w:p w14:paraId="5F6946B4" w14:textId="77777777" w:rsidR="00726C45" w:rsidRPr="00BD6DBC" w:rsidRDefault="00726C45" w:rsidP="00A37677">
            <w:pPr>
              <w:spacing w:before="0" w:line="240" w:lineRule="auto"/>
              <w:jc w:val="right"/>
              <w:rPr>
                <w:rFonts w:cs="Segoe UI"/>
                <w:sz w:val="16"/>
                <w:szCs w:val="16"/>
              </w:rPr>
            </w:pPr>
            <w:r>
              <w:rPr>
                <w:rFonts w:cs="Segoe UI"/>
                <w:sz w:val="16"/>
                <w:szCs w:val="16"/>
              </w:rPr>
              <w:t>-1.38*</w:t>
            </w:r>
          </w:p>
        </w:tc>
        <w:tc>
          <w:tcPr>
            <w:tcW w:w="993" w:type="dxa"/>
            <w:tcBorders>
              <w:top w:val="nil"/>
              <w:left w:val="single" w:sz="4" w:space="0" w:color="auto"/>
              <w:bottom w:val="nil"/>
              <w:right w:val="single" w:sz="4" w:space="0" w:color="auto"/>
            </w:tcBorders>
          </w:tcPr>
          <w:p w14:paraId="64CA51DD" w14:textId="77777777" w:rsidR="00726C45" w:rsidRPr="00F37A41" w:rsidRDefault="00726C45" w:rsidP="00A37677">
            <w:pPr>
              <w:spacing w:before="0" w:line="240" w:lineRule="auto"/>
              <w:jc w:val="right"/>
              <w:rPr>
                <w:rFonts w:cs="Segoe UI"/>
                <w:sz w:val="16"/>
                <w:szCs w:val="16"/>
              </w:rPr>
            </w:pPr>
            <w:r>
              <w:rPr>
                <w:rFonts w:cs="Segoe UI"/>
                <w:sz w:val="16"/>
                <w:szCs w:val="16"/>
              </w:rPr>
              <w:t>-0.99*</w:t>
            </w:r>
          </w:p>
        </w:tc>
        <w:tc>
          <w:tcPr>
            <w:tcW w:w="850" w:type="dxa"/>
            <w:tcBorders>
              <w:top w:val="nil"/>
              <w:left w:val="single" w:sz="4" w:space="0" w:color="auto"/>
              <w:bottom w:val="nil"/>
              <w:right w:val="single" w:sz="4" w:space="0" w:color="auto"/>
            </w:tcBorders>
          </w:tcPr>
          <w:p w14:paraId="40B38066" w14:textId="77777777" w:rsidR="00726C45" w:rsidRPr="00F37A41" w:rsidRDefault="00726C45" w:rsidP="00A37677">
            <w:pPr>
              <w:spacing w:before="0" w:line="240" w:lineRule="auto"/>
              <w:jc w:val="right"/>
              <w:rPr>
                <w:rFonts w:cs="Segoe UI"/>
                <w:sz w:val="16"/>
                <w:szCs w:val="16"/>
              </w:rPr>
            </w:pPr>
            <w:r>
              <w:rPr>
                <w:rFonts w:cs="Segoe UI"/>
                <w:sz w:val="16"/>
                <w:szCs w:val="16"/>
              </w:rPr>
              <w:t>-1.21*</w:t>
            </w:r>
          </w:p>
        </w:tc>
        <w:tc>
          <w:tcPr>
            <w:tcW w:w="709" w:type="dxa"/>
            <w:tcBorders>
              <w:top w:val="nil"/>
              <w:left w:val="single" w:sz="4" w:space="0" w:color="auto"/>
              <w:bottom w:val="nil"/>
              <w:right w:val="single" w:sz="4" w:space="0" w:color="auto"/>
            </w:tcBorders>
          </w:tcPr>
          <w:p w14:paraId="41519F39" w14:textId="77777777" w:rsidR="00726C45" w:rsidRPr="00F37A41" w:rsidRDefault="00726C45" w:rsidP="00A37677">
            <w:pPr>
              <w:spacing w:before="0" w:line="240" w:lineRule="auto"/>
              <w:jc w:val="right"/>
              <w:rPr>
                <w:rFonts w:cs="Segoe UI"/>
                <w:sz w:val="16"/>
                <w:szCs w:val="16"/>
              </w:rPr>
            </w:pPr>
            <w:r>
              <w:rPr>
                <w:rFonts w:cs="Segoe UI"/>
                <w:sz w:val="16"/>
                <w:szCs w:val="16"/>
              </w:rPr>
              <w:t>-0.17*</w:t>
            </w:r>
          </w:p>
        </w:tc>
        <w:tc>
          <w:tcPr>
            <w:tcW w:w="709" w:type="dxa"/>
            <w:tcBorders>
              <w:top w:val="nil"/>
              <w:left w:val="single" w:sz="4" w:space="0" w:color="auto"/>
              <w:bottom w:val="nil"/>
              <w:right w:val="single" w:sz="4" w:space="0" w:color="auto"/>
            </w:tcBorders>
          </w:tcPr>
          <w:p w14:paraId="73562333" w14:textId="77777777" w:rsidR="00726C45" w:rsidRDefault="00726C45" w:rsidP="00A37677">
            <w:pPr>
              <w:spacing w:before="0" w:line="240" w:lineRule="auto"/>
              <w:jc w:val="right"/>
              <w:rPr>
                <w:rFonts w:cs="Segoe UI"/>
                <w:sz w:val="16"/>
                <w:szCs w:val="16"/>
              </w:rPr>
            </w:pPr>
            <w:r>
              <w:rPr>
                <w:rFonts w:cs="Segoe UI"/>
                <w:sz w:val="16"/>
                <w:szCs w:val="16"/>
              </w:rPr>
              <w:t>-1.01*</w:t>
            </w:r>
          </w:p>
        </w:tc>
        <w:tc>
          <w:tcPr>
            <w:tcW w:w="854" w:type="dxa"/>
            <w:tcBorders>
              <w:top w:val="nil"/>
              <w:left w:val="single" w:sz="4" w:space="0" w:color="auto"/>
              <w:bottom w:val="nil"/>
              <w:right w:val="single" w:sz="4" w:space="0" w:color="auto"/>
            </w:tcBorders>
          </w:tcPr>
          <w:p w14:paraId="4A913F08" w14:textId="77777777" w:rsidR="00726C45" w:rsidRDefault="00726C45" w:rsidP="00A37677">
            <w:pPr>
              <w:spacing w:before="0" w:line="240" w:lineRule="auto"/>
              <w:jc w:val="right"/>
              <w:rPr>
                <w:rFonts w:cs="Segoe UI"/>
                <w:sz w:val="16"/>
                <w:szCs w:val="16"/>
              </w:rPr>
            </w:pPr>
            <w:r>
              <w:rPr>
                <w:rFonts w:cs="Segoe UI"/>
                <w:sz w:val="16"/>
                <w:szCs w:val="16"/>
              </w:rPr>
              <w:t>-1.01*</w:t>
            </w:r>
          </w:p>
        </w:tc>
      </w:tr>
      <w:tr w:rsidR="00726C45" w:rsidRPr="00BD6DBC" w14:paraId="2F70BCEA" w14:textId="77777777" w:rsidTr="00A37677">
        <w:tc>
          <w:tcPr>
            <w:tcW w:w="1418" w:type="dxa"/>
            <w:tcBorders>
              <w:top w:val="nil"/>
              <w:left w:val="single" w:sz="4" w:space="0" w:color="auto"/>
              <w:bottom w:val="nil"/>
              <w:right w:val="single" w:sz="4" w:space="0" w:color="auto"/>
            </w:tcBorders>
            <w:vAlign w:val="bottom"/>
          </w:tcPr>
          <w:p w14:paraId="4EDB3593"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 xml:space="preserve">  Higher</w:t>
            </w:r>
          </w:p>
        </w:tc>
        <w:tc>
          <w:tcPr>
            <w:tcW w:w="709" w:type="dxa"/>
            <w:tcBorders>
              <w:top w:val="nil"/>
              <w:left w:val="single" w:sz="4" w:space="0" w:color="auto"/>
              <w:bottom w:val="nil"/>
              <w:right w:val="single" w:sz="4" w:space="0" w:color="auto"/>
            </w:tcBorders>
          </w:tcPr>
          <w:p w14:paraId="4AA32098" w14:textId="77777777" w:rsidR="00726C45" w:rsidRPr="00BD6DBC" w:rsidRDefault="00726C45" w:rsidP="00A37677">
            <w:pPr>
              <w:spacing w:before="0" w:line="240" w:lineRule="auto"/>
              <w:jc w:val="right"/>
              <w:rPr>
                <w:rFonts w:cs="Segoe UI"/>
                <w:sz w:val="16"/>
                <w:szCs w:val="16"/>
              </w:rPr>
            </w:pPr>
            <w:r>
              <w:rPr>
                <w:rFonts w:cs="Segoe UI"/>
                <w:sz w:val="16"/>
                <w:szCs w:val="16"/>
              </w:rPr>
              <w:t>-1.18*</w:t>
            </w:r>
          </w:p>
        </w:tc>
        <w:tc>
          <w:tcPr>
            <w:tcW w:w="708" w:type="dxa"/>
            <w:tcBorders>
              <w:top w:val="nil"/>
              <w:left w:val="single" w:sz="4" w:space="0" w:color="auto"/>
              <w:bottom w:val="nil"/>
              <w:right w:val="single" w:sz="4" w:space="0" w:color="auto"/>
            </w:tcBorders>
          </w:tcPr>
          <w:p w14:paraId="6F26390A" w14:textId="77777777" w:rsidR="00726C45" w:rsidRPr="00BD6DBC" w:rsidRDefault="00726C45" w:rsidP="00A37677">
            <w:pPr>
              <w:spacing w:before="0" w:line="240" w:lineRule="auto"/>
              <w:jc w:val="right"/>
              <w:rPr>
                <w:rFonts w:cs="Segoe UI"/>
                <w:sz w:val="16"/>
                <w:szCs w:val="16"/>
              </w:rPr>
            </w:pPr>
            <w:r>
              <w:rPr>
                <w:rFonts w:cs="Segoe UI"/>
                <w:sz w:val="16"/>
                <w:szCs w:val="16"/>
              </w:rPr>
              <w:t>-1.33*</w:t>
            </w:r>
          </w:p>
        </w:tc>
        <w:tc>
          <w:tcPr>
            <w:tcW w:w="993" w:type="dxa"/>
            <w:tcBorders>
              <w:top w:val="nil"/>
              <w:left w:val="single" w:sz="4" w:space="0" w:color="auto"/>
              <w:bottom w:val="nil"/>
              <w:right w:val="single" w:sz="4" w:space="0" w:color="auto"/>
            </w:tcBorders>
          </w:tcPr>
          <w:p w14:paraId="28671BF6" w14:textId="77777777" w:rsidR="00726C45" w:rsidRPr="00BD6DBC" w:rsidRDefault="00726C45" w:rsidP="00A37677">
            <w:pPr>
              <w:spacing w:before="0" w:line="240" w:lineRule="auto"/>
              <w:jc w:val="right"/>
              <w:rPr>
                <w:rFonts w:cs="Segoe UI"/>
                <w:sz w:val="16"/>
                <w:szCs w:val="16"/>
              </w:rPr>
            </w:pPr>
            <w:r>
              <w:rPr>
                <w:rFonts w:cs="Segoe UI"/>
                <w:sz w:val="16"/>
                <w:szCs w:val="16"/>
              </w:rPr>
              <w:t>-1.39*</w:t>
            </w:r>
          </w:p>
        </w:tc>
        <w:tc>
          <w:tcPr>
            <w:tcW w:w="703" w:type="dxa"/>
            <w:tcBorders>
              <w:top w:val="nil"/>
              <w:left w:val="single" w:sz="4" w:space="0" w:color="auto"/>
              <w:bottom w:val="nil"/>
              <w:right w:val="single" w:sz="4" w:space="0" w:color="auto"/>
            </w:tcBorders>
            <w:vAlign w:val="bottom"/>
          </w:tcPr>
          <w:p w14:paraId="16A8726E" w14:textId="77777777" w:rsidR="00726C45" w:rsidRPr="00BD6DBC" w:rsidRDefault="00726C45" w:rsidP="00A37677">
            <w:pPr>
              <w:spacing w:before="0" w:line="240" w:lineRule="auto"/>
              <w:jc w:val="right"/>
              <w:rPr>
                <w:rFonts w:cs="Segoe UI"/>
                <w:sz w:val="16"/>
                <w:szCs w:val="16"/>
              </w:rPr>
            </w:pPr>
            <w:r>
              <w:rPr>
                <w:rFonts w:cs="Segoe UI"/>
                <w:sz w:val="16"/>
                <w:szCs w:val="16"/>
              </w:rPr>
              <w:t>-1.36*</w:t>
            </w:r>
          </w:p>
        </w:tc>
        <w:tc>
          <w:tcPr>
            <w:tcW w:w="709" w:type="dxa"/>
            <w:tcBorders>
              <w:top w:val="nil"/>
              <w:left w:val="single" w:sz="4" w:space="0" w:color="auto"/>
              <w:bottom w:val="nil"/>
              <w:right w:val="single" w:sz="4" w:space="0" w:color="auto"/>
            </w:tcBorders>
          </w:tcPr>
          <w:p w14:paraId="573A9311" w14:textId="77777777" w:rsidR="00726C45" w:rsidRPr="00BD6DBC" w:rsidRDefault="00726C45" w:rsidP="00A37677">
            <w:pPr>
              <w:spacing w:before="0" w:line="240" w:lineRule="auto"/>
              <w:jc w:val="right"/>
              <w:rPr>
                <w:rFonts w:cs="Segoe UI"/>
                <w:sz w:val="16"/>
                <w:szCs w:val="16"/>
              </w:rPr>
            </w:pPr>
            <w:r>
              <w:rPr>
                <w:rFonts w:cs="Segoe UI"/>
                <w:sz w:val="16"/>
                <w:szCs w:val="16"/>
              </w:rPr>
              <w:t>-1.40*</w:t>
            </w:r>
          </w:p>
        </w:tc>
        <w:tc>
          <w:tcPr>
            <w:tcW w:w="992" w:type="dxa"/>
            <w:tcBorders>
              <w:top w:val="nil"/>
              <w:left w:val="single" w:sz="4" w:space="0" w:color="auto"/>
              <w:bottom w:val="nil"/>
              <w:right w:val="single" w:sz="4" w:space="0" w:color="auto"/>
            </w:tcBorders>
          </w:tcPr>
          <w:p w14:paraId="7D28DA59" w14:textId="77777777" w:rsidR="00726C45" w:rsidRPr="00BD6DBC" w:rsidRDefault="00726C45" w:rsidP="00A37677">
            <w:pPr>
              <w:spacing w:before="0" w:line="240" w:lineRule="auto"/>
              <w:jc w:val="right"/>
              <w:rPr>
                <w:rFonts w:cs="Segoe UI"/>
                <w:sz w:val="16"/>
                <w:szCs w:val="16"/>
              </w:rPr>
            </w:pPr>
            <w:r>
              <w:rPr>
                <w:rFonts w:cs="Segoe UI"/>
                <w:sz w:val="16"/>
                <w:szCs w:val="16"/>
              </w:rPr>
              <w:t>-2.22*</w:t>
            </w:r>
          </w:p>
        </w:tc>
        <w:tc>
          <w:tcPr>
            <w:tcW w:w="993" w:type="dxa"/>
            <w:tcBorders>
              <w:top w:val="nil"/>
              <w:left w:val="single" w:sz="4" w:space="0" w:color="auto"/>
              <w:bottom w:val="nil"/>
              <w:right w:val="single" w:sz="4" w:space="0" w:color="auto"/>
            </w:tcBorders>
          </w:tcPr>
          <w:p w14:paraId="234D8D1B" w14:textId="77777777" w:rsidR="00726C45" w:rsidRPr="00F37A41" w:rsidRDefault="00726C45" w:rsidP="00A37677">
            <w:pPr>
              <w:spacing w:before="0" w:line="240" w:lineRule="auto"/>
              <w:jc w:val="right"/>
              <w:rPr>
                <w:rFonts w:cs="Segoe UI"/>
                <w:sz w:val="16"/>
                <w:szCs w:val="16"/>
              </w:rPr>
            </w:pPr>
            <w:r>
              <w:rPr>
                <w:rFonts w:cs="Segoe UI"/>
                <w:sz w:val="16"/>
                <w:szCs w:val="16"/>
              </w:rPr>
              <w:t>-1.18*</w:t>
            </w:r>
          </w:p>
        </w:tc>
        <w:tc>
          <w:tcPr>
            <w:tcW w:w="850" w:type="dxa"/>
            <w:tcBorders>
              <w:top w:val="nil"/>
              <w:left w:val="single" w:sz="4" w:space="0" w:color="auto"/>
              <w:bottom w:val="nil"/>
              <w:right w:val="single" w:sz="4" w:space="0" w:color="auto"/>
            </w:tcBorders>
          </w:tcPr>
          <w:p w14:paraId="712B198D" w14:textId="77777777" w:rsidR="00726C45" w:rsidRPr="00F37A41" w:rsidRDefault="00726C45" w:rsidP="00A37677">
            <w:pPr>
              <w:spacing w:before="0" w:line="240" w:lineRule="auto"/>
              <w:jc w:val="right"/>
              <w:rPr>
                <w:rFonts w:cs="Segoe UI"/>
                <w:sz w:val="16"/>
                <w:szCs w:val="16"/>
              </w:rPr>
            </w:pPr>
            <w:r>
              <w:rPr>
                <w:rFonts w:cs="Segoe UI"/>
                <w:sz w:val="16"/>
                <w:szCs w:val="16"/>
              </w:rPr>
              <w:t>-0.60</w:t>
            </w:r>
          </w:p>
        </w:tc>
        <w:tc>
          <w:tcPr>
            <w:tcW w:w="709" w:type="dxa"/>
            <w:tcBorders>
              <w:top w:val="nil"/>
              <w:left w:val="single" w:sz="4" w:space="0" w:color="auto"/>
              <w:bottom w:val="nil"/>
              <w:right w:val="single" w:sz="4" w:space="0" w:color="auto"/>
            </w:tcBorders>
          </w:tcPr>
          <w:p w14:paraId="1D8020C6" w14:textId="77777777" w:rsidR="00726C45" w:rsidRPr="00F37A41" w:rsidRDefault="00726C45" w:rsidP="00A37677">
            <w:pPr>
              <w:spacing w:before="0" w:line="240" w:lineRule="auto"/>
              <w:jc w:val="right"/>
              <w:rPr>
                <w:rFonts w:cs="Segoe UI"/>
                <w:sz w:val="16"/>
                <w:szCs w:val="16"/>
              </w:rPr>
            </w:pPr>
            <w:r>
              <w:rPr>
                <w:rFonts w:cs="Segoe UI"/>
                <w:sz w:val="16"/>
                <w:szCs w:val="16"/>
              </w:rPr>
              <w:t>-1.21*</w:t>
            </w:r>
          </w:p>
        </w:tc>
        <w:tc>
          <w:tcPr>
            <w:tcW w:w="709" w:type="dxa"/>
            <w:tcBorders>
              <w:top w:val="nil"/>
              <w:left w:val="single" w:sz="4" w:space="0" w:color="auto"/>
              <w:bottom w:val="nil"/>
              <w:right w:val="single" w:sz="4" w:space="0" w:color="auto"/>
            </w:tcBorders>
          </w:tcPr>
          <w:p w14:paraId="57760ACB" w14:textId="77777777" w:rsidR="00726C45" w:rsidRDefault="00726C45" w:rsidP="00A37677">
            <w:pPr>
              <w:spacing w:before="0" w:line="240" w:lineRule="auto"/>
              <w:jc w:val="right"/>
              <w:rPr>
                <w:rFonts w:cs="Segoe UI"/>
                <w:sz w:val="16"/>
                <w:szCs w:val="16"/>
              </w:rPr>
            </w:pPr>
            <w:r>
              <w:rPr>
                <w:rFonts w:cs="Segoe UI"/>
                <w:sz w:val="16"/>
                <w:szCs w:val="16"/>
              </w:rPr>
              <w:t>-1.12</w:t>
            </w:r>
          </w:p>
        </w:tc>
        <w:tc>
          <w:tcPr>
            <w:tcW w:w="854" w:type="dxa"/>
            <w:tcBorders>
              <w:top w:val="nil"/>
              <w:left w:val="single" w:sz="4" w:space="0" w:color="auto"/>
              <w:bottom w:val="nil"/>
              <w:right w:val="single" w:sz="4" w:space="0" w:color="auto"/>
            </w:tcBorders>
          </w:tcPr>
          <w:p w14:paraId="6688F6CB" w14:textId="77777777" w:rsidR="00726C45" w:rsidRDefault="00726C45" w:rsidP="00A37677">
            <w:pPr>
              <w:spacing w:before="0" w:line="240" w:lineRule="auto"/>
              <w:jc w:val="right"/>
              <w:rPr>
                <w:rFonts w:cs="Segoe UI"/>
                <w:sz w:val="16"/>
                <w:szCs w:val="16"/>
              </w:rPr>
            </w:pPr>
            <w:r>
              <w:rPr>
                <w:rFonts w:cs="Segoe UI"/>
                <w:sz w:val="16"/>
                <w:szCs w:val="16"/>
              </w:rPr>
              <w:t>-1.58*</w:t>
            </w:r>
          </w:p>
        </w:tc>
      </w:tr>
      <w:tr w:rsidR="00726C45" w:rsidRPr="00BD6DBC" w14:paraId="7AFB20E7" w14:textId="77777777" w:rsidTr="00A37677">
        <w:tc>
          <w:tcPr>
            <w:tcW w:w="1418" w:type="dxa"/>
            <w:tcBorders>
              <w:top w:val="nil"/>
              <w:left w:val="single" w:sz="4" w:space="0" w:color="auto"/>
              <w:bottom w:val="nil"/>
              <w:right w:val="single" w:sz="4" w:space="0" w:color="auto"/>
            </w:tcBorders>
            <w:vAlign w:val="bottom"/>
          </w:tcPr>
          <w:p w14:paraId="130C1774" w14:textId="77777777" w:rsidR="00726C45" w:rsidRDefault="00726C45" w:rsidP="00A37677">
            <w:pPr>
              <w:spacing w:before="0" w:line="240" w:lineRule="auto"/>
              <w:rPr>
                <w:rFonts w:eastAsia="Times New Roman" w:cs="Segoe UI"/>
                <w:sz w:val="16"/>
                <w:szCs w:val="16"/>
              </w:rPr>
            </w:pPr>
          </w:p>
          <w:p w14:paraId="51EC8AB1" w14:textId="77777777" w:rsidR="00726C45" w:rsidRPr="000F389F" w:rsidRDefault="00726C45" w:rsidP="00A37677">
            <w:pPr>
              <w:spacing w:before="0" w:line="240" w:lineRule="auto"/>
              <w:rPr>
                <w:rFonts w:eastAsia="Times New Roman" w:cs="Segoe UI"/>
                <w:sz w:val="16"/>
                <w:szCs w:val="16"/>
                <w:vertAlign w:val="superscript"/>
              </w:rPr>
            </w:pPr>
            <w:r>
              <w:rPr>
                <w:rFonts w:eastAsia="Times New Roman" w:cs="Segoe UI"/>
                <w:sz w:val="16"/>
                <w:szCs w:val="16"/>
              </w:rPr>
              <w:t>Pseudo-R</w:t>
            </w:r>
            <w:r>
              <w:rPr>
                <w:rFonts w:eastAsia="Times New Roman" w:cs="Segoe UI"/>
                <w:sz w:val="16"/>
                <w:szCs w:val="16"/>
                <w:vertAlign w:val="superscript"/>
              </w:rPr>
              <w:t>2</w:t>
            </w:r>
          </w:p>
        </w:tc>
        <w:tc>
          <w:tcPr>
            <w:tcW w:w="709" w:type="dxa"/>
            <w:tcBorders>
              <w:top w:val="nil"/>
              <w:left w:val="single" w:sz="4" w:space="0" w:color="auto"/>
              <w:bottom w:val="nil"/>
              <w:right w:val="single" w:sz="4" w:space="0" w:color="auto"/>
            </w:tcBorders>
          </w:tcPr>
          <w:p w14:paraId="7A918210" w14:textId="77777777" w:rsidR="00726C45" w:rsidRDefault="00726C45" w:rsidP="00A37677">
            <w:pPr>
              <w:spacing w:before="0" w:line="240" w:lineRule="auto"/>
              <w:jc w:val="right"/>
              <w:rPr>
                <w:rFonts w:cs="Segoe UI"/>
                <w:sz w:val="16"/>
                <w:szCs w:val="16"/>
              </w:rPr>
            </w:pPr>
          </w:p>
          <w:p w14:paraId="3B3790E1" w14:textId="77777777" w:rsidR="00726C45" w:rsidRPr="00BD6DBC" w:rsidRDefault="00726C45" w:rsidP="00A37677">
            <w:pPr>
              <w:spacing w:before="0" w:line="240" w:lineRule="auto"/>
              <w:jc w:val="right"/>
              <w:rPr>
                <w:rFonts w:cs="Segoe UI"/>
                <w:sz w:val="16"/>
                <w:szCs w:val="16"/>
              </w:rPr>
            </w:pPr>
            <w:r>
              <w:rPr>
                <w:rFonts w:cs="Segoe UI"/>
                <w:sz w:val="16"/>
                <w:szCs w:val="16"/>
              </w:rPr>
              <w:t>0.04</w:t>
            </w:r>
          </w:p>
        </w:tc>
        <w:tc>
          <w:tcPr>
            <w:tcW w:w="708" w:type="dxa"/>
            <w:tcBorders>
              <w:top w:val="nil"/>
              <w:left w:val="single" w:sz="4" w:space="0" w:color="auto"/>
              <w:bottom w:val="nil"/>
              <w:right w:val="single" w:sz="4" w:space="0" w:color="auto"/>
            </w:tcBorders>
          </w:tcPr>
          <w:p w14:paraId="5DBDE552" w14:textId="77777777" w:rsidR="00726C45" w:rsidRDefault="00726C45" w:rsidP="00A37677">
            <w:pPr>
              <w:spacing w:before="0" w:line="240" w:lineRule="auto"/>
              <w:jc w:val="right"/>
              <w:rPr>
                <w:rFonts w:cs="Segoe UI"/>
                <w:sz w:val="16"/>
                <w:szCs w:val="16"/>
              </w:rPr>
            </w:pPr>
          </w:p>
          <w:p w14:paraId="591375F8" w14:textId="77777777" w:rsidR="00726C45" w:rsidRPr="00BD6DBC" w:rsidRDefault="00726C45" w:rsidP="00A37677">
            <w:pPr>
              <w:spacing w:before="0" w:line="240" w:lineRule="auto"/>
              <w:jc w:val="right"/>
              <w:rPr>
                <w:rFonts w:cs="Segoe UI"/>
                <w:sz w:val="16"/>
                <w:szCs w:val="16"/>
              </w:rPr>
            </w:pPr>
            <w:r>
              <w:rPr>
                <w:rFonts w:cs="Segoe UI"/>
                <w:sz w:val="16"/>
                <w:szCs w:val="16"/>
              </w:rPr>
              <w:t>0.04</w:t>
            </w:r>
          </w:p>
        </w:tc>
        <w:tc>
          <w:tcPr>
            <w:tcW w:w="993" w:type="dxa"/>
            <w:tcBorders>
              <w:top w:val="nil"/>
              <w:left w:val="single" w:sz="4" w:space="0" w:color="auto"/>
              <w:bottom w:val="nil"/>
              <w:right w:val="single" w:sz="4" w:space="0" w:color="auto"/>
            </w:tcBorders>
          </w:tcPr>
          <w:p w14:paraId="5AA19C9C" w14:textId="77777777" w:rsidR="00726C45" w:rsidRDefault="00726C45" w:rsidP="00A37677">
            <w:pPr>
              <w:spacing w:before="0" w:line="240" w:lineRule="auto"/>
              <w:jc w:val="right"/>
              <w:rPr>
                <w:rFonts w:cs="Segoe UI"/>
                <w:sz w:val="16"/>
                <w:szCs w:val="16"/>
              </w:rPr>
            </w:pPr>
          </w:p>
          <w:p w14:paraId="0501EDA2" w14:textId="77777777" w:rsidR="00726C45" w:rsidRPr="00BD6DBC" w:rsidRDefault="00726C45" w:rsidP="00A37677">
            <w:pPr>
              <w:spacing w:before="0" w:line="240" w:lineRule="auto"/>
              <w:jc w:val="right"/>
              <w:rPr>
                <w:rFonts w:cs="Segoe UI"/>
                <w:sz w:val="16"/>
                <w:szCs w:val="16"/>
              </w:rPr>
            </w:pPr>
            <w:r>
              <w:rPr>
                <w:rFonts w:cs="Segoe UI"/>
                <w:sz w:val="16"/>
                <w:szCs w:val="16"/>
              </w:rPr>
              <w:t>0.06</w:t>
            </w:r>
          </w:p>
        </w:tc>
        <w:tc>
          <w:tcPr>
            <w:tcW w:w="703" w:type="dxa"/>
            <w:tcBorders>
              <w:top w:val="nil"/>
              <w:left w:val="single" w:sz="4" w:space="0" w:color="auto"/>
              <w:bottom w:val="nil"/>
              <w:right w:val="single" w:sz="4" w:space="0" w:color="auto"/>
            </w:tcBorders>
            <w:vAlign w:val="bottom"/>
          </w:tcPr>
          <w:p w14:paraId="360614FA" w14:textId="77777777" w:rsidR="00726C45" w:rsidRPr="00BD6DBC" w:rsidRDefault="00726C45" w:rsidP="00A37677">
            <w:pPr>
              <w:spacing w:before="0" w:line="240" w:lineRule="auto"/>
              <w:jc w:val="right"/>
              <w:rPr>
                <w:rFonts w:cs="Segoe UI"/>
                <w:sz w:val="16"/>
                <w:szCs w:val="16"/>
              </w:rPr>
            </w:pPr>
            <w:r>
              <w:rPr>
                <w:rFonts w:cs="Segoe UI"/>
                <w:sz w:val="16"/>
                <w:szCs w:val="16"/>
              </w:rPr>
              <w:t>0.07</w:t>
            </w:r>
          </w:p>
        </w:tc>
        <w:tc>
          <w:tcPr>
            <w:tcW w:w="709" w:type="dxa"/>
            <w:tcBorders>
              <w:top w:val="nil"/>
              <w:left w:val="single" w:sz="4" w:space="0" w:color="auto"/>
              <w:bottom w:val="nil"/>
              <w:right w:val="single" w:sz="4" w:space="0" w:color="auto"/>
            </w:tcBorders>
          </w:tcPr>
          <w:p w14:paraId="225F8C58" w14:textId="77777777" w:rsidR="00726C45" w:rsidRDefault="00726C45" w:rsidP="00A37677">
            <w:pPr>
              <w:spacing w:before="0" w:line="240" w:lineRule="auto"/>
              <w:jc w:val="right"/>
              <w:rPr>
                <w:rFonts w:cs="Segoe UI"/>
                <w:sz w:val="16"/>
                <w:szCs w:val="16"/>
              </w:rPr>
            </w:pPr>
          </w:p>
          <w:p w14:paraId="4697D76C" w14:textId="77777777" w:rsidR="00726C45" w:rsidRPr="00BD6DBC" w:rsidRDefault="00726C45" w:rsidP="00A37677">
            <w:pPr>
              <w:spacing w:before="0" w:line="240" w:lineRule="auto"/>
              <w:jc w:val="right"/>
              <w:rPr>
                <w:rFonts w:cs="Segoe UI"/>
                <w:sz w:val="16"/>
                <w:szCs w:val="16"/>
              </w:rPr>
            </w:pPr>
            <w:r>
              <w:rPr>
                <w:rFonts w:cs="Segoe UI"/>
                <w:sz w:val="16"/>
                <w:szCs w:val="16"/>
              </w:rPr>
              <w:t>0.06</w:t>
            </w:r>
          </w:p>
        </w:tc>
        <w:tc>
          <w:tcPr>
            <w:tcW w:w="992" w:type="dxa"/>
            <w:tcBorders>
              <w:top w:val="nil"/>
              <w:left w:val="single" w:sz="4" w:space="0" w:color="auto"/>
              <w:bottom w:val="nil"/>
              <w:right w:val="single" w:sz="4" w:space="0" w:color="auto"/>
            </w:tcBorders>
          </w:tcPr>
          <w:p w14:paraId="4A3020B4" w14:textId="77777777" w:rsidR="00726C45" w:rsidRDefault="00726C45" w:rsidP="00A37677">
            <w:pPr>
              <w:spacing w:before="0" w:line="240" w:lineRule="auto"/>
              <w:jc w:val="right"/>
              <w:rPr>
                <w:rFonts w:cs="Segoe UI"/>
                <w:sz w:val="16"/>
                <w:szCs w:val="16"/>
              </w:rPr>
            </w:pPr>
          </w:p>
          <w:p w14:paraId="33636465" w14:textId="77777777" w:rsidR="00726C45" w:rsidRPr="00BD6DBC" w:rsidRDefault="00726C45" w:rsidP="00A37677">
            <w:pPr>
              <w:spacing w:before="0" w:line="240" w:lineRule="auto"/>
              <w:jc w:val="right"/>
              <w:rPr>
                <w:rFonts w:cs="Segoe UI"/>
                <w:sz w:val="16"/>
                <w:szCs w:val="16"/>
              </w:rPr>
            </w:pPr>
            <w:r>
              <w:rPr>
                <w:rFonts w:cs="Segoe UI"/>
                <w:sz w:val="16"/>
                <w:szCs w:val="16"/>
              </w:rPr>
              <w:t>0.07</w:t>
            </w:r>
          </w:p>
        </w:tc>
        <w:tc>
          <w:tcPr>
            <w:tcW w:w="993" w:type="dxa"/>
            <w:tcBorders>
              <w:top w:val="nil"/>
              <w:left w:val="single" w:sz="4" w:space="0" w:color="auto"/>
              <w:bottom w:val="nil"/>
              <w:right w:val="single" w:sz="4" w:space="0" w:color="auto"/>
            </w:tcBorders>
          </w:tcPr>
          <w:p w14:paraId="070F49B7" w14:textId="77777777" w:rsidR="00726C45" w:rsidRDefault="00726C45" w:rsidP="00A37677">
            <w:pPr>
              <w:spacing w:before="0" w:line="240" w:lineRule="auto"/>
              <w:jc w:val="right"/>
              <w:rPr>
                <w:rFonts w:cs="Segoe UI"/>
                <w:sz w:val="16"/>
                <w:szCs w:val="16"/>
              </w:rPr>
            </w:pPr>
          </w:p>
          <w:p w14:paraId="708BAED8" w14:textId="77777777" w:rsidR="00726C45" w:rsidRPr="00F37A41" w:rsidRDefault="00726C45" w:rsidP="00A37677">
            <w:pPr>
              <w:spacing w:before="0" w:line="240" w:lineRule="auto"/>
              <w:jc w:val="right"/>
              <w:rPr>
                <w:rFonts w:cs="Segoe UI"/>
                <w:sz w:val="16"/>
                <w:szCs w:val="16"/>
              </w:rPr>
            </w:pPr>
            <w:r>
              <w:rPr>
                <w:rFonts w:cs="Segoe UI"/>
                <w:sz w:val="16"/>
                <w:szCs w:val="16"/>
              </w:rPr>
              <w:t>0.07</w:t>
            </w:r>
          </w:p>
        </w:tc>
        <w:tc>
          <w:tcPr>
            <w:tcW w:w="850" w:type="dxa"/>
            <w:tcBorders>
              <w:top w:val="nil"/>
              <w:left w:val="single" w:sz="4" w:space="0" w:color="auto"/>
              <w:bottom w:val="nil"/>
              <w:right w:val="single" w:sz="4" w:space="0" w:color="auto"/>
            </w:tcBorders>
          </w:tcPr>
          <w:p w14:paraId="39BF8B9B" w14:textId="77777777" w:rsidR="00726C45" w:rsidRDefault="00726C45" w:rsidP="00A37677">
            <w:pPr>
              <w:spacing w:before="0" w:line="240" w:lineRule="auto"/>
              <w:jc w:val="right"/>
              <w:rPr>
                <w:rFonts w:cs="Segoe UI"/>
                <w:sz w:val="16"/>
                <w:szCs w:val="16"/>
              </w:rPr>
            </w:pPr>
          </w:p>
          <w:p w14:paraId="045B8BF5" w14:textId="77777777" w:rsidR="00726C45" w:rsidRPr="00F37A41" w:rsidRDefault="00726C45" w:rsidP="00A37677">
            <w:pPr>
              <w:spacing w:before="0" w:line="240" w:lineRule="auto"/>
              <w:jc w:val="right"/>
              <w:rPr>
                <w:rFonts w:cs="Segoe UI"/>
                <w:sz w:val="16"/>
                <w:szCs w:val="16"/>
              </w:rPr>
            </w:pPr>
            <w:r>
              <w:rPr>
                <w:rFonts w:cs="Segoe UI"/>
                <w:sz w:val="16"/>
                <w:szCs w:val="16"/>
              </w:rPr>
              <w:t>0.06</w:t>
            </w:r>
          </w:p>
        </w:tc>
        <w:tc>
          <w:tcPr>
            <w:tcW w:w="709" w:type="dxa"/>
            <w:tcBorders>
              <w:top w:val="nil"/>
              <w:left w:val="single" w:sz="4" w:space="0" w:color="auto"/>
              <w:bottom w:val="nil"/>
              <w:right w:val="single" w:sz="4" w:space="0" w:color="auto"/>
            </w:tcBorders>
          </w:tcPr>
          <w:p w14:paraId="4714F6E4" w14:textId="77777777" w:rsidR="00726C45" w:rsidRDefault="00726C45" w:rsidP="00A37677">
            <w:pPr>
              <w:spacing w:before="0" w:line="240" w:lineRule="auto"/>
              <w:jc w:val="center"/>
              <w:rPr>
                <w:rFonts w:cs="Segoe UI"/>
                <w:sz w:val="16"/>
                <w:szCs w:val="16"/>
              </w:rPr>
            </w:pPr>
          </w:p>
          <w:p w14:paraId="0A506E36" w14:textId="77777777" w:rsidR="00726C45" w:rsidRPr="00F37A41" w:rsidRDefault="00726C45" w:rsidP="00A37677">
            <w:pPr>
              <w:spacing w:before="0" w:line="240" w:lineRule="auto"/>
              <w:jc w:val="right"/>
              <w:rPr>
                <w:rFonts w:cs="Segoe UI"/>
                <w:sz w:val="16"/>
                <w:szCs w:val="16"/>
              </w:rPr>
            </w:pPr>
            <w:r>
              <w:rPr>
                <w:rFonts w:cs="Segoe UI"/>
                <w:sz w:val="16"/>
                <w:szCs w:val="16"/>
              </w:rPr>
              <w:t>0.07</w:t>
            </w:r>
          </w:p>
        </w:tc>
        <w:tc>
          <w:tcPr>
            <w:tcW w:w="709" w:type="dxa"/>
            <w:tcBorders>
              <w:top w:val="nil"/>
              <w:left w:val="single" w:sz="4" w:space="0" w:color="auto"/>
              <w:bottom w:val="nil"/>
              <w:right w:val="single" w:sz="4" w:space="0" w:color="auto"/>
            </w:tcBorders>
          </w:tcPr>
          <w:p w14:paraId="4AA0B7E0" w14:textId="77777777" w:rsidR="00726C45" w:rsidRDefault="00726C45" w:rsidP="00A37677">
            <w:pPr>
              <w:spacing w:before="0" w:line="240" w:lineRule="auto"/>
              <w:jc w:val="right"/>
              <w:rPr>
                <w:rFonts w:cs="Segoe UI"/>
                <w:sz w:val="16"/>
                <w:szCs w:val="16"/>
              </w:rPr>
            </w:pPr>
          </w:p>
          <w:p w14:paraId="12BAF74D" w14:textId="77777777" w:rsidR="00726C45" w:rsidRDefault="00726C45" w:rsidP="00A37677">
            <w:pPr>
              <w:spacing w:before="0" w:line="240" w:lineRule="auto"/>
              <w:jc w:val="right"/>
              <w:rPr>
                <w:rFonts w:cs="Segoe UI"/>
                <w:sz w:val="16"/>
                <w:szCs w:val="16"/>
              </w:rPr>
            </w:pPr>
            <w:r>
              <w:rPr>
                <w:rFonts w:cs="Segoe UI"/>
                <w:sz w:val="16"/>
                <w:szCs w:val="16"/>
              </w:rPr>
              <w:t>0.06</w:t>
            </w:r>
          </w:p>
        </w:tc>
        <w:tc>
          <w:tcPr>
            <w:tcW w:w="854" w:type="dxa"/>
            <w:tcBorders>
              <w:top w:val="nil"/>
              <w:left w:val="single" w:sz="4" w:space="0" w:color="auto"/>
              <w:bottom w:val="nil"/>
              <w:right w:val="single" w:sz="4" w:space="0" w:color="auto"/>
            </w:tcBorders>
          </w:tcPr>
          <w:p w14:paraId="29AE002B" w14:textId="77777777" w:rsidR="00726C45" w:rsidRDefault="00726C45" w:rsidP="00A37677">
            <w:pPr>
              <w:spacing w:before="0" w:line="240" w:lineRule="auto"/>
              <w:jc w:val="right"/>
              <w:rPr>
                <w:rFonts w:cs="Segoe UI"/>
                <w:sz w:val="16"/>
                <w:szCs w:val="16"/>
              </w:rPr>
            </w:pPr>
          </w:p>
          <w:p w14:paraId="13493822" w14:textId="77777777" w:rsidR="00726C45" w:rsidRDefault="00726C45" w:rsidP="00A37677">
            <w:pPr>
              <w:spacing w:before="0" w:line="240" w:lineRule="auto"/>
              <w:jc w:val="right"/>
              <w:rPr>
                <w:rFonts w:cs="Segoe UI"/>
                <w:sz w:val="16"/>
                <w:szCs w:val="16"/>
              </w:rPr>
            </w:pPr>
            <w:r>
              <w:rPr>
                <w:rFonts w:cs="Segoe UI"/>
                <w:sz w:val="16"/>
                <w:szCs w:val="16"/>
              </w:rPr>
              <w:t>0.07</w:t>
            </w:r>
          </w:p>
        </w:tc>
      </w:tr>
      <w:tr w:rsidR="00726C45" w:rsidRPr="00BD6DBC" w14:paraId="4B92C828" w14:textId="77777777" w:rsidTr="00A37677">
        <w:tc>
          <w:tcPr>
            <w:tcW w:w="1418" w:type="dxa"/>
            <w:tcBorders>
              <w:top w:val="nil"/>
              <w:left w:val="single" w:sz="4" w:space="0" w:color="auto"/>
              <w:bottom w:val="nil"/>
              <w:right w:val="single" w:sz="4" w:space="0" w:color="auto"/>
            </w:tcBorders>
            <w:vAlign w:val="bottom"/>
          </w:tcPr>
          <w:p w14:paraId="0F2A32BC" w14:textId="77777777" w:rsidR="00726C45" w:rsidRPr="00C55950" w:rsidRDefault="00726C45" w:rsidP="00A37677">
            <w:pPr>
              <w:spacing w:before="0" w:line="240" w:lineRule="auto"/>
              <w:rPr>
                <w:rFonts w:eastAsia="Times New Roman" w:cs="Segoe UI"/>
                <w:i/>
                <w:sz w:val="16"/>
                <w:szCs w:val="16"/>
              </w:rPr>
            </w:pPr>
            <w:r>
              <w:rPr>
                <w:rFonts w:eastAsia="Times New Roman" w:cs="Segoe UI"/>
                <w:i/>
                <w:sz w:val="16"/>
                <w:szCs w:val="16"/>
              </w:rPr>
              <w:t>n</w:t>
            </w:r>
          </w:p>
        </w:tc>
        <w:tc>
          <w:tcPr>
            <w:tcW w:w="709" w:type="dxa"/>
            <w:tcBorders>
              <w:top w:val="nil"/>
              <w:left w:val="single" w:sz="4" w:space="0" w:color="auto"/>
              <w:bottom w:val="nil"/>
              <w:right w:val="single" w:sz="4" w:space="0" w:color="auto"/>
            </w:tcBorders>
          </w:tcPr>
          <w:p w14:paraId="60E910AA"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708" w:type="dxa"/>
            <w:tcBorders>
              <w:top w:val="nil"/>
              <w:left w:val="single" w:sz="4" w:space="0" w:color="auto"/>
              <w:bottom w:val="nil"/>
              <w:right w:val="single" w:sz="4" w:space="0" w:color="auto"/>
            </w:tcBorders>
          </w:tcPr>
          <w:p w14:paraId="683136B4"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993" w:type="dxa"/>
            <w:tcBorders>
              <w:top w:val="nil"/>
              <w:left w:val="single" w:sz="4" w:space="0" w:color="auto"/>
              <w:bottom w:val="nil"/>
              <w:right w:val="single" w:sz="4" w:space="0" w:color="auto"/>
            </w:tcBorders>
          </w:tcPr>
          <w:p w14:paraId="430C7547"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703" w:type="dxa"/>
            <w:tcBorders>
              <w:top w:val="nil"/>
              <w:left w:val="single" w:sz="4" w:space="0" w:color="auto"/>
              <w:bottom w:val="nil"/>
              <w:right w:val="single" w:sz="4" w:space="0" w:color="auto"/>
            </w:tcBorders>
          </w:tcPr>
          <w:p w14:paraId="4FFBEF1F"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709" w:type="dxa"/>
            <w:tcBorders>
              <w:top w:val="nil"/>
              <w:left w:val="single" w:sz="4" w:space="0" w:color="auto"/>
              <w:bottom w:val="nil"/>
              <w:right w:val="single" w:sz="4" w:space="0" w:color="auto"/>
            </w:tcBorders>
          </w:tcPr>
          <w:p w14:paraId="0F11594C"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992" w:type="dxa"/>
            <w:tcBorders>
              <w:top w:val="nil"/>
              <w:left w:val="single" w:sz="4" w:space="0" w:color="auto"/>
              <w:bottom w:val="nil"/>
              <w:right w:val="single" w:sz="4" w:space="0" w:color="auto"/>
            </w:tcBorders>
          </w:tcPr>
          <w:p w14:paraId="279B74B4"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993" w:type="dxa"/>
            <w:tcBorders>
              <w:top w:val="nil"/>
              <w:left w:val="single" w:sz="4" w:space="0" w:color="auto"/>
              <w:bottom w:val="nil"/>
              <w:right w:val="single" w:sz="4" w:space="0" w:color="auto"/>
            </w:tcBorders>
          </w:tcPr>
          <w:p w14:paraId="11D8EACB"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850" w:type="dxa"/>
            <w:tcBorders>
              <w:top w:val="nil"/>
              <w:left w:val="single" w:sz="4" w:space="0" w:color="auto"/>
              <w:bottom w:val="nil"/>
              <w:right w:val="single" w:sz="4" w:space="0" w:color="auto"/>
            </w:tcBorders>
          </w:tcPr>
          <w:p w14:paraId="49B43993"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709" w:type="dxa"/>
            <w:tcBorders>
              <w:top w:val="nil"/>
              <w:left w:val="single" w:sz="4" w:space="0" w:color="auto"/>
              <w:bottom w:val="nil"/>
              <w:right w:val="single" w:sz="4" w:space="0" w:color="auto"/>
            </w:tcBorders>
          </w:tcPr>
          <w:p w14:paraId="22118F5A"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709" w:type="dxa"/>
            <w:tcBorders>
              <w:top w:val="nil"/>
              <w:left w:val="single" w:sz="4" w:space="0" w:color="auto"/>
              <w:bottom w:val="nil"/>
              <w:right w:val="single" w:sz="4" w:space="0" w:color="auto"/>
            </w:tcBorders>
          </w:tcPr>
          <w:p w14:paraId="16B52619"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c>
          <w:tcPr>
            <w:tcW w:w="854" w:type="dxa"/>
            <w:tcBorders>
              <w:top w:val="nil"/>
              <w:left w:val="single" w:sz="4" w:space="0" w:color="auto"/>
              <w:bottom w:val="nil"/>
              <w:right w:val="single" w:sz="4" w:space="0" w:color="auto"/>
            </w:tcBorders>
          </w:tcPr>
          <w:p w14:paraId="3E833B9D" w14:textId="77777777" w:rsidR="00726C45" w:rsidRPr="00BD6DBC" w:rsidRDefault="00726C45" w:rsidP="00A37677">
            <w:pPr>
              <w:spacing w:before="0" w:line="240" w:lineRule="auto"/>
              <w:jc w:val="right"/>
              <w:rPr>
                <w:rFonts w:cs="Segoe UI"/>
                <w:sz w:val="16"/>
                <w:szCs w:val="16"/>
              </w:rPr>
            </w:pPr>
            <w:r>
              <w:rPr>
                <w:rFonts w:cs="Segoe UI"/>
                <w:sz w:val="16"/>
                <w:szCs w:val="16"/>
              </w:rPr>
              <w:t>1,307</w:t>
            </w:r>
          </w:p>
        </w:tc>
      </w:tr>
      <w:tr w:rsidR="00726C45" w:rsidRPr="00BD6DBC" w14:paraId="0B2EB06E" w14:textId="77777777" w:rsidTr="00A37677">
        <w:tc>
          <w:tcPr>
            <w:tcW w:w="1418" w:type="dxa"/>
            <w:tcBorders>
              <w:top w:val="nil"/>
              <w:left w:val="single" w:sz="4" w:space="0" w:color="auto"/>
              <w:bottom w:val="single" w:sz="4" w:space="0" w:color="auto"/>
              <w:right w:val="single" w:sz="4" w:space="0" w:color="auto"/>
            </w:tcBorders>
            <w:vAlign w:val="bottom"/>
          </w:tcPr>
          <w:p w14:paraId="5915835E" w14:textId="77777777" w:rsidR="00726C45" w:rsidRPr="002437BF" w:rsidRDefault="00726C45" w:rsidP="00A37677">
            <w:pPr>
              <w:spacing w:before="0" w:line="240" w:lineRule="auto"/>
              <w:rPr>
                <w:rFonts w:eastAsia="Times New Roman"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295D8903" w14:textId="77777777" w:rsidR="00726C45" w:rsidRPr="002437BF" w:rsidRDefault="00726C45" w:rsidP="00A37677">
            <w:pPr>
              <w:spacing w:before="0" w:line="240" w:lineRule="auto"/>
              <w:jc w:val="right"/>
              <w:rPr>
                <w:rFonts w:cs="Segoe UI"/>
                <w:color w:val="FF0000"/>
                <w:sz w:val="16"/>
                <w:szCs w:val="16"/>
              </w:rPr>
            </w:pPr>
          </w:p>
        </w:tc>
        <w:tc>
          <w:tcPr>
            <w:tcW w:w="708" w:type="dxa"/>
            <w:tcBorders>
              <w:top w:val="nil"/>
              <w:left w:val="single" w:sz="4" w:space="0" w:color="auto"/>
              <w:bottom w:val="single" w:sz="4" w:space="0" w:color="auto"/>
              <w:right w:val="single" w:sz="4" w:space="0" w:color="auto"/>
            </w:tcBorders>
          </w:tcPr>
          <w:p w14:paraId="045E0618" w14:textId="77777777" w:rsidR="00726C45" w:rsidRPr="002437BF" w:rsidRDefault="00726C45" w:rsidP="00A37677">
            <w:pPr>
              <w:spacing w:before="0" w:line="240" w:lineRule="auto"/>
              <w:jc w:val="right"/>
              <w:rPr>
                <w:rFonts w:cs="Segoe UI"/>
                <w:color w:val="FF0000"/>
                <w:sz w:val="16"/>
                <w:szCs w:val="16"/>
              </w:rPr>
            </w:pPr>
          </w:p>
        </w:tc>
        <w:tc>
          <w:tcPr>
            <w:tcW w:w="993" w:type="dxa"/>
            <w:tcBorders>
              <w:top w:val="nil"/>
              <w:left w:val="single" w:sz="4" w:space="0" w:color="auto"/>
              <w:bottom w:val="single" w:sz="4" w:space="0" w:color="auto"/>
              <w:right w:val="single" w:sz="4" w:space="0" w:color="auto"/>
            </w:tcBorders>
          </w:tcPr>
          <w:p w14:paraId="261C7D91" w14:textId="77777777" w:rsidR="00726C45" w:rsidRPr="002437BF" w:rsidRDefault="00726C45" w:rsidP="00A37677">
            <w:pPr>
              <w:spacing w:before="0" w:line="240" w:lineRule="auto"/>
              <w:jc w:val="right"/>
              <w:rPr>
                <w:rFonts w:cs="Segoe UI"/>
                <w:color w:val="FF0000"/>
                <w:sz w:val="16"/>
                <w:szCs w:val="16"/>
              </w:rPr>
            </w:pPr>
          </w:p>
        </w:tc>
        <w:tc>
          <w:tcPr>
            <w:tcW w:w="703" w:type="dxa"/>
            <w:tcBorders>
              <w:top w:val="nil"/>
              <w:left w:val="single" w:sz="4" w:space="0" w:color="auto"/>
              <w:bottom w:val="single" w:sz="4" w:space="0" w:color="auto"/>
              <w:right w:val="single" w:sz="4" w:space="0" w:color="auto"/>
            </w:tcBorders>
            <w:vAlign w:val="bottom"/>
          </w:tcPr>
          <w:p w14:paraId="2E09FC05"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50160536" w14:textId="77777777" w:rsidR="00726C45" w:rsidRPr="002437BF" w:rsidRDefault="00726C45" w:rsidP="00A37677">
            <w:pPr>
              <w:spacing w:before="0" w:line="240" w:lineRule="auto"/>
              <w:jc w:val="right"/>
              <w:rPr>
                <w:rFonts w:cs="Segoe UI"/>
                <w:color w:val="FF0000"/>
                <w:sz w:val="16"/>
                <w:szCs w:val="16"/>
              </w:rPr>
            </w:pPr>
          </w:p>
        </w:tc>
        <w:tc>
          <w:tcPr>
            <w:tcW w:w="992" w:type="dxa"/>
            <w:tcBorders>
              <w:top w:val="nil"/>
              <w:left w:val="single" w:sz="4" w:space="0" w:color="auto"/>
              <w:bottom w:val="single" w:sz="4" w:space="0" w:color="auto"/>
              <w:right w:val="single" w:sz="4" w:space="0" w:color="auto"/>
            </w:tcBorders>
          </w:tcPr>
          <w:p w14:paraId="77D2C7B3" w14:textId="77777777" w:rsidR="00726C45" w:rsidRPr="002437BF" w:rsidRDefault="00726C45" w:rsidP="00A37677">
            <w:pPr>
              <w:spacing w:before="0" w:line="240" w:lineRule="auto"/>
              <w:jc w:val="right"/>
              <w:rPr>
                <w:rFonts w:cs="Segoe UI"/>
                <w:color w:val="FF0000"/>
                <w:sz w:val="16"/>
                <w:szCs w:val="16"/>
              </w:rPr>
            </w:pPr>
          </w:p>
        </w:tc>
        <w:tc>
          <w:tcPr>
            <w:tcW w:w="993" w:type="dxa"/>
            <w:tcBorders>
              <w:top w:val="nil"/>
              <w:left w:val="single" w:sz="4" w:space="0" w:color="auto"/>
              <w:bottom w:val="single" w:sz="4" w:space="0" w:color="auto"/>
              <w:right w:val="single" w:sz="4" w:space="0" w:color="auto"/>
            </w:tcBorders>
          </w:tcPr>
          <w:p w14:paraId="6C440B1F" w14:textId="77777777" w:rsidR="00726C45" w:rsidRPr="002437BF" w:rsidRDefault="00726C45" w:rsidP="00A37677">
            <w:pPr>
              <w:spacing w:before="0" w:line="240" w:lineRule="auto"/>
              <w:jc w:val="right"/>
              <w:rPr>
                <w:rFonts w:cs="Segoe UI"/>
                <w:color w:val="FF0000"/>
                <w:sz w:val="16"/>
                <w:szCs w:val="16"/>
              </w:rPr>
            </w:pPr>
          </w:p>
        </w:tc>
        <w:tc>
          <w:tcPr>
            <w:tcW w:w="850" w:type="dxa"/>
            <w:tcBorders>
              <w:top w:val="nil"/>
              <w:left w:val="single" w:sz="4" w:space="0" w:color="auto"/>
              <w:bottom w:val="single" w:sz="4" w:space="0" w:color="auto"/>
              <w:right w:val="single" w:sz="4" w:space="0" w:color="auto"/>
            </w:tcBorders>
          </w:tcPr>
          <w:p w14:paraId="096B9016"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7E835E26"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10BFE6EC" w14:textId="77777777" w:rsidR="00726C45" w:rsidRPr="002437BF" w:rsidRDefault="00726C45" w:rsidP="00A37677">
            <w:pPr>
              <w:spacing w:before="0" w:line="240" w:lineRule="auto"/>
              <w:jc w:val="right"/>
              <w:rPr>
                <w:rFonts w:cs="Segoe UI"/>
                <w:color w:val="FF0000"/>
                <w:sz w:val="16"/>
                <w:szCs w:val="16"/>
              </w:rPr>
            </w:pPr>
          </w:p>
        </w:tc>
        <w:tc>
          <w:tcPr>
            <w:tcW w:w="854" w:type="dxa"/>
            <w:tcBorders>
              <w:top w:val="nil"/>
              <w:left w:val="single" w:sz="4" w:space="0" w:color="auto"/>
              <w:bottom w:val="single" w:sz="4" w:space="0" w:color="auto"/>
              <w:right w:val="single" w:sz="4" w:space="0" w:color="auto"/>
            </w:tcBorders>
          </w:tcPr>
          <w:p w14:paraId="2D0A9CD0" w14:textId="77777777" w:rsidR="00726C45" w:rsidRPr="002437BF" w:rsidRDefault="00726C45" w:rsidP="00A37677">
            <w:pPr>
              <w:spacing w:before="0" w:line="240" w:lineRule="auto"/>
              <w:jc w:val="right"/>
              <w:rPr>
                <w:rFonts w:cs="Segoe UI"/>
                <w:color w:val="FF0000"/>
                <w:sz w:val="16"/>
                <w:szCs w:val="16"/>
              </w:rPr>
            </w:pPr>
          </w:p>
        </w:tc>
      </w:tr>
    </w:tbl>
    <w:p w14:paraId="19332FC6" w14:textId="77777777" w:rsidR="00726C45" w:rsidRDefault="00726C45" w:rsidP="00726C45"/>
    <w:p w14:paraId="5BBC812A" w14:textId="77777777" w:rsidR="00726C45" w:rsidRPr="0092616C" w:rsidRDefault="00726C45" w:rsidP="00726C45">
      <w:pPr>
        <w:rPr>
          <w:b/>
        </w:rPr>
      </w:pPr>
      <w:r>
        <w:rPr>
          <w:b/>
        </w:rPr>
        <w:t>Figure B4</w:t>
      </w:r>
      <w:r w:rsidRPr="0092616C">
        <w:rPr>
          <w:b/>
        </w:rPr>
        <w:t>: Likelihood of not answering question, or not included in the PCA - India</w:t>
      </w:r>
    </w:p>
    <w:tbl>
      <w:tblPr>
        <w:tblStyle w:val="TableGrid"/>
        <w:tblW w:w="10347" w:type="dxa"/>
        <w:tblLayout w:type="fixed"/>
        <w:tblLook w:val="04A0" w:firstRow="1" w:lastRow="0" w:firstColumn="1" w:lastColumn="0" w:noHBand="0" w:noVBand="1"/>
      </w:tblPr>
      <w:tblGrid>
        <w:gridCol w:w="1418"/>
        <w:gridCol w:w="709"/>
        <w:gridCol w:w="708"/>
        <w:gridCol w:w="993"/>
        <w:gridCol w:w="703"/>
        <w:gridCol w:w="709"/>
        <w:gridCol w:w="992"/>
        <w:gridCol w:w="993"/>
        <w:gridCol w:w="850"/>
        <w:gridCol w:w="709"/>
        <w:gridCol w:w="709"/>
        <w:gridCol w:w="854"/>
      </w:tblGrid>
      <w:tr w:rsidR="00726C45" w:rsidRPr="00BD6DBC" w14:paraId="0FAE6F94" w14:textId="77777777" w:rsidTr="00A37677">
        <w:trPr>
          <w:trHeight w:val="284"/>
        </w:trPr>
        <w:tc>
          <w:tcPr>
            <w:tcW w:w="1418" w:type="dxa"/>
            <w:tcBorders>
              <w:top w:val="single" w:sz="4" w:space="0" w:color="auto"/>
              <w:left w:val="single" w:sz="4" w:space="0" w:color="auto"/>
              <w:bottom w:val="single" w:sz="4" w:space="0" w:color="auto"/>
              <w:right w:val="single" w:sz="4" w:space="0" w:color="auto"/>
            </w:tcBorders>
            <w:vAlign w:val="bottom"/>
          </w:tcPr>
          <w:p w14:paraId="69B417F9" w14:textId="77777777" w:rsidR="00726C45" w:rsidRPr="00BD6DBC" w:rsidRDefault="00726C45" w:rsidP="00A37677">
            <w:pPr>
              <w:spacing w:before="0" w:line="240" w:lineRule="auto"/>
              <w:rPr>
                <w:rFonts w:eastAsia="Times New Roman" w:cs="Segoe UI"/>
                <w:b/>
                <w:bCs/>
                <w:sz w:val="16"/>
                <w:szCs w:val="16"/>
              </w:rPr>
            </w:pPr>
          </w:p>
        </w:tc>
        <w:tc>
          <w:tcPr>
            <w:tcW w:w="8929" w:type="dxa"/>
            <w:gridSpan w:val="11"/>
            <w:tcBorders>
              <w:top w:val="single" w:sz="4" w:space="0" w:color="auto"/>
              <w:left w:val="single" w:sz="4" w:space="0" w:color="auto"/>
              <w:bottom w:val="single" w:sz="4" w:space="0" w:color="auto"/>
              <w:right w:val="single" w:sz="4" w:space="0" w:color="auto"/>
            </w:tcBorders>
            <w:vAlign w:val="bottom"/>
          </w:tcPr>
          <w:p w14:paraId="3D08A4FE" w14:textId="77777777" w:rsidR="00726C45" w:rsidRDefault="00726C45" w:rsidP="00A37677">
            <w:pPr>
              <w:spacing w:before="0" w:line="240" w:lineRule="auto"/>
              <w:jc w:val="center"/>
              <w:rPr>
                <w:rFonts w:cs="Segoe UI"/>
                <w:b/>
                <w:bCs/>
                <w:sz w:val="16"/>
                <w:szCs w:val="16"/>
              </w:rPr>
            </w:pPr>
            <w:r>
              <w:rPr>
                <w:rFonts w:cs="Segoe UI"/>
                <w:b/>
                <w:bCs/>
                <w:sz w:val="16"/>
                <w:szCs w:val="16"/>
              </w:rPr>
              <w:t>Likelihood for not answering question or being included in full PCA [Coefficients * if significant at p&lt;0.05]</w:t>
            </w:r>
          </w:p>
        </w:tc>
      </w:tr>
      <w:tr w:rsidR="00726C45" w:rsidRPr="00BD6DBC" w14:paraId="189D530E" w14:textId="77777777" w:rsidTr="00A37677">
        <w:trPr>
          <w:trHeight w:val="284"/>
        </w:trPr>
        <w:tc>
          <w:tcPr>
            <w:tcW w:w="1418" w:type="dxa"/>
            <w:tcBorders>
              <w:top w:val="nil"/>
              <w:left w:val="single" w:sz="4" w:space="0" w:color="auto"/>
              <w:bottom w:val="single" w:sz="4" w:space="0" w:color="auto"/>
              <w:right w:val="single" w:sz="4" w:space="0" w:color="auto"/>
            </w:tcBorders>
            <w:vAlign w:val="bottom"/>
          </w:tcPr>
          <w:p w14:paraId="31FB494C" w14:textId="77777777" w:rsidR="00726C45" w:rsidRPr="00BD6DBC" w:rsidRDefault="00726C45" w:rsidP="00A37677">
            <w:pPr>
              <w:spacing w:before="0" w:line="240" w:lineRule="auto"/>
              <w:rPr>
                <w:rFonts w:eastAsia="Times New Roman" w:cs="Segoe UI"/>
                <w:b/>
                <w:bCs/>
                <w:sz w:val="16"/>
                <w:szCs w:val="16"/>
              </w:rPr>
            </w:pPr>
            <w:r>
              <w:rPr>
                <w:rFonts w:eastAsia="Times New Roman" w:cs="Segoe UI"/>
                <w:b/>
                <w:bCs/>
                <w:sz w:val="16"/>
                <w:szCs w:val="16"/>
              </w:rPr>
              <w:t>Variable</w:t>
            </w:r>
          </w:p>
        </w:tc>
        <w:tc>
          <w:tcPr>
            <w:tcW w:w="709" w:type="dxa"/>
            <w:tcBorders>
              <w:top w:val="nil"/>
              <w:left w:val="single" w:sz="4" w:space="0" w:color="auto"/>
              <w:bottom w:val="single" w:sz="4" w:space="0" w:color="auto"/>
              <w:right w:val="single" w:sz="4" w:space="0" w:color="auto"/>
            </w:tcBorders>
            <w:vAlign w:val="bottom"/>
          </w:tcPr>
          <w:p w14:paraId="1037BBDC" w14:textId="77777777" w:rsidR="00726C45" w:rsidRPr="00BD6DBC" w:rsidRDefault="00726C45" w:rsidP="00A37677">
            <w:pPr>
              <w:spacing w:before="0" w:line="240" w:lineRule="auto"/>
              <w:rPr>
                <w:rFonts w:cs="Segoe UI"/>
                <w:b/>
                <w:bCs/>
                <w:sz w:val="16"/>
                <w:szCs w:val="16"/>
              </w:rPr>
            </w:pPr>
            <w:r>
              <w:rPr>
                <w:rFonts w:cs="Segoe UI"/>
                <w:b/>
                <w:bCs/>
                <w:sz w:val="16"/>
                <w:szCs w:val="16"/>
              </w:rPr>
              <w:t>Tax</w:t>
            </w:r>
          </w:p>
        </w:tc>
        <w:tc>
          <w:tcPr>
            <w:tcW w:w="708" w:type="dxa"/>
            <w:tcBorders>
              <w:top w:val="nil"/>
              <w:left w:val="single" w:sz="4" w:space="0" w:color="auto"/>
              <w:bottom w:val="single" w:sz="4" w:space="0" w:color="auto"/>
              <w:right w:val="single" w:sz="4" w:space="0" w:color="auto"/>
            </w:tcBorders>
            <w:vAlign w:val="bottom"/>
          </w:tcPr>
          <w:p w14:paraId="452E92D4" w14:textId="77777777" w:rsidR="00726C45" w:rsidRPr="00BD6DBC" w:rsidRDefault="00726C45" w:rsidP="00A37677">
            <w:pPr>
              <w:spacing w:before="0" w:line="240" w:lineRule="auto"/>
              <w:rPr>
                <w:rFonts w:cs="Segoe UI"/>
                <w:b/>
                <w:bCs/>
                <w:sz w:val="16"/>
                <w:szCs w:val="16"/>
              </w:rPr>
            </w:pPr>
            <w:r>
              <w:rPr>
                <w:rFonts w:cs="Segoe UI"/>
                <w:b/>
                <w:bCs/>
                <w:sz w:val="16"/>
                <w:szCs w:val="16"/>
              </w:rPr>
              <w:t>Relig.</w:t>
            </w:r>
          </w:p>
        </w:tc>
        <w:tc>
          <w:tcPr>
            <w:tcW w:w="993" w:type="dxa"/>
            <w:tcBorders>
              <w:top w:val="nil"/>
              <w:left w:val="single" w:sz="4" w:space="0" w:color="auto"/>
              <w:bottom w:val="single" w:sz="4" w:space="0" w:color="auto"/>
              <w:right w:val="single" w:sz="4" w:space="0" w:color="auto"/>
            </w:tcBorders>
            <w:vAlign w:val="bottom"/>
          </w:tcPr>
          <w:p w14:paraId="26C3B9CA" w14:textId="77777777" w:rsidR="00726C45" w:rsidRPr="00BD6DBC" w:rsidRDefault="00726C45" w:rsidP="00A37677">
            <w:pPr>
              <w:spacing w:before="0" w:line="240" w:lineRule="auto"/>
              <w:rPr>
                <w:rFonts w:cs="Segoe UI"/>
                <w:b/>
                <w:bCs/>
                <w:sz w:val="16"/>
                <w:szCs w:val="16"/>
              </w:rPr>
            </w:pPr>
            <w:r>
              <w:rPr>
                <w:rFonts w:cs="Segoe UI"/>
                <w:b/>
                <w:bCs/>
                <w:sz w:val="16"/>
                <w:szCs w:val="16"/>
              </w:rPr>
              <w:t>Elections</w:t>
            </w:r>
          </w:p>
        </w:tc>
        <w:tc>
          <w:tcPr>
            <w:tcW w:w="703" w:type="dxa"/>
            <w:tcBorders>
              <w:top w:val="nil"/>
              <w:left w:val="single" w:sz="4" w:space="0" w:color="auto"/>
              <w:bottom w:val="single" w:sz="4" w:space="0" w:color="auto"/>
              <w:right w:val="single" w:sz="4" w:space="0" w:color="auto"/>
            </w:tcBorders>
            <w:vAlign w:val="bottom"/>
          </w:tcPr>
          <w:p w14:paraId="3DBB4E01" w14:textId="77777777" w:rsidR="00726C45" w:rsidRPr="00BD6DBC" w:rsidRDefault="00726C45" w:rsidP="00A37677">
            <w:pPr>
              <w:spacing w:before="0" w:line="240" w:lineRule="auto"/>
              <w:rPr>
                <w:rFonts w:cs="Segoe UI"/>
                <w:b/>
                <w:bCs/>
                <w:sz w:val="16"/>
                <w:szCs w:val="16"/>
              </w:rPr>
            </w:pPr>
            <w:r>
              <w:rPr>
                <w:rFonts w:cs="Segoe UI"/>
                <w:b/>
                <w:bCs/>
                <w:sz w:val="16"/>
                <w:szCs w:val="16"/>
              </w:rPr>
              <w:t>Aid</w:t>
            </w:r>
          </w:p>
        </w:tc>
        <w:tc>
          <w:tcPr>
            <w:tcW w:w="709" w:type="dxa"/>
            <w:tcBorders>
              <w:top w:val="nil"/>
              <w:left w:val="single" w:sz="4" w:space="0" w:color="auto"/>
              <w:bottom w:val="single" w:sz="4" w:space="0" w:color="auto"/>
              <w:right w:val="single" w:sz="4" w:space="0" w:color="auto"/>
            </w:tcBorders>
            <w:vAlign w:val="bottom"/>
          </w:tcPr>
          <w:p w14:paraId="55AC4B1D" w14:textId="77777777" w:rsidR="00726C45" w:rsidRPr="00BD6DBC" w:rsidRDefault="00726C45" w:rsidP="00A37677">
            <w:pPr>
              <w:spacing w:before="0" w:line="240" w:lineRule="auto"/>
              <w:rPr>
                <w:rFonts w:cs="Segoe UI"/>
                <w:b/>
                <w:bCs/>
                <w:sz w:val="16"/>
                <w:szCs w:val="16"/>
              </w:rPr>
            </w:pPr>
            <w:r>
              <w:rPr>
                <w:rFonts w:cs="Segoe UI"/>
                <w:b/>
                <w:bCs/>
                <w:sz w:val="16"/>
                <w:szCs w:val="16"/>
              </w:rPr>
              <w:t>Army</w:t>
            </w:r>
          </w:p>
        </w:tc>
        <w:tc>
          <w:tcPr>
            <w:tcW w:w="992" w:type="dxa"/>
            <w:tcBorders>
              <w:top w:val="nil"/>
              <w:left w:val="single" w:sz="4" w:space="0" w:color="auto"/>
              <w:bottom w:val="single" w:sz="4" w:space="0" w:color="auto"/>
              <w:right w:val="single" w:sz="4" w:space="0" w:color="auto"/>
            </w:tcBorders>
            <w:vAlign w:val="bottom"/>
          </w:tcPr>
          <w:p w14:paraId="4DCA6DB4" w14:textId="77777777" w:rsidR="00726C45" w:rsidRPr="00BD6DBC" w:rsidRDefault="00726C45" w:rsidP="00A37677">
            <w:pPr>
              <w:spacing w:before="0" w:line="240" w:lineRule="auto"/>
              <w:rPr>
                <w:rFonts w:cs="Segoe UI"/>
                <w:b/>
                <w:bCs/>
                <w:sz w:val="16"/>
                <w:szCs w:val="16"/>
              </w:rPr>
            </w:pPr>
            <w:r>
              <w:rPr>
                <w:rFonts w:cs="Segoe UI"/>
                <w:b/>
                <w:bCs/>
                <w:sz w:val="16"/>
                <w:szCs w:val="16"/>
              </w:rPr>
              <w:t>Civ.Rights</w:t>
            </w:r>
          </w:p>
        </w:tc>
        <w:tc>
          <w:tcPr>
            <w:tcW w:w="993" w:type="dxa"/>
            <w:tcBorders>
              <w:top w:val="nil"/>
              <w:left w:val="single" w:sz="4" w:space="0" w:color="auto"/>
              <w:bottom w:val="single" w:sz="4" w:space="0" w:color="auto"/>
              <w:right w:val="single" w:sz="4" w:space="0" w:color="auto"/>
            </w:tcBorders>
            <w:vAlign w:val="bottom"/>
          </w:tcPr>
          <w:p w14:paraId="69DF67E2" w14:textId="77777777" w:rsidR="00726C45" w:rsidRPr="002738FA" w:rsidRDefault="00726C45" w:rsidP="00A37677">
            <w:pPr>
              <w:spacing w:before="0" w:line="240" w:lineRule="auto"/>
              <w:rPr>
                <w:rFonts w:cs="Segoe UI"/>
                <w:b/>
                <w:bCs/>
                <w:sz w:val="16"/>
                <w:szCs w:val="16"/>
                <w:highlight w:val="yellow"/>
              </w:rPr>
            </w:pPr>
            <w:r>
              <w:rPr>
                <w:rFonts w:cs="Segoe UI"/>
                <w:b/>
                <w:bCs/>
                <w:sz w:val="16"/>
                <w:szCs w:val="16"/>
              </w:rPr>
              <w:t>Economy</w:t>
            </w:r>
          </w:p>
        </w:tc>
        <w:tc>
          <w:tcPr>
            <w:tcW w:w="850" w:type="dxa"/>
            <w:tcBorders>
              <w:top w:val="nil"/>
              <w:left w:val="single" w:sz="4" w:space="0" w:color="auto"/>
              <w:bottom w:val="single" w:sz="4" w:space="0" w:color="auto"/>
              <w:right w:val="single" w:sz="4" w:space="0" w:color="auto"/>
            </w:tcBorders>
            <w:vAlign w:val="bottom"/>
          </w:tcPr>
          <w:p w14:paraId="3AA12C9B" w14:textId="77777777" w:rsidR="00726C45" w:rsidRDefault="00726C45" w:rsidP="00A37677">
            <w:pPr>
              <w:spacing w:before="0" w:line="240" w:lineRule="auto"/>
              <w:rPr>
                <w:rFonts w:cs="Segoe UI"/>
                <w:b/>
                <w:bCs/>
                <w:sz w:val="16"/>
                <w:szCs w:val="16"/>
              </w:rPr>
            </w:pPr>
            <w:r>
              <w:rPr>
                <w:rFonts w:cs="Segoe UI"/>
                <w:b/>
                <w:bCs/>
                <w:sz w:val="16"/>
                <w:szCs w:val="16"/>
              </w:rPr>
              <w:t>Criminal</w:t>
            </w:r>
          </w:p>
        </w:tc>
        <w:tc>
          <w:tcPr>
            <w:tcW w:w="709" w:type="dxa"/>
            <w:tcBorders>
              <w:top w:val="nil"/>
              <w:left w:val="single" w:sz="4" w:space="0" w:color="auto"/>
              <w:bottom w:val="single" w:sz="4" w:space="0" w:color="auto"/>
              <w:right w:val="single" w:sz="4" w:space="0" w:color="auto"/>
            </w:tcBorders>
            <w:vAlign w:val="bottom"/>
          </w:tcPr>
          <w:p w14:paraId="5439188A" w14:textId="77777777" w:rsidR="00726C45" w:rsidRDefault="00726C45" w:rsidP="00A37677">
            <w:pPr>
              <w:spacing w:before="0" w:line="240" w:lineRule="auto"/>
              <w:rPr>
                <w:rFonts w:cs="Segoe UI"/>
                <w:b/>
                <w:bCs/>
                <w:sz w:val="16"/>
                <w:szCs w:val="16"/>
              </w:rPr>
            </w:pPr>
            <w:r>
              <w:rPr>
                <w:rFonts w:cs="Segoe UI"/>
                <w:b/>
                <w:bCs/>
                <w:sz w:val="16"/>
                <w:szCs w:val="16"/>
              </w:rPr>
              <w:t>Ref</w:t>
            </w:r>
          </w:p>
        </w:tc>
        <w:tc>
          <w:tcPr>
            <w:tcW w:w="709" w:type="dxa"/>
            <w:tcBorders>
              <w:top w:val="nil"/>
              <w:left w:val="single" w:sz="4" w:space="0" w:color="auto"/>
              <w:bottom w:val="single" w:sz="4" w:space="0" w:color="auto"/>
              <w:right w:val="single" w:sz="4" w:space="0" w:color="auto"/>
            </w:tcBorders>
            <w:vAlign w:val="bottom"/>
          </w:tcPr>
          <w:p w14:paraId="2D6F44FE" w14:textId="77777777" w:rsidR="00726C45" w:rsidRDefault="00726C45" w:rsidP="00A37677">
            <w:pPr>
              <w:spacing w:before="0" w:line="240" w:lineRule="auto"/>
              <w:rPr>
                <w:rFonts w:cs="Segoe UI"/>
                <w:b/>
                <w:bCs/>
                <w:sz w:val="16"/>
                <w:szCs w:val="16"/>
              </w:rPr>
            </w:pPr>
            <w:r>
              <w:rPr>
                <w:rFonts w:cs="Segoe UI"/>
                <w:b/>
                <w:bCs/>
                <w:sz w:val="16"/>
                <w:szCs w:val="16"/>
              </w:rPr>
              <w:t>Equal.</w:t>
            </w:r>
          </w:p>
        </w:tc>
        <w:tc>
          <w:tcPr>
            <w:tcW w:w="854" w:type="dxa"/>
            <w:tcBorders>
              <w:left w:val="single" w:sz="4" w:space="0" w:color="auto"/>
              <w:bottom w:val="single" w:sz="4" w:space="0" w:color="auto"/>
              <w:right w:val="single" w:sz="4" w:space="0" w:color="auto"/>
            </w:tcBorders>
            <w:vAlign w:val="bottom"/>
          </w:tcPr>
          <w:p w14:paraId="20B69C77" w14:textId="77777777" w:rsidR="00726C45" w:rsidRDefault="00726C45" w:rsidP="00A37677">
            <w:pPr>
              <w:spacing w:before="0" w:line="240" w:lineRule="auto"/>
              <w:rPr>
                <w:rFonts w:cs="Segoe UI"/>
                <w:b/>
                <w:bCs/>
                <w:sz w:val="16"/>
                <w:szCs w:val="16"/>
              </w:rPr>
            </w:pPr>
            <w:r>
              <w:rPr>
                <w:rFonts w:cs="Segoe UI"/>
                <w:b/>
                <w:bCs/>
                <w:sz w:val="16"/>
                <w:szCs w:val="16"/>
              </w:rPr>
              <w:t>PCA</w:t>
            </w:r>
          </w:p>
        </w:tc>
      </w:tr>
      <w:tr w:rsidR="00726C45" w:rsidRPr="00BD6DBC" w14:paraId="07DE4723" w14:textId="77777777" w:rsidTr="00A37677">
        <w:tc>
          <w:tcPr>
            <w:tcW w:w="1418" w:type="dxa"/>
            <w:tcBorders>
              <w:top w:val="single" w:sz="4" w:space="0" w:color="auto"/>
              <w:left w:val="single" w:sz="4" w:space="0" w:color="auto"/>
              <w:bottom w:val="nil"/>
              <w:right w:val="single" w:sz="4" w:space="0" w:color="auto"/>
            </w:tcBorders>
            <w:vAlign w:val="bottom"/>
          </w:tcPr>
          <w:p w14:paraId="6688010C"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Age</w:t>
            </w:r>
          </w:p>
        </w:tc>
        <w:tc>
          <w:tcPr>
            <w:tcW w:w="709" w:type="dxa"/>
            <w:tcBorders>
              <w:top w:val="single" w:sz="4" w:space="0" w:color="auto"/>
              <w:left w:val="single" w:sz="4" w:space="0" w:color="auto"/>
              <w:bottom w:val="nil"/>
              <w:right w:val="single" w:sz="4" w:space="0" w:color="auto"/>
            </w:tcBorders>
          </w:tcPr>
          <w:p w14:paraId="0A9D15B6"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708" w:type="dxa"/>
            <w:tcBorders>
              <w:top w:val="single" w:sz="4" w:space="0" w:color="auto"/>
              <w:left w:val="single" w:sz="4" w:space="0" w:color="auto"/>
              <w:bottom w:val="nil"/>
              <w:right w:val="single" w:sz="4" w:space="0" w:color="auto"/>
            </w:tcBorders>
          </w:tcPr>
          <w:p w14:paraId="47568D41"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993" w:type="dxa"/>
            <w:tcBorders>
              <w:top w:val="single" w:sz="4" w:space="0" w:color="auto"/>
              <w:left w:val="single" w:sz="4" w:space="0" w:color="auto"/>
              <w:bottom w:val="nil"/>
              <w:right w:val="single" w:sz="4" w:space="0" w:color="auto"/>
            </w:tcBorders>
          </w:tcPr>
          <w:p w14:paraId="5E75E1E9"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703" w:type="dxa"/>
            <w:tcBorders>
              <w:top w:val="single" w:sz="4" w:space="0" w:color="auto"/>
              <w:left w:val="single" w:sz="4" w:space="0" w:color="auto"/>
              <w:bottom w:val="nil"/>
              <w:right w:val="single" w:sz="4" w:space="0" w:color="auto"/>
            </w:tcBorders>
            <w:vAlign w:val="bottom"/>
          </w:tcPr>
          <w:p w14:paraId="6B6885AD" w14:textId="77777777" w:rsidR="00726C45" w:rsidRPr="00BD6DBC" w:rsidRDefault="00726C45" w:rsidP="00A37677">
            <w:pPr>
              <w:spacing w:before="0" w:line="240" w:lineRule="auto"/>
              <w:jc w:val="right"/>
              <w:rPr>
                <w:rFonts w:cs="Segoe UI"/>
                <w:sz w:val="16"/>
                <w:szCs w:val="16"/>
              </w:rPr>
            </w:pPr>
            <w:r>
              <w:rPr>
                <w:rFonts w:cs="Segoe UI"/>
                <w:sz w:val="16"/>
                <w:szCs w:val="16"/>
              </w:rPr>
              <w:t>-0.00</w:t>
            </w:r>
          </w:p>
        </w:tc>
        <w:tc>
          <w:tcPr>
            <w:tcW w:w="709" w:type="dxa"/>
            <w:tcBorders>
              <w:top w:val="single" w:sz="4" w:space="0" w:color="auto"/>
              <w:left w:val="single" w:sz="4" w:space="0" w:color="auto"/>
              <w:bottom w:val="nil"/>
              <w:right w:val="single" w:sz="4" w:space="0" w:color="auto"/>
            </w:tcBorders>
          </w:tcPr>
          <w:p w14:paraId="23DD3C7B" w14:textId="77777777" w:rsidR="00726C45" w:rsidRPr="00BD6DBC" w:rsidRDefault="00726C45" w:rsidP="00A37677">
            <w:pPr>
              <w:spacing w:before="0" w:line="240" w:lineRule="auto"/>
              <w:jc w:val="right"/>
              <w:rPr>
                <w:rFonts w:cs="Segoe UI"/>
                <w:sz w:val="16"/>
                <w:szCs w:val="16"/>
              </w:rPr>
            </w:pPr>
            <w:r>
              <w:rPr>
                <w:rFonts w:cs="Segoe UI"/>
                <w:sz w:val="16"/>
                <w:szCs w:val="16"/>
              </w:rPr>
              <w:t>-0.01</w:t>
            </w:r>
          </w:p>
        </w:tc>
        <w:tc>
          <w:tcPr>
            <w:tcW w:w="992" w:type="dxa"/>
            <w:tcBorders>
              <w:top w:val="single" w:sz="4" w:space="0" w:color="auto"/>
              <w:left w:val="single" w:sz="4" w:space="0" w:color="auto"/>
              <w:bottom w:val="nil"/>
              <w:right w:val="single" w:sz="4" w:space="0" w:color="auto"/>
            </w:tcBorders>
          </w:tcPr>
          <w:p w14:paraId="7965ED42" w14:textId="77777777" w:rsidR="00726C45" w:rsidRPr="00BD6DBC" w:rsidRDefault="00726C45" w:rsidP="00A37677">
            <w:pPr>
              <w:spacing w:before="0" w:line="240" w:lineRule="auto"/>
              <w:jc w:val="right"/>
              <w:rPr>
                <w:rFonts w:cs="Segoe UI"/>
                <w:sz w:val="16"/>
                <w:szCs w:val="16"/>
              </w:rPr>
            </w:pPr>
            <w:r>
              <w:rPr>
                <w:rFonts w:cs="Segoe UI"/>
                <w:sz w:val="16"/>
                <w:szCs w:val="16"/>
              </w:rPr>
              <w:t>-0.00</w:t>
            </w:r>
          </w:p>
        </w:tc>
        <w:tc>
          <w:tcPr>
            <w:tcW w:w="993" w:type="dxa"/>
            <w:tcBorders>
              <w:top w:val="single" w:sz="4" w:space="0" w:color="auto"/>
              <w:left w:val="single" w:sz="4" w:space="0" w:color="auto"/>
              <w:bottom w:val="nil"/>
              <w:right w:val="single" w:sz="4" w:space="0" w:color="auto"/>
            </w:tcBorders>
          </w:tcPr>
          <w:p w14:paraId="564BEE1E" w14:textId="77777777" w:rsidR="00726C45" w:rsidRPr="002738FA" w:rsidRDefault="00726C45" w:rsidP="00A37677">
            <w:pPr>
              <w:spacing w:before="0" w:line="240" w:lineRule="auto"/>
              <w:jc w:val="right"/>
              <w:rPr>
                <w:rFonts w:cs="Segoe UI"/>
                <w:sz w:val="16"/>
                <w:szCs w:val="16"/>
                <w:highlight w:val="yellow"/>
              </w:rPr>
            </w:pPr>
            <w:r>
              <w:rPr>
                <w:rFonts w:cs="Segoe UI"/>
                <w:sz w:val="16"/>
                <w:szCs w:val="16"/>
              </w:rPr>
              <w:t>0.00</w:t>
            </w:r>
          </w:p>
        </w:tc>
        <w:tc>
          <w:tcPr>
            <w:tcW w:w="850" w:type="dxa"/>
            <w:tcBorders>
              <w:top w:val="single" w:sz="4" w:space="0" w:color="auto"/>
              <w:left w:val="single" w:sz="4" w:space="0" w:color="auto"/>
              <w:bottom w:val="nil"/>
              <w:right w:val="single" w:sz="4" w:space="0" w:color="auto"/>
            </w:tcBorders>
          </w:tcPr>
          <w:p w14:paraId="39FAD987" w14:textId="77777777" w:rsidR="00726C45" w:rsidRPr="00F37A41" w:rsidRDefault="00726C45" w:rsidP="00A37677">
            <w:pPr>
              <w:spacing w:before="0" w:line="240" w:lineRule="auto"/>
              <w:jc w:val="right"/>
              <w:rPr>
                <w:rFonts w:cs="Segoe UI"/>
                <w:sz w:val="16"/>
                <w:szCs w:val="16"/>
              </w:rPr>
            </w:pPr>
            <w:r>
              <w:rPr>
                <w:rFonts w:cs="Segoe UI"/>
                <w:sz w:val="16"/>
                <w:szCs w:val="16"/>
              </w:rPr>
              <w:t>0.01</w:t>
            </w:r>
          </w:p>
        </w:tc>
        <w:tc>
          <w:tcPr>
            <w:tcW w:w="709" w:type="dxa"/>
            <w:tcBorders>
              <w:top w:val="single" w:sz="4" w:space="0" w:color="auto"/>
              <w:left w:val="single" w:sz="4" w:space="0" w:color="auto"/>
              <w:bottom w:val="nil"/>
              <w:right w:val="single" w:sz="4" w:space="0" w:color="auto"/>
            </w:tcBorders>
          </w:tcPr>
          <w:p w14:paraId="6777E7B5" w14:textId="77777777" w:rsidR="00726C45" w:rsidRPr="00F37A41" w:rsidRDefault="00726C45" w:rsidP="00A37677">
            <w:pPr>
              <w:spacing w:before="0" w:line="240" w:lineRule="auto"/>
              <w:jc w:val="right"/>
              <w:rPr>
                <w:rFonts w:cs="Segoe UI"/>
                <w:sz w:val="16"/>
                <w:szCs w:val="16"/>
              </w:rPr>
            </w:pPr>
            <w:r>
              <w:rPr>
                <w:rFonts w:cs="Segoe UI"/>
                <w:sz w:val="16"/>
                <w:szCs w:val="16"/>
              </w:rPr>
              <w:t>-0.00</w:t>
            </w:r>
          </w:p>
        </w:tc>
        <w:tc>
          <w:tcPr>
            <w:tcW w:w="709" w:type="dxa"/>
            <w:tcBorders>
              <w:top w:val="single" w:sz="4" w:space="0" w:color="auto"/>
              <w:left w:val="single" w:sz="4" w:space="0" w:color="auto"/>
              <w:bottom w:val="nil"/>
              <w:right w:val="single" w:sz="4" w:space="0" w:color="auto"/>
            </w:tcBorders>
          </w:tcPr>
          <w:p w14:paraId="7E00F885" w14:textId="77777777" w:rsidR="00726C45" w:rsidRDefault="00726C45" w:rsidP="00A37677">
            <w:pPr>
              <w:spacing w:before="0" w:line="240" w:lineRule="auto"/>
              <w:jc w:val="right"/>
              <w:rPr>
                <w:rFonts w:cs="Segoe UI"/>
                <w:sz w:val="16"/>
                <w:szCs w:val="16"/>
              </w:rPr>
            </w:pPr>
            <w:r>
              <w:rPr>
                <w:rFonts w:cs="Segoe UI"/>
                <w:sz w:val="16"/>
                <w:szCs w:val="16"/>
              </w:rPr>
              <w:t>-0.00</w:t>
            </w:r>
          </w:p>
        </w:tc>
        <w:tc>
          <w:tcPr>
            <w:tcW w:w="854" w:type="dxa"/>
            <w:tcBorders>
              <w:top w:val="single" w:sz="4" w:space="0" w:color="auto"/>
              <w:left w:val="single" w:sz="4" w:space="0" w:color="auto"/>
              <w:bottom w:val="nil"/>
              <w:right w:val="single" w:sz="4" w:space="0" w:color="auto"/>
            </w:tcBorders>
          </w:tcPr>
          <w:p w14:paraId="064B0A7E" w14:textId="77777777" w:rsidR="00726C45" w:rsidRDefault="00726C45" w:rsidP="00A37677">
            <w:pPr>
              <w:spacing w:before="0" w:line="240" w:lineRule="auto"/>
              <w:jc w:val="right"/>
              <w:rPr>
                <w:rFonts w:cs="Segoe UI"/>
                <w:sz w:val="16"/>
                <w:szCs w:val="16"/>
              </w:rPr>
            </w:pPr>
            <w:r>
              <w:rPr>
                <w:rFonts w:cs="Segoe UI"/>
                <w:sz w:val="16"/>
                <w:szCs w:val="16"/>
              </w:rPr>
              <w:t>0.01</w:t>
            </w:r>
          </w:p>
        </w:tc>
      </w:tr>
      <w:tr w:rsidR="00726C45" w:rsidRPr="00BD6DBC" w14:paraId="48606E45" w14:textId="77777777" w:rsidTr="00A37677">
        <w:tc>
          <w:tcPr>
            <w:tcW w:w="1418" w:type="dxa"/>
            <w:tcBorders>
              <w:top w:val="nil"/>
              <w:left w:val="single" w:sz="4" w:space="0" w:color="auto"/>
              <w:bottom w:val="nil"/>
              <w:right w:val="single" w:sz="4" w:space="0" w:color="auto"/>
            </w:tcBorders>
            <w:vAlign w:val="bottom"/>
          </w:tcPr>
          <w:p w14:paraId="755BC880"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Male</w:t>
            </w:r>
          </w:p>
        </w:tc>
        <w:tc>
          <w:tcPr>
            <w:tcW w:w="709" w:type="dxa"/>
            <w:tcBorders>
              <w:top w:val="nil"/>
              <w:left w:val="single" w:sz="4" w:space="0" w:color="auto"/>
              <w:bottom w:val="nil"/>
              <w:right w:val="single" w:sz="4" w:space="0" w:color="auto"/>
            </w:tcBorders>
          </w:tcPr>
          <w:p w14:paraId="5D27DEF1" w14:textId="77777777" w:rsidR="00726C45" w:rsidRPr="00BD6DBC" w:rsidRDefault="00726C45" w:rsidP="00A37677">
            <w:pPr>
              <w:spacing w:before="0" w:line="240" w:lineRule="auto"/>
              <w:jc w:val="right"/>
              <w:rPr>
                <w:rFonts w:cs="Segoe UI"/>
                <w:sz w:val="16"/>
                <w:szCs w:val="16"/>
              </w:rPr>
            </w:pPr>
            <w:r>
              <w:rPr>
                <w:rFonts w:cs="Segoe UI"/>
                <w:sz w:val="16"/>
                <w:szCs w:val="16"/>
              </w:rPr>
              <w:t>-0.72*</w:t>
            </w:r>
          </w:p>
        </w:tc>
        <w:tc>
          <w:tcPr>
            <w:tcW w:w="708" w:type="dxa"/>
            <w:tcBorders>
              <w:top w:val="nil"/>
              <w:left w:val="single" w:sz="4" w:space="0" w:color="auto"/>
              <w:bottom w:val="nil"/>
              <w:right w:val="single" w:sz="4" w:space="0" w:color="auto"/>
            </w:tcBorders>
          </w:tcPr>
          <w:p w14:paraId="5DA0BAE9" w14:textId="77777777" w:rsidR="00726C45" w:rsidRPr="00BD6DBC" w:rsidRDefault="00726C45" w:rsidP="00A37677">
            <w:pPr>
              <w:spacing w:before="0" w:line="240" w:lineRule="auto"/>
              <w:jc w:val="right"/>
              <w:rPr>
                <w:rFonts w:cs="Segoe UI"/>
                <w:sz w:val="16"/>
                <w:szCs w:val="16"/>
              </w:rPr>
            </w:pPr>
            <w:r>
              <w:rPr>
                <w:rFonts w:cs="Segoe UI"/>
                <w:sz w:val="16"/>
                <w:szCs w:val="16"/>
              </w:rPr>
              <w:t>-0.69*</w:t>
            </w:r>
          </w:p>
        </w:tc>
        <w:tc>
          <w:tcPr>
            <w:tcW w:w="993" w:type="dxa"/>
            <w:tcBorders>
              <w:top w:val="nil"/>
              <w:left w:val="single" w:sz="4" w:space="0" w:color="auto"/>
              <w:bottom w:val="nil"/>
              <w:right w:val="single" w:sz="4" w:space="0" w:color="auto"/>
            </w:tcBorders>
          </w:tcPr>
          <w:p w14:paraId="7A2F640B" w14:textId="77777777" w:rsidR="00726C45" w:rsidRPr="00BD6DBC" w:rsidRDefault="00726C45" w:rsidP="00A37677">
            <w:pPr>
              <w:spacing w:before="0" w:line="240" w:lineRule="auto"/>
              <w:jc w:val="right"/>
              <w:rPr>
                <w:rFonts w:cs="Segoe UI"/>
                <w:sz w:val="16"/>
                <w:szCs w:val="16"/>
              </w:rPr>
            </w:pPr>
            <w:r>
              <w:rPr>
                <w:rFonts w:cs="Segoe UI"/>
                <w:sz w:val="16"/>
                <w:szCs w:val="16"/>
              </w:rPr>
              <w:t>-0.79*</w:t>
            </w:r>
          </w:p>
        </w:tc>
        <w:tc>
          <w:tcPr>
            <w:tcW w:w="703" w:type="dxa"/>
            <w:tcBorders>
              <w:top w:val="nil"/>
              <w:left w:val="single" w:sz="4" w:space="0" w:color="auto"/>
              <w:bottom w:val="nil"/>
              <w:right w:val="single" w:sz="4" w:space="0" w:color="auto"/>
            </w:tcBorders>
            <w:vAlign w:val="bottom"/>
          </w:tcPr>
          <w:p w14:paraId="071DED51" w14:textId="77777777" w:rsidR="00726C45" w:rsidRPr="00BD6DBC" w:rsidRDefault="00726C45" w:rsidP="00A37677">
            <w:pPr>
              <w:spacing w:before="0" w:line="240" w:lineRule="auto"/>
              <w:jc w:val="right"/>
              <w:rPr>
                <w:rFonts w:cs="Segoe UI"/>
                <w:sz w:val="16"/>
                <w:szCs w:val="16"/>
              </w:rPr>
            </w:pPr>
            <w:r>
              <w:rPr>
                <w:rFonts w:cs="Segoe UI"/>
                <w:sz w:val="16"/>
                <w:szCs w:val="16"/>
              </w:rPr>
              <w:t>-0.76*</w:t>
            </w:r>
          </w:p>
        </w:tc>
        <w:tc>
          <w:tcPr>
            <w:tcW w:w="709" w:type="dxa"/>
            <w:tcBorders>
              <w:top w:val="nil"/>
              <w:left w:val="single" w:sz="4" w:space="0" w:color="auto"/>
              <w:bottom w:val="nil"/>
              <w:right w:val="single" w:sz="4" w:space="0" w:color="auto"/>
            </w:tcBorders>
          </w:tcPr>
          <w:p w14:paraId="2225DE85" w14:textId="77777777" w:rsidR="00726C45" w:rsidRPr="00BD6DBC" w:rsidRDefault="00726C45" w:rsidP="00A37677">
            <w:pPr>
              <w:spacing w:before="0" w:line="240" w:lineRule="auto"/>
              <w:jc w:val="right"/>
              <w:rPr>
                <w:rFonts w:cs="Segoe UI"/>
                <w:sz w:val="16"/>
                <w:szCs w:val="16"/>
              </w:rPr>
            </w:pPr>
            <w:r>
              <w:rPr>
                <w:rFonts w:cs="Segoe UI"/>
                <w:sz w:val="16"/>
                <w:szCs w:val="16"/>
              </w:rPr>
              <w:t>-0.55*</w:t>
            </w:r>
          </w:p>
        </w:tc>
        <w:tc>
          <w:tcPr>
            <w:tcW w:w="992" w:type="dxa"/>
            <w:tcBorders>
              <w:top w:val="nil"/>
              <w:left w:val="single" w:sz="4" w:space="0" w:color="auto"/>
              <w:bottom w:val="nil"/>
              <w:right w:val="single" w:sz="4" w:space="0" w:color="auto"/>
            </w:tcBorders>
          </w:tcPr>
          <w:p w14:paraId="21D66098" w14:textId="77777777" w:rsidR="00726C45" w:rsidRPr="00BD6DBC" w:rsidRDefault="00726C45" w:rsidP="00A37677">
            <w:pPr>
              <w:spacing w:before="0" w:line="240" w:lineRule="auto"/>
              <w:jc w:val="right"/>
              <w:rPr>
                <w:rFonts w:cs="Segoe UI"/>
                <w:sz w:val="16"/>
                <w:szCs w:val="16"/>
              </w:rPr>
            </w:pPr>
            <w:r>
              <w:rPr>
                <w:rFonts w:cs="Segoe UI"/>
                <w:sz w:val="16"/>
                <w:szCs w:val="16"/>
              </w:rPr>
              <w:t>-0.49*</w:t>
            </w:r>
          </w:p>
        </w:tc>
        <w:tc>
          <w:tcPr>
            <w:tcW w:w="993" w:type="dxa"/>
            <w:tcBorders>
              <w:top w:val="nil"/>
              <w:left w:val="single" w:sz="4" w:space="0" w:color="auto"/>
              <w:bottom w:val="nil"/>
              <w:right w:val="single" w:sz="4" w:space="0" w:color="auto"/>
            </w:tcBorders>
          </w:tcPr>
          <w:p w14:paraId="38447D9D" w14:textId="77777777" w:rsidR="00726C45" w:rsidRPr="00F37A41" w:rsidRDefault="00726C45" w:rsidP="00A37677">
            <w:pPr>
              <w:spacing w:before="0" w:line="240" w:lineRule="auto"/>
              <w:jc w:val="right"/>
              <w:rPr>
                <w:rFonts w:cs="Segoe UI"/>
                <w:sz w:val="16"/>
                <w:szCs w:val="16"/>
              </w:rPr>
            </w:pPr>
            <w:r>
              <w:rPr>
                <w:rFonts w:cs="Segoe UI"/>
                <w:sz w:val="16"/>
                <w:szCs w:val="16"/>
              </w:rPr>
              <w:t>-0.54*</w:t>
            </w:r>
          </w:p>
        </w:tc>
        <w:tc>
          <w:tcPr>
            <w:tcW w:w="850" w:type="dxa"/>
            <w:tcBorders>
              <w:top w:val="nil"/>
              <w:left w:val="single" w:sz="4" w:space="0" w:color="auto"/>
              <w:bottom w:val="nil"/>
              <w:right w:val="single" w:sz="4" w:space="0" w:color="auto"/>
            </w:tcBorders>
          </w:tcPr>
          <w:p w14:paraId="3693B412" w14:textId="77777777" w:rsidR="00726C45" w:rsidRPr="00F37A41" w:rsidRDefault="00726C45" w:rsidP="00A37677">
            <w:pPr>
              <w:spacing w:before="0" w:line="240" w:lineRule="auto"/>
              <w:jc w:val="right"/>
              <w:rPr>
                <w:rFonts w:cs="Segoe UI"/>
                <w:sz w:val="16"/>
                <w:szCs w:val="16"/>
              </w:rPr>
            </w:pPr>
            <w:r>
              <w:rPr>
                <w:rFonts w:cs="Segoe UI"/>
                <w:sz w:val="16"/>
                <w:szCs w:val="16"/>
              </w:rPr>
              <w:t>-0.79*</w:t>
            </w:r>
          </w:p>
        </w:tc>
        <w:tc>
          <w:tcPr>
            <w:tcW w:w="709" w:type="dxa"/>
            <w:tcBorders>
              <w:top w:val="nil"/>
              <w:left w:val="single" w:sz="4" w:space="0" w:color="auto"/>
              <w:bottom w:val="nil"/>
              <w:right w:val="single" w:sz="4" w:space="0" w:color="auto"/>
            </w:tcBorders>
          </w:tcPr>
          <w:p w14:paraId="5B6FEDAE" w14:textId="77777777" w:rsidR="00726C45" w:rsidRPr="00F37A41" w:rsidRDefault="00726C45" w:rsidP="00A37677">
            <w:pPr>
              <w:spacing w:before="0" w:line="240" w:lineRule="auto"/>
              <w:jc w:val="right"/>
              <w:rPr>
                <w:rFonts w:cs="Segoe UI"/>
                <w:sz w:val="16"/>
                <w:szCs w:val="16"/>
              </w:rPr>
            </w:pPr>
            <w:r>
              <w:rPr>
                <w:rFonts w:cs="Segoe UI"/>
                <w:sz w:val="16"/>
                <w:szCs w:val="16"/>
              </w:rPr>
              <w:t>-0.57*</w:t>
            </w:r>
          </w:p>
        </w:tc>
        <w:tc>
          <w:tcPr>
            <w:tcW w:w="709" w:type="dxa"/>
            <w:tcBorders>
              <w:top w:val="nil"/>
              <w:left w:val="single" w:sz="4" w:space="0" w:color="auto"/>
              <w:bottom w:val="nil"/>
              <w:right w:val="single" w:sz="4" w:space="0" w:color="auto"/>
            </w:tcBorders>
          </w:tcPr>
          <w:p w14:paraId="6FFE0F90" w14:textId="77777777" w:rsidR="00726C45" w:rsidRDefault="00726C45" w:rsidP="00A37677">
            <w:pPr>
              <w:spacing w:before="0" w:line="240" w:lineRule="auto"/>
              <w:jc w:val="right"/>
              <w:rPr>
                <w:rFonts w:cs="Segoe UI"/>
                <w:sz w:val="16"/>
                <w:szCs w:val="16"/>
              </w:rPr>
            </w:pPr>
            <w:r>
              <w:rPr>
                <w:rFonts w:cs="Segoe UI"/>
                <w:sz w:val="16"/>
                <w:szCs w:val="16"/>
              </w:rPr>
              <w:t>-0.28*</w:t>
            </w:r>
          </w:p>
        </w:tc>
        <w:tc>
          <w:tcPr>
            <w:tcW w:w="854" w:type="dxa"/>
            <w:tcBorders>
              <w:top w:val="nil"/>
              <w:left w:val="single" w:sz="4" w:space="0" w:color="auto"/>
              <w:bottom w:val="nil"/>
              <w:right w:val="single" w:sz="4" w:space="0" w:color="auto"/>
            </w:tcBorders>
          </w:tcPr>
          <w:p w14:paraId="00A801F9" w14:textId="77777777" w:rsidR="00726C45" w:rsidRDefault="00726C45" w:rsidP="00A37677">
            <w:pPr>
              <w:spacing w:before="0" w:line="240" w:lineRule="auto"/>
              <w:jc w:val="right"/>
              <w:rPr>
                <w:rFonts w:cs="Segoe UI"/>
                <w:sz w:val="16"/>
                <w:szCs w:val="16"/>
              </w:rPr>
            </w:pPr>
            <w:r>
              <w:rPr>
                <w:rFonts w:cs="Segoe UI"/>
                <w:sz w:val="16"/>
                <w:szCs w:val="16"/>
              </w:rPr>
              <w:t>-0.40*</w:t>
            </w:r>
          </w:p>
        </w:tc>
      </w:tr>
      <w:tr w:rsidR="00726C45" w:rsidRPr="00BD6DBC" w14:paraId="4A0F4255" w14:textId="77777777" w:rsidTr="00A37677">
        <w:tc>
          <w:tcPr>
            <w:tcW w:w="1418" w:type="dxa"/>
            <w:tcBorders>
              <w:top w:val="nil"/>
              <w:left w:val="single" w:sz="4" w:space="0" w:color="auto"/>
              <w:bottom w:val="nil"/>
              <w:right w:val="single" w:sz="4" w:space="0" w:color="auto"/>
            </w:tcBorders>
            <w:vAlign w:val="bottom"/>
          </w:tcPr>
          <w:p w14:paraId="36732B7A" w14:textId="77777777" w:rsidR="00726C45" w:rsidRPr="00123881" w:rsidRDefault="00726C45" w:rsidP="00A37677">
            <w:pPr>
              <w:spacing w:before="0" w:line="240" w:lineRule="auto"/>
              <w:rPr>
                <w:rFonts w:eastAsia="Times New Roman" w:cs="Segoe UI"/>
                <w:i/>
                <w:sz w:val="16"/>
                <w:szCs w:val="16"/>
              </w:rPr>
            </w:pPr>
            <w:r w:rsidRPr="00123881">
              <w:rPr>
                <w:rFonts w:eastAsia="Times New Roman" w:cs="Segoe UI"/>
                <w:i/>
                <w:sz w:val="16"/>
                <w:szCs w:val="16"/>
              </w:rPr>
              <w:t>Education</w:t>
            </w:r>
            <w:r>
              <w:rPr>
                <w:rFonts w:eastAsia="Times New Roman" w:cs="Segoe UI"/>
                <w:i/>
                <w:sz w:val="16"/>
                <w:szCs w:val="16"/>
              </w:rPr>
              <w:t xml:space="preserve"> (ref:Lower)</w:t>
            </w:r>
          </w:p>
        </w:tc>
        <w:tc>
          <w:tcPr>
            <w:tcW w:w="709" w:type="dxa"/>
            <w:tcBorders>
              <w:top w:val="nil"/>
              <w:left w:val="single" w:sz="4" w:space="0" w:color="auto"/>
              <w:bottom w:val="nil"/>
              <w:right w:val="single" w:sz="4" w:space="0" w:color="auto"/>
            </w:tcBorders>
          </w:tcPr>
          <w:p w14:paraId="7B57C786" w14:textId="77777777" w:rsidR="00726C45" w:rsidRPr="00BD6DBC" w:rsidRDefault="00726C45" w:rsidP="00A37677">
            <w:pPr>
              <w:spacing w:before="0" w:line="240" w:lineRule="auto"/>
              <w:jc w:val="right"/>
              <w:rPr>
                <w:rFonts w:cs="Segoe UI"/>
                <w:sz w:val="16"/>
                <w:szCs w:val="16"/>
              </w:rPr>
            </w:pPr>
          </w:p>
        </w:tc>
        <w:tc>
          <w:tcPr>
            <w:tcW w:w="708" w:type="dxa"/>
            <w:tcBorders>
              <w:top w:val="nil"/>
              <w:left w:val="single" w:sz="4" w:space="0" w:color="auto"/>
              <w:bottom w:val="nil"/>
              <w:right w:val="single" w:sz="4" w:space="0" w:color="auto"/>
            </w:tcBorders>
          </w:tcPr>
          <w:p w14:paraId="718E6892" w14:textId="77777777" w:rsidR="00726C45" w:rsidRPr="00BD6DBC" w:rsidRDefault="00726C45" w:rsidP="00A37677">
            <w:pPr>
              <w:spacing w:before="0" w:line="240" w:lineRule="auto"/>
              <w:jc w:val="right"/>
              <w:rPr>
                <w:rFonts w:cs="Segoe UI"/>
                <w:sz w:val="16"/>
                <w:szCs w:val="16"/>
              </w:rPr>
            </w:pPr>
          </w:p>
        </w:tc>
        <w:tc>
          <w:tcPr>
            <w:tcW w:w="993" w:type="dxa"/>
            <w:tcBorders>
              <w:top w:val="nil"/>
              <w:left w:val="single" w:sz="4" w:space="0" w:color="auto"/>
              <w:bottom w:val="nil"/>
              <w:right w:val="single" w:sz="4" w:space="0" w:color="auto"/>
            </w:tcBorders>
          </w:tcPr>
          <w:p w14:paraId="7F4EA3D8" w14:textId="77777777" w:rsidR="00726C45" w:rsidRPr="00BD6DBC" w:rsidRDefault="00726C45" w:rsidP="00A37677">
            <w:pPr>
              <w:spacing w:before="0" w:line="240" w:lineRule="auto"/>
              <w:jc w:val="right"/>
              <w:rPr>
                <w:rFonts w:cs="Segoe UI"/>
                <w:sz w:val="16"/>
                <w:szCs w:val="16"/>
              </w:rPr>
            </w:pPr>
          </w:p>
        </w:tc>
        <w:tc>
          <w:tcPr>
            <w:tcW w:w="703" w:type="dxa"/>
            <w:tcBorders>
              <w:top w:val="nil"/>
              <w:left w:val="single" w:sz="4" w:space="0" w:color="auto"/>
              <w:bottom w:val="nil"/>
              <w:right w:val="single" w:sz="4" w:space="0" w:color="auto"/>
            </w:tcBorders>
            <w:vAlign w:val="bottom"/>
          </w:tcPr>
          <w:p w14:paraId="06F08A96" w14:textId="77777777" w:rsidR="00726C45" w:rsidRPr="00BD6DBC"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55014C5F" w14:textId="77777777" w:rsidR="00726C45" w:rsidRPr="00BD6DBC" w:rsidRDefault="00726C45" w:rsidP="00A37677">
            <w:pPr>
              <w:spacing w:before="0" w:line="240" w:lineRule="auto"/>
              <w:jc w:val="right"/>
              <w:rPr>
                <w:rFonts w:cs="Segoe UI"/>
                <w:sz w:val="16"/>
                <w:szCs w:val="16"/>
              </w:rPr>
            </w:pPr>
          </w:p>
        </w:tc>
        <w:tc>
          <w:tcPr>
            <w:tcW w:w="992" w:type="dxa"/>
            <w:tcBorders>
              <w:top w:val="nil"/>
              <w:left w:val="single" w:sz="4" w:space="0" w:color="auto"/>
              <w:bottom w:val="nil"/>
              <w:right w:val="single" w:sz="4" w:space="0" w:color="auto"/>
            </w:tcBorders>
          </w:tcPr>
          <w:p w14:paraId="2DDBB4FA" w14:textId="77777777" w:rsidR="00726C45" w:rsidRPr="00BD6DBC" w:rsidRDefault="00726C45" w:rsidP="00A37677">
            <w:pPr>
              <w:spacing w:before="0" w:line="240" w:lineRule="auto"/>
              <w:jc w:val="right"/>
              <w:rPr>
                <w:rFonts w:cs="Segoe UI"/>
                <w:sz w:val="16"/>
                <w:szCs w:val="16"/>
              </w:rPr>
            </w:pPr>
          </w:p>
        </w:tc>
        <w:tc>
          <w:tcPr>
            <w:tcW w:w="993" w:type="dxa"/>
            <w:tcBorders>
              <w:top w:val="nil"/>
              <w:left w:val="single" w:sz="4" w:space="0" w:color="auto"/>
              <w:bottom w:val="nil"/>
              <w:right w:val="single" w:sz="4" w:space="0" w:color="auto"/>
            </w:tcBorders>
          </w:tcPr>
          <w:p w14:paraId="60BA93D7" w14:textId="77777777" w:rsidR="00726C45" w:rsidRPr="00F37A41" w:rsidRDefault="00726C45" w:rsidP="00A37677">
            <w:pPr>
              <w:spacing w:before="0" w:line="240" w:lineRule="auto"/>
              <w:jc w:val="right"/>
              <w:rPr>
                <w:rFonts w:cs="Segoe UI"/>
                <w:sz w:val="16"/>
                <w:szCs w:val="16"/>
              </w:rPr>
            </w:pPr>
          </w:p>
        </w:tc>
        <w:tc>
          <w:tcPr>
            <w:tcW w:w="850" w:type="dxa"/>
            <w:tcBorders>
              <w:top w:val="nil"/>
              <w:left w:val="single" w:sz="4" w:space="0" w:color="auto"/>
              <w:bottom w:val="nil"/>
              <w:right w:val="single" w:sz="4" w:space="0" w:color="auto"/>
            </w:tcBorders>
          </w:tcPr>
          <w:p w14:paraId="70C681B5" w14:textId="77777777" w:rsidR="00726C45" w:rsidRPr="00F37A41"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0A6AFE75" w14:textId="77777777" w:rsidR="00726C45" w:rsidRPr="00F37A41" w:rsidRDefault="00726C45" w:rsidP="00A37677">
            <w:pPr>
              <w:spacing w:before="0" w:line="240" w:lineRule="auto"/>
              <w:jc w:val="right"/>
              <w:rPr>
                <w:rFonts w:cs="Segoe UI"/>
                <w:sz w:val="16"/>
                <w:szCs w:val="16"/>
              </w:rPr>
            </w:pPr>
          </w:p>
        </w:tc>
        <w:tc>
          <w:tcPr>
            <w:tcW w:w="709" w:type="dxa"/>
            <w:tcBorders>
              <w:top w:val="nil"/>
              <w:left w:val="single" w:sz="4" w:space="0" w:color="auto"/>
              <w:bottom w:val="nil"/>
              <w:right w:val="single" w:sz="4" w:space="0" w:color="auto"/>
            </w:tcBorders>
          </w:tcPr>
          <w:p w14:paraId="45B0922A" w14:textId="77777777" w:rsidR="00726C45" w:rsidRDefault="00726C45" w:rsidP="00A37677">
            <w:pPr>
              <w:spacing w:before="0" w:line="240" w:lineRule="auto"/>
              <w:jc w:val="right"/>
              <w:rPr>
                <w:rFonts w:cs="Segoe UI"/>
                <w:sz w:val="16"/>
                <w:szCs w:val="16"/>
              </w:rPr>
            </w:pPr>
          </w:p>
        </w:tc>
        <w:tc>
          <w:tcPr>
            <w:tcW w:w="854" w:type="dxa"/>
            <w:tcBorders>
              <w:top w:val="nil"/>
              <w:left w:val="single" w:sz="4" w:space="0" w:color="auto"/>
              <w:bottom w:val="nil"/>
              <w:right w:val="single" w:sz="4" w:space="0" w:color="auto"/>
            </w:tcBorders>
          </w:tcPr>
          <w:p w14:paraId="21E42FEC" w14:textId="77777777" w:rsidR="00726C45" w:rsidRDefault="00726C45" w:rsidP="00A37677">
            <w:pPr>
              <w:spacing w:before="0" w:line="240" w:lineRule="auto"/>
              <w:jc w:val="right"/>
              <w:rPr>
                <w:rFonts w:cs="Segoe UI"/>
                <w:sz w:val="16"/>
                <w:szCs w:val="16"/>
              </w:rPr>
            </w:pPr>
          </w:p>
        </w:tc>
      </w:tr>
      <w:tr w:rsidR="00726C45" w:rsidRPr="00BD6DBC" w14:paraId="339E65B0" w14:textId="77777777" w:rsidTr="00A37677">
        <w:tc>
          <w:tcPr>
            <w:tcW w:w="1418" w:type="dxa"/>
            <w:tcBorders>
              <w:top w:val="nil"/>
              <w:left w:val="single" w:sz="4" w:space="0" w:color="auto"/>
              <w:bottom w:val="nil"/>
              <w:right w:val="single" w:sz="4" w:space="0" w:color="auto"/>
            </w:tcBorders>
            <w:vAlign w:val="bottom"/>
          </w:tcPr>
          <w:p w14:paraId="4670894D"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 xml:space="preserve">  Middle</w:t>
            </w:r>
          </w:p>
        </w:tc>
        <w:tc>
          <w:tcPr>
            <w:tcW w:w="709" w:type="dxa"/>
            <w:tcBorders>
              <w:top w:val="nil"/>
              <w:left w:val="single" w:sz="4" w:space="0" w:color="auto"/>
              <w:bottom w:val="nil"/>
              <w:right w:val="single" w:sz="4" w:space="0" w:color="auto"/>
            </w:tcBorders>
          </w:tcPr>
          <w:p w14:paraId="66502151" w14:textId="77777777" w:rsidR="00726C45" w:rsidRPr="00BD6DBC" w:rsidRDefault="00726C45" w:rsidP="00A37677">
            <w:pPr>
              <w:spacing w:before="0" w:line="240" w:lineRule="auto"/>
              <w:jc w:val="right"/>
              <w:rPr>
                <w:rFonts w:cs="Segoe UI"/>
                <w:sz w:val="16"/>
                <w:szCs w:val="16"/>
              </w:rPr>
            </w:pPr>
            <w:r>
              <w:rPr>
                <w:rFonts w:cs="Segoe UI"/>
                <w:sz w:val="16"/>
                <w:szCs w:val="16"/>
              </w:rPr>
              <w:t>-0.97*</w:t>
            </w:r>
          </w:p>
        </w:tc>
        <w:tc>
          <w:tcPr>
            <w:tcW w:w="708" w:type="dxa"/>
            <w:tcBorders>
              <w:top w:val="nil"/>
              <w:left w:val="single" w:sz="4" w:space="0" w:color="auto"/>
              <w:bottom w:val="nil"/>
              <w:right w:val="single" w:sz="4" w:space="0" w:color="auto"/>
            </w:tcBorders>
          </w:tcPr>
          <w:p w14:paraId="2B1B122B" w14:textId="77777777" w:rsidR="00726C45" w:rsidRPr="00BD6DBC" w:rsidRDefault="00726C45" w:rsidP="00A37677">
            <w:pPr>
              <w:spacing w:before="0" w:line="240" w:lineRule="auto"/>
              <w:jc w:val="right"/>
              <w:rPr>
                <w:rFonts w:cs="Segoe UI"/>
                <w:sz w:val="16"/>
                <w:szCs w:val="16"/>
              </w:rPr>
            </w:pPr>
            <w:r>
              <w:rPr>
                <w:rFonts w:cs="Segoe UI"/>
                <w:sz w:val="16"/>
                <w:szCs w:val="16"/>
              </w:rPr>
              <w:t>-0.83*</w:t>
            </w:r>
          </w:p>
        </w:tc>
        <w:tc>
          <w:tcPr>
            <w:tcW w:w="993" w:type="dxa"/>
            <w:tcBorders>
              <w:top w:val="nil"/>
              <w:left w:val="single" w:sz="4" w:space="0" w:color="auto"/>
              <w:bottom w:val="nil"/>
              <w:right w:val="single" w:sz="4" w:space="0" w:color="auto"/>
            </w:tcBorders>
          </w:tcPr>
          <w:p w14:paraId="4894CB1F" w14:textId="77777777" w:rsidR="00726C45" w:rsidRPr="00BD6DBC" w:rsidRDefault="00726C45" w:rsidP="00A37677">
            <w:pPr>
              <w:spacing w:before="0" w:line="240" w:lineRule="auto"/>
              <w:jc w:val="right"/>
              <w:rPr>
                <w:rFonts w:cs="Segoe UI"/>
                <w:sz w:val="16"/>
                <w:szCs w:val="16"/>
              </w:rPr>
            </w:pPr>
            <w:r>
              <w:rPr>
                <w:rFonts w:cs="Segoe UI"/>
                <w:sz w:val="16"/>
                <w:szCs w:val="16"/>
              </w:rPr>
              <w:t>-1.24*</w:t>
            </w:r>
          </w:p>
        </w:tc>
        <w:tc>
          <w:tcPr>
            <w:tcW w:w="703" w:type="dxa"/>
            <w:tcBorders>
              <w:top w:val="nil"/>
              <w:left w:val="single" w:sz="4" w:space="0" w:color="auto"/>
              <w:bottom w:val="nil"/>
              <w:right w:val="single" w:sz="4" w:space="0" w:color="auto"/>
            </w:tcBorders>
            <w:vAlign w:val="bottom"/>
          </w:tcPr>
          <w:p w14:paraId="0F413364" w14:textId="77777777" w:rsidR="00726C45" w:rsidRPr="00BD6DBC" w:rsidRDefault="00726C45" w:rsidP="00A37677">
            <w:pPr>
              <w:spacing w:before="0" w:line="240" w:lineRule="auto"/>
              <w:jc w:val="right"/>
              <w:rPr>
                <w:rFonts w:cs="Segoe UI"/>
                <w:sz w:val="16"/>
                <w:szCs w:val="16"/>
              </w:rPr>
            </w:pPr>
            <w:r>
              <w:rPr>
                <w:rFonts w:cs="Segoe UI"/>
                <w:sz w:val="16"/>
                <w:szCs w:val="16"/>
              </w:rPr>
              <w:t>-0.84*</w:t>
            </w:r>
          </w:p>
        </w:tc>
        <w:tc>
          <w:tcPr>
            <w:tcW w:w="709" w:type="dxa"/>
            <w:tcBorders>
              <w:top w:val="nil"/>
              <w:left w:val="single" w:sz="4" w:space="0" w:color="auto"/>
              <w:bottom w:val="nil"/>
              <w:right w:val="single" w:sz="4" w:space="0" w:color="auto"/>
            </w:tcBorders>
          </w:tcPr>
          <w:p w14:paraId="535D2F9C" w14:textId="77777777" w:rsidR="00726C45" w:rsidRPr="00BD6DBC" w:rsidRDefault="00726C45" w:rsidP="00A37677">
            <w:pPr>
              <w:spacing w:before="0" w:line="240" w:lineRule="auto"/>
              <w:jc w:val="right"/>
              <w:rPr>
                <w:rFonts w:cs="Segoe UI"/>
                <w:sz w:val="16"/>
                <w:szCs w:val="16"/>
              </w:rPr>
            </w:pPr>
            <w:r>
              <w:rPr>
                <w:rFonts w:cs="Segoe UI"/>
                <w:sz w:val="16"/>
                <w:szCs w:val="16"/>
              </w:rPr>
              <w:t>-0.73*</w:t>
            </w:r>
          </w:p>
        </w:tc>
        <w:tc>
          <w:tcPr>
            <w:tcW w:w="992" w:type="dxa"/>
            <w:tcBorders>
              <w:top w:val="nil"/>
              <w:left w:val="single" w:sz="4" w:space="0" w:color="auto"/>
              <w:bottom w:val="nil"/>
              <w:right w:val="single" w:sz="4" w:space="0" w:color="auto"/>
            </w:tcBorders>
          </w:tcPr>
          <w:p w14:paraId="38F85AEC" w14:textId="77777777" w:rsidR="00726C45" w:rsidRPr="00BD6DBC" w:rsidRDefault="00726C45" w:rsidP="00A37677">
            <w:pPr>
              <w:spacing w:before="0" w:line="240" w:lineRule="auto"/>
              <w:jc w:val="right"/>
              <w:rPr>
                <w:rFonts w:cs="Segoe UI"/>
                <w:sz w:val="16"/>
                <w:szCs w:val="16"/>
              </w:rPr>
            </w:pPr>
            <w:r>
              <w:rPr>
                <w:rFonts w:cs="Segoe UI"/>
                <w:sz w:val="16"/>
                <w:szCs w:val="16"/>
              </w:rPr>
              <w:t>-0.88*</w:t>
            </w:r>
          </w:p>
        </w:tc>
        <w:tc>
          <w:tcPr>
            <w:tcW w:w="993" w:type="dxa"/>
            <w:tcBorders>
              <w:top w:val="nil"/>
              <w:left w:val="single" w:sz="4" w:space="0" w:color="auto"/>
              <w:bottom w:val="nil"/>
              <w:right w:val="single" w:sz="4" w:space="0" w:color="auto"/>
            </w:tcBorders>
          </w:tcPr>
          <w:p w14:paraId="2AC4F51D" w14:textId="77777777" w:rsidR="00726C45" w:rsidRPr="00F37A41" w:rsidRDefault="00726C45" w:rsidP="00A37677">
            <w:pPr>
              <w:spacing w:before="0" w:line="240" w:lineRule="auto"/>
              <w:jc w:val="right"/>
              <w:rPr>
                <w:rFonts w:cs="Segoe UI"/>
                <w:sz w:val="16"/>
                <w:szCs w:val="16"/>
              </w:rPr>
            </w:pPr>
            <w:r>
              <w:rPr>
                <w:rFonts w:cs="Segoe UI"/>
                <w:sz w:val="16"/>
                <w:szCs w:val="16"/>
              </w:rPr>
              <w:t>-0.80*</w:t>
            </w:r>
          </w:p>
        </w:tc>
        <w:tc>
          <w:tcPr>
            <w:tcW w:w="850" w:type="dxa"/>
            <w:tcBorders>
              <w:top w:val="nil"/>
              <w:left w:val="single" w:sz="4" w:space="0" w:color="auto"/>
              <w:bottom w:val="nil"/>
              <w:right w:val="single" w:sz="4" w:space="0" w:color="auto"/>
            </w:tcBorders>
          </w:tcPr>
          <w:p w14:paraId="60FC2A28" w14:textId="77777777" w:rsidR="00726C45" w:rsidRPr="00F37A41" w:rsidRDefault="00726C45" w:rsidP="00A37677">
            <w:pPr>
              <w:spacing w:before="0" w:line="240" w:lineRule="auto"/>
              <w:jc w:val="right"/>
              <w:rPr>
                <w:rFonts w:cs="Segoe UI"/>
                <w:sz w:val="16"/>
                <w:szCs w:val="16"/>
              </w:rPr>
            </w:pPr>
            <w:r>
              <w:rPr>
                <w:rFonts w:cs="Segoe UI"/>
                <w:sz w:val="16"/>
                <w:szCs w:val="16"/>
              </w:rPr>
              <w:t>-0.88*</w:t>
            </w:r>
          </w:p>
        </w:tc>
        <w:tc>
          <w:tcPr>
            <w:tcW w:w="709" w:type="dxa"/>
            <w:tcBorders>
              <w:top w:val="nil"/>
              <w:left w:val="single" w:sz="4" w:space="0" w:color="auto"/>
              <w:bottom w:val="nil"/>
              <w:right w:val="single" w:sz="4" w:space="0" w:color="auto"/>
            </w:tcBorders>
          </w:tcPr>
          <w:p w14:paraId="44EA2B74" w14:textId="77777777" w:rsidR="00726C45" w:rsidRPr="00F37A41" w:rsidRDefault="00726C45" w:rsidP="00A37677">
            <w:pPr>
              <w:spacing w:before="0" w:line="240" w:lineRule="auto"/>
              <w:jc w:val="right"/>
              <w:rPr>
                <w:rFonts w:cs="Segoe UI"/>
                <w:sz w:val="16"/>
                <w:szCs w:val="16"/>
              </w:rPr>
            </w:pPr>
            <w:r>
              <w:rPr>
                <w:rFonts w:cs="Segoe UI"/>
                <w:sz w:val="16"/>
                <w:szCs w:val="16"/>
              </w:rPr>
              <w:t>-0.82*</w:t>
            </w:r>
          </w:p>
        </w:tc>
        <w:tc>
          <w:tcPr>
            <w:tcW w:w="709" w:type="dxa"/>
            <w:tcBorders>
              <w:top w:val="nil"/>
              <w:left w:val="single" w:sz="4" w:space="0" w:color="auto"/>
              <w:bottom w:val="nil"/>
              <w:right w:val="single" w:sz="4" w:space="0" w:color="auto"/>
            </w:tcBorders>
          </w:tcPr>
          <w:p w14:paraId="6691E2B2" w14:textId="77777777" w:rsidR="00726C45" w:rsidRDefault="00726C45" w:rsidP="00A37677">
            <w:pPr>
              <w:spacing w:before="0" w:line="240" w:lineRule="auto"/>
              <w:jc w:val="right"/>
              <w:rPr>
                <w:rFonts w:cs="Segoe UI"/>
                <w:sz w:val="16"/>
                <w:szCs w:val="16"/>
              </w:rPr>
            </w:pPr>
            <w:r>
              <w:rPr>
                <w:rFonts w:cs="Segoe UI"/>
                <w:sz w:val="16"/>
                <w:szCs w:val="16"/>
              </w:rPr>
              <w:t>-1.16*</w:t>
            </w:r>
          </w:p>
        </w:tc>
        <w:tc>
          <w:tcPr>
            <w:tcW w:w="854" w:type="dxa"/>
            <w:tcBorders>
              <w:top w:val="nil"/>
              <w:left w:val="single" w:sz="4" w:space="0" w:color="auto"/>
              <w:bottom w:val="nil"/>
              <w:right w:val="single" w:sz="4" w:space="0" w:color="auto"/>
            </w:tcBorders>
          </w:tcPr>
          <w:p w14:paraId="05B2B38A" w14:textId="77777777" w:rsidR="00726C45" w:rsidRDefault="00726C45" w:rsidP="00A37677">
            <w:pPr>
              <w:spacing w:before="0" w:line="240" w:lineRule="auto"/>
              <w:jc w:val="right"/>
              <w:rPr>
                <w:rFonts w:cs="Segoe UI"/>
                <w:sz w:val="16"/>
                <w:szCs w:val="16"/>
              </w:rPr>
            </w:pPr>
            <w:r>
              <w:rPr>
                <w:rFonts w:cs="Segoe UI"/>
                <w:sz w:val="16"/>
                <w:szCs w:val="16"/>
              </w:rPr>
              <w:t>-0.66*</w:t>
            </w:r>
          </w:p>
        </w:tc>
      </w:tr>
      <w:tr w:rsidR="00726C45" w:rsidRPr="00BD6DBC" w14:paraId="115869EC" w14:textId="77777777" w:rsidTr="00A37677">
        <w:tc>
          <w:tcPr>
            <w:tcW w:w="1418" w:type="dxa"/>
            <w:tcBorders>
              <w:top w:val="nil"/>
              <w:left w:val="single" w:sz="4" w:space="0" w:color="auto"/>
              <w:bottom w:val="nil"/>
              <w:right w:val="single" w:sz="4" w:space="0" w:color="auto"/>
            </w:tcBorders>
            <w:vAlign w:val="bottom"/>
          </w:tcPr>
          <w:p w14:paraId="5EAFDF63" w14:textId="77777777" w:rsidR="00726C45" w:rsidRPr="00BD6DBC" w:rsidRDefault="00726C45" w:rsidP="00A37677">
            <w:pPr>
              <w:spacing w:before="0" w:line="240" w:lineRule="auto"/>
              <w:rPr>
                <w:rFonts w:eastAsia="Times New Roman" w:cs="Segoe UI"/>
                <w:sz w:val="16"/>
                <w:szCs w:val="16"/>
              </w:rPr>
            </w:pPr>
            <w:r>
              <w:rPr>
                <w:rFonts w:eastAsia="Times New Roman" w:cs="Segoe UI"/>
                <w:sz w:val="16"/>
                <w:szCs w:val="16"/>
              </w:rPr>
              <w:t xml:space="preserve">  Higher</w:t>
            </w:r>
          </w:p>
        </w:tc>
        <w:tc>
          <w:tcPr>
            <w:tcW w:w="709" w:type="dxa"/>
            <w:tcBorders>
              <w:top w:val="nil"/>
              <w:left w:val="single" w:sz="4" w:space="0" w:color="auto"/>
              <w:bottom w:val="nil"/>
              <w:right w:val="single" w:sz="4" w:space="0" w:color="auto"/>
            </w:tcBorders>
          </w:tcPr>
          <w:p w14:paraId="1C19B9A0" w14:textId="77777777" w:rsidR="00726C45" w:rsidRPr="00BD6DBC" w:rsidRDefault="00726C45" w:rsidP="00A37677">
            <w:pPr>
              <w:spacing w:before="0" w:line="240" w:lineRule="auto"/>
              <w:jc w:val="right"/>
              <w:rPr>
                <w:rFonts w:cs="Segoe UI"/>
                <w:sz w:val="16"/>
                <w:szCs w:val="16"/>
              </w:rPr>
            </w:pPr>
            <w:r>
              <w:rPr>
                <w:rFonts w:cs="Segoe UI"/>
                <w:sz w:val="16"/>
                <w:szCs w:val="16"/>
              </w:rPr>
              <w:t>-1.57*</w:t>
            </w:r>
          </w:p>
        </w:tc>
        <w:tc>
          <w:tcPr>
            <w:tcW w:w="708" w:type="dxa"/>
            <w:tcBorders>
              <w:top w:val="nil"/>
              <w:left w:val="single" w:sz="4" w:space="0" w:color="auto"/>
              <w:bottom w:val="nil"/>
              <w:right w:val="single" w:sz="4" w:space="0" w:color="auto"/>
            </w:tcBorders>
          </w:tcPr>
          <w:p w14:paraId="21F2EEBE" w14:textId="77777777" w:rsidR="00726C45" w:rsidRPr="00BD6DBC" w:rsidRDefault="00726C45" w:rsidP="00A37677">
            <w:pPr>
              <w:spacing w:before="0" w:line="240" w:lineRule="auto"/>
              <w:jc w:val="right"/>
              <w:rPr>
                <w:rFonts w:cs="Segoe UI"/>
                <w:sz w:val="16"/>
                <w:szCs w:val="16"/>
              </w:rPr>
            </w:pPr>
            <w:r>
              <w:rPr>
                <w:rFonts w:cs="Segoe UI"/>
                <w:sz w:val="16"/>
                <w:szCs w:val="16"/>
              </w:rPr>
              <w:t>-1.80*</w:t>
            </w:r>
          </w:p>
        </w:tc>
        <w:tc>
          <w:tcPr>
            <w:tcW w:w="993" w:type="dxa"/>
            <w:tcBorders>
              <w:top w:val="nil"/>
              <w:left w:val="single" w:sz="4" w:space="0" w:color="auto"/>
              <w:bottom w:val="nil"/>
              <w:right w:val="single" w:sz="4" w:space="0" w:color="auto"/>
            </w:tcBorders>
          </w:tcPr>
          <w:p w14:paraId="7FBDAAAA" w14:textId="77777777" w:rsidR="00726C45" w:rsidRPr="00BD6DBC" w:rsidRDefault="00726C45" w:rsidP="00A37677">
            <w:pPr>
              <w:spacing w:before="0" w:line="240" w:lineRule="auto"/>
              <w:jc w:val="right"/>
              <w:rPr>
                <w:rFonts w:cs="Segoe UI"/>
                <w:sz w:val="16"/>
                <w:szCs w:val="16"/>
              </w:rPr>
            </w:pPr>
            <w:r>
              <w:rPr>
                <w:rFonts w:cs="Segoe UI"/>
                <w:sz w:val="16"/>
                <w:szCs w:val="16"/>
              </w:rPr>
              <w:t>-1.98*</w:t>
            </w:r>
          </w:p>
        </w:tc>
        <w:tc>
          <w:tcPr>
            <w:tcW w:w="703" w:type="dxa"/>
            <w:tcBorders>
              <w:top w:val="nil"/>
              <w:left w:val="single" w:sz="4" w:space="0" w:color="auto"/>
              <w:bottom w:val="nil"/>
              <w:right w:val="single" w:sz="4" w:space="0" w:color="auto"/>
            </w:tcBorders>
            <w:vAlign w:val="bottom"/>
          </w:tcPr>
          <w:p w14:paraId="2A492C14" w14:textId="77777777" w:rsidR="00726C45" w:rsidRPr="00BD6DBC" w:rsidRDefault="00726C45" w:rsidP="00A37677">
            <w:pPr>
              <w:spacing w:before="0" w:line="240" w:lineRule="auto"/>
              <w:jc w:val="right"/>
              <w:rPr>
                <w:rFonts w:cs="Segoe UI"/>
                <w:sz w:val="16"/>
                <w:szCs w:val="16"/>
              </w:rPr>
            </w:pPr>
            <w:r>
              <w:rPr>
                <w:rFonts w:cs="Segoe UI"/>
                <w:sz w:val="16"/>
                <w:szCs w:val="16"/>
              </w:rPr>
              <w:t>-1.97*</w:t>
            </w:r>
          </w:p>
        </w:tc>
        <w:tc>
          <w:tcPr>
            <w:tcW w:w="709" w:type="dxa"/>
            <w:tcBorders>
              <w:top w:val="nil"/>
              <w:left w:val="single" w:sz="4" w:space="0" w:color="auto"/>
              <w:bottom w:val="nil"/>
              <w:right w:val="single" w:sz="4" w:space="0" w:color="auto"/>
            </w:tcBorders>
          </w:tcPr>
          <w:p w14:paraId="542CB988" w14:textId="77777777" w:rsidR="00726C45" w:rsidRPr="00BD6DBC" w:rsidRDefault="00726C45" w:rsidP="00A37677">
            <w:pPr>
              <w:spacing w:before="0" w:line="240" w:lineRule="auto"/>
              <w:jc w:val="right"/>
              <w:rPr>
                <w:rFonts w:cs="Segoe UI"/>
                <w:sz w:val="16"/>
                <w:szCs w:val="16"/>
              </w:rPr>
            </w:pPr>
            <w:r>
              <w:rPr>
                <w:rFonts w:cs="Segoe UI"/>
                <w:sz w:val="16"/>
                <w:szCs w:val="16"/>
              </w:rPr>
              <w:t>-1.88*</w:t>
            </w:r>
          </w:p>
        </w:tc>
        <w:tc>
          <w:tcPr>
            <w:tcW w:w="992" w:type="dxa"/>
            <w:tcBorders>
              <w:top w:val="nil"/>
              <w:left w:val="single" w:sz="4" w:space="0" w:color="auto"/>
              <w:bottom w:val="nil"/>
              <w:right w:val="single" w:sz="4" w:space="0" w:color="auto"/>
            </w:tcBorders>
          </w:tcPr>
          <w:p w14:paraId="52D66E12" w14:textId="77777777" w:rsidR="00726C45" w:rsidRPr="00BD6DBC" w:rsidRDefault="00726C45" w:rsidP="00A37677">
            <w:pPr>
              <w:spacing w:before="0" w:line="240" w:lineRule="auto"/>
              <w:jc w:val="right"/>
              <w:rPr>
                <w:rFonts w:cs="Segoe UI"/>
                <w:sz w:val="16"/>
                <w:szCs w:val="16"/>
              </w:rPr>
            </w:pPr>
            <w:r>
              <w:rPr>
                <w:rFonts w:cs="Segoe UI"/>
                <w:sz w:val="16"/>
                <w:szCs w:val="16"/>
              </w:rPr>
              <w:t>-2.02*</w:t>
            </w:r>
          </w:p>
        </w:tc>
        <w:tc>
          <w:tcPr>
            <w:tcW w:w="993" w:type="dxa"/>
            <w:tcBorders>
              <w:top w:val="nil"/>
              <w:left w:val="single" w:sz="4" w:space="0" w:color="auto"/>
              <w:bottom w:val="nil"/>
              <w:right w:val="single" w:sz="4" w:space="0" w:color="auto"/>
            </w:tcBorders>
          </w:tcPr>
          <w:p w14:paraId="07499650" w14:textId="77777777" w:rsidR="00726C45" w:rsidRPr="00F37A41" w:rsidRDefault="00726C45" w:rsidP="00A37677">
            <w:pPr>
              <w:spacing w:before="0" w:line="240" w:lineRule="auto"/>
              <w:jc w:val="right"/>
              <w:rPr>
                <w:rFonts w:cs="Segoe UI"/>
                <w:sz w:val="16"/>
                <w:szCs w:val="16"/>
              </w:rPr>
            </w:pPr>
            <w:r>
              <w:rPr>
                <w:rFonts w:cs="Segoe UI"/>
                <w:sz w:val="16"/>
                <w:szCs w:val="16"/>
              </w:rPr>
              <w:t>-1.76*</w:t>
            </w:r>
          </w:p>
        </w:tc>
        <w:tc>
          <w:tcPr>
            <w:tcW w:w="850" w:type="dxa"/>
            <w:tcBorders>
              <w:top w:val="nil"/>
              <w:left w:val="single" w:sz="4" w:space="0" w:color="auto"/>
              <w:bottom w:val="nil"/>
              <w:right w:val="single" w:sz="4" w:space="0" w:color="auto"/>
            </w:tcBorders>
          </w:tcPr>
          <w:p w14:paraId="2D183283" w14:textId="77777777" w:rsidR="00726C45" w:rsidRPr="00F37A41" w:rsidRDefault="00726C45" w:rsidP="00A37677">
            <w:pPr>
              <w:spacing w:before="0" w:line="240" w:lineRule="auto"/>
              <w:jc w:val="right"/>
              <w:rPr>
                <w:rFonts w:cs="Segoe UI"/>
                <w:sz w:val="16"/>
                <w:szCs w:val="16"/>
              </w:rPr>
            </w:pPr>
            <w:r>
              <w:rPr>
                <w:rFonts w:cs="Segoe UI"/>
                <w:sz w:val="16"/>
                <w:szCs w:val="16"/>
              </w:rPr>
              <w:t>-1.82*</w:t>
            </w:r>
          </w:p>
        </w:tc>
        <w:tc>
          <w:tcPr>
            <w:tcW w:w="709" w:type="dxa"/>
            <w:tcBorders>
              <w:top w:val="nil"/>
              <w:left w:val="single" w:sz="4" w:space="0" w:color="auto"/>
              <w:bottom w:val="nil"/>
              <w:right w:val="single" w:sz="4" w:space="0" w:color="auto"/>
            </w:tcBorders>
          </w:tcPr>
          <w:p w14:paraId="14568EF4" w14:textId="77777777" w:rsidR="00726C45" w:rsidRPr="00F37A41" w:rsidRDefault="00726C45" w:rsidP="00A37677">
            <w:pPr>
              <w:spacing w:before="0" w:line="240" w:lineRule="auto"/>
              <w:jc w:val="right"/>
              <w:rPr>
                <w:rFonts w:cs="Segoe UI"/>
                <w:sz w:val="16"/>
                <w:szCs w:val="16"/>
              </w:rPr>
            </w:pPr>
            <w:r>
              <w:rPr>
                <w:rFonts w:cs="Segoe UI"/>
                <w:sz w:val="16"/>
                <w:szCs w:val="16"/>
              </w:rPr>
              <w:t>-1.46*</w:t>
            </w:r>
          </w:p>
        </w:tc>
        <w:tc>
          <w:tcPr>
            <w:tcW w:w="709" w:type="dxa"/>
            <w:tcBorders>
              <w:top w:val="nil"/>
              <w:left w:val="single" w:sz="4" w:space="0" w:color="auto"/>
              <w:bottom w:val="nil"/>
              <w:right w:val="single" w:sz="4" w:space="0" w:color="auto"/>
            </w:tcBorders>
          </w:tcPr>
          <w:p w14:paraId="57B6E56E" w14:textId="77777777" w:rsidR="00726C45" w:rsidRDefault="00726C45" w:rsidP="00A37677">
            <w:pPr>
              <w:spacing w:before="0" w:line="240" w:lineRule="auto"/>
              <w:jc w:val="right"/>
              <w:rPr>
                <w:rFonts w:cs="Segoe UI"/>
                <w:sz w:val="16"/>
                <w:szCs w:val="16"/>
              </w:rPr>
            </w:pPr>
            <w:r>
              <w:rPr>
                <w:rFonts w:cs="Segoe UI"/>
                <w:sz w:val="16"/>
                <w:szCs w:val="16"/>
              </w:rPr>
              <w:t>-2.39*</w:t>
            </w:r>
          </w:p>
        </w:tc>
        <w:tc>
          <w:tcPr>
            <w:tcW w:w="854" w:type="dxa"/>
            <w:tcBorders>
              <w:top w:val="nil"/>
              <w:left w:val="single" w:sz="4" w:space="0" w:color="auto"/>
              <w:bottom w:val="nil"/>
              <w:right w:val="single" w:sz="4" w:space="0" w:color="auto"/>
            </w:tcBorders>
          </w:tcPr>
          <w:p w14:paraId="1E8C8F0B" w14:textId="77777777" w:rsidR="00726C45" w:rsidRDefault="00726C45" w:rsidP="00A37677">
            <w:pPr>
              <w:spacing w:before="0" w:line="240" w:lineRule="auto"/>
              <w:jc w:val="right"/>
              <w:rPr>
                <w:rFonts w:cs="Segoe UI"/>
                <w:sz w:val="16"/>
                <w:szCs w:val="16"/>
              </w:rPr>
            </w:pPr>
            <w:r>
              <w:rPr>
                <w:rFonts w:cs="Segoe UI"/>
                <w:sz w:val="16"/>
                <w:szCs w:val="16"/>
              </w:rPr>
              <w:t>-1.41*</w:t>
            </w:r>
          </w:p>
        </w:tc>
      </w:tr>
      <w:tr w:rsidR="00726C45" w:rsidRPr="00BD6DBC" w14:paraId="2069E316" w14:textId="77777777" w:rsidTr="00A37677">
        <w:tc>
          <w:tcPr>
            <w:tcW w:w="1418" w:type="dxa"/>
            <w:tcBorders>
              <w:top w:val="nil"/>
              <w:left w:val="single" w:sz="4" w:space="0" w:color="auto"/>
              <w:bottom w:val="nil"/>
              <w:right w:val="single" w:sz="4" w:space="0" w:color="auto"/>
            </w:tcBorders>
            <w:vAlign w:val="bottom"/>
          </w:tcPr>
          <w:p w14:paraId="07E43CCF" w14:textId="77777777" w:rsidR="00726C45" w:rsidRDefault="00726C45" w:rsidP="00A37677">
            <w:pPr>
              <w:spacing w:before="0" w:line="240" w:lineRule="auto"/>
              <w:rPr>
                <w:rFonts w:eastAsia="Times New Roman" w:cs="Segoe UI"/>
                <w:sz w:val="16"/>
                <w:szCs w:val="16"/>
              </w:rPr>
            </w:pPr>
          </w:p>
          <w:p w14:paraId="59FD7BE8" w14:textId="77777777" w:rsidR="00726C45" w:rsidRPr="000F389F" w:rsidRDefault="00726C45" w:rsidP="00A37677">
            <w:pPr>
              <w:spacing w:before="0" w:line="240" w:lineRule="auto"/>
              <w:rPr>
                <w:rFonts w:eastAsia="Times New Roman" w:cs="Segoe UI"/>
                <w:sz w:val="16"/>
                <w:szCs w:val="16"/>
                <w:vertAlign w:val="superscript"/>
              </w:rPr>
            </w:pPr>
            <w:r>
              <w:rPr>
                <w:rFonts w:eastAsia="Times New Roman" w:cs="Segoe UI"/>
                <w:sz w:val="16"/>
                <w:szCs w:val="16"/>
              </w:rPr>
              <w:t>Pseudo-R</w:t>
            </w:r>
            <w:r>
              <w:rPr>
                <w:rFonts w:eastAsia="Times New Roman" w:cs="Segoe UI"/>
                <w:sz w:val="16"/>
                <w:szCs w:val="16"/>
                <w:vertAlign w:val="superscript"/>
              </w:rPr>
              <w:t>2</w:t>
            </w:r>
          </w:p>
        </w:tc>
        <w:tc>
          <w:tcPr>
            <w:tcW w:w="709" w:type="dxa"/>
            <w:tcBorders>
              <w:top w:val="nil"/>
              <w:left w:val="single" w:sz="4" w:space="0" w:color="auto"/>
              <w:bottom w:val="nil"/>
              <w:right w:val="single" w:sz="4" w:space="0" w:color="auto"/>
            </w:tcBorders>
          </w:tcPr>
          <w:p w14:paraId="6C8761A6" w14:textId="77777777" w:rsidR="00726C45" w:rsidRDefault="00726C45" w:rsidP="00A37677">
            <w:pPr>
              <w:spacing w:before="0" w:line="240" w:lineRule="auto"/>
              <w:jc w:val="right"/>
              <w:rPr>
                <w:rFonts w:cs="Segoe UI"/>
                <w:sz w:val="16"/>
                <w:szCs w:val="16"/>
              </w:rPr>
            </w:pPr>
          </w:p>
          <w:p w14:paraId="20BA0C80" w14:textId="77777777" w:rsidR="00726C45" w:rsidRPr="00BD6DBC" w:rsidRDefault="00726C45" w:rsidP="00A37677">
            <w:pPr>
              <w:spacing w:before="0" w:line="240" w:lineRule="auto"/>
              <w:jc w:val="right"/>
              <w:rPr>
                <w:rFonts w:cs="Segoe UI"/>
                <w:sz w:val="16"/>
                <w:szCs w:val="16"/>
              </w:rPr>
            </w:pPr>
            <w:r>
              <w:rPr>
                <w:rFonts w:cs="Segoe UI"/>
                <w:sz w:val="16"/>
                <w:szCs w:val="16"/>
              </w:rPr>
              <w:t>0.08</w:t>
            </w:r>
          </w:p>
        </w:tc>
        <w:tc>
          <w:tcPr>
            <w:tcW w:w="708" w:type="dxa"/>
            <w:tcBorders>
              <w:top w:val="nil"/>
              <w:left w:val="single" w:sz="4" w:space="0" w:color="auto"/>
              <w:bottom w:val="nil"/>
              <w:right w:val="single" w:sz="4" w:space="0" w:color="auto"/>
            </w:tcBorders>
          </w:tcPr>
          <w:p w14:paraId="1C7E5342" w14:textId="77777777" w:rsidR="00726C45" w:rsidRDefault="00726C45" w:rsidP="00A37677">
            <w:pPr>
              <w:spacing w:before="0" w:line="240" w:lineRule="auto"/>
              <w:jc w:val="right"/>
              <w:rPr>
                <w:rFonts w:cs="Segoe UI"/>
                <w:sz w:val="16"/>
                <w:szCs w:val="16"/>
              </w:rPr>
            </w:pPr>
          </w:p>
          <w:p w14:paraId="354CCCC4" w14:textId="77777777" w:rsidR="00726C45" w:rsidRPr="00BD6DBC" w:rsidRDefault="00726C45" w:rsidP="00A37677">
            <w:pPr>
              <w:spacing w:before="0" w:line="240" w:lineRule="auto"/>
              <w:jc w:val="right"/>
              <w:rPr>
                <w:rFonts w:cs="Segoe UI"/>
                <w:sz w:val="16"/>
                <w:szCs w:val="16"/>
              </w:rPr>
            </w:pPr>
            <w:r>
              <w:rPr>
                <w:rFonts w:cs="Segoe UI"/>
                <w:sz w:val="16"/>
                <w:szCs w:val="16"/>
              </w:rPr>
              <w:t>0.09</w:t>
            </w:r>
          </w:p>
        </w:tc>
        <w:tc>
          <w:tcPr>
            <w:tcW w:w="993" w:type="dxa"/>
            <w:tcBorders>
              <w:top w:val="nil"/>
              <w:left w:val="single" w:sz="4" w:space="0" w:color="auto"/>
              <w:bottom w:val="nil"/>
              <w:right w:val="single" w:sz="4" w:space="0" w:color="auto"/>
            </w:tcBorders>
          </w:tcPr>
          <w:p w14:paraId="5E58411C" w14:textId="77777777" w:rsidR="00726C45" w:rsidRDefault="00726C45" w:rsidP="00A37677">
            <w:pPr>
              <w:spacing w:before="0" w:line="240" w:lineRule="auto"/>
              <w:jc w:val="right"/>
              <w:rPr>
                <w:rFonts w:cs="Segoe UI"/>
                <w:sz w:val="16"/>
                <w:szCs w:val="16"/>
              </w:rPr>
            </w:pPr>
          </w:p>
          <w:p w14:paraId="7AC6BB11" w14:textId="77777777" w:rsidR="00726C45" w:rsidRPr="00BD6DBC" w:rsidRDefault="00726C45" w:rsidP="00A37677">
            <w:pPr>
              <w:spacing w:before="0" w:line="240" w:lineRule="auto"/>
              <w:jc w:val="right"/>
              <w:rPr>
                <w:rFonts w:cs="Segoe UI"/>
                <w:sz w:val="16"/>
                <w:szCs w:val="16"/>
              </w:rPr>
            </w:pPr>
            <w:r>
              <w:rPr>
                <w:rFonts w:cs="Segoe UI"/>
                <w:sz w:val="16"/>
                <w:szCs w:val="16"/>
              </w:rPr>
              <w:t>0.10</w:t>
            </w:r>
          </w:p>
        </w:tc>
        <w:tc>
          <w:tcPr>
            <w:tcW w:w="703" w:type="dxa"/>
            <w:tcBorders>
              <w:top w:val="nil"/>
              <w:left w:val="single" w:sz="4" w:space="0" w:color="auto"/>
              <w:bottom w:val="nil"/>
              <w:right w:val="single" w:sz="4" w:space="0" w:color="auto"/>
            </w:tcBorders>
            <w:vAlign w:val="bottom"/>
          </w:tcPr>
          <w:p w14:paraId="35036A98" w14:textId="77777777" w:rsidR="00726C45" w:rsidRPr="00BD6DBC" w:rsidRDefault="00726C45" w:rsidP="00A37677">
            <w:pPr>
              <w:spacing w:before="0" w:line="240" w:lineRule="auto"/>
              <w:jc w:val="right"/>
              <w:rPr>
                <w:rFonts w:cs="Segoe UI"/>
                <w:sz w:val="16"/>
                <w:szCs w:val="16"/>
              </w:rPr>
            </w:pPr>
            <w:r>
              <w:rPr>
                <w:rFonts w:cs="Segoe UI"/>
                <w:sz w:val="16"/>
                <w:szCs w:val="16"/>
              </w:rPr>
              <w:t>0.09</w:t>
            </w:r>
          </w:p>
        </w:tc>
        <w:tc>
          <w:tcPr>
            <w:tcW w:w="709" w:type="dxa"/>
            <w:tcBorders>
              <w:top w:val="nil"/>
              <w:left w:val="single" w:sz="4" w:space="0" w:color="auto"/>
              <w:bottom w:val="nil"/>
              <w:right w:val="single" w:sz="4" w:space="0" w:color="auto"/>
            </w:tcBorders>
          </w:tcPr>
          <w:p w14:paraId="5F1D26F4" w14:textId="77777777" w:rsidR="00726C45" w:rsidRDefault="00726C45" w:rsidP="00A37677">
            <w:pPr>
              <w:spacing w:before="0" w:line="240" w:lineRule="auto"/>
              <w:jc w:val="right"/>
              <w:rPr>
                <w:rFonts w:cs="Segoe UI"/>
                <w:sz w:val="16"/>
                <w:szCs w:val="16"/>
              </w:rPr>
            </w:pPr>
          </w:p>
          <w:p w14:paraId="7C6C4165" w14:textId="77777777" w:rsidR="00726C45" w:rsidRPr="00BD6DBC" w:rsidRDefault="00726C45" w:rsidP="00A37677">
            <w:pPr>
              <w:spacing w:before="0" w:line="240" w:lineRule="auto"/>
              <w:jc w:val="right"/>
              <w:rPr>
                <w:rFonts w:cs="Segoe UI"/>
                <w:sz w:val="16"/>
                <w:szCs w:val="16"/>
              </w:rPr>
            </w:pPr>
            <w:r>
              <w:rPr>
                <w:rFonts w:cs="Segoe UI"/>
                <w:sz w:val="16"/>
                <w:szCs w:val="16"/>
              </w:rPr>
              <w:t>0.09</w:t>
            </w:r>
          </w:p>
        </w:tc>
        <w:tc>
          <w:tcPr>
            <w:tcW w:w="992" w:type="dxa"/>
            <w:tcBorders>
              <w:top w:val="nil"/>
              <w:left w:val="single" w:sz="4" w:space="0" w:color="auto"/>
              <w:bottom w:val="nil"/>
              <w:right w:val="single" w:sz="4" w:space="0" w:color="auto"/>
            </w:tcBorders>
          </w:tcPr>
          <w:p w14:paraId="6015A8F7" w14:textId="77777777" w:rsidR="00726C45" w:rsidRDefault="00726C45" w:rsidP="00A37677">
            <w:pPr>
              <w:spacing w:before="0" w:line="240" w:lineRule="auto"/>
              <w:jc w:val="right"/>
              <w:rPr>
                <w:rFonts w:cs="Segoe UI"/>
                <w:sz w:val="16"/>
                <w:szCs w:val="16"/>
              </w:rPr>
            </w:pPr>
          </w:p>
          <w:p w14:paraId="39FFED83" w14:textId="77777777" w:rsidR="00726C45" w:rsidRPr="00BD6DBC" w:rsidRDefault="00726C45" w:rsidP="00A37677">
            <w:pPr>
              <w:spacing w:before="0" w:line="240" w:lineRule="auto"/>
              <w:jc w:val="right"/>
              <w:rPr>
                <w:rFonts w:cs="Segoe UI"/>
                <w:sz w:val="16"/>
                <w:szCs w:val="16"/>
              </w:rPr>
            </w:pPr>
            <w:r>
              <w:rPr>
                <w:rFonts w:cs="Segoe UI"/>
                <w:sz w:val="16"/>
                <w:szCs w:val="16"/>
              </w:rPr>
              <w:t>0.09</w:t>
            </w:r>
          </w:p>
        </w:tc>
        <w:tc>
          <w:tcPr>
            <w:tcW w:w="993" w:type="dxa"/>
            <w:tcBorders>
              <w:top w:val="nil"/>
              <w:left w:val="single" w:sz="4" w:space="0" w:color="auto"/>
              <w:bottom w:val="nil"/>
              <w:right w:val="single" w:sz="4" w:space="0" w:color="auto"/>
            </w:tcBorders>
          </w:tcPr>
          <w:p w14:paraId="2A479601" w14:textId="77777777" w:rsidR="00726C45" w:rsidRDefault="00726C45" w:rsidP="00A37677">
            <w:pPr>
              <w:spacing w:before="0" w:line="240" w:lineRule="auto"/>
              <w:jc w:val="right"/>
              <w:rPr>
                <w:rFonts w:cs="Segoe UI"/>
                <w:sz w:val="16"/>
                <w:szCs w:val="16"/>
              </w:rPr>
            </w:pPr>
          </w:p>
          <w:p w14:paraId="17526EEB" w14:textId="77777777" w:rsidR="00726C45" w:rsidRPr="00F37A41" w:rsidRDefault="00726C45" w:rsidP="00A37677">
            <w:pPr>
              <w:spacing w:before="0" w:line="240" w:lineRule="auto"/>
              <w:jc w:val="right"/>
              <w:rPr>
                <w:rFonts w:cs="Segoe UI"/>
                <w:sz w:val="16"/>
                <w:szCs w:val="16"/>
              </w:rPr>
            </w:pPr>
            <w:r>
              <w:rPr>
                <w:rFonts w:cs="Segoe UI"/>
                <w:sz w:val="16"/>
                <w:szCs w:val="16"/>
              </w:rPr>
              <w:t>0.08</w:t>
            </w:r>
          </w:p>
        </w:tc>
        <w:tc>
          <w:tcPr>
            <w:tcW w:w="850" w:type="dxa"/>
            <w:tcBorders>
              <w:top w:val="nil"/>
              <w:left w:val="single" w:sz="4" w:space="0" w:color="auto"/>
              <w:bottom w:val="nil"/>
              <w:right w:val="single" w:sz="4" w:space="0" w:color="auto"/>
            </w:tcBorders>
          </w:tcPr>
          <w:p w14:paraId="5075FCF2" w14:textId="77777777" w:rsidR="00726C45" w:rsidRDefault="00726C45" w:rsidP="00A37677">
            <w:pPr>
              <w:spacing w:before="0" w:line="240" w:lineRule="auto"/>
              <w:jc w:val="right"/>
              <w:rPr>
                <w:rFonts w:cs="Segoe UI"/>
                <w:sz w:val="16"/>
                <w:szCs w:val="16"/>
              </w:rPr>
            </w:pPr>
          </w:p>
          <w:p w14:paraId="5975A601" w14:textId="77777777" w:rsidR="00726C45" w:rsidRPr="00F37A41" w:rsidRDefault="00726C45" w:rsidP="00A37677">
            <w:pPr>
              <w:spacing w:before="0" w:line="240" w:lineRule="auto"/>
              <w:jc w:val="right"/>
              <w:rPr>
                <w:rFonts w:cs="Segoe UI"/>
                <w:sz w:val="16"/>
                <w:szCs w:val="16"/>
              </w:rPr>
            </w:pPr>
            <w:r>
              <w:rPr>
                <w:rFonts w:cs="Segoe UI"/>
                <w:sz w:val="16"/>
                <w:szCs w:val="16"/>
              </w:rPr>
              <w:t>0.09</w:t>
            </w:r>
          </w:p>
        </w:tc>
        <w:tc>
          <w:tcPr>
            <w:tcW w:w="709" w:type="dxa"/>
            <w:tcBorders>
              <w:top w:val="nil"/>
              <w:left w:val="single" w:sz="4" w:space="0" w:color="auto"/>
              <w:bottom w:val="nil"/>
              <w:right w:val="single" w:sz="4" w:space="0" w:color="auto"/>
            </w:tcBorders>
          </w:tcPr>
          <w:p w14:paraId="116E6941" w14:textId="77777777" w:rsidR="00726C45" w:rsidRDefault="00726C45" w:rsidP="00A37677">
            <w:pPr>
              <w:spacing w:before="0" w:line="240" w:lineRule="auto"/>
              <w:jc w:val="center"/>
              <w:rPr>
                <w:rFonts w:cs="Segoe UI"/>
                <w:sz w:val="16"/>
                <w:szCs w:val="16"/>
              </w:rPr>
            </w:pPr>
          </w:p>
          <w:p w14:paraId="53C8A3E0" w14:textId="77777777" w:rsidR="00726C45" w:rsidRPr="00F37A41" w:rsidRDefault="00726C45" w:rsidP="00A37677">
            <w:pPr>
              <w:spacing w:before="0" w:line="240" w:lineRule="auto"/>
              <w:jc w:val="right"/>
              <w:rPr>
                <w:rFonts w:cs="Segoe UI"/>
                <w:sz w:val="16"/>
                <w:szCs w:val="16"/>
              </w:rPr>
            </w:pPr>
            <w:r>
              <w:rPr>
                <w:rFonts w:cs="Segoe UI"/>
                <w:sz w:val="16"/>
                <w:szCs w:val="16"/>
              </w:rPr>
              <w:t>0.07</w:t>
            </w:r>
          </w:p>
        </w:tc>
        <w:tc>
          <w:tcPr>
            <w:tcW w:w="709" w:type="dxa"/>
            <w:tcBorders>
              <w:top w:val="nil"/>
              <w:left w:val="single" w:sz="4" w:space="0" w:color="auto"/>
              <w:bottom w:val="nil"/>
              <w:right w:val="single" w:sz="4" w:space="0" w:color="auto"/>
            </w:tcBorders>
          </w:tcPr>
          <w:p w14:paraId="5343AA3B" w14:textId="77777777" w:rsidR="00726C45" w:rsidRDefault="00726C45" w:rsidP="00A37677">
            <w:pPr>
              <w:spacing w:before="0" w:line="240" w:lineRule="auto"/>
              <w:jc w:val="right"/>
              <w:rPr>
                <w:rFonts w:cs="Segoe UI"/>
                <w:sz w:val="16"/>
                <w:szCs w:val="16"/>
              </w:rPr>
            </w:pPr>
          </w:p>
          <w:p w14:paraId="65E67BD0" w14:textId="77777777" w:rsidR="00726C45" w:rsidRDefault="00726C45" w:rsidP="00A37677">
            <w:pPr>
              <w:spacing w:before="0" w:line="240" w:lineRule="auto"/>
              <w:jc w:val="right"/>
              <w:rPr>
                <w:rFonts w:cs="Segoe UI"/>
                <w:sz w:val="16"/>
                <w:szCs w:val="16"/>
              </w:rPr>
            </w:pPr>
            <w:r>
              <w:rPr>
                <w:rFonts w:cs="Segoe UI"/>
                <w:sz w:val="16"/>
                <w:szCs w:val="16"/>
              </w:rPr>
              <w:t>0.10</w:t>
            </w:r>
          </w:p>
        </w:tc>
        <w:tc>
          <w:tcPr>
            <w:tcW w:w="854" w:type="dxa"/>
            <w:tcBorders>
              <w:top w:val="nil"/>
              <w:left w:val="single" w:sz="4" w:space="0" w:color="auto"/>
              <w:bottom w:val="nil"/>
              <w:right w:val="single" w:sz="4" w:space="0" w:color="auto"/>
            </w:tcBorders>
          </w:tcPr>
          <w:p w14:paraId="5628C75B" w14:textId="77777777" w:rsidR="00726C45" w:rsidRDefault="00726C45" w:rsidP="00A37677">
            <w:pPr>
              <w:spacing w:before="0" w:line="240" w:lineRule="auto"/>
              <w:jc w:val="right"/>
              <w:rPr>
                <w:rFonts w:cs="Segoe UI"/>
                <w:sz w:val="16"/>
                <w:szCs w:val="16"/>
              </w:rPr>
            </w:pPr>
          </w:p>
          <w:p w14:paraId="7574E45E" w14:textId="77777777" w:rsidR="00726C45" w:rsidRDefault="00726C45" w:rsidP="00A37677">
            <w:pPr>
              <w:spacing w:before="0" w:line="240" w:lineRule="auto"/>
              <w:jc w:val="right"/>
              <w:rPr>
                <w:rFonts w:cs="Segoe UI"/>
                <w:sz w:val="16"/>
                <w:szCs w:val="16"/>
              </w:rPr>
            </w:pPr>
            <w:r>
              <w:rPr>
                <w:rFonts w:cs="Segoe UI"/>
                <w:sz w:val="16"/>
                <w:szCs w:val="16"/>
              </w:rPr>
              <w:t>0.06</w:t>
            </w:r>
          </w:p>
        </w:tc>
      </w:tr>
      <w:tr w:rsidR="00726C45" w:rsidRPr="00BD6DBC" w14:paraId="0EC2BE5F" w14:textId="77777777" w:rsidTr="00A37677">
        <w:tc>
          <w:tcPr>
            <w:tcW w:w="1418" w:type="dxa"/>
            <w:tcBorders>
              <w:top w:val="nil"/>
              <w:left w:val="single" w:sz="4" w:space="0" w:color="auto"/>
              <w:bottom w:val="nil"/>
              <w:right w:val="single" w:sz="4" w:space="0" w:color="auto"/>
            </w:tcBorders>
            <w:vAlign w:val="bottom"/>
          </w:tcPr>
          <w:p w14:paraId="19397D10" w14:textId="77777777" w:rsidR="00726C45" w:rsidRPr="00C55950" w:rsidRDefault="00726C45" w:rsidP="00A37677">
            <w:pPr>
              <w:spacing w:before="0" w:line="240" w:lineRule="auto"/>
              <w:rPr>
                <w:rFonts w:eastAsia="Times New Roman" w:cs="Segoe UI"/>
                <w:i/>
                <w:sz w:val="16"/>
                <w:szCs w:val="16"/>
              </w:rPr>
            </w:pPr>
            <w:r>
              <w:rPr>
                <w:rFonts w:eastAsia="Times New Roman" w:cs="Segoe UI"/>
                <w:i/>
                <w:sz w:val="16"/>
                <w:szCs w:val="16"/>
              </w:rPr>
              <w:t>n</w:t>
            </w:r>
          </w:p>
        </w:tc>
        <w:tc>
          <w:tcPr>
            <w:tcW w:w="709" w:type="dxa"/>
            <w:tcBorders>
              <w:top w:val="nil"/>
              <w:left w:val="single" w:sz="4" w:space="0" w:color="auto"/>
              <w:bottom w:val="nil"/>
              <w:right w:val="single" w:sz="4" w:space="0" w:color="auto"/>
            </w:tcBorders>
          </w:tcPr>
          <w:p w14:paraId="4D7F9FE2"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708" w:type="dxa"/>
            <w:tcBorders>
              <w:top w:val="nil"/>
              <w:left w:val="single" w:sz="4" w:space="0" w:color="auto"/>
              <w:bottom w:val="nil"/>
              <w:right w:val="single" w:sz="4" w:space="0" w:color="auto"/>
            </w:tcBorders>
          </w:tcPr>
          <w:p w14:paraId="34258F79"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993" w:type="dxa"/>
            <w:tcBorders>
              <w:top w:val="nil"/>
              <w:left w:val="single" w:sz="4" w:space="0" w:color="auto"/>
              <w:bottom w:val="nil"/>
              <w:right w:val="single" w:sz="4" w:space="0" w:color="auto"/>
            </w:tcBorders>
          </w:tcPr>
          <w:p w14:paraId="1FFDDDCA"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703" w:type="dxa"/>
            <w:tcBorders>
              <w:top w:val="nil"/>
              <w:left w:val="single" w:sz="4" w:space="0" w:color="auto"/>
              <w:bottom w:val="nil"/>
              <w:right w:val="single" w:sz="4" w:space="0" w:color="auto"/>
            </w:tcBorders>
          </w:tcPr>
          <w:p w14:paraId="69325723"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709" w:type="dxa"/>
            <w:tcBorders>
              <w:top w:val="nil"/>
              <w:left w:val="single" w:sz="4" w:space="0" w:color="auto"/>
              <w:bottom w:val="nil"/>
              <w:right w:val="single" w:sz="4" w:space="0" w:color="auto"/>
            </w:tcBorders>
          </w:tcPr>
          <w:p w14:paraId="4B45C1DD"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992" w:type="dxa"/>
            <w:tcBorders>
              <w:top w:val="nil"/>
              <w:left w:val="single" w:sz="4" w:space="0" w:color="auto"/>
              <w:bottom w:val="nil"/>
              <w:right w:val="single" w:sz="4" w:space="0" w:color="auto"/>
            </w:tcBorders>
          </w:tcPr>
          <w:p w14:paraId="4E2B278E"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993" w:type="dxa"/>
            <w:tcBorders>
              <w:top w:val="nil"/>
              <w:left w:val="single" w:sz="4" w:space="0" w:color="auto"/>
              <w:bottom w:val="nil"/>
              <w:right w:val="single" w:sz="4" w:space="0" w:color="auto"/>
            </w:tcBorders>
          </w:tcPr>
          <w:p w14:paraId="68995E7B"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850" w:type="dxa"/>
            <w:tcBorders>
              <w:top w:val="nil"/>
              <w:left w:val="single" w:sz="4" w:space="0" w:color="auto"/>
              <w:bottom w:val="nil"/>
              <w:right w:val="single" w:sz="4" w:space="0" w:color="auto"/>
            </w:tcBorders>
          </w:tcPr>
          <w:p w14:paraId="5ECA841A"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709" w:type="dxa"/>
            <w:tcBorders>
              <w:top w:val="nil"/>
              <w:left w:val="single" w:sz="4" w:space="0" w:color="auto"/>
              <w:bottom w:val="nil"/>
              <w:right w:val="single" w:sz="4" w:space="0" w:color="auto"/>
            </w:tcBorders>
          </w:tcPr>
          <w:p w14:paraId="1A3AB71C"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709" w:type="dxa"/>
            <w:tcBorders>
              <w:top w:val="nil"/>
              <w:left w:val="single" w:sz="4" w:space="0" w:color="auto"/>
              <w:bottom w:val="nil"/>
              <w:right w:val="single" w:sz="4" w:space="0" w:color="auto"/>
            </w:tcBorders>
          </w:tcPr>
          <w:p w14:paraId="598F6298"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c>
          <w:tcPr>
            <w:tcW w:w="854" w:type="dxa"/>
            <w:tcBorders>
              <w:top w:val="nil"/>
              <w:left w:val="single" w:sz="4" w:space="0" w:color="auto"/>
              <w:bottom w:val="nil"/>
              <w:right w:val="single" w:sz="4" w:space="0" w:color="auto"/>
            </w:tcBorders>
          </w:tcPr>
          <w:p w14:paraId="6CC64E9D" w14:textId="77777777" w:rsidR="00726C45" w:rsidRPr="00BD6DBC" w:rsidRDefault="00726C45" w:rsidP="00A37677">
            <w:pPr>
              <w:spacing w:before="0" w:line="240" w:lineRule="auto"/>
              <w:jc w:val="right"/>
              <w:rPr>
                <w:rFonts w:cs="Segoe UI"/>
                <w:sz w:val="16"/>
                <w:szCs w:val="16"/>
              </w:rPr>
            </w:pPr>
            <w:r>
              <w:rPr>
                <w:rFonts w:cs="Segoe UI"/>
                <w:sz w:val="16"/>
                <w:szCs w:val="16"/>
              </w:rPr>
              <w:t>1,773</w:t>
            </w:r>
          </w:p>
        </w:tc>
      </w:tr>
      <w:tr w:rsidR="00726C45" w:rsidRPr="00BD6DBC" w14:paraId="161FA147" w14:textId="77777777" w:rsidTr="00A37677">
        <w:tc>
          <w:tcPr>
            <w:tcW w:w="1418" w:type="dxa"/>
            <w:tcBorders>
              <w:top w:val="nil"/>
              <w:left w:val="single" w:sz="4" w:space="0" w:color="auto"/>
              <w:bottom w:val="single" w:sz="4" w:space="0" w:color="auto"/>
              <w:right w:val="single" w:sz="4" w:space="0" w:color="auto"/>
            </w:tcBorders>
            <w:vAlign w:val="bottom"/>
          </w:tcPr>
          <w:p w14:paraId="600DF430" w14:textId="77777777" w:rsidR="00726C45" w:rsidRPr="002437BF" w:rsidRDefault="00726C45" w:rsidP="00A37677">
            <w:pPr>
              <w:spacing w:before="0" w:line="240" w:lineRule="auto"/>
              <w:rPr>
                <w:rFonts w:eastAsia="Times New Roman"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125DBFB0" w14:textId="77777777" w:rsidR="00726C45" w:rsidRPr="002437BF" w:rsidRDefault="00726C45" w:rsidP="00A37677">
            <w:pPr>
              <w:spacing w:before="0" w:line="240" w:lineRule="auto"/>
              <w:jc w:val="right"/>
              <w:rPr>
                <w:rFonts w:cs="Segoe UI"/>
                <w:color w:val="FF0000"/>
                <w:sz w:val="16"/>
                <w:szCs w:val="16"/>
              </w:rPr>
            </w:pPr>
          </w:p>
        </w:tc>
        <w:tc>
          <w:tcPr>
            <w:tcW w:w="708" w:type="dxa"/>
            <w:tcBorders>
              <w:top w:val="nil"/>
              <w:left w:val="single" w:sz="4" w:space="0" w:color="auto"/>
              <w:bottom w:val="single" w:sz="4" w:space="0" w:color="auto"/>
              <w:right w:val="single" w:sz="4" w:space="0" w:color="auto"/>
            </w:tcBorders>
          </w:tcPr>
          <w:p w14:paraId="318F8C25" w14:textId="77777777" w:rsidR="00726C45" w:rsidRPr="002437BF" w:rsidRDefault="00726C45" w:rsidP="00A37677">
            <w:pPr>
              <w:spacing w:before="0" w:line="240" w:lineRule="auto"/>
              <w:jc w:val="right"/>
              <w:rPr>
                <w:rFonts w:cs="Segoe UI"/>
                <w:color w:val="FF0000"/>
                <w:sz w:val="16"/>
                <w:szCs w:val="16"/>
              </w:rPr>
            </w:pPr>
          </w:p>
        </w:tc>
        <w:tc>
          <w:tcPr>
            <w:tcW w:w="993" w:type="dxa"/>
            <w:tcBorders>
              <w:top w:val="nil"/>
              <w:left w:val="single" w:sz="4" w:space="0" w:color="auto"/>
              <w:bottom w:val="single" w:sz="4" w:space="0" w:color="auto"/>
              <w:right w:val="single" w:sz="4" w:space="0" w:color="auto"/>
            </w:tcBorders>
          </w:tcPr>
          <w:p w14:paraId="6B002CAC" w14:textId="77777777" w:rsidR="00726C45" w:rsidRPr="002437BF" w:rsidRDefault="00726C45" w:rsidP="00A37677">
            <w:pPr>
              <w:spacing w:before="0" w:line="240" w:lineRule="auto"/>
              <w:jc w:val="right"/>
              <w:rPr>
                <w:rFonts w:cs="Segoe UI"/>
                <w:color w:val="FF0000"/>
                <w:sz w:val="16"/>
                <w:szCs w:val="16"/>
              </w:rPr>
            </w:pPr>
          </w:p>
        </w:tc>
        <w:tc>
          <w:tcPr>
            <w:tcW w:w="703" w:type="dxa"/>
            <w:tcBorders>
              <w:top w:val="nil"/>
              <w:left w:val="single" w:sz="4" w:space="0" w:color="auto"/>
              <w:bottom w:val="single" w:sz="4" w:space="0" w:color="auto"/>
              <w:right w:val="single" w:sz="4" w:space="0" w:color="auto"/>
            </w:tcBorders>
            <w:vAlign w:val="bottom"/>
          </w:tcPr>
          <w:p w14:paraId="00BEBC66"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304E368D" w14:textId="77777777" w:rsidR="00726C45" w:rsidRPr="002437BF" w:rsidRDefault="00726C45" w:rsidP="00A37677">
            <w:pPr>
              <w:spacing w:before="0" w:line="240" w:lineRule="auto"/>
              <w:jc w:val="right"/>
              <w:rPr>
                <w:rFonts w:cs="Segoe UI"/>
                <w:color w:val="FF0000"/>
                <w:sz w:val="16"/>
                <w:szCs w:val="16"/>
              </w:rPr>
            </w:pPr>
          </w:p>
        </w:tc>
        <w:tc>
          <w:tcPr>
            <w:tcW w:w="992" w:type="dxa"/>
            <w:tcBorders>
              <w:top w:val="nil"/>
              <w:left w:val="single" w:sz="4" w:space="0" w:color="auto"/>
              <w:bottom w:val="single" w:sz="4" w:space="0" w:color="auto"/>
              <w:right w:val="single" w:sz="4" w:space="0" w:color="auto"/>
            </w:tcBorders>
          </w:tcPr>
          <w:p w14:paraId="438F7A1E" w14:textId="77777777" w:rsidR="00726C45" w:rsidRPr="002437BF" w:rsidRDefault="00726C45" w:rsidP="00A37677">
            <w:pPr>
              <w:spacing w:before="0" w:line="240" w:lineRule="auto"/>
              <w:jc w:val="right"/>
              <w:rPr>
                <w:rFonts w:cs="Segoe UI"/>
                <w:color w:val="FF0000"/>
                <w:sz w:val="16"/>
                <w:szCs w:val="16"/>
              </w:rPr>
            </w:pPr>
          </w:p>
        </w:tc>
        <w:tc>
          <w:tcPr>
            <w:tcW w:w="993" w:type="dxa"/>
            <w:tcBorders>
              <w:top w:val="nil"/>
              <w:left w:val="single" w:sz="4" w:space="0" w:color="auto"/>
              <w:bottom w:val="single" w:sz="4" w:space="0" w:color="auto"/>
              <w:right w:val="single" w:sz="4" w:space="0" w:color="auto"/>
            </w:tcBorders>
          </w:tcPr>
          <w:p w14:paraId="724CAD65" w14:textId="77777777" w:rsidR="00726C45" w:rsidRPr="002437BF" w:rsidRDefault="00726C45" w:rsidP="00A37677">
            <w:pPr>
              <w:spacing w:before="0" w:line="240" w:lineRule="auto"/>
              <w:jc w:val="right"/>
              <w:rPr>
                <w:rFonts w:cs="Segoe UI"/>
                <w:color w:val="FF0000"/>
                <w:sz w:val="16"/>
                <w:szCs w:val="16"/>
              </w:rPr>
            </w:pPr>
          </w:p>
        </w:tc>
        <w:tc>
          <w:tcPr>
            <w:tcW w:w="850" w:type="dxa"/>
            <w:tcBorders>
              <w:top w:val="nil"/>
              <w:left w:val="single" w:sz="4" w:space="0" w:color="auto"/>
              <w:bottom w:val="single" w:sz="4" w:space="0" w:color="auto"/>
              <w:right w:val="single" w:sz="4" w:space="0" w:color="auto"/>
            </w:tcBorders>
          </w:tcPr>
          <w:p w14:paraId="02A4F1C8"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0CDC4353" w14:textId="77777777" w:rsidR="00726C45" w:rsidRPr="002437BF" w:rsidRDefault="00726C45" w:rsidP="00A37677">
            <w:pPr>
              <w:spacing w:before="0" w:line="240" w:lineRule="auto"/>
              <w:jc w:val="right"/>
              <w:rPr>
                <w:rFonts w:cs="Segoe UI"/>
                <w:color w:val="FF0000"/>
                <w:sz w:val="16"/>
                <w:szCs w:val="16"/>
              </w:rPr>
            </w:pPr>
          </w:p>
        </w:tc>
        <w:tc>
          <w:tcPr>
            <w:tcW w:w="709" w:type="dxa"/>
            <w:tcBorders>
              <w:top w:val="nil"/>
              <w:left w:val="single" w:sz="4" w:space="0" w:color="auto"/>
              <w:bottom w:val="single" w:sz="4" w:space="0" w:color="auto"/>
              <w:right w:val="single" w:sz="4" w:space="0" w:color="auto"/>
            </w:tcBorders>
          </w:tcPr>
          <w:p w14:paraId="790F8D6F" w14:textId="77777777" w:rsidR="00726C45" w:rsidRPr="002437BF" w:rsidRDefault="00726C45" w:rsidP="00A37677">
            <w:pPr>
              <w:spacing w:before="0" w:line="240" w:lineRule="auto"/>
              <w:jc w:val="right"/>
              <w:rPr>
                <w:rFonts w:cs="Segoe UI"/>
                <w:color w:val="FF0000"/>
                <w:sz w:val="16"/>
                <w:szCs w:val="16"/>
              </w:rPr>
            </w:pPr>
          </w:p>
        </w:tc>
        <w:tc>
          <w:tcPr>
            <w:tcW w:w="854" w:type="dxa"/>
            <w:tcBorders>
              <w:top w:val="nil"/>
              <w:left w:val="single" w:sz="4" w:space="0" w:color="auto"/>
              <w:bottom w:val="single" w:sz="4" w:space="0" w:color="auto"/>
              <w:right w:val="single" w:sz="4" w:space="0" w:color="auto"/>
            </w:tcBorders>
          </w:tcPr>
          <w:p w14:paraId="64B1DAB1" w14:textId="77777777" w:rsidR="00726C45" w:rsidRPr="002437BF" w:rsidRDefault="00726C45" w:rsidP="00A37677">
            <w:pPr>
              <w:spacing w:before="0" w:line="240" w:lineRule="auto"/>
              <w:jc w:val="right"/>
              <w:rPr>
                <w:rFonts w:cs="Segoe UI"/>
                <w:color w:val="FF0000"/>
                <w:sz w:val="16"/>
                <w:szCs w:val="16"/>
              </w:rPr>
            </w:pPr>
          </w:p>
        </w:tc>
      </w:tr>
    </w:tbl>
    <w:p w14:paraId="567AE6A0" w14:textId="77777777" w:rsidR="00726C45" w:rsidRDefault="00726C45" w:rsidP="00726C45">
      <w:pPr>
        <w:autoSpaceDE w:val="0"/>
        <w:autoSpaceDN w:val="0"/>
        <w:adjustRightInd w:val="0"/>
        <w:spacing w:before="0" w:line="240" w:lineRule="auto"/>
      </w:pPr>
    </w:p>
    <w:p w14:paraId="43EE6D0E"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p>
    <w:p w14:paraId="2CDA7F43" w14:textId="77777777" w:rsidR="00726C45" w:rsidRPr="000E1AB9" w:rsidRDefault="00726C45" w:rsidP="00726C45">
      <w:pPr>
        <w:autoSpaceDE w:val="0"/>
        <w:autoSpaceDN w:val="0"/>
        <w:adjustRightInd w:val="0"/>
        <w:spacing w:before="0" w:line="240" w:lineRule="auto"/>
        <w:rPr>
          <w:rFonts w:eastAsiaTheme="minorHAnsi" w:cs="Segoe UI"/>
          <w:b/>
          <w:sz w:val="24"/>
          <w:szCs w:val="24"/>
        </w:rPr>
      </w:pPr>
      <w:r w:rsidRPr="000E1AB9">
        <w:rPr>
          <w:rFonts w:eastAsiaTheme="minorHAnsi" w:cs="Segoe UI"/>
          <w:b/>
          <w:sz w:val="24"/>
          <w:szCs w:val="24"/>
        </w:rPr>
        <w:t xml:space="preserve">Figure B5: PCA </w:t>
      </w:r>
      <w:r>
        <w:rPr>
          <w:rFonts w:eastAsiaTheme="minorHAnsi" w:cs="Segoe UI"/>
          <w:b/>
          <w:sz w:val="24"/>
          <w:szCs w:val="24"/>
        </w:rPr>
        <w:t xml:space="preserve">and EFA </w:t>
      </w:r>
      <w:r w:rsidRPr="000E1AB9">
        <w:rPr>
          <w:rFonts w:eastAsiaTheme="minorHAnsi" w:cs="Segoe UI"/>
          <w:b/>
          <w:sz w:val="24"/>
          <w:szCs w:val="24"/>
        </w:rPr>
        <w:t xml:space="preserve">without India and China (for comparison with Figure </w:t>
      </w:r>
      <w:r>
        <w:rPr>
          <w:rFonts w:eastAsiaTheme="minorHAnsi" w:cs="Segoe UI"/>
          <w:b/>
          <w:sz w:val="24"/>
          <w:szCs w:val="24"/>
        </w:rPr>
        <w:t>4.5</w:t>
      </w:r>
      <w:r w:rsidRPr="000E1AB9">
        <w:rPr>
          <w:rFonts w:eastAsiaTheme="minorHAnsi" w:cs="Segoe UI"/>
          <w:b/>
          <w:sz w:val="24"/>
          <w:szCs w:val="24"/>
        </w:rPr>
        <w:t>, pg</w:t>
      </w:r>
      <w:r>
        <w:rPr>
          <w:rFonts w:eastAsiaTheme="minorHAnsi" w:cs="Segoe UI"/>
          <w:b/>
          <w:sz w:val="24"/>
          <w:szCs w:val="24"/>
        </w:rPr>
        <w:t>. 163)</w:t>
      </w:r>
    </w:p>
    <w:tbl>
      <w:tblPr>
        <w:tblW w:w="0" w:type="auto"/>
        <w:jc w:val="center"/>
        <w:tblCellMar>
          <w:left w:w="10" w:type="dxa"/>
          <w:right w:w="10" w:type="dxa"/>
        </w:tblCellMar>
        <w:tblLook w:val="04A0" w:firstRow="1" w:lastRow="0" w:firstColumn="1" w:lastColumn="0" w:noHBand="0" w:noVBand="1"/>
      </w:tblPr>
      <w:tblGrid>
        <w:gridCol w:w="2158"/>
        <w:gridCol w:w="1121"/>
        <w:gridCol w:w="1154"/>
        <w:gridCol w:w="1127"/>
        <w:gridCol w:w="1127"/>
      </w:tblGrid>
      <w:tr w:rsidR="00726C45" w:rsidRPr="00482140" w14:paraId="78FEB8D3" w14:textId="77777777" w:rsidTr="00A37677">
        <w:trPr>
          <w:cantSplit/>
          <w:trHeight w:val="286"/>
          <w:tblHeader/>
          <w:jc w:val="center"/>
        </w:trPr>
        <w:tc>
          <w:tcPr>
            <w:tcW w:w="2158" w:type="dxa"/>
            <w:shd w:val="clear" w:color="auto" w:fill="FFFFFF"/>
          </w:tcPr>
          <w:p w14:paraId="55510AA0" w14:textId="77777777" w:rsidR="00726C45" w:rsidRPr="00482140" w:rsidRDefault="00726C45" w:rsidP="00A37677">
            <w:pPr>
              <w:spacing w:line="240" w:lineRule="auto"/>
              <w:ind w:left="57" w:right="60"/>
              <w:rPr>
                <w:rFonts w:cstheme="majorBidi"/>
                <w:i/>
                <w:iCs/>
                <w:color w:val="000000"/>
                <w:sz w:val="20"/>
                <w:szCs w:val="24"/>
              </w:rPr>
            </w:pPr>
          </w:p>
        </w:tc>
        <w:tc>
          <w:tcPr>
            <w:tcW w:w="2275" w:type="dxa"/>
            <w:gridSpan w:val="2"/>
            <w:shd w:val="clear" w:color="auto" w:fill="FFFFFF"/>
            <w:hideMark/>
          </w:tcPr>
          <w:p w14:paraId="21117B70"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sidRPr="00482140">
              <w:rPr>
                <w:rFonts w:cstheme="majorBidi"/>
                <w:i/>
                <w:iCs/>
                <w:color w:val="000000"/>
                <w:sz w:val="20"/>
                <w:szCs w:val="24"/>
              </w:rPr>
              <w:t>Components</w:t>
            </w:r>
          </w:p>
        </w:tc>
        <w:tc>
          <w:tcPr>
            <w:tcW w:w="2254" w:type="dxa"/>
            <w:gridSpan w:val="2"/>
            <w:shd w:val="clear" w:color="auto" w:fill="FFFFFF"/>
            <w:hideMark/>
          </w:tcPr>
          <w:p w14:paraId="36B92CF6"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sidRPr="00482140">
              <w:rPr>
                <w:rFonts w:cstheme="majorBidi"/>
                <w:i/>
                <w:iCs/>
                <w:color w:val="000000"/>
                <w:sz w:val="20"/>
                <w:szCs w:val="24"/>
              </w:rPr>
              <w:t>Factors</w:t>
            </w:r>
          </w:p>
        </w:tc>
      </w:tr>
      <w:tr w:rsidR="00726C45" w:rsidRPr="00482140" w14:paraId="5A8BBB60" w14:textId="77777777" w:rsidTr="00A37677">
        <w:trPr>
          <w:cantSplit/>
          <w:trHeight w:val="286"/>
          <w:tblHeader/>
          <w:jc w:val="center"/>
        </w:trPr>
        <w:tc>
          <w:tcPr>
            <w:tcW w:w="2158" w:type="dxa"/>
            <w:tcBorders>
              <w:top w:val="nil"/>
              <w:left w:val="nil"/>
              <w:bottom w:val="single" w:sz="4" w:space="0" w:color="auto"/>
              <w:right w:val="nil"/>
            </w:tcBorders>
            <w:shd w:val="clear" w:color="auto" w:fill="FFFFFF"/>
          </w:tcPr>
          <w:p w14:paraId="5F05603A" w14:textId="77777777" w:rsidR="00726C45" w:rsidRPr="00482140" w:rsidRDefault="00726C45" w:rsidP="00A37677">
            <w:pPr>
              <w:spacing w:line="240" w:lineRule="auto"/>
              <w:ind w:left="57" w:right="60"/>
              <w:rPr>
                <w:rFonts w:cstheme="majorBidi"/>
                <w:i/>
                <w:iCs/>
                <w:color w:val="000000"/>
                <w:sz w:val="20"/>
                <w:szCs w:val="24"/>
              </w:rPr>
            </w:pPr>
          </w:p>
        </w:tc>
        <w:tc>
          <w:tcPr>
            <w:tcW w:w="1121" w:type="dxa"/>
            <w:tcBorders>
              <w:top w:val="nil"/>
              <w:left w:val="nil"/>
              <w:bottom w:val="single" w:sz="4" w:space="0" w:color="auto"/>
              <w:right w:val="nil"/>
            </w:tcBorders>
            <w:shd w:val="clear" w:color="auto" w:fill="FFFFFF"/>
            <w:hideMark/>
          </w:tcPr>
          <w:p w14:paraId="6C49685C"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i/>
                <w:iCs/>
                <w:color w:val="000000"/>
                <w:sz w:val="20"/>
                <w:szCs w:val="24"/>
              </w:rPr>
              <w:t>1</w:t>
            </w:r>
          </w:p>
        </w:tc>
        <w:tc>
          <w:tcPr>
            <w:tcW w:w="1154" w:type="dxa"/>
            <w:tcBorders>
              <w:top w:val="nil"/>
              <w:left w:val="nil"/>
              <w:bottom w:val="single" w:sz="4" w:space="0" w:color="auto"/>
              <w:right w:val="single" w:sz="4" w:space="0" w:color="auto"/>
            </w:tcBorders>
            <w:shd w:val="clear" w:color="auto" w:fill="FFFFFF"/>
            <w:hideMark/>
          </w:tcPr>
          <w:p w14:paraId="573582B6"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sidRPr="00482140">
              <w:rPr>
                <w:rFonts w:cstheme="majorBidi"/>
                <w:i/>
                <w:iCs/>
                <w:color w:val="000000"/>
                <w:sz w:val="20"/>
                <w:szCs w:val="24"/>
              </w:rPr>
              <w:t>2</w:t>
            </w:r>
          </w:p>
        </w:tc>
        <w:tc>
          <w:tcPr>
            <w:tcW w:w="1127" w:type="dxa"/>
            <w:tcBorders>
              <w:top w:val="nil"/>
              <w:left w:val="single" w:sz="4" w:space="0" w:color="auto"/>
              <w:bottom w:val="single" w:sz="4" w:space="0" w:color="auto"/>
              <w:right w:val="nil"/>
            </w:tcBorders>
            <w:shd w:val="clear" w:color="auto" w:fill="FFFFFF"/>
            <w:hideMark/>
          </w:tcPr>
          <w:p w14:paraId="3AE47289"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sidRPr="00482140">
              <w:rPr>
                <w:rFonts w:cstheme="majorBidi"/>
                <w:i/>
                <w:iCs/>
                <w:color w:val="000000"/>
                <w:sz w:val="20"/>
                <w:szCs w:val="24"/>
              </w:rPr>
              <w:t>1</w:t>
            </w:r>
          </w:p>
        </w:tc>
        <w:tc>
          <w:tcPr>
            <w:tcW w:w="1127" w:type="dxa"/>
            <w:tcBorders>
              <w:top w:val="nil"/>
              <w:left w:val="nil"/>
              <w:bottom w:val="single" w:sz="4" w:space="0" w:color="auto"/>
              <w:right w:val="nil"/>
            </w:tcBorders>
            <w:shd w:val="clear" w:color="auto" w:fill="FFFFFF"/>
            <w:hideMark/>
          </w:tcPr>
          <w:p w14:paraId="690AB341"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sidRPr="00482140">
              <w:rPr>
                <w:rFonts w:cstheme="majorBidi"/>
                <w:i/>
                <w:iCs/>
                <w:color w:val="000000"/>
                <w:sz w:val="20"/>
                <w:szCs w:val="24"/>
              </w:rPr>
              <w:t>2</w:t>
            </w:r>
          </w:p>
        </w:tc>
      </w:tr>
      <w:tr w:rsidR="00726C45" w:rsidRPr="00482140" w14:paraId="4BC17D32" w14:textId="77777777" w:rsidTr="00A37677">
        <w:trPr>
          <w:cantSplit/>
          <w:trHeight w:val="286"/>
          <w:tblHeader/>
          <w:jc w:val="center"/>
        </w:trPr>
        <w:tc>
          <w:tcPr>
            <w:tcW w:w="2158" w:type="dxa"/>
            <w:tcBorders>
              <w:top w:val="single" w:sz="4" w:space="0" w:color="auto"/>
              <w:left w:val="nil"/>
              <w:bottom w:val="nil"/>
              <w:right w:val="nil"/>
            </w:tcBorders>
            <w:shd w:val="clear" w:color="auto" w:fill="FFFFFF"/>
            <w:hideMark/>
          </w:tcPr>
          <w:p w14:paraId="3DA027E5"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Free Elections</w:t>
            </w:r>
          </w:p>
        </w:tc>
        <w:tc>
          <w:tcPr>
            <w:tcW w:w="1121" w:type="dxa"/>
            <w:tcBorders>
              <w:top w:val="single" w:sz="4" w:space="0" w:color="auto"/>
              <w:left w:val="nil"/>
              <w:bottom w:val="nil"/>
              <w:right w:val="nil"/>
            </w:tcBorders>
            <w:shd w:val="clear" w:color="auto" w:fill="FFFFFF"/>
            <w:hideMark/>
          </w:tcPr>
          <w:p w14:paraId="442743BF"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w:t>
            </w:r>
            <w:r>
              <w:rPr>
                <w:rFonts w:cstheme="majorBidi"/>
                <w:b/>
                <w:bCs/>
                <w:color w:val="000000"/>
                <w:sz w:val="20"/>
                <w:szCs w:val="24"/>
              </w:rPr>
              <w:t>728</w:t>
            </w:r>
          </w:p>
        </w:tc>
        <w:tc>
          <w:tcPr>
            <w:tcW w:w="1154" w:type="dxa"/>
            <w:tcBorders>
              <w:top w:val="single" w:sz="4" w:space="0" w:color="auto"/>
              <w:left w:val="nil"/>
              <w:bottom w:val="nil"/>
              <w:right w:val="single" w:sz="4" w:space="0" w:color="auto"/>
            </w:tcBorders>
            <w:shd w:val="clear" w:color="auto" w:fill="FFFFFF"/>
            <w:hideMark/>
          </w:tcPr>
          <w:p w14:paraId="315EE223"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-.106</w:t>
            </w:r>
          </w:p>
        </w:tc>
        <w:tc>
          <w:tcPr>
            <w:tcW w:w="1127" w:type="dxa"/>
            <w:tcBorders>
              <w:top w:val="single" w:sz="4" w:space="0" w:color="auto"/>
              <w:left w:val="single" w:sz="4" w:space="0" w:color="auto"/>
              <w:bottom w:val="nil"/>
              <w:right w:val="nil"/>
            </w:tcBorders>
            <w:shd w:val="clear" w:color="auto" w:fill="FFFFFF"/>
            <w:hideMark/>
          </w:tcPr>
          <w:p w14:paraId="201613D6" w14:textId="77777777" w:rsidR="00726C45" w:rsidRPr="00482140" w:rsidRDefault="00726C45" w:rsidP="00A37677">
            <w:pPr>
              <w:autoSpaceDE w:val="0"/>
              <w:adjustRightInd w:val="0"/>
              <w:spacing w:line="240" w:lineRule="auto"/>
              <w:ind w:left="57" w:right="60"/>
              <w:jc w:val="center"/>
              <w:rPr>
                <w:rFonts w:cstheme="majorBidi"/>
                <w:b/>
                <w:sz w:val="20"/>
                <w:szCs w:val="24"/>
              </w:rPr>
            </w:pPr>
            <w:r>
              <w:rPr>
                <w:rFonts w:cstheme="majorBidi"/>
                <w:b/>
                <w:sz w:val="20"/>
                <w:szCs w:val="24"/>
              </w:rPr>
              <w:t>.627</w:t>
            </w:r>
          </w:p>
        </w:tc>
        <w:tc>
          <w:tcPr>
            <w:tcW w:w="1127" w:type="dxa"/>
            <w:tcBorders>
              <w:top w:val="single" w:sz="4" w:space="0" w:color="auto"/>
              <w:left w:val="nil"/>
              <w:bottom w:val="nil"/>
              <w:right w:val="nil"/>
            </w:tcBorders>
            <w:shd w:val="clear" w:color="auto" w:fill="FFFFFF"/>
            <w:hideMark/>
          </w:tcPr>
          <w:p w14:paraId="0A03B849"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-.22</w:t>
            </w:r>
            <w:r w:rsidRPr="00482140">
              <w:rPr>
                <w:rFonts w:cstheme="majorBidi"/>
                <w:color w:val="808080" w:themeColor="background1" w:themeShade="80"/>
                <w:sz w:val="20"/>
                <w:szCs w:val="24"/>
              </w:rPr>
              <w:t>6</w:t>
            </w:r>
          </w:p>
        </w:tc>
      </w:tr>
      <w:tr w:rsidR="00726C45" w:rsidRPr="00482140" w14:paraId="173E569F" w14:textId="77777777" w:rsidTr="00A37677">
        <w:trPr>
          <w:cantSplit/>
          <w:trHeight w:val="286"/>
          <w:tblHeader/>
          <w:jc w:val="center"/>
        </w:trPr>
        <w:tc>
          <w:tcPr>
            <w:tcW w:w="2158" w:type="dxa"/>
            <w:shd w:val="clear" w:color="auto" w:fill="FFFFFF"/>
            <w:hideMark/>
          </w:tcPr>
          <w:p w14:paraId="58ECB53D"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Civil Rights</w:t>
            </w:r>
          </w:p>
        </w:tc>
        <w:tc>
          <w:tcPr>
            <w:tcW w:w="1121" w:type="dxa"/>
            <w:shd w:val="clear" w:color="auto" w:fill="FFFFFF"/>
            <w:hideMark/>
          </w:tcPr>
          <w:p w14:paraId="0BF1C958"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sidRPr="00482140">
              <w:rPr>
                <w:rFonts w:cstheme="majorBidi"/>
                <w:b/>
                <w:bCs/>
                <w:color w:val="000000"/>
                <w:sz w:val="20"/>
                <w:szCs w:val="24"/>
              </w:rPr>
              <w:t>.705</w:t>
            </w:r>
          </w:p>
        </w:tc>
        <w:tc>
          <w:tcPr>
            <w:tcW w:w="1154" w:type="dxa"/>
            <w:tcBorders>
              <w:right w:val="single" w:sz="4" w:space="0" w:color="auto"/>
            </w:tcBorders>
            <w:shd w:val="clear" w:color="auto" w:fill="FFFFFF"/>
            <w:hideMark/>
          </w:tcPr>
          <w:p w14:paraId="55C5E2D3"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2140">
              <w:rPr>
                <w:rFonts w:cstheme="majorBidi"/>
                <w:color w:val="808080" w:themeColor="background1" w:themeShade="80"/>
                <w:sz w:val="20"/>
                <w:szCs w:val="24"/>
              </w:rPr>
              <w:t>.032</w:t>
            </w:r>
          </w:p>
        </w:tc>
        <w:tc>
          <w:tcPr>
            <w:tcW w:w="1127" w:type="dxa"/>
            <w:tcBorders>
              <w:left w:val="single" w:sz="4" w:space="0" w:color="auto"/>
            </w:tcBorders>
            <w:shd w:val="clear" w:color="auto" w:fill="FFFFFF"/>
            <w:hideMark/>
          </w:tcPr>
          <w:p w14:paraId="239B98CA" w14:textId="77777777" w:rsidR="00726C45" w:rsidRPr="00482140" w:rsidRDefault="00726C45" w:rsidP="00A37677">
            <w:pPr>
              <w:autoSpaceDE w:val="0"/>
              <w:adjustRightInd w:val="0"/>
              <w:spacing w:line="240" w:lineRule="auto"/>
              <w:ind w:left="57" w:right="60"/>
              <w:jc w:val="center"/>
              <w:rPr>
                <w:rFonts w:cstheme="majorBidi"/>
                <w:b/>
                <w:sz w:val="20"/>
                <w:szCs w:val="24"/>
              </w:rPr>
            </w:pPr>
            <w:r>
              <w:rPr>
                <w:rFonts w:cstheme="majorBidi"/>
                <w:b/>
                <w:sz w:val="20"/>
                <w:szCs w:val="24"/>
              </w:rPr>
              <w:t>.630</w:t>
            </w:r>
          </w:p>
        </w:tc>
        <w:tc>
          <w:tcPr>
            <w:tcW w:w="1127" w:type="dxa"/>
            <w:shd w:val="clear" w:color="auto" w:fill="FFFFFF"/>
            <w:hideMark/>
          </w:tcPr>
          <w:p w14:paraId="23413295"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-.107</w:t>
            </w:r>
          </w:p>
        </w:tc>
      </w:tr>
      <w:tr w:rsidR="00726C45" w:rsidRPr="00482140" w14:paraId="44C59CAF" w14:textId="77777777" w:rsidTr="00A37677">
        <w:trPr>
          <w:cantSplit/>
          <w:trHeight w:val="286"/>
          <w:tblHeader/>
          <w:jc w:val="center"/>
        </w:trPr>
        <w:tc>
          <w:tcPr>
            <w:tcW w:w="2158" w:type="dxa"/>
            <w:shd w:val="clear" w:color="auto" w:fill="FFFFFF"/>
            <w:hideMark/>
          </w:tcPr>
          <w:p w14:paraId="4D8DD918"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Referendum</w:t>
            </w:r>
          </w:p>
        </w:tc>
        <w:tc>
          <w:tcPr>
            <w:tcW w:w="1121" w:type="dxa"/>
            <w:shd w:val="clear" w:color="auto" w:fill="FFFFFF"/>
            <w:hideMark/>
          </w:tcPr>
          <w:p w14:paraId="55CE448F"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Pr>
                <w:rFonts w:cstheme="majorBidi"/>
                <w:b/>
                <w:bCs/>
                <w:color w:val="000000"/>
                <w:sz w:val="20"/>
                <w:szCs w:val="24"/>
              </w:rPr>
              <w:t>.668</w:t>
            </w:r>
          </w:p>
        </w:tc>
        <w:tc>
          <w:tcPr>
            <w:tcW w:w="1154" w:type="dxa"/>
            <w:tcBorders>
              <w:right w:val="single" w:sz="4" w:space="0" w:color="auto"/>
            </w:tcBorders>
            <w:shd w:val="clear" w:color="auto" w:fill="FFFFFF"/>
            <w:hideMark/>
          </w:tcPr>
          <w:p w14:paraId="65290FCB"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-.030</w:t>
            </w:r>
          </w:p>
        </w:tc>
        <w:tc>
          <w:tcPr>
            <w:tcW w:w="1127" w:type="dxa"/>
            <w:tcBorders>
              <w:left w:val="single" w:sz="4" w:space="0" w:color="auto"/>
            </w:tcBorders>
            <w:shd w:val="clear" w:color="auto" w:fill="FFFFFF"/>
            <w:hideMark/>
          </w:tcPr>
          <w:p w14:paraId="734FC386" w14:textId="77777777" w:rsidR="00726C45" w:rsidRPr="00482140" w:rsidRDefault="00726C45" w:rsidP="00A37677">
            <w:pPr>
              <w:autoSpaceDE w:val="0"/>
              <w:adjustRightInd w:val="0"/>
              <w:spacing w:line="240" w:lineRule="auto"/>
              <w:ind w:left="57" w:right="60"/>
              <w:jc w:val="center"/>
              <w:rPr>
                <w:rFonts w:cstheme="majorBidi"/>
                <w:b/>
                <w:sz w:val="20"/>
                <w:szCs w:val="24"/>
              </w:rPr>
            </w:pPr>
            <w:r>
              <w:rPr>
                <w:rFonts w:cstheme="majorBidi"/>
                <w:b/>
                <w:sz w:val="20"/>
                <w:szCs w:val="24"/>
              </w:rPr>
              <w:t>.568</w:t>
            </w:r>
          </w:p>
        </w:tc>
        <w:tc>
          <w:tcPr>
            <w:tcW w:w="1127" w:type="dxa"/>
            <w:shd w:val="clear" w:color="auto" w:fill="FFFFFF"/>
            <w:hideMark/>
          </w:tcPr>
          <w:p w14:paraId="560CD148"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w:t>
            </w:r>
            <w:r w:rsidRPr="00482140">
              <w:rPr>
                <w:rFonts w:cstheme="majorBidi"/>
                <w:color w:val="808080" w:themeColor="background1" w:themeShade="80"/>
                <w:sz w:val="20"/>
                <w:szCs w:val="24"/>
              </w:rPr>
              <w:t>1</w:t>
            </w:r>
            <w:r>
              <w:rPr>
                <w:rFonts w:cstheme="majorBidi"/>
                <w:color w:val="808080" w:themeColor="background1" w:themeShade="80"/>
                <w:sz w:val="20"/>
                <w:szCs w:val="24"/>
              </w:rPr>
              <w:t>38</w:t>
            </w:r>
          </w:p>
        </w:tc>
      </w:tr>
      <w:tr w:rsidR="00726C45" w:rsidRPr="00482140" w14:paraId="7559C971" w14:textId="77777777" w:rsidTr="00A37677">
        <w:trPr>
          <w:cantSplit/>
          <w:trHeight w:val="286"/>
          <w:tblHeader/>
          <w:jc w:val="center"/>
        </w:trPr>
        <w:tc>
          <w:tcPr>
            <w:tcW w:w="2158" w:type="dxa"/>
            <w:shd w:val="clear" w:color="auto" w:fill="FFFFFF"/>
            <w:hideMark/>
          </w:tcPr>
          <w:p w14:paraId="6C18C422"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Equal Gender Rights</w:t>
            </w:r>
          </w:p>
        </w:tc>
        <w:tc>
          <w:tcPr>
            <w:tcW w:w="1121" w:type="dxa"/>
            <w:shd w:val="clear" w:color="auto" w:fill="FFFFFF"/>
            <w:hideMark/>
          </w:tcPr>
          <w:p w14:paraId="0D292F09"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Pr>
                <w:rFonts w:cstheme="majorBidi"/>
                <w:b/>
                <w:bCs/>
                <w:color w:val="000000"/>
                <w:sz w:val="20"/>
                <w:szCs w:val="24"/>
              </w:rPr>
              <w:t>.691</w:t>
            </w:r>
          </w:p>
        </w:tc>
        <w:tc>
          <w:tcPr>
            <w:tcW w:w="1154" w:type="dxa"/>
            <w:tcBorders>
              <w:right w:val="single" w:sz="4" w:space="0" w:color="auto"/>
            </w:tcBorders>
            <w:shd w:val="clear" w:color="auto" w:fill="FFFFFF"/>
            <w:hideMark/>
          </w:tcPr>
          <w:p w14:paraId="7FFE2849"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-.204</w:t>
            </w:r>
          </w:p>
        </w:tc>
        <w:tc>
          <w:tcPr>
            <w:tcW w:w="1127" w:type="dxa"/>
            <w:tcBorders>
              <w:left w:val="single" w:sz="4" w:space="0" w:color="auto"/>
            </w:tcBorders>
            <w:shd w:val="clear" w:color="auto" w:fill="FFFFFF"/>
            <w:hideMark/>
          </w:tcPr>
          <w:p w14:paraId="545C6551" w14:textId="77777777" w:rsidR="00726C45" w:rsidRPr="00482140" w:rsidRDefault="00726C45" w:rsidP="00A37677">
            <w:pPr>
              <w:autoSpaceDE w:val="0"/>
              <w:adjustRightInd w:val="0"/>
              <w:spacing w:line="240" w:lineRule="auto"/>
              <w:ind w:left="57" w:right="60"/>
              <w:jc w:val="center"/>
              <w:rPr>
                <w:rFonts w:cstheme="majorBidi"/>
                <w:b/>
                <w:sz w:val="20"/>
                <w:szCs w:val="24"/>
              </w:rPr>
            </w:pPr>
            <w:r w:rsidRPr="00482140">
              <w:rPr>
                <w:rFonts w:cstheme="majorBidi"/>
                <w:b/>
                <w:sz w:val="20"/>
                <w:szCs w:val="24"/>
              </w:rPr>
              <w:t>.612</w:t>
            </w:r>
          </w:p>
        </w:tc>
        <w:tc>
          <w:tcPr>
            <w:tcW w:w="1127" w:type="dxa"/>
            <w:shd w:val="clear" w:color="auto" w:fill="FFFFFF"/>
            <w:hideMark/>
          </w:tcPr>
          <w:p w14:paraId="77A7A45F"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2140">
              <w:rPr>
                <w:rFonts w:cstheme="majorBidi"/>
                <w:color w:val="808080" w:themeColor="background1" w:themeShade="80"/>
                <w:sz w:val="20"/>
                <w:szCs w:val="24"/>
              </w:rPr>
              <w:t>-.160</w:t>
            </w:r>
          </w:p>
        </w:tc>
      </w:tr>
      <w:tr w:rsidR="00726C45" w:rsidRPr="00482140" w14:paraId="52D0A851" w14:textId="77777777" w:rsidTr="00A37677">
        <w:trPr>
          <w:cantSplit/>
          <w:trHeight w:val="286"/>
          <w:tblHeader/>
          <w:jc w:val="center"/>
        </w:trPr>
        <w:tc>
          <w:tcPr>
            <w:tcW w:w="2158" w:type="dxa"/>
            <w:shd w:val="clear" w:color="auto" w:fill="FFFFFF"/>
            <w:hideMark/>
          </w:tcPr>
          <w:p w14:paraId="1091FADA"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Prospering Economy</w:t>
            </w:r>
          </w:p>
        </w:tc>
        <w:tc>
          <w:tcPr>
            <w:tcW w:w="1121" w:type="dxa"/>
            <w:shd w:val="clear" w:color="auto" w:fill="FFFFFF"/>
            <w:hideMark/>
          </w:tcPr>
          <w:p w14:paraId="4B5127FB"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Pr>
                <w:rFonts w:cstheme="majorBidi"/>
                <w:b/>
                <w:bCs/>
                <w:color w:val="000000"/>
                <w:sz w:val="20"/>
                <w:szCs w:val="24"/>
              </w:rPr>
              <w:t>.625</w:t>
            </w:r>
          </w:p>
        </w:tc>
        <w:tc>
          <w:tcPr>
            <w:tcW w:w="1154" w:type="dxa"/>
            <w:tcBorders>
              <w:right w:val="single" w:sz="4" w:space="0" w:color="auto"/>
            </w:tcBorders>
            <w:shd w:val="clear" w:color="auto" w:fill="FFFFFF"/>
            <w:hideMark/>
          </w:tcPr>
          <w:p w14:paraId="03779729"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.359</w:t>
            </w:r>
          </w:p>
        </w:tc>
        <w:tc>
          <w:tcPr>
            <w:tcW w:w="1127" w:type="dxa"/>
            <w:tcBorders>
              <w:left w:val="single" w:sz="4" w:space="0" w:color="auto"/>
            </w:tcBorders>
            <w:shd w:val="clear" w:color="auto" w:fill="FFFFFF"/>
            <w:hideMark/>
          </w:tcPr>
          <w:p w14:paraId="1DEEC49B" w14:textId="77777777" w:rsidR="00726C45" w:rsidRPr="00482140" w:rsidRDefault="00726C45" w:rsidP="00A37677">
            <w:pPr>
              <w:autoSpaceDE w:val="0"/>
              <w:adjustRightInd w:val="0"/>
              <w:spacing w:line="240" w:lineRule="auto"/>
              <w:ind w:left="57" w:right="60"/>
              <w:jc w:val="center"/>
              <w:rPr>
                <w:rFonts w:cstheme="majorBidi"/>
                <w:b/>
                <w:sz w:val="20"/>
                <w:szCs w:val="24"/>
              </w:rPr>
            </w:pPr>
            <w:r w:rsidRPr="00482140">
              <w:rPr>
                <w:rFonts w:cstheme="majorBidi"/>
                <w:b/>
                <w:sz w:val="20"/>
                <w:szCs w:val="24"/>
              </w:rPr>
              <w:t>.587</w:t>
            </w:r>
          </w:p>
        </w:tc>
        <w:tc>
          <w:tcPr>
            <w:tcW w:w="1127" w:type="dxa"/>
            <w:shd w:val="clear" w:color="auto" w:fill="FFFFFF"/>
            <w:hideMark/>
          </w:tcPr>
          <w:p w14:paraId="6BF93770"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.304</w:t>
            </w:r>
          </w:p>
        </w:tc>
      </w:tr>
      <w:tr w:rsidR="00726C45" w:rsidRPr="00482140" w14:paraId="31657394" w14:textId="77777777" w:rsidTr="00A37677">
        <w:trPr>
          <w:cantSplit/>
          <w:trHeight w:val="286"/>
          <w:tblHeader/>
          <w:jc w:val="center"/>
        </w:trPr>
        <w:tc>
          <w:tcPr>
            <w:tcW w:w="2158" w:type="dxa"/>
            <w:shd w:val="clear" w:color="auto" w:fill="FFFFFF"/>
            <w:hideMark/>
          </w:tcPr>
          <w:p w14:paraId="29D6032B"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Unemployment Aid</w:t>
            </w:r>
          </w:p>
        </w:tc>
        <w:tc>
          <w:tcPr>
            <w:tcW w:w="1121" w:type="dxa"/>
            <w:shd w:val="clear" w:color="auto" w:fill="FFFFFF"/>
            <w:hideMark/>
          </w:tcPr>
          <w:p w14:paraId="12445700"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w:t>
            </w:r>
            <w:r>
              <w:rPr>
                <w:rFonts w:cstheme="majorBidi"/>
                <w:b/>
                <w:bCs/>
                <w:color w:val="000000"/>
                <w:sz w:val="20"/>
                <w:szCs w:val="24"/>
              </w:rPr>
              <w:t>564</w:t>
            </w:r>
          </w:p>
        </w:tc>
        <w:tc>
          <w:tcPr>
            <w:tcW w:w="1154" w:type="dxa"/>
            <w:tcBorders>
              <w:right w:val="single" w:sz="4" w:space="0" w:color="auto"/>
            </w:tcBorders>
            <w:shd w:val="clear" w:color="auto" w:fill="FFFFFF"/>
            <w:hideMark/>
          </w:tcPr>
          <w:p w14:paraId="62CA4E53" w14:textId="77777777" w:rsidR="00726C45" w:rsidRPr="00482140" w:rsidRDefault="00726C45" w:rsidP="00A37677">
            <w:pPr>
              <w:autoSpaceDE w:val="0"/>
              <w:adjustRightInd w:val="0"/>
              <w:spacing w:line="240" w:lineRule="auto"/>
              <w:ind w:left="57" w:right="60"/>
              <w:jc w:val="center"/>
              <w:rPr>
                <w:rFonts w:cstheme="majorBidi"/>
                <w:i/>
                <w:iCs/>
                <w:color w:val="808080" w:themeColor="background1" w:themeShade="80"/>
                <w:sz w:val="20"/>
                <w:szCs w:val="24"/>
              </w:rPr>
            </w:pPr>
            <w:r w:rsidRPr="00482140">
              <w:rPr>
                <w:rFonts w:cstheme="majorBidi"/>
                <w:i/>
                <w:iCs/>
                <w:color w:val="808080" w:themeColor="background1" w:themeShade="80"/>
                <w:sz w:val="20"/>
                <w:szCs w:val="24"/>
              </w:rPr>
              <w:t>.</w:t>
            </w:r>
            <w:r>
              <w:rPr>
                <w:rFonts w:cstheme="majorBidi"/>
                <w:color w:val="808080" w:themeColor="background1" w:themeShade="80"/>
                <w:sz w:val="20"/>
                <w:szCs w:val="24"/>
              </w:rPr>
              <w:t>207</w:t>
            </w:r>
          </w:p>
        </w:tc>
        <w:tc>
          <w:tcPr>
            <w:tcW w:w="1127" w:type="dxa"/>
            <w:tcBorders>
              <w:left w:val="single" w:sz="4" w:space="0" w:color="auto"/>
            </w:tcBorders>
            <w:shd w:val="clear" w:color="auto" w:fill="FFFFFF"/>
            <w:hideMark/>
          </w:tcPr>
          <w:p w14:paraId="062BB041" w14:textId="77777777" w:rsidR="00726C45" w:rsidRPr="00482140" w:rsidRDefault="00726C45" w:rsidP="00A37677">
            <w:pPr>
              <w:autoSpaceDE w:val="0"/>
              <w:adjustRightInd w:val="0"/>
              <w:spacing w:line="240" w:lineRule="auto"/>
              <w:ind w:left="57" w:right="60"/>
              <w:jc w:val="center"/>
              <w:rPr>
                <w:rFonts w:cstheme="majorBidi"/>
                <w:b/>
                <w:iCs/>
                <w:sz w:val="20"/>
                <w:szCs w:val="24"/>
              </w:rPr>
            </w:pPr>
            <w:r>
              <w:rPr>
                <w:rFonts w:cstheme="majorBidi"/>
                <w:b/>
                <w:iCs/>
                <w:sz w:val="20"/>
                <w:szCs w:val="24"/>
              </w:rPr>
              <w:t>.492</w:t>
            </w:r>
          </w:p>
        </w:tc>
        <w:tc>
          <w:tcPr>
            <w:tcW w:w="1127" w:type="dxa"/>
            <w:shd w:val="clear" w:color="auto" w:fill="FFFFFF"/>
            <w:hideMark/>
          </w:tcPr>
          <w:p w14:paraId="551568E1" w14:textId="77777777" w:rsidR="00726C45" w:rsidRPr="00482140" w:rsidRDefault="00726C45" w:rsidP="00A37677">
            <w:pPr>
              <w:autoSpaceDE w:val="0"/>
              <w:adjustRightInd w:val="0"/>
              <w:spacing w:line="240" w:lineRule="auto"/>
              <w:ind w:left="57" w:right="60"/>
              <w:jc w:val="center"/>
              <w:rPr>
                <w:rFonts w:cstheme="majorBidi"/>
                <w:iCs/>
                <w:color w:val="808080" w:themeColor="background1" w:themeShade="80"/>
                <w:sz w:val="20"/>
                <w:szCs w:val="24"/>
              </w:rPr>
            </w:pPr>
            <w:r>
              <w:rPr>
                <w:rFonts w:cstheme="majorBidi"/>
                <w:iCs/>
                <w:color w:val="808080" w:themeColor="background1" w:themeShade="80"/>
                <w:sz w:val="20"/>
                <w:szCs w:val="24"/>
              </w:rPr>
              <w:t>.153</w:t>
            </w:r>
          </w:p>
        </w:tc>
      </w:tr>
      <w:tr w:rsidR="00726C45" w:rsidRPr="00482140" w14:paraId="26857D4C" w14:textId="77777777" w:rsidTr="00A37677">
        <w:trPr>
          <w:cantSplit/>
          <w:trHeight w:val="286"/>
          <w:tblHeader/>
          <w:jc w:val="center"/>
        </w:trPr>
        <w:tc>
          <w:tcPr>
            <w:tcW w:w="2158" w:type="dxa"/>
            <w:shd w:val="clear" w:color="auto" w:fill="FFFFFF"/>
            <w:hideMark/>
          </w:tcPr>
          <w:p w14:paraId="1C0FC790"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Criminal Punishment</w:t>
            </w:r>
          </w:p>
        </w:tc>
        <w:tc>
          <w:tcPr>
            <w:tcW w:w="1121" w:type="dxa"/>
            <w:shd w:val="clear" w:color="auto" w:fill="FFFFFF"/>
            <w:hideMark/>
          </w:tcPr>
          <w:p w14:paraId="2467AE24"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Pr>
                <w:rFonts w:cstheme="majorBidi"/>
                <w:b/>
                <w:bCs/>
                <w:color w:val="000000"/>
                <w:sz w:val="20"/>
                <w:szCs w:val="24"/>
              </w:rPr>
              <w:t>.545</w:t>
            </w:r>
          </w:p>
        </w:tc>
        <w:tc>
          <w:tcPr>
            <w:tcW w:w="1154" w:type="dxa"/>
            <w:tcBorders>
              <w:right w:val="single" w:sz="4" w:space="0" w:color="auto"/>
            </w:tcBorders>
            <w:shd w:val="clear" w:color="auto" w:fill="FFFFFF"/>
            <w:hideMark/>
          </w:tcPr>
          <w:p w14:paraId="389051DA"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.359</w:t>
            </w:r>
          </w:p>
        </w:tc>
        <w:tc>
          <w:tcPr>
            <w:tcW w:w="1127" w:type="dxa"/>
            <w:tcBorders>
              <w:left w:val="single" w:sz="4" w:space="0" w:color="auto"/>
            </w:tcBorders>
            <w:shd w:val="clear" w:color="auto" w:fill="FFFFFF"/>
            <w:hideMark/>
          </w:tcPr>
          <w:p w14:paraId="13A0E992" w14:textId="77777777" w:rsidR="00726C45" w:rsidRPr="00482140" w:rsidRDefault="00726C45" w:rsidP="00A37677">
            <w:pPr>
              <w:autoSpaceDE w:val="0"/>
              <w:adjustRightInd w:val="0"/>
              <w:spacing w:line="240" w:lineRule="auto"/>
              <w:ind w:left="57" w:right="60"/>
              <w:jc w:val="center"/>
              <w:rPr>
                <w:rFonts w:cstheme="majorBidi"/>
                <w:b/>
                <w:sz w:val="20"/>
                <w:szCs w:val="24"/>
              </w:rPr>
            </w:pPr>
            <w:r>
              <w:rPr>
                <w:rFonts w:cstheme="majorBidi"/>
                <w:b/>
                <w:sz w:val="20"/>
                <w:szCs w:val="24"/>
              </w:rPr>
              <w:t>.496</w:t>
            </w:r>
          </w:p>
        </w:tc>
        <w:tc>
          <w:tcPr>
            <w:tcW w:w="1127" w:type="dxa"/>
            <w:shd w:val="clear" w:color="auto" w:fill="FFFFFF"/>
            <w:hideMark/>
          </w:tcPr>
          <w:p w14:paraId="1F2D438F"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.282</w:t>
            </w:r>
          </w:p>
        </w:tc>
      </w:tr>
      <w:tr w:rsidR="00726C45" w:rsidRPr="00482140" w14:paraId="0D9A2502" w14:textId="77777777" w:rsidTr="00A37677">
        <w:trPr>
          <w:cantSplit/>
          <w:trHeight w:val="286"/>
          <w:tblHeader/>
          <w:jc w:val="center"/>
        </w:trPr>
        <w:tc>
          <w:tcPr>
            <w:tcW w:w="2158" w:type="dxa"/>
            <w:shd w:val="clear" w:color="auto" w:fill="FFFFFF"/>
            <w:hideMark/>
          </w:tcPr>
          <w:p w14:paraId="6A2496DC"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Religious Authorities</w:t>
            </w:r>
          </w:p>
        </w:tc>
        <w:tc>
          <w:tcPr>
            <w:tcW w:w="1121" w:type="dxa"/>
            <w:shd w:val="clear" w:color="auto" w:fill="FFFFFF"/>
            <w:hideMark/>
          </w:tcPr>
          <w:p w14:paraId="18BC765A"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-.066</w:t>
            </w:r>
          </w:p>
        </w:tc>
        <w:tc>
          <w:tcPr>
            <w:tcW w:w="1154" w:type="dxa"/>
            <w:tcBorders>
              <w:right w:val="single" w:sz="4" w:space="0" w:color="auto"/>
            </w:tcBorders>
            <w:shd w:val="clear" w:color="auto" w:fill="FFFFFF"/>
            <w:hideMark/>
          </w:tcPr>
          <w:p w14:paraId="11151AE9"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w:t>
            </w:r>
            <w:r>
              <w:rPr>
                <w:rFonts w:cstheme="majorBidi"/>
                <w:b/>
                <w:bCs/>
                <w:color w:val="000000"/>
                <w:sz w:val="20"/>
                <w:szCs w:val="24"/>
              </w:rPr>
              <w:t>787</w:t>
            </w:r>
          </w:p>
        </w:tc>
        <w:tc>
          <w:tcPr>
            <w:tcW w:w="1127" w:type="dxa"/>
            <w:tcBorders>
              <w:left w:val="single" w:sz="4" w:space="0" w:color="auto"/>
            </w:tcBorders>
            <w:shd w:val="clear" w:color="auto" w:fill="FFFFFF"/>
            <w:hideMark/>
          </w:tcPr>
          <w:p w14:paraId="71B629AB" w14:textId="77777777" w:rsidR="00726C45" w:rsidRPr="00482140" w:rsidRDefault="00726C45" w:rsidP="00A37677">
            <w:pPr>
              <w:autoSpaceDE w:val="0"/>
              <w:adjustRightInd w:val="0"/>
              <w:spacing w:line="240" w:lineRule="auto"/>
              <w:ind w:left="57" w:right="60"/>
              <w:jc w:val="center"/>
              <w:rPr>
                <w:rFonts w:cstheme="majorBidi"/>
                <w:color w:val="A6A6A6" w:themeColor="background1" w:themeShade="A6"/>
                <w:sz w:val="20"/>
                <w:szCs w:val="24"/>
              </w:rPr>
            </w:pPr>
            <w:r>
              <w:rPr>
                <w:rFonts w:cstheme="majorBidi"/>
                <w:color w:val="A6A6A6" w:themeColor="background1" w:themeShade="A6"/>
                <w:sz w:val="20"/>
                <w:szCs w:val="24"/>
              </w:rPr>
              <w:t>-.021</w:t>
            </w:r>
          </w:p>
        </w:tc>
        <w:tc>
          <w:tcPr>
            <w:tcW w:w="1127" w:type="dxa"/>
            <w:shd w:val="clear" w:color="auto" w:fill="FFFFFF"/>
            <w:hideMark/>
          </w:tcPr>
          <w:p w14:paraId="74697AD5" w14:textId="77777777" w:rsidR="00726C45" w:rsidRPr="00482140" w:rsidRDefault="00726C45" w:rsidP="00A37677">
            <w:pPr>
              <w:autoSpaceDE w:val="0"/>
              <w:adjustRightInd w:val="0"/>
              <w:spacing w:line="240" w:lineRule="auto"/>
              <w:ind w:left="57" w:right="60"/>
              <w:jc w:val="center"/>
              <w:rPr>
                <w:rFonts w:cstheme="majorBidi"/>
                <w:b/>
                <w:color w:val="000000"/>
                <w:sz w:val="20"/>
                <w:szCs w:val="24"/>
              </w:rPr>
            </w:pPr>
            <w:r>
              <w:rPr>
                <w:rFonts w:cstheme="majorBidi"/>
                <w:b/>
                <w:color w:val="000000"/>
                <w:sz w:val="20"/>
                <w:szCs w:val="24"/>
              </w:rPr>
              <w:t>.669</w:t>
            </w:r>
          </w:p>
        </w:tc>
      </w:tr>
      <w:tr w:rsidR="00726C45" w:rsidRPr="00482140" w14:paraId="17043657" w14:textId="77777777" w:rsidTr="00A37677">
        <w:trPr>
          <w:cantSplit/>
          <w:trHeight w:val="286"/>
          <w:tblHeader/>
          <w:jc w:val="center"/>
        </w:trPr>
        <w:tc>
          <w:tcPr>
            <w:tcW w:w="2158" w:type="dxa"/>
            <w:shd w:val="clear" w:color="auto" w:fill="FFFFFF"/>
            <w:hideMark/>
          </w:tcPr>
          <w:p w14:paraId="6D8A794B"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Army Intervention</w:t>
            </w:r>
          </w:p>
        </w:tc>
        <w:tc>
          <w:tcPr>
            <w:tcW w:w="1121" w:type="dxa"/>
            <w:shd w:val="clear" w:color="auto" w:fill="FFFFFF"/>
            <w:hideMark/>
          </w:tcPr>
          <w:p w14:paraId="745C1B98"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-.086</w:t>
            </w:r>
          </w:p>
        </w:tc>
        <w:tc>
          <w:tcPr>
            <w:tcW w:w="1154" w:type="dxa"/>
            <w:tcBorders>
              <w:right w:val="single" w:sz="4" w:space="0" w:color="auto"/>
            </w:tcBorders>
            <w:shd w:val="clear" w:color="auto" w:fill="FFFFFF"/>
            <w:hideMark/>
          </w:tcPr>
          <w:p w14:paraId="0C9B7F0C"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w:t>
            </w:r>
            <w:r>
              <w:rPr>
                <w:rFonts w:cstheme="majorBidi"/>
                <w:b/>
                <w:bCs/>
                <w:color w:val="000000"/>
                <w:sz w:val="20"/>
                <w:szCs w:val="24"/>
              </w:rPr>
              <w:t>713</w:t>
            </w:r>
          </w:p>
        </w:tc>
        <w:tc>
          <w:tcPr>
            <w:tcW w:w="1127" w:type="dxa"/>
            <w:tcBorders>
              <w:left w:val="single" w:sz="4" w:space="0" w:color="auto"/>
            </w:tcBorders>
            <w:shd w:val="clear" w:color="auto" w:fill="FFFFFF"/>
            <w:hideMark/>
          </w:tcPr>
          <w:p w14:paraId="4465A755" w14:textId="77777777" w:rsidR="00726C45" w:rsidRPr="00482140" w:rsidRDefault="00726C45" w:rsidP="00A37677">
            <w:pPr>
              <w:autoSpaceDE w:val="0"/>
              <w:adjustRightInd w:val="0"/>
              <w:spacing w:line="240" w:lineRule="auto"/>
              <w:ind w:left="57" w:right="60"/>
              <w:jc w:val="center"/>
              <w:rPr>
                <w:rFonts w:cstheme="majorBidi"/>
                <w:color w:val="A6A6A6" w:themeColor="background1" w:themeShade="A6"/>
                <w:sz w:val="20"/>
                <w:szCs w:val="24"/>
              </w:rPr>
            </w:pPr>
            <w:r>
              <w:rPr>
                <w:rFonts w:cstheme="majorBidi"/>
                <w:color w:val="A6A6A6" w:themeColor="background1" w:themeShade="A6"/>
                <w:sz w:val="20"/>
                <w:szCs w:val="24"/>
              </w:rPr>
              <w:t>-.028</w:t>
            </w:r>
          </w:p>
        </w:tc>
        <w:tc>
          <w:tcPr>
            <w:tcW w:w="1127" w:type="dxa"/>
            <w:shd w:val="clear" w:color="auto" w:fill="FFFFFF"/>
            <w:hideMark/>
          </w:tcPr>
          <w:p w14:paraId="0AD135A8" w14:textId="77777777" w:rsidR="00726C45" w:rsidRPr="00482140" w:rsidRDefault="00726C45" w:rsidP="00A37677">
            <w:pPr>
              <w:autoSpaceDE w:val="0"/>
              <w:adjustRightInd w:val="0"/>
              <w:spacing w:line="240" w:lineRule="auto"/>
              <w:ind w:left="57" w:right="60"/>
              <w:jc w:val="center"/>
              <w:rPr>
                <w:rFonts w:cstheme="majorBidi"/>
                <w:b/>
                <w:color w:val="000000"/>
                <w:sz w:val="20"/>
                <w:szCs w:val="24"/>
              </w:rPr>
            </w:pPr>
            <w:r>
              <w:rPr>
                <w:rFonts w:cstheme="majorBidi"/>
                <w:b/>
                <w:color w:val="000000"/>
                <w:sz w:val="20"/>
                <w:szCs w:val="24"/>
              </w:rPr>
              <w:t>.504</w:t>
            </w:r>
          </w:p>
        </w:tc>
      </w:tr>
      <w:tr w:rsidR="00726C45" w:rsidRPr="00482140" w14:paraId="6F8698E1" w14:textId="77777777" w:rsidTr="00A37677">
        <w:trPr>
          <w:cantSplit/>
          <w:trHeight w:val="286"/>
          <w:tblHeader/>
          <w:jc w:val="center"/>
        </w:trPr>
        <w:tc>
          <w:tcPr>
            <w:tcW w:w="2158" w:type="dxa"/>
            <w:tcBorders>
              <w:top w:val="nil"/>
              <w:left w:val="nil"/>
              <w:bottom w:val="single" w:sz="4" w:space="0" w:color="auto"/>
              <w:right w:val="nil"/>
            </w:tcBorders>
            <w:shd w:val="clear" w:color="auto" w:fill="FFFFFF"/>
            <w:hideMark/>
          </w:tcPr>
          <w:p w14:paraId="17A565F3"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Tax</w:t>
            </w:r>
          </w:p>
        </w:tc>
        <w:tc>
          <w:tcPr>
            <w:tcW w:w="1121" w:type="dxa"/>
            <w:tcBorders>
              <w:top w:val="nil"/>
              <w:left w:val="nil"/>
              <w:bottom w:val="single" w:sz="4" w:space="0" w:color="auto"/>
              <w:right w:val="nil"/>
            </w:tcBorders>
            <w:shd w:val="clear" w:color="auto" w:fill="FFFFFF"/>
            <w:hideMark/>
          </w:tcPr>
          <w:p w14:paraId="3F44D38D" w14:textId="77777777" w:rsidR="00726C45" w:rsidRPr="00482140" w:rsidRDefault="00726C45" w:rsidP="00A37677">
            <w:pPr>
              <w:autoSpaceDE w:val="0"/>
              <w:adjustRightInd w:val="0"/>
              <w:spacing w:line="240" w:lineRule="auto"/>
              <w:ind w:left="57" w:right="60"/>
              <w:jc w:val="center"/>
              <w:rPr>
                <w:rFonts w:cstheme="majorBidi"/>
                <w:b/>
                <w:bCs/>
                <w:color w:val="808080" w:themeColor="background1" w:themeShade="80"/>
                <w:sz w:val="20"/>
                <w:szCs w:val="24"/>
              </w:rPr>
            </w:pPr>
            <w:r w:rsidRPr="00482140">
              <w:rPr>
                <w:rFonts w:cstheme="majorBidi"/>
                <w:bCs/>
                <w:color w:val="808080" w:themeColor="background1" w:themeShade="80"/>
                <w:sz w:val="20"/>
                <w:szCs w:val="24"/>
              </w:rPr>
              <w:t>.</w:t>
            </w:r>
            <w:r>
              <w:rPr>
                <w:rFonts w:cstheme="majorBidi"/>
                <w:color w:val="808080" w:themeColor="background1" w:themeShade="80"/>
                <w:sz w:val="20"/>
                <w:szCs w:val="24"/>
              </w:rPr>
              <w:t>361</w:t>
            </w:r>
          </w:p>
        </w:tc>
        <w:tc>
          <w:tcPr>
            <w:tcW w:w="1154" w:type="dxa"/>
            <w:tcBorders>
              <w:top w:val="nil"/>
              <w:left w:val="nil"/>
              <w:bottom w:val="single" w:sz="4" w:space="0" w:color="auto"/>
              <w:right w:val="single" w:sz="4" w:space="0" w:color="auto"/>
            </w:tcBorders>
            <w:shd w:val="clear" w:color="auto" w:fill="FFFFFF"/>
            <w:hideMark/>
          </w:tcPr>
          <w:p w14:paraId="4E748B82"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w:t>
            </w:r>
            <w:r>
              <w:rPr>
                <w:rFonts w:cstheme="majorBidi"/>
                <w:b/>
                <w:bCs/>
                <w:color w:val="000000"/>
                <w:sz w:val="20"/>
                <w:szCs w:val="24"/>
              </w:rPr>
              <w:t>476</w:t>
            </w:r>
          </w:p>
        </w:tc>
        <w:tc>
          <w:tcPr>
            <w:tcW w:w="1127" w:type="dxa"/>
            <w:tcBorders>
              <w:top w:val="nil"/>
              <w:left w:val="single" w:sz="4" w:space="0" w:color="auto"/>
              <w:bottom w:val="single" w:sz="4" w:space="0" w:color="auto"/>
              <w:right w:val="nil"/>
            </w:tcBorders>
            <w:shd w:val="clear" w:color="auto" w:fill="FFFFFF"/>
            <w:hideMark/>
          </w:tcPr>
          <w:p w14:paraId="6818D869" w14:textId="77777777" w:rsidR="00726C45" w:rsidRPr="00482140" w:rsidRDefault="00726C45" w:rsidP="00A37677">
            <w:pPr>
              <w:autoSpaceDE w:val="0"/>
              <w:adjustRightInd w:val="0"/>
              <w:spacing w:line="240" w:lineRule="auto"/>
              <w:ind w:left="57" w:right="60"/>
              <w:jc w:val="center"/>
              <w:rPr>
                <w:rFonts w:cstheme="majorBidi"/>
                <w:color w:val="A6A6A6" w:themeColor="background1" w:themeShade="A6"/>
                <w:sz w:val="20"/>
                <w:szCs w:val="24"/>
              </w:rPr>
            </w:pPr>
            <w:r>
              <w:rPr>
                <w:rFonts w:cstheme="majorBidi"/>
                <w:color w:val="A6A6A6" w:themeColor="background1" w:themeShade="A6"/>
                <w:sz w:val="20"/>
                <w:szCs w:val="24"/>
              </w:rPr>
              <w:t>.334</w:t>
            </w:r>
          </w:p>
        </w:tc>
        <w:tc>
          <w:tcPr>
            <w:tcW w:w="1127" w:type="dxa"/>
            <w:tcBorders>
              <w:top w:val="nil"/>
              <w:left w:val="nil"/>
              <w:bottom w:val="single" w:sz="4" w:space="0" w:color="auto"/>
              <w:right w:val="nil"/>
            </w:tcBorders>
            <w:shd w:val="clear" w:color="auto" w:fill="FFFFFF"/>
            <w:hideMark/>
          </w:tcPr>
          <w:p w14:paraId="1C331A59"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A6A6A6" w:themeColor="background1" w:themeShade="A6"/>
                <w:sz w:val="20"/>
                <w:szCs w:val="24"/>
              </w:rPr>
              <w:t>.331</w:t>
            </w:r>
          </w:p>
        </w:tc>
      </w:tr>
      <w:tr w:rsidR="00726C45" w:rsidRPr="00482140" w14:paraId="33CD3A21" w14:textId="77777777" w:rsidTr="00A37677">
        <w:trPr>
          <w:cantSplit/>
          <w:trHeight w:val="286"/>
          <w:tblHeader/>
          <w:jc w:val="center"/>
        </w:trPr>
        <w:tc>
          <w:tcPr>
            <w:tcW w:w="2158" w:type="dxa"/>
            <w:shd w:val="clear" w:color="auto" w:fill="FFFFFF"/>
            <w:hideMark/>
          </w:tcPr>
          <w:p w14:paraId="19A3D3B2"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Eigenvalue</w:t>
            </w:r>
          </w:p>
        </w:tc>
        <w:tc>
          <w:tcPr>
            <w:tcW w:w="1121" w:type="dxa"/>
            <w:shd w:val="clear" w:color="auto" w:fill="FFFFFF"/>
            <w:hideMark/>
          </w:tcPr>
          <w:p w14:paraId="3CFD1321"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3.20</w:t>
            </w:r>
          </w:p>
        </w:tc>
        <w:tc>
          <w:tcPr>
            <w:tcW w:w="1154" w:type="dxa"/>
            <w:tcBorders>
              <w:right w:val="single" w:sz="4" w:space="0" w:color="auto"/>
            </w:tcBorders>
            <w:shd w:val="clear" w:color="auto" w:fill="FFFFFF"/>
            <w:hideMark/>
          </w:tcPr>
          <w:p w14:paraId="53D3AD0F"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Pr>
                <w:rFonts w:cstheme="majorBidi"/>
                <w:color w:val="000000"/>
                <w:sz w:val="20"/>
                <w:szCs w:val="24"/>
              </w:rPr>
              <w:t>1.61</w:t>
            </w:r>
          </w:p>
        </w:tc>
        <w:tc>
          <w:tcPr>
            <w:tcW w:w="1127" w:type="dxa"/>
            <w:tcBorders>
              <w:left w:val="single" w:sz="4" w:space="0" w:color="auto"/>
            </w:tcBorders>
            <w:shd w:val="clear" w:color="auto" w:fill="FFFFFF"/>
            <w:hideMark/>
          </w:tcPr>
          <w:p w14:paraId="7AA2EAA4"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3.20</w:t>
            </w:r>
          </w:p>
        </w:tc>
        <w:tc>
          <w:tcPr>
            <w:tcW w:w="1127" w:type="dxa"/>
            <w:shd w:val="clear" w:color="auto" w:fill="FFFFFF"/>
            <w:hideMark/>
          </w:tcPr>
          <w:p w14:paraId="57109FBF"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1.6</w:t>
            </w:r>
            <w:r>
              <w:rPr>
                <w:rFonts w:cstheme="majorBidi"/>
                <w:color w:val="000000"/>
                <w:sz w:val="20"/>
                <w:szCs w:val="24"/>
              </w:rPr>
              <w:t>1</w:t>
            </w:r>
          </w:p>
        </w:tc>
      </w:tr>
      <w:tr w:rsidR="00726C45" w:rsidRPr="00482140" w14:paraId="07AA0597" w14:textId="77777777" w:rsidTr="00A37677">
        <w:trPr>
          <w:cantSplit/>
          <w:trHeight w:val="286"/>
          <w:tblHeader/>
          <w:jc w:val="center"/>
        </w:trPr>
        <w:tc>
          <w:tcPr>
            <w:tcW w:w="2158" w:type="dxa"/>
            <w:tcBorders>
              <w:top w:val="nil"/>
              <w:left w:val="nil"/>
              <w:bottom w:val="single" w:sz="4" w:space="0" w:color="auto"/>
              <w:right w:val="nil"/>
            </w:tcBorders>
            <w:shd w:val="clear" w:color="auto" w:fill="FFFFFF"/>
            <w:hideMark/>
          </w:tcPr>
          <w:p w14:paraId="633BD25D"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 of Variance</w:t>
            </w:r>
          </w:p>
        </w:tc>
        <w:tc>
          <w:tcPr>
            <w:tcW w:w="1121" w:type="dxa"/>
            <w:tcBorders>
              <w:top w:val="nil"/>
              <w:left w:val="nil"/>
              <w:bottom w:val="single" w:sz="4" w:space="0" w:color="auto"/>
              <w:right w:val="nil"/>
            </w:tcBorders>
            <w:shd w:val="clear" w:color="auto" w:fill="FFFFFF"/>
            <w:hideMark/>
          </w:tcPr>
          <w:p w14:paraId="0902137A"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32.0</w:t>
            </w:r>
          </w:p>
        </w:tc>
        <w:tc>
          <w:tcPr>
            <w:tcW w:w="1154" w:type="dxa"/>
            <w:tcBorders>
              <w:top w:val="nil"/>
              <w:left w:val="nil"/>
              <w:bottom w:val="single" w:sz="4" w:space="0" w:color="auto"/>
              <w:right w:val="single" w:sz="4" w:space="0" w:color="auto"/>
            </w:tcBorders>
            <w:shd w:val="clear" w:color="auto" w:fill="FFFFFF"/>
            <w:hideMark/>
          </w:tcPr>
          <w:p w14:paraId="2FB1F30F"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16.1</w:t>
            </w:r>
          </w:p>
        </w:tc>
        <w:tc>
          <w:tcPr>
            <w:tcW w:w="1127" w:type="dxa"/>
            <w:tcBorders>
              <w:top w:val="nil"/>
              <w:left w:val="single" w:sz="4" w:space="0" w:color="auto"/>
              <w:bottom w:val="single" w:sz="4" w:space="0" w:color="auto"/>
              <w:right w:val="nil"/>
            </w:tcBorders>
            <w:shd w:val="clear" w:color="auto" w:fill="FFFFFF"/>
            <w:hideMark/>
          </w:tcPr>
          <w:p w14:paraId="58C641B7"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32.0</w:t>
            </w:r>
          </w:p>
        </w:tc>
        <w:tc>
          <w:tcPr>
            <w:tcW w:w="1127" w:type="dxa"/>
            <w:tcBorders>
              <w:top w:val="nil"/>
              <w:left w:val="nil"/>
              <w:bottom w:val="single" w:sz="4" w:space="0" w:color="auto"/>
              <w:right w:val="nil"/>
            </w:tcBorders>
            <w:shd w:val="clear" w:color="auto" w:fill="FFFFFF"/>
            <w:hideMark/>
          </w:tcPr>
          <w:p w14:paraId="48D3FD52"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16.1</w:t>
            </w:r>
          </w:p>
        </w:tc>
      </w:tr>
      <w:tr w:rsidR="00726C45" w:rsidRPr="00482140" w14:paraId="37F71098" w14:textId="77777777" w:rsidTr="00A37677">
        <w:trPr>
          <w:cantSplit/>
          <w:trHeight w:val="286"/>
          <w:tblHeader/>
          <w:jc w:val="center"/>
        </w:trPr>
        <w:tc>
          <w:tcPr>
            <w:tcW w:w="2158" w:type="dxa"/>
            <w:tcBorders>
              <w:top w:val="single" w:sz="4" w:space="0" w:color="auto"/>
              <w:bottom w:val="single" w:sz="4" w:space="0" w:color="auto"/>
            </w:tcBorders>
            <w:shd w:val="clear" w:color="auto" w:fill="FFFFFF"/>
            <w:hideMark/>
          </w:tcPr>
          <w:p w14:paraId="20A51A52" w14:textId="77777777" w:rsidR="00726C45" w:rsidRPr="00482140" w:rsidRDefault="00726C45" w:rsidP="00A37677">
            <w:pPr>
              <w:autoSpaceDE w:val="0"/>
              <w:adjustRightInd w:val="0"/>
              <w:spacing w:line="240" w:lineRule="auto"/>
              <w:ind w:left="57" w:right="60"/>
              <w:rPr>
                <w:rFonts w:cstheme="majorBidi"/>
                <w:i/>
                <w:iCs/>
                <w:color w:val="000000"/>
                <w:sz w:val="20"/>
                <w:szCs w:val="24"/>
              </w:rPr>
            </w:pPr>
            <w:r w:rsidRPr="00482140">
              <w:rPr>
                <w:rFonts w:cstheme="majorBidi"/>
                <w:i/>
                <w:iCs/>
                <w:color w:val="000000"/>
                <w:sz w:val="20"/>
                <w:szCs w:val="24"/>
              </w:rPr>
              <w:t>N</w:t>
            </w:r>
          </w:p>
          <w:p w14:paraId="78EF728F" w14:textId="77777777" w:rsidR="00726C45" w:rsidRPr="00482140" w:rsidRDefault="00726C45" w:rsidP="00A37677">
            <w:pPr>
              <w:autoSpaceDE w:val="0"/>
              <w:adjustRightInd w:val="0"/>
              <w:spacing w:line="240" w:lineRule="auto"/>
              <w:ind w:left="57" w:right="60"/>
              <w:rPr>
                <w:rFonts w:cstheme="majorBidi"/>
                <w:i/>
                <w:iCs/>
                <w:color w:val="000000"/>
                <w:sz w:val="20"/>
                <w:szCs w:val="24"/>
              </w:rPr>
            </w:pPr>
            <w:r w:rsidRPr="00482140">
              <w:rPr>
                <w:rFonts w:cstheme="majorBidi"/>
                <w:i/>
                <w:iCs/>
                <w:color w:val="000000"/>
                <w:sz w:val="20"/>
                <w:szCs w:val="24"/>
              </w:rPr>
              <w:t>Countries</w:t>
            </w:r>
          </w:p>
        </w:tc>
        <w:tc>
          <w:tcPr>
            <w:tcW w:w="4529" w:type="dxa"/>
            <w:gridSpan w:val="4"/>
            <w:tcBorders>
              <w:top w:val="single" w:sz="4" w:space="0" w:color="auto"/>
              <w:bottom w:val="single" w:sz="4" w:space="0" w:color="auto"/>
            </w:tcBorders>
            <w:shd w:val="clear" w:color="auto" w:fill="FFFFFF"/>
          </w:tcPr>
          <w:p w14:paraId="150ACFB0"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44,108</w:t>
            </w:r>
          </w:p>
          <w:p w14:paraId="5ACE509A"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44</w:t>
            </w:r>
          </w:p>
        </w:tc>
      </w:tr>
    </w:tbl>
    <w:p w14:paraId="1C44593C"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p>
    <w:p w14:paraId="05200740" w14:textId="77777777" w:rsidR="00726C45" w:rsidRPr="000E1AB9" w:rsidRDefault="00726C45" w:rsidP="00726C45">
      <w:pPr>
        <w:autoSpaceDE w:val="0"/>
        <w:autoSpaceDN w:val="0"/>
        <w:adjustRightInd w:val="0"/>
        <w:spacing w:before="0" w:line="240" w:lineRule="auto"/>
        <w:rPr>
          <w:rFonts w:eastAsiaTheme="minorHAnsi" w:cs="Segoe UI"/>
          <w:b/>
          <w:sz w:val="24"/>
          <w:szCs w:val="24"/>
        </w:rPr>
      </w:pPr>
      <w:r>
        <w:rPr>
          <w:rFonts w:eastAsiaTheme="minorHAnsi" w:cs="Segoe UI"/>
          <w:b/>
          <w:sz w:val="24"/>
          <w:szCs w:val="24"/>
        </w:rPr>
        <w:t>Figure B6</w:t>
      </w:r>
      <w:r w:rsidRPr="000E1AB9">
        <w:rPr>
          <w:rFonts w:eastAsiaTheme="minorHAnsi" w:cs="Segoe UI"/>
          <w:b/>
          <w:sz w:val="24"/>
          <w:szCs w:val="24"/>
        </w:rPr>
        <w:t xml:space="preserve">: </w:t>
      </w:r>
      <w:r>
        <w:rPr>
          <w:rFonts w:eastAsiaTheme="minorHAnsi" w:cs="Segoe UI"/>
          <w:b/>
          <w:sz w:val="24"/>
          <w:szCs w:val="24"/>
        </w:rPr>
        <w:t>Scree plot for PCA on Full D</w:t>
      </w:r>
      <w:r w:rsidRPr="000E1AB9">
        <w:rPr>
          <w:rFonts w:eastAsiaTheme="minorHAnsi" w:cs="Segoe UI"/>
          <w:b/>
          <w:sz w:val="24"/>
          <w:szCs w:val="24"/>
        </w:rPr>
        <w:t xml:space="preserve">ataset showing clear kink after two components </w:t>
      </w:r>
    </w:p>
    <w:p w14:paraId="38C2DB6C"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zh-CN"/>
        </w:rPr>
        <w:drawing>
          <wp:inline distT="0" distB="0" distL="0" distR="0" wp14:anchorId="5CF2DD31" wp14:editId="6C1C8F8B">
            <wp:extent cx="4739934" cy="3790738"/>
            <wp:effectExtent l="0" t="0" r="381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5786" cy="3803415"/>
                    </a:xfrm>
                    <a:prstGeom prst="rect">
                      <a:avLst/>
                    </a:prstGeom>
                    <a:noFill/>
                    <a:ln>
                      <a:noFill/>
                    </a:ln>
                  </pic:spPr>
                </pic:pic>
              </a:graphicData>
            </a:graphic>
          </wp:inline>
        </w:drawing>
      </w:r>
    </w:p>
    <w:p w14:paraId="2668886A"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p>
    <w:p w14:paraId="13461D9B" w14:textId="77777777" w:rsidR="00726C45" w:rsidRPr="000E1AB9" w:rsidRDefault="00726C45" w:rsidP="00726C45">
      <w:pPr>
        <w:autoSpaceDE w:val="0"/>
        <w:autoSpaceDN w:val="0"/>
        <w:adjustRightInd w:val="0"/>
        <w:spacing w:before="0" w:line="240" w:lineRule="auto"/>
        <w:rPr>
          <w:rFonts w:eastAsiaTheme="minorHAnsi" w:cs="Segoe UI"/>
          <w:b/>
          <w:sz w:val="24"/>
          <w:szCs w:val="24"/>
        </w:rPr>
      </w:pPr>
      <w:r w:rsidRPr="000E1AB9">
        <w:rPr>
          <w:rFonts w:eastAsiaTheme="minorHAnsi" w:cs="Segoe UI"/>
          <w:b/>
          <w:sz w:val="24"/>
          <w:szCs w:val="24"/>
        </w:rPr>
        <w:t xml:space="preserve">Figure B7: Scree plot for EFA on full dataset showing clear kink after two components </w:t>
      </w:r>
    </w:p>
    <w:p w14:paraId="03EA87A6"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zh-CN"/>
        </w:rPr>
        <w:drawing>
          <wp:anchor distT="0" distB="0" distL="114300" distR="114300" simplePos="0" relativeHeight="251665920" behindDoc="0" locked="0" layoutInCell="1" allowOverlap="1" wp14:anchorId="1EBBB32C" wp14:editId="21D55336">
            <wp:simplePos x="0" y="0"/>
            <wp:positionH relativeFrom="margin">
              <wp:align>left</wp:align>
            </wp:positionH>
            <wp:positionV relativeFrom="paragraph">
              <wp:posOffset>72814</wp:posOffset>
            </wp:positionV>
            <wp:extent cx="4707255" cy="3764280"/>
            <wp:effectExtent l="0" t="0" r="0" b="762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7255"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29198" w14:textId="77777777" w:rsidR="00726C45" w:rsidRDefault="00726C45" w:rsidP="00726C45">
      <w:pPr>
        <w:autoSpaceDE w:val="0"/>
        <w:autoSpaceDN w:val="0"/>
        <w:adjustRightInd w:val="0"/>
        <w:spacing w:before="0" w:line="400" w:lineRule="atLeast"/>
        <w:rPr>
          <w:rFonts w:ascii="Times New Roman" w:eastAsiaTheme="minorHAnsi" w:hAnsi="Times New Roman" w:cs="Times New Roman"/>
          <w:sz w:val="24"/>
          <w:szCs w:val="24"/>
        </w:rPr>
      </w:pPr>
    </w:p>
    <w:p w14:paraId="7B784716" w14:textId="77777777" w:rsidR="00726C45" w:rsidRDefault="00726C45" w:rsidP="00726C45">
      <w:pPr>
        <w:autoSpaceDE w:val="0"/>
        <w:autoSpaceDN w:val="0"/>
        <w:adjustRightInd w:val="0"/>
        <w:spacing w:before="0" w:line="240" w:lineRule="auto"/>
        <w:rPr>
          <w:rFonts w:ascii="Times New Roman" w:eastAsiaTheme="minorHAnsi" w:hAnsi="Times New Roman" w:cs="Times New Roman"/>
          <w:noProof/>
          <w:sz w:val="24"/>
          <w:szCs w:val="24"/>
        </w:rPr>
      </w:pPr>
      <w:r w:rsidRPr="000E1AB9">
        <w:rPr>
          <w:rFonts w:eastAsiaTheme="minorHAnsi" w:cs="Segoe UI"/>
          <w:b/>
          <w:sz w:val="24"/>
          <w:szCs w:val="24"/>
        </w:rPr>
        <w:br w:type="textWrapping" w:clear="all"/>
      </w:r>
    </w:p>
    <w:p w14:paraId="504C1326" w14:textId="77777777" w:rsidR="00726C45" w:rsidRPr="007F45D8" w:rsidRDefault="00726C45" w:rsidP="00726C45">
      <w:pPr>
        <w:autoSpaceDE w:val="0"/>
        <w:autoSpaceDN w:val="0"/>
        <w:adjustRightInd w:val="0"/>
        <w:spacing w:before="0" w:line="240" w:lineRule="auto"/>
        <w:rPr>
          <w:rFonts w:eastAsiaTheme="minorHAnsi" w:cs="Segoe UI"/>
          <w:b/>
          <w:sz w:val="24"/>
          <w:szCs w:val="24"/>
        </w:rPr>
      </w:pPr>
      <w:r>
        <w:rPr>
          <w:rFonts w:eastAsiaTheme="minorHAnsi" w:cs="Segoe UI"/>
          <w:b/>
          <w:sz w:val="24"/>
          <w:szCs w:val="24"/>
        </w:rPr>
        <w:t>Figure B8</w:t>
      </w:r>
      <w:r w:rsidRPr="000E1AB9">
        <w:rPr>
          <w:rFonts w:eastAsiaTheme="minorHAnsi" w:cs="Segoe UI"/>
          <w:b/>
          <w:sz w:val="24"/>
          <w:szCs w:val="24"/>
        </w:rPr>
        <w:t xml:space="preserve">: </w:t>
      </w:r>
      <w:r>
        <w:rPr>
          <w:rFonts w:eastAsiaTheme="minorHAnsi" w:cs="Segoe UI"/>
          <w:b/>
          <w:sz w:val="24"/>
          <w:szCs w:val="24"/>
        </w:rPr>
        <w:t>Parallel Analysis for PCA on Full D</w:t>
      </w:r>
      <w:r w:rsidRPr="000E1AB9">
        <w:rPr>
          <w:rFonts w:eastAsiaTheme="minorHAnsi" w:cs="Segoe UI"/>
          <w:b/>
          <w:sz w:val="24"/>
          <w:szCs w:val="24"/>
        </w:rPr>
        <w:t xml:space="preserve">ataset </w:t>
      </w:r>
      <w:r>
        <w:rPr>
          <w:rFonts w:eastAsiaTheme="minorHAnsi" w:cs="Segoe UI"/>
          <w:b/>
          <w:sz w:val="24"/>
          <w:szCs w:val="24"/>
        </w:rPr>
        <w:t>confirming two components</w:t>
      </w:r>
    </w:p>
    <w:p w14:paraId="118771E6" w14:textId="77777777" w:rsidR="00726C45" w:rsidRDefault="00726C45" w:rsidP="00726C45">
      <w:pPr>
        <w:autoSpaceDE w:val="0"/>
        <w:autoSpaceDN w:val="0"/>
        <w:adjustRightInd w:val="0"/>
        <w:spacing w:before="0" w:line="240" w:lineRule="auto"/>
        <w:rPr>
          <w:rFonts w:ascii="Times New Roman" w:eastAsiaTheme="minorHAnsi" w:hAnsi="Times New Roman" w:cs="Times New Roman"/>
          <w:noProof/>
          <w:sz w:val="24"/>
          <w:szCs w:val="24"/>
        </w:rPr>
      </w:pPr>
    </w:p>
    <w:p w14:paraId="142936E9" w14:textId="77777777" w:rsidR="00726C45" w:rsidRDefault="00726C45" w:rsidP="00726C45">
      <w:pPr>
        <w:autoSpaceDE w:val="0"/>
        <w:autoSpaceDN w:val="0"/>
        <w:adjustRightInd w:val="0"/>
        <w:spacing w:before="0" w:line="240" w:lineRule="auto"/>
        <w:rPr>
          <w:rFonts w:eastAsiaTheme="minorHAnsi" w:cs="Segoe UI"/>
          <w:b/>
          <w:sz w:val="24"/>
          <w:szCs w:val="24"/>
        </w:rPr>
      </w:pPr>
      <w:r w:rsidRPr="00361F66">
        <w:rPr>
          <w:rFonts w:ascii="Times New Roman" w:eastAsiaTheme="minorHAnsi" w:hAnsi="Times New Roman" w:cs="Times New Roman"/>
          <w:noProof/>
          <w:sz w:val="24"/>
          <w:szCs w:val="24"/>
          <w:lang w:eastAsia="zh-CN"/>
        </w:rPr>
        <w:drawing>
          <wp:inline distT="0" distB="0" distL="0" distR="0" wp14:anchorId="0FE60940" wp14:editId="772678C5">
            <wp:extent cx="4937760" cy="3613175"/>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41402" cy="3615840"/>
                    </a:xfrm>
                    <a:prstGeom prst="rect">
                      <a:avLst/>
                    </a:prstGeom>
                    <a:noFill/>
                    <a:ln>
                      <a:noFill/>
                    </a:ln>
                  </pic:spPr>
                </pic:pic>
              </a:graphicData>
            </a:graphic>
          </wp:inline>
        </w:drawing>
      </w:r>
    </w:p>
    <w:p w14:paraId="0C2C3E85" w14:textId="77777777" w:rsidR="00726C45" w:rsidRPr="007F45D8" w:rsidRDefault="00726C45" w:rsidP="00726C45">
      <w:pPr>
        <w:autoSpaceDE w:val="0"/>
        <w:autoSpaceDN w:val="0"/>
        <w:adjustRightInd w:val="0"/>
        <w:spacing w:before="0" w:line="240" w:lineRule="auto"/>
        <w:rPr>
          <w:rFonts w:eastAsiaTheme="minorHAnsi" w:cs="Segoe UI"/>
          <w:b/>
          <w:sz w:val="24"/>
          <w:szCs w:val="24"/>
        </w:rPr>
      </w:pPr>
      <w:r>
        <w:rPr>
          <w:rFonts w:eastAsiaTheme="minorHAnsi" w:cs="Segoe UI"/>
          <w:b/>
          <w:sz w:val="24"/>
          <w:szCs w:val="24"/>
        </w:rPr>
        <w:t>Figure B9</w:t>
      </w:r>
      <w:r w:rsidRPr="000E1AB9">
        <w:rPr>
          <w:rFonts w:eastAsiaTheme="minorHAnsi" w:cs="Segoe UI"/>
          <w:b/>
          <w:sz w:val="24"/>
          <w:szCs w:val="24"/>
        </w:rPr>
        <w:t xml:space="preserve">: </w:t>
      </w:r>
      <w:r>
        <w:rPr>
          <w:rFonts w:eastAsiaTheme="minorHAnsi" w:cs="Segoe UI"/>
          <w:b/>
          <w:sz w:val="24"/>
          <w:szCs w:val="24"/>
        </w:rPr>
        <w:t>Parallel Analysis for FA on Full D</w:t>
      </w:r>
      <w:r w:rsidRPr="000E1AB9">
        <w:rPr>
          <w:rFonts w:eastAsiaTheme="minorHAnsi" w:cs="Segoe UI"/>
          <w:b/>
          <w:sz w:val="24"/>
          <w:szCs w:val="24"/>
        </w:rPr>
        <w:t xml:space="preserve">ataset </w:t>
      </w:r>
      <w:r>
        <w:rPr>
          <w:rFonts w:eastAsiaTheme="minorHAnsi" w:cs="Segoe UI"/>
          <w:b/>
          <w:sz w:val="24"/>
          <w:szCs w:val="24"/>
        </w:rPr>
        <w:t>confirming two factors</w:t>
      </w:r>
    </w:p>
    <w:p w14:paraId="18673ECC" w14:textId="77777777" w:rsidR="00726C45" w:rsidRDefault="00726C45" w:rsidP="00726C45">
      <w:pPr>
        <w:autoSpaceDE w:val="0"/>
        <w:autoSpaceDN w:val="0"/>
        <w:adjustRightInd w:val="0"/>
        <w:spacing w:before="0" w:line="240" w:lineRule="auto"/>
        <w:rPr>
          <w:rFonts w:eastAsiaTheme="minorHAnsi" w:cs="Segoe UI"/>
          <w:b/>
          <w:sz w:val="24"/>
          <w:szCs w:val="24"/>
        </w:rPr>
      </w:pPr>
    </w:p>
    <w:p w14:paraId="4BE0E0B7" w14:textId="77777777" w:rsidR="00726C45" w:rsidRDefault="00726C45" w:rsidP="00726C45">
      <w:pPr>
        <w:autoSpaceDE w:val="0"/>
        <w:autoSpaceDN w:val="0"/>
        <w:adjustRightInd w:val="0"/>
        <w:spacing w:before="0" w:line="240" w:lineRule="auto"/>
        <w:rPr>
          <w:rFonts w:eastAsiaTheme="minorHAnsi" w:cs="Segoe UI"/>
          <w:b/>
          <w:sz w:val="24"/>
          <w:szCs w:val="24"/>
        </w:rPr>
      </w:pPr>
      <w:r w:rsidRPr="007F45D8">
        <w:rPr>
          <w:rFonts w:eastAsiaTheme="minorHAnsi" w:cs="Segoe UI"/>
          <w:b/>
          <w:noProof/>
          <w:sz w:val="24"/>
          <w:szCs w:val="24"/>
          <w:lang w:eastAsia="zh-CN"/>
        </w:rPr>
        <w:drawing>
          <wp:inline distT="0" distB="0" distL="0" distR="0" wp14:anchorId="480129EF" wp14:editId="6FB284B9">
            <wp:extent cx="5113020" cy="374142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13020" cy="3741420"/>
                    </a:xfrm>
                    <a:prstGeom prst="rect">
                      <a:avLst/>
                    </a:prstGeom>
                    <a:noFill/>
                    <a:ln>
                      <a:noFill/>
                    </a:ln>
                  </pic:spPr>
                </pic:pic>
              </a:graphicData>
            </a:graphic>
          </wp:inline>
        </w:drawing>
      </w:r>
    </w:p>
    <w:p w14:paraId="0D19A6B3" w14:textId="77777777" w:rsidR="00726C45" w:rsidRDefault="00726C45" w:rsidP="00726C45">
      <w:pPr>
        <w:autoSpaceDE w:val="0"/>
        <w:autoSpaceDN w:val="0"/>
        <w:adjustRightInd w:val="0"/>
        <w:spacing w:before="0" w:line="240" w:lineRule="auto"/>
        <w:rPr>
          <w:rFonts w:eastAsiaTheme="minorHAnsi" w:cs="Segoe UI"/>
          <w:b/>
          <w:sz w:val="24"/>
          <w:szCs w:val="24"/>
        </w:rPr>
      </w:pPr>
    </w:p>
    <w:p w14:paraId="2C1CC8D1" w14:textId="77777777" w:rsidR="00726C45" w:rsidRDefault="00726C45" w:rsidP="00726C45">
      <w:pPr>
        <w:autoSpaceDE w:val="0"/>
        <w:autoSpaceDN w:val="0"/>
        <w:adjustRightInd w:val="0"/>
        <w:spacing w:before="0" w:line="240" w:lineRule="auto"/>
        <w:rPr>
          <w:rFonts w:eastAsiaTheme="minorHAnsi" w:cs="Segoe UI"/>
          <w:b/>
          <w:sz w:val="24"/>
          <w:szCs w:val="24"/>
        </w:rPr>
      </w:pPr>
    </w:p>
    <w:p w14:paraId="6750BEB5" w14:textId="77777777" w:rsidR="00726C45" w:rsidRPr="000E1AB9" w:rsidRDefault="00726C45" w:rsidP="00726C45">
      <w:pPr>
        <w:autoSpaceDE w:val="0"/>
        <w:autoSpaceDN w:val="0"/>
        <w:adjustRightInd w:val="0"/>
        <w:spacing w:before="0" w:line="240" w:lineRule="auto"/>
        <w:rPr>
          <w:rFonts w:eastAsiaTheme="minorHAnsi" w:cs="Segoe UI"/>
          <w:b/>
          <w:sz w:val="24"/>
          <w:szCs w:val="24"/>
        </w:rPr>
      </w:pPr>
      <w:r>
        <w:rPr>
          <w:rFonts w:eastAsiaTheme="minorHAnsi" w:cs="Segoe UI"/>
          <w:b/>
          <w:sz w:val="24"/>
          <w:szCs w:val="24"/>
        </w:rPr>
        <w:t>Figure B10</w:t>
      </w:r>
      <w:r w:rsidRPr="000E1AB9">
        <w:rPr>
          <w:rFonts w:eastAsiaTheme="minorHAnsi" w:cs="Segoe UI"/>
          <w:b/>
          <w:sz w:val="24"/>
          <w:szCs w:val="24"/>
        </w:rPr>
        <w:t>: Component Rotation plot for PCA</w:t>
      </w:r>
    </w:p>
    <w:p w14:paraId="1FB11C38"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p>
    <w:p w14:paraId="68944A7C"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zh-CN"/>
        </w:rPr>
        <w:drawing>
          <wp:inline distT="0" distB="0" distL="0" distR="0" wp14:anchorId="2E9A9150" wp14:editId="7AC5774F">
            <wp:extent cx="4754492" cy="3802380"/>
            <wp:effectExtent l="0" t="0" r="825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963" cy="3809155"/>
                    </a:xfrm>
                    <a:prstGeom prst="rect">
                      <a:avLst/>
                    </a:prstGeom>
                    <a:noFill/>
                    <a:ln>
                      <a:noFill/>
                    </a:ln>
                  </pic:spPr>
                </pic:pic>
              </a:graphicData>
            </a:graphic>
          </wp:inline>
        </w:drawing>
      </w:r>
    </w:p>
    <w:p w14:paraId="1BFA7574" w14:textId="77777777" w:rsidR="00726C45" w:rsidRDefault="00726C45" w:rsidP="00726C45">
      <w:pPr>
        <w:autoSpaceDE w:val="0"/>
        <w:autoSpaceDN w:val="0"/>
        <w:adjustRightInd w:val="0"/>
        <w:spacing w:before="0" w:line="240" w:lineRule="auto"/>
        <w:rPr>
          <w:rFonts w:eastAsiaTheme="minorHAnsi" w:cs="Segoe UI"/>
          <w:b/>
          <w:sz w:val="24"/>
          <w:szCs w:val="24"/>
        </w:rPr>
      </w:pPr>
    </w:p>
    <w:p w14:paraId="7278A706" w14:textId="77777777" w:rsidR="00726C45" w:rsidRPr="000E1AB9" w:rsidRDefault="00726C45" w:rsidP="00726C45">
      <w:pPr>
        <w:autoSpaceDE w:val="0"/>
        <w:autoSpaceDN w:val="0"/>
        <w:adjustRightInd w:val="0"/>
        <w:spacing w:before="0" w:line="240" w:lineRule="auto"/>
        <w:rPr>
          <w:rFonts w:eastAsiaTheme="minorHAnsi" w:cs="Segoe UI"/>
          <w:b/>
          <w:sz w:val="24"/>
          <w:szCs w:val="24"/>
        </w:rPr>
      </w:pPr>
      <w:r w:rsidRPr="000E1AB9">
        <w:rPr>
          <w:rFonts w:eastAsiaTheme="minorHAnsi" w:cs="Segoe UI"/>
          <w:b/>
          <w:sz w:val="24"/>
          <w:szCs w:val="24"/>
        </w:rPr>
        <w:t xml:space="preserve">Figure </w:t>
      </w:r>
      <w:r>
        <w:rPr>
          <w:rFonts w:eastAsiaTheme="minorHAnsi" w:cs="Segoe UI"/>
          <w:b/>
          <w:sz w:val="24"/>
          <w:szCs w:val="24"/>
        </w:rPr>
        <w:t>B11</w:t>
      </w:r>
      <w:r w:rsidRPr="000E1AB9">
        <w:rPr>
          <w:rFonts w:eastAsiaTheme="minorHAnsi" w:cs="Segoe UI"/>
          <w:b/>
          <w:sz w:val="24"/>
          <w:szCs w:val="24"/>
        </w:rPr>
        <w:t>: Component Rotation plot for EFA</w:t>
      </w:r>
    </w:p>
    <w:p w14:paraId="19AC80C0"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p>
    <w:p w14:paraId="09D40B10"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zh-CN"/>
        </w:rPr>
        <w:drawing>
          <wp:inline distT="0" distB="0" distL="0" distR="0" wp14:anchorId="047F1C52" wp14:editId="1B6E2AC4">
            <wp:extent cx="4831080" cy="3863631"/>
            <wp:effectExtent l="0" t="0" r="762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2998" cy="3865165"/>
                    </a:xfrm>
                    <a:prstGeom prst="rect">
                      <a:avLst/>
                    </a:prstGeom>
                    <a:noFill/>
                    <a:ln>
                      <a:noFill/>
                    </a:ln>
                  </pic:spPr>
                </pic:pic>
              </a:graphicData>
            </a:graphic>
          </wp:inline>
        </w:drawing>
      </w:r>
    </w:p>
    <w:p w14:paraId="26B918F7"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Cs w:val="24"/>
        </w:rPr>
      </w:pPr>
    </w:p>
    <w:p w14:paraId="25FF7F65"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r w:rsidRPr="000E1AB9">
        <w:rPr>
          <w:rFonts w:eastAsiaTheme="minorHAnsi" w:cs="Segoe UI"/>
          <w:b/>
          <w:szCs w:val="24"/>
        </w:rPr>
        <w:t>Figure</w:t>
      </w:r>
      <w:r>
        <w:rPr>
          <w:rFonts w:eastAsiaTheme="minorHAnsi" w:cs="Segoe UI"/>
          <w:b/>
          <w:szCs w:val="24"/>
        </w:rPr>
        <w:t xml:space="preserve"> B12: Extended Figure 4.6</w:t>
      </w:r>
      <w:r w:rsidRPr="000E1AB9">
        <w:rPr>
          <w:rFonts w:eastAsiaTheme="minorHAnsi" w:cs="Segoe UI"/>
          <w:b/>
          <w:szCs w:val="24"/>
        </w:rPr>
        <w:t xml:space="preserve"> showing regression score correlations between PCA and EFA with varimax rotation and PCA and EFA with Promax rotation.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1048"/>
        <w:gridCol w:w="972"/>
        <w:gridCol w:w="952"/>
        <w:gridCol w:w="943"/>
        <w:gridCol w:w="972"/>
        <w:gridCol w:w="1045"/>
        <w:gridCol w:w="931"/>
        <w:gridCol w:w="515"/>
      </w:tblGrid>
      <w:tr w:rsidR="00726C45" w:rsidRPr="00FD715E" w14:paraId="0FBD1684" w14:textId="77777777" w:rsidTr="00A37677">
        <w:trPr>
          <w:cantSplit/>
          <w:trHeight w:val="1702"/>
        </w:trPr>
        <w:tc>
          <w:tcPr>
            <w:tcW w:w="1134" w:type="dxa"/>
          </w:tcPr>
          <w:p w14:paraId="55C6F9FE" w14:textId="77777777" w:rsidR="00726C45" w:rsidRDefault="00726C45" w:rsidP="00A37677">
            <w:pPr>
              <w:autoSpaceDE w:val="0"/>
              <w:autoSpaceDN w:val="0"/>
              <w:adjustRightInd w:val="0"/>
              <w:spacing w:before="0" w:line="240" w:lineRule="auto"/>
              <w:rPr>
                <w:rFonts w:ascii="Times New Roman" w:eastAsiaTheme="minorHAnsi" w:hAnsi="Times New Roman" w:cs="Times New Roman"/>
                <w:szCs w:val="24"/>
              </w:rPr>
            </w:pPr>
          </w:p>
          <w:p w14:paraId="4D7156DF" w14:textId="77777777" w:rsidR="00726C45" w:rsidRDefault="00726C45" w:rsidP="00A37677">
            <w:pPr>
              <w:autoSpaceDE w:val="0"/>
              <w:autoSpaceDN w:val="0"/>
              <w:adjustRightInd w:val="0"/>
              <w:spacing w:before="0" w:line="240" w:lineRule="auto"/>
              <w:rPr>
                <w:rFonts w:ascii="Times New Roman" w:eastAsiaTheme="minorHAnsi" w:hAnsi="Times New Roman" w:cs="Times New Roman"/>
                <w:szCs w:val="24"/>
              </w:rPr>
            </w:pPr>
          </w:p>
          <w:p w14:paraId="101E7B70"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082" w:type="dxa"/>
            <w:textDirection w:val="btLr"/>
          </w:tcPr>
          <w:p w14:paraId="7C7223AB"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PCA 1</w:t>
            </w:r>
          </w:p>
        </w:tc>
        <w:tc>
          <w:tcPr>
            <w:tcW w:w="1144" w:type="dxa"/>
            <w:textDirection w:val="btLr"/>
          </w:tcPr>
          <w:p w14:paraId="41CF48DD"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PCA 2</w:t>
            </w:r>
          </w:p>
        </w:tc>
        <w:tc>
          <w:tcPr>
            <w:tcW w:w="1044" w:type="dxa"/>
            <w:textDirection w:val="btLr"/>
          </w:tcPr>
          <w:p w14:paraId="482B15EF"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Factor 1</w:t>
            </w:r>
          </w:p>
        </w:tc>
        <w:tc>
          <w:tcPr>
            <w:tcW w:w="992" w:type="dxa"/>
            <w:textDirection w:val="btLr"/>
          </w:tcPr>
          <w:p w14:paraId="37F54EE3"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Factor 2</w:t>
            </w:r>
          </w:p>
        </w:tc>
        <w:tc>
          <w:tcPr>
            <w:tcW w:w="1148" w:type="dxa"/>
            <w:textDirection w:val="btLr"/>
          </w:tcPr>
          <w:p w14:paraId="58E024DE"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PCA1Pro</w:t>
            </w:r>
          </w:p>
        </w:tc>
        <w:tc>
          <w:tcPr>
            <w:tcW w:w="1061" w:type="dxa"/>
            <w:textDirection w:val="btLr"/>
          </w:tcPr>
          <w:p w14:paraId="29F340A7"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PCA2Pro</w:t>
            </w:r>
          </w:p>
        </w:tc>
        <w:tc>
          <w:tcPr>
            <w:tcW w:w="738" w:type="dxa"/>
            <w:textDirection w:val="btLr"/>
          </w:tcPr>
          <w:p w14:paraId="7403FEA3"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Factor1Pro</w:t>
            </w:r>
          </w:p>
        </w:tc>
        <w:tc>
          <w:tcPr>
            <w:tcW w:w="683" w:type="dxa"/>
            <w:textDirection w:val="btLr"/>
          </w:tcPr>
          <w:p w14:paraId="584CA75A" w14:textId="77777777" w:rsidR="00726C45" w:rsidRPr="00FD715E" w:rsidRDefault="00726C45" w:rsidP="00A37677">
            <w:pPr>
              <w:autoSpaceDE w:val="0"/>
              <w:autoSpaceDN w:val="0"/>
              <w:adjustRightInd w:val="0"/>
              <w:spacing w:before="0" w:line="240" w:lineRule="auto"/>
              <w:ind w:left="113" w:right="113"/>
              <w:rPr>
                <w:rFonts w:ascii="Times New Roman" w:eastAsiaTheme="minorHAnsi" w:hAnsi="Times New Roman" w:cs="Times New Roman"/>
                <w:b/>
                <w:szCs w:val="24"/>
              </w:rPr>
            </w:pPr>
            <w:r w:rsidRPr="00FD715E">
              <w:rPr>
                <w:rFonts w:ascii="Times New Roman" w:eastAsiaTheme="minorHAnsi" w:hAnsi="Times New Roman" w:cs="Times New Roman"/>
                <w:b/>
                <w:szCs w:val="24"/>
              </w:rPr>
              <w:t>Factor2Pro</w:t>
            </w:r>
          </w:p>
        </w:tc>
      </w:tr>
      <w:tr w:rsidR="00726C45" w:rsidRPr="00FD715E" w14:paraId="721F50BF" w14:textId="77777777" w:rsidTr="00A37677">
        <w:tc>
          <w:tcPr>
            <w:tcW w:w="1134" w:type="dxa"/>
          </w:tcPr>
          <w:p w14:paraId="6415923A"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PCA 1</w:t>
            </w:r>
          </w:p>
        </w:tc>
        <w:tc>
          <w:tcPr>
            <w:tcW w:w="1082" w:type="dxa"/>
          </w:tcPr>
          <w:p w14:paraId="2A97B7D4"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c>
          <w:tcPr>
            <w:tcW w:w="1144" w:type="dxa"/>
          </w:tcPr>
          <w:p w14:paraId="1974040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044" w:type="dxa"/>
          </w:tcPr>
          <w:p w14:paraId="12CC3DD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992" w:type="dxa"/>
          </w:tcPr>
          <w:p w14:paraId="406E2AA4"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148" w:type="dxa"/>
          </w:tcPr>
          <w:p w14:paraId="5D66A9DF"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061" w:type="dxa"/>
          </w:tcPr>
          <w:p w14:paraId="468FB71D"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738" w:type="dxa"/>
          </w:tcPr>
          <w:p w14:paraId="1270AAFB"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683" w:type="dxa"/>
          </w:tcPr>
          <w:p w14:paraId="075C11B0"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r>
      <w:tr w:rsidR="00726C45" w:rsidRPr="00FD715E" w14:paraId="18D2D34F" w14:textId="77777777" w:rsidTr="00A37677">
        <w:tc>
          <w:tcPr>
            <w:tcW w:w="1134" w:type="dxa"/>
          </w:tcPr>
          <w:p w14:paraId="366997FD"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PCA 2</w:t>
            </w:r>
          </w:p>
        </w:tc>
        <w:tc>
          <w:tcPr>
            <w:tcW w:w="1082" w:type="dxa"/>
          </w:tcPr>
          <w:p w14:paraId="0BF88E45"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0.000</w:t>
            </w:r>
          </w:p>
        </w:tc>
        <w:tc>
          <w:tcPr>
            <w:tcW w:w="1144" w:type="dxa"/>
          </w:tcPr>
          <w:p w14:paraId="597699DF"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c>
          <w:tcPr>
            <w:tcW w:w="1044" w:type="dxa"/>
          </w:tcPr>
          <w:p w14:paraId="35F9F1A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992" w:type="dxa"/>
          </w:tcPr>
          <w:p w14:paraId="50B968B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148" w:type="dxa"/>
          </w:tcPr>
          <w:p w14:paraId="73F41444"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061" w:type="dxa"/>
          </w:tcPr>
          <w:p w14:paraId="75BA6D56"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738" w:type="dxa"/>
          </w:tcPr>
          <w:p w14:paraId="0C01672B"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683" w:type="dxa"/>
          </w:tcPr>
          <w:p w14:paraId="2CDF97E4"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r>
      <w:tr w:rsidR="00726C45" w:rsidRPr="00FD715E" w14:paraId="7BDFFAF5" w14:textId="77777777" w:rsidTr="00A37677">
        <w:tc>
          <w:tcPr>
            <w:tcW w:w="1134" w:type="dxa"/>
          </w:tcPr>
          <w:p w14:paraId="6B012A21"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Factor 1</w:t>
            </w:r>
          </w:p>
        </w:tc>
        <w:tc>
          <w:tcPr>
            <w:tcW w:w="1082" w:type="dxa"/>
          </w:tcPr>
          <w:p w14:paraId="26BA292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0.997**</w:t>
            </w:r>
          </w:p>
        </w:tc>
        <w:tc>
          <w:tcPr>
            <w:tcW w:w="1144" w:type="dxa"/>
          </w:tcPr>
          <w:p w14:paraId="4ECA807C"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0.051</w:t>
            </w:r>
          </w:p>
        </w:tc>
        <w:tc>
          <w:tcPr>
            <w:tcW w:w="1044" w:type="dxa"/>
          </w:tcPr>
          <w:p w14:paraId="49AFE66B"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c>
          <w:tcPr>
            <w:tcW w:w="992" w:type="dxa"/>
          </w:tcPr>
          <w:p w14:paraId="7C277ABF"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148" w:type="dxa"/>
          </w:tcPr>
          <w:p w14:paraId="119CF676"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061" w:type="dxa"/>
          </w:tcPr>
          <w:p w14:paraId="4DA7D71F"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738" w:type="dxa"/>
          </w:tcPr>
          <w:p w14:paraId="3AF49A53"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683" w:type="dxa"/>
          </w:tcPr>
          <w:p w14:paraId="54D148BA"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r>
      <w:tr w:rsidR="00726C45" w:rsidRPr="00FD715E" w14:paraId="0CC6E09E" w14:textId="77777777" w:rsidTr="00A37677">
        <w:tc>
          <w:tcPr>
            <w:tcW w:w="1134" w:type="dxa"/>
          </w:tcPr>
          <w:p w14:paraId="5AAB7EB7"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Factor 2</w:t>
            </w:r>
          </w:p>
        </w:tc>
        <w:tc>
          <w:tcPr>
            <w:tcW w:w="1082" w:type="dxa"/>
          </w:tcPr>
          <w:p w14:paraId="00291A1C"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0.003</w:t>
            </w:r>
          </w:p>
        </w:tc>
        <w:tc>
          <w:tcPr>
            <w:tcW w:w="1144" w:type="dxa"/>
          </w:tcPr>
          <w:p w14:paraId="43DB5FAA"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0.990**</w:t>
            </w:r>
          </w:p>
        </w:tc>
        <w:tc>
          <w:tcPr>
            <w:tcW w:w="1044" w:type="dxa"/>
          </w:tcPr>
          <w:p w14:paraId="51F1DF24"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0.053</w:t>
            </w:r>
          </w:p>
        </w:tc>
        <w:tc>
          <w:tcPr>
            <w:tcW w:w="992" w:type="dxa"/>
          </w:tcPr>
          <w:p w14:paraId="470A3CE6"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c>
          <w:tcPr>
            <w:tcW w:w="1148" w:type="dxa"/>
          </w:tcPr>
          <w:p w14:paraId="6ECF0EB5"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1061" w:type="dxa"/>
          </w:tcPr>
          <w:p w14:paraId="187416B7"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738" w:type="dxa"/>
          </w:tcPr>
          <w:p w14:paraId="38981FC1"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683" w:type="dxa"/>
          </w:tcPr>
          <w:p w14:paraId="3F070E93"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r>
      <w:tr w:rsidR="00726C45" w:rsidRPr="00FD715E" w14:paraId="572B8D69" w14:textId="77777777" w:rsidTr="00A37677">
        <w:tc>
          <w:tcPr>
            <w:tcW w:w="1134" w:type="dxa"/>
          </w:tcPr>
          <w:p w14:paraId="44A3BE40"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PCA1Pro</w:t>
            </w:r>
          </w:p>
        </w:tc>
        <w:tc>
          <w:tcPr>
            <w:tcW w:w="1082" w:type="dxa"/>
          </w:tcPr>
          <w:p w14:paraId="58C68792"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0.995**</w:t>
            </w:r>
          </w:p>
        </w:tc>
        <w:tc>
          <w:tcPr>
            <w:tcW w:w="1144" w:type="dxa"/>
          </w:tcPr>
          <w:p w14:paraId="534BE293"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0.096**</w:t>
            </w:r>
          </w:p>
        </w:tc>
        <w:tc>
          <w:tcPr>
            <w:tcW w:w="1044" w:type="dxa"/>
          </w:tcPr>
          <w:p w14:paraId="214008E1"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0.998**</w:t>
            </w:r>
          </w:p>
        </w:tc>
        <w:tc>
          <w:tcPr>
            <w:tcW w:w="992" w:type="dxa"/>
          </w:tcPr>
          <w:p w14:paraId="30A173A9"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0.098**</w:t>
            </w:r>
          </w:p>
        </w:tc>
        <w:tc>
          <w:tcPr>
            <w:tcW w:w="1148" w:type="dxa"/>
          </w:tcPr>
          <w:p w14:paraId="3CDEDEA8"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c>
          <w:tcPr>
            <w:tcW w:w="1061" w:type="dxa"/>
          </w:tcPr>
          <w:p w14:paraId="4D1098B7"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738" w:type="dxa"/>
          </w:tcPr>
          <w:p w14:paraId="10BF7B7A"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683" w:type="dxa"/>
          </w:tcPr>
          <w:p w14:paraId="1CF0A661"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r>
      <w:tr w:rsidR="00726C45" w:rsidRPr="00FD715E" w14:paraId="720A4C6D" w14:textId="77777777" w:rsidTr="00A37677">
        <w:tc>
          <w:tcPr>
            <w:tcW w:w="1134" w:type="dxa"/>
          </w:tcPr>
          <w:p w14:paraId="3CDCDB7F"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PCAPro2</w:t>
            </w:r>
          </w:p>
        </w:tc>
        <w:tc>
          <w:tcPr>
            <w:tcW w:w="1082" w:type="dxa"/>
          </w:tcPr>
          <w:p w14:paraId="7FDD759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0.065**</w:t>
            </w:r>
          </w:p>
        </w:tc>
        <w:tc>
          <w:tcPr>
            <w:tcW w:w="1144" w:type="dxa"/>
          </w:tcPr>
          <w:p w14:paraId="6DF63079"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0.998**</w:t>
            </w:r>
          </w:p>
        </w:tc>
        <w:tc>
          <w:tcPr>
            <w:tcW w:w="1044" w:type="dxa"/>
          </w:tcPr>
          <w:p w14:paraId="18AE7863"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0.116**</w:t>
            </w:r>
          </w:p>
        </w:tc>
        <w:tc>
          <w:tcPr>
            <w:tcW w:w="992" w:type="dxa"/>
          </w:tcPr>
          <w:p w14:paraId="784D2D20"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Pr>
                <w:rFonts w:ascii="Times New Roman" w:eastAsiaTheme="minorHAnsi" w:hAnsi="Times New Roman" w:cs="Times New Roman"/>
                <w:szCs w:val="24"/>
              </w:rPr>
              <w:t>0.989**</w:t>
            </w:r>
          </w:p>
        </w:tc>
        <w:tc>
          <w:tcPr>
            <w:tcW w:w="1148" w:type="dxa"/>
          </w:tcPr>
          <w:p w14:paraId="43C9298C"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.160**</w:t>
            </w:r>
          </w:p>
        </w:tc>
        <w:tc>
          <w:tcPr>
            <w:tcW w:w="1061" w:type="dxa"/>
          </w:tcPr>
          <w:p w14:paraId="174BC2B1"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c>
          <w:tcPr>
            <w:tcW w:w="738" w:type="dxa"/>
          </w:tcPr>
          <w:p w14:paraId="5078CA2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c>
          <w:tcPr>
            <w:tcW w:w="683" w:type="dxa"/>
          </w:tcPr>
          <w:p w14:paraId="44F1244C"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r>
      <w:tr w:rsidR="00726C45" w:rsidRPr="00FD715E" w14:paraId="31F04A2C" w14:textId="77777777" w:rsidTr="00A37677">
        <w:tc>
          <w:tcPr>
            <w:tcW w:w="1134" w:type="dxa"/>
          </w:tcPr>
          <w:p w14:paraId="1022E31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FactorPro1</w:t>
            </w:r>
          </w:p>
        </w:tc>
        <w:tc>
          <w:tcPr>
            <w:tcW w:w="1082" w:type="dxa"/>
          </w:tcPr>
          <w:p w14:paraId="256FB092"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0.989***</w:t>
            </w:r>
          </w:p>
        </w:tc>
        <w:tc>
          <w:tcPr>
            <w:tcW w:w="1144" w:type="dxa"/>
          </w:tcPr>
          <w:p w14:paraId="48D58D22"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0.141**</w:t>
            </w:r>
          </w:p>
        </w:tc>
        <w:tc>
          <w:tcPr>
            <w:tcW w:w="1044" w:type="dxa"/>
          </w:tcPr>
          <w:p w14:paraId="43941EC1"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0.996**</w:t>
            </w:r>
          </w:p>
        </w:tc>
        <w:tc>
          <w:tcPr>
            <w:tcW w:w="992" w:type="dxa"/>
          </w:tcPr>
          <w:p w14:paraId="246C9DF1"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Pr>
                <w:rFonts w:ascii="Times New Roman" w:eastAsiaTheme="minorHAnsi" w:hAnsi="Times New Roman" w:cs="Times New Roman"/>
                <w:szCs w:val="24"/>
              </w:rPr>
              <w:t>0.144**</w:t>
            </w:r>
          </w:p>
        </w:tc>
        <w:tc>
          <w:tcPr>
            <w:tcW w:w="1148" w:type="dxa"/>
          </w:tcPr>
          <w:p w14:paraId="75F3F97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0.998**</w:t>
            </w:r>
          </w:p>
        </w:tc>
        <w:tc>
          <w:tcPr>
            <w:tcW w:w="1061" w:type="dxa"/>
          </w:tcPr>
          <w:p w14:paraId="2BB759E6"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0.205**</w:t>
            </w:r>
          </w:p>
        </w:tc>
        <w:tc>
          <w:tcPr>
            <w:tcW w:w="738" w:type="dxa"/>
          </w:tcPr>
          <w:p w14:paraId="3400A199"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c>
          <w:tcPr>
            <w:tcW w:w="683" w:type="dxa"/>
          </w:tcPr>
          <w:p w14:paraId="17444AA5"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p>
        </w:tc>
      </w:tr>
      <w:tr w:rsidR="00726C45" w:rsidRPr="00FD715E" w14:paraId="6366283D" w14:textId="77777777" w:rsidTr="00A37677">
        <w:tc>
          <w:tcPr>
            <w:tcW w:w="1134" w:type="dxa"/>
          </w:tcPr>
          <w:p w14:paraId="6A5A5698"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b/>
                <w:szCs w:val="24"/>
              </w:rPr>
            </w:pPr>
            <w:r w:rsidRPr="00FD715E">
              <w:rPr>
                <w:rFonts w:ascii="Times New Roman" w:eastAsiaTheme="minorHAnsi" w:hAnsi="Times New Roman" w:cs="Times New Roman"/>
                <w:b/>
                <w:szCs w:val="24"/>
              </w:rPr>
              <w:t>FactorPro2</w:t>
            </w:r>
          </w:p>
        </w:tc>
        <w:tc>
          <w:tcPr>
            <w:tcW w:w="1082" w:type="dxa"/>
          </w:tcPr>
          <w:p w14:paraId="26B8F28A"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0.098**</w:t>
            </w:r>
          </w:p>
        </w:tc>
        <w:tc>
          <w:tcPr>
            <w:tcW w:w="1144" w:type="dxa"/>
          </w:tcPr>
          <w:p w14:paraId="203D7280"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0.986**</w:t>
            </w:r>
          </w:p>
        </w:tc>
        <w:tc>
          <w:tcPr>
            <w:tcW w:w="1044" w:type="dxa"/>
          </w:tcPr>
          <w:p w14:paraId="705E4E39"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0.148**</w:t>
            </w:r>
          </w:p>
        </w:tc>
        <w:tc>
          <w:tcPr>
            <w:tcW w:w="992" w:type="dxa"/>
          </w:tcPr>
          <w:p w14:paraId="6CEBC39C"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Pr>
                <w:rFonts w:ascii="Times New Roman" w:eastAsiaTheme="minorHAnsi" w:hAnsi="Times New Roman" w:cs="Times New Roman"/>
                <w:szCs w:val="24"/>
              </w:rPr>
              <w:t>0.989**</w:t>
            </w:r>
          </w:p>
        </w:tc>
        <w:tc>
          <w:tcPr>
            <w:tcW w:w="1148" w:type="dxa"/>
          </w:tcPr>
          <w:p w14:paraId="2BBC2EE2"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0.192**</w:t>
            </w:r>
          </w:p>
        </w:tc>
        <w:tc>
          <w:tcPr>
            <w:tcW w:w="1061" w:type="dxa"/>
          </w:tcPr>
          <w:p w14:paraId="6D5F6DA3"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0.990***</w:t>
            </w:r>
          </w:p>
        </w:tc>
        <w:tc>
          <w:tcPr>
            <w:tcW w:w="738" w:type="dxa"/>
          </w:tcPr>
          <w:p w14:paraId="00FE08BE"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0.237**</w:t>
            </w:r>
          </w:p>
        </w:tc>
        <w:tc>
          <w:tcPr>
            <w:tcW w:w="683" w:type="dxa"/>
          </w:tcPr>
          <w:p w14:paraId="2CA224AF" w14:textId="77777777" w:rsidR="00726C45" w:rsidRPr="00FD715E" w:rsidRDefault="00726C45" w:rsidP="00A37677">
            <w:pPr>
              <w:autoSpaceDE w:val="0"/>
              <w:autoSpaceDN w:val="0"/>
              <w:adjustRightInd w:val="0"/>
              <w:spacing w:before="0" w:line="240" w:lineRule="auto"/>
              <w:rPr>
                <w:rFonts w:ascii="Times New Roman" w:eastAsiaTheme="minorHAnsi" w:hAnsi="Times New Roman" w:cs="Times New Roman"/>
                <w:szCs w:val="24"/>
              </w:rPr>
            </w:pPr>
            <w:r w:rsidRPr="00FD715E">
              <w:rPr>
                <w:rFonts w:ascii="Times New Roman" w:eastAsiaTheme="minorHAnsi" w:hAnsi="Times New Roman" w:cs="Times New Roman"/>
                <w:szCs w:val="24"/>
              </w:rPr>
              <w:t>1</w:t>
            </w:r>
          </w:p>
        </w:tc>
      </w:tr>
    </w:tbl>
    <w:p w14:paraId="61228942" w14:textId="77777777" w:rsidR="00726C45" w:rsidRDefault="00726C45" w:rsidP="00726C45">
      <w:pPr>
        <w:autoSpaceDE w:val="0"/>
        <w:autoSpaceDN w:val="0"/>
        <w:adjustRightInd w:val="0"/>
        <w:spacing w:before="0" w:line="240" w:lineRule="auto"/>
        <w:rPr>
          <w:rFonts w:ascii="Times New Roman" w:eastAsiaTheme="minorHAnsi" w:hAnsi="Times New Roman" w:cs="Times New Roman"/>
          <w:sz w:val="24"/>
          <w:szCs w:val="24"/>
        </w:rPr>
      </w:pPr>
    </w:p>
    <w:p w14:paraId="04F88A16" w14:textId="77777777" w:rsidR="00726C45" w:rsidRPr="00FD715E" w:rsidRDefault="00726C45" w:rsidP="00726C45">
      <w:pPr>
        <w:autoSpaceDE w:val="0"/>
        <w:autoSpaceDN w:val="0"/>
        <w:adjustRightInd w:val="0"/>
        <w:spacing w:before="0" w:line="240" w:lineRule="auto"/>
        <w:jc w:val="right"/>
        <w:rPr>
          <w:rFonts w:ascii="Times New Roman" w:eastAsiaTheme="minorHAnsi" w:hAnsi="Times New Roman" w:cs="Times New Roman"/>
          <w:sz w:val="20"/>
          <w:szCs w:val="24"/>
        </w:rPr>
      </w:pPr>
      <w:bookmarkStart w:id="408" w:name="_Hlk485829598"/>
      <w:r w:rsidRPr="00FD715E">
        <w:rPr>
          <w:rFonts w:ascii="Times New Roman" w:eastAsiaTheme="minorHAnsi" w:hAnsi="Times New Roman" w:cs="Times New Roman"/>
          <w:sz w:val="20"/>
          <w:szCs w:val="24"/>
        </w:rPr>
        <w:t>** p&lt;0.01</w:t>
      </w:r>
    </w:p>
    <w:bookmarkEnd w:id="408"/>
    <w:p w14:paraId="4DD6310D" w14:textId="77777777" w:rsidR="00726C45" w:rsidRDefault="00726C45" w:rsidP="00726C45">
      <w:pPr>
        <w:tabs>
          <w:tab w:val="left" w:pos="3264"/>
        </w:tabs>
      </w:pPr>
    </w:p>
    <w:p w14:paraId="2D24AF5E" w14:textId="77777777" w:rsidR="00726C45" w:rsidRDefault="00726C45" w:rsidP="00726C45">
      <w:pPr>
        <w:tabs>
          <w:tab w:val="left" w:pos="3264"/>
        </w:tabs>
      </w:pPr>
    </w:p>
    <w:p w14:paraId="73687559" w14:textId="77777777" w:rsidR="00726C45" w:rsidRDefault="00726C45" w:rsidP="00726C45">
      <w:pPr>
        <w:tabs>
          <w:tab w:val="left" w:pos="3264"/>
        </w:tabs>
      </w:pPr>
      <w:r>
        <w:t xml:space="preserve">Attempting to replicate Welzel (2013, p.312) with mean-centred results and PCA results in a different loading pattern compared to his analysis using FA. I was unable to match the countries and </w:t>
      </w:r>
      <w:r>
        <w:rPr>
          <w:i/>
        </w:rPr>
        <w:t>n</w:t>
      </w:r>
      <w:r>
        <w:t xml:space="preserve"> as the detail is not provided in the original study.</w:t>
      </w:r>
    </w:p>
    <w:p w14:paraId="096ACD1F" w14:textId="77777777" w:rsidR="00726C45" w:rsidRPr="008D0183" w:rsidRDefault="00726C45" w:rsidP="00726C45">
      <w:pPr>
        <w:tabs>
          <w:tab w:val="left" w:pos="3264"/>
        </w:tabs>
        <w:rPr>
          <w:b/>
        </w:rPr>
      </w:pPr>
      <w:r w:rsidRPr="008D0183">
        <w:rPr>
          <w:b/>
        </w:rPr>
        <w:t xml:space="preserve">Figure </w:t>
      </w:r>
      <w:r>
        <w:rPr>
          <w:b/>
        </w:rPr>
        <w:t>B13</w:t>
      </w:r>
      <w:r w:rsidRPr="008D0183">
        <w:rPr>
          <w:b/>
        </w:rPr>
        <w:t>: PCA results using mean-centr</w:t>
      </w:r>
      <w:r>
        <w:rPr>
          <w:b/>
        </w:rPr>
        <w:t>ed variables (compare to Figure 4.2 pg.150</w:t>
      </w:r>
      <w:r w:rsidRPr="008D0183">
        <w:rPr>
          <w:b/>
        </w:rPr>
        <w:t>)</w:t>
      </w:r>
    </w:p>
    <w:tbl>
      <w:tblPr>
        <w:tblW w:w="0" w:type="auto"/>
        <w:jc w:val="center"/>
        <w:tblCellMar>
          <w:left w:w="10" w:type="dxa"/>
          <w:right w:w="10" w:type="dxa"/>
        </w:tblCellMar>
        <w:tblLook w:val="04A0" w:firstRow="1" w:lastRow="0" w:firstColumn="1" w:lastColumn="0" w:noHBand="0" w:noVBand="1"/>
      </w:tblPr>
      <w:tblGrid>
        <w:gridCol w:w="2303"/>
        <w:gridCol w:w="1232"/>
        <w:gridCol w:w="1284"/>
        <w:gridCol w:w="1284"/>
        <w:gridCol w:w="1284"/>
        <w:gridCol w:w="1282"/>
      </w:tblGrid>
      <w:tr w:rsidR="00726C45" w:rsidRPr="00482140" w14:paraId="41917441" w14:textId="77777777" w:rsidTr="00A37677">
        <w:trPr>
          <w:cantSplit/>
          <w:trHeight w:val="287"/>
          <w:tblHeader/>
          <w:jc w:val="center"/>
        </w:trPr>
        <w:tc>
          <w:tcPr>
            <w:tcW w:w="2368" w:type="dxa"/>
            <w:shd w:val="clear" w:color="auto" w:fill="FFFFFF"/>
          </w:tcPr>
          <w:p w14:paraId="614BE66A" w14:textId="77777777" w:rsidR="00726C45" w:rsidRPr="00482140" w:rsidRDefault="00726C45" w:rsidP="00A37677">
            <w:pPr>
              <w:spacing w:line="240" w:lineRule="auto"/>
              <w:ind w:left="57" w:right="60"/>
              <w:rPr>
                <w:rFonts w:cstheme="majorBidi"/>
                <w:i/>
                <w:iCs/>
                <w:color w:val="000000"/>
                <w:sz w:val="20"/>
                <w:szCs w:val="24"/>
              </w:rPr>
            </w:pPr>
          </w:p>
        </w:tc>
        <w:tc>
          <w:tcPr>
            <w:tcW w:w="5317" w:type="dxa"/>
            <w:gridSpan w:val="4"/>
            <w:shd w:val="clear" w:color="auto" w:fill="FFFFFF"/>
            <w:hideMark/>
          </w:tcPr>
          <w:p w14:paraId="37D36DA4"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sidRPr="00482140">
              <w:rPr>
                <w:rFonts w:cstheme="majorBidi"/>
                <w:i/>
                <w:iCs/>
                <w:color w:val="000000"/>
                <w:sz w:val="20"/>
                <w:szCs w:val="24"/>
              </w:rPr>
              <w:t>Components</w:t>
            </w:r>
          </w:p>
        </w:tc>
        <w:tc>
          <w:tcPr>
            <w:tcW w:w="1341" w:type="dxa"/>
            <w:shd w:val="clear" w:color="auto" w:fill="FFFFFF"/>
          </w:tcPr>
          <w:p w14:paraId="4521ED17"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p>
        </w:tc>
      </w:tr>
      <w:tr w:rsidR="00726C45" w:rsidRPr="00482140" w14:paraId="2366AE0E" w14:textId="77777777" w:rsidTr="00A37677">
        <w:trPr>
          <w:cantSplit/>
          <w:trHeight w:val="287"/>
          <w:tblHeader/>
          <w:jc w:val="center"/>
        </w:trPr>
        <w:tc>
          <w:tcPr>
            <w:tcW w:w="2368" w:type="dxa"/>
            <w:tcBorders>
              <w:top w:val="nil"/>
              <w:left w:val="nil"/>
              <w:bottom w:val="single" w:sz="4" w:space="0" w:color="auto"/>
              <w:right w:val="nil"/>
            </w:tcBorders>
            <w:shd w:val="clear" w:color="auto" w:fill="FFFFFF"/>
          </w:tcPr>
          <w:p w14:paraId="0425C6D8" w14:textId="77777777" w:rsidR="00726C45" w:rsidRPr="00482140" w:rsidRDefault="00726C45" w:rsidP="00A37677">
            <w:pPr>
              <w:spacing w:line="240" w:lineRule="auto"/>
              <w:ind w:left="57" w:right="60"/>
              <w:rPr>
                <w:rFonts w:cstheme="majorBidi"/>
                <w:i/>
                <w:iCs/>
                <w:color w:val="000000"/>
                <w:sz w:val="20"/>
                <w:szCs w:val="24"/>
              </w:rPr>
            </w:pPr>
          </w:p>
        </w:tc>
        <w:tc>
          <w:tcPr>
            <w:tcW w:w="1288" w:type="dxa"/>
            <w:tcBorders>
              <w:top w:val="nil"/>
              <w:left w:val="nil"/>
              <w:bottom w:val="single" w:sz="4" w:space="0" w:color="auto"/>
              <w:right w:val="nil"/>
            </w:tcBorders>
            <w:shd w:val="clear" w:color="auto" w:fill="FFFFFF"/>
            <w:hideMark/>
          </w:tcPr>
          <w:p w14:paraId="384A0F28"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i/>
                <w:iCs/>
                <w:color w:val="000000"/>
                <w:sz w:val="20"/>
                <w:szCs w:val="24"/>
              </w:rPr>
              <w:t>1</w:t>
            </w:r>
          </w:p>
        </w:tc>
        <w:tc>
          <w:tcPr>
            <w:tcW w:w="1343" w:type="dxa"/>
            <w:tcBorders>
              <w:top w:val="nil"/>
              <w:left w:val="nil"/>
              <w:bottom w:val="single" w:sz="4" w:space="0" w:color="auto"/>
              <w:right w:val="nil"/>
            </w:tcBorders>
            <w:shd w:val="clear" w:color="auto" w:fill="FFFFFF"/>
            <w:hideMark/>
          </w:tcPr>
          <w:p w14:paraId="0C343E56"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sidRPr="00482140">
              <w:rPr>
                <w:rFonts w:cstheme="majorBidi"/>
                <w:i/>
                <w:iCs/>
                <w:color w:val="000000"/>
                <w:sz w:val="20"/>
                <w:szCs w:val="24"/>
              </w:rPr>
              <w:t>2</w:t>
            </w:r>
          </w:p>
        </w:tc>
        <w:tc>
          <w:tcPr>
            <w:tcW w:w="1343" w:type="dxa"/>
            <w:tcBorders>
              <w:top w:val="nil"/>
              <w:left w:val="nil"/>
              <w:bottom w:val="single" w:sz="4" w:space="0" w:color="auto"/>
              <w:right w:val="nil"/>
            </w:tcBorders>
            <w:shd w:val="clear" w:color="auto" w:fill="FFFFFF"/>
          </w:tcPr>
          <w:p w14:paraId="4B4823B0"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Pr>
                <w:rFonts w:cstheme="majorBidi"/>
                <w:i/>
                <w:iCs/>
                <w:color w:val="000000"/>
                <w:sz w:val="20"/>
                <w:szCs w:val="24"/>
              </w:rPr>
              <w:t>3</w:t>
            </w:r>
          </w:p>
        </w:tc>
        <w:tc>
          <w:tcPr>
            <w:tcW w:w="1343" w:type="dxa"/>
            <w:tcBorders>
              <w:top w:val="nil"/>
              <w:left w:val="nil"/>
              <w:bottom w:val="single" w:sz="4" w:space="0" w:color="auto"/>
              <w:right w:val="nil"/>
            </w:tcBorders>
            <w:shd w:val="clear" w:color="auto" w:fill="FFFFFF"/>
          </w:tcPr>
          <w:p w14:paraId="298DE47D"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Pr>
                <w:rFonts w:cstheme="majorBidi"/>
                <w:i/>
                <w:iCs/>
                <w:color w:val="000000"/>
                <w:sz w:val="20"/>
                <w:szCs w:val="24"/>
              </w:rPr>
              <w:t>4</w:t>
            </w:r>
          </w:p>
        </w:tc>
        <w:tc>
          <w:tcPr>
            <w:tcW w:w="1341" w:type="dxa"/>
            <w:tcBorders>
              <w:top w:val="nil"/>
              <w:left w:val="nil"/>
              <w:bottom w:val="single" w:sz="4" w:space="0" w:color="auto"/>
              <w:right w:val="nil"/>
            </w:tcBorders>
            <w:shd w:val="clear" w:color="auto" w:fill="FFFFFF"/>
          </w:tcPr>
          <w:p w14:paraId="4383692D" w14:textId="77777777" w:rsidR="00726C45" w:rsidRDefault="00726C45" w:rsidP="00A37677">
            <w:pPr>
              <w:autoSpaceDE w:val="0"/>
              <w:adjustRightInd w:val="0"/>
              <w:spacing w:line="240" w:lineRule="auto"/>
              <w:ind w:left="57" w:right="60"/>
              <w:jc w:val="center"/>
              <w:rPr>
                <w:rFonts w:cstheme="majorBidi"/>
                <w:i/>
                <w:iCs/>
                <w:color w:val="000000"/>
                <w:sz w:val="20"/>
                <w:szCs w:val="24"/>
              </w:rPr>
            </w:pPr>
            <w:r>
              <w:rPr>
                <w:rFonts w:cstheme="majorBidi"/>
                <w:i/>
                <w:iCs/>
                <w:color w:val="000000"/>
                <w:sz w:val="20"/>
                <w:szCs w:val="24"/>
              </w:rPr>
              <w:t>5</w:t>
            </w:r>
          </w:p>
        </w:tc>
      </w:tr>
      <w:tr w:rsidR="00726C45" w:rsidRPr="00482140" w14:paraId="03610FE1" w14:textId="77777777" w:rsidTr="00A37677">
        <w:trPr>
          <w:cantSplit/>
          <w:trHeight w:val="287"/>
          <w:tblHeader/>
          <w:jc w:val="center"/>
        </w:trPr>
        <w:tc>
          <w:tcPr>
            <w:tcW w:w="2368" w:type="dxa"/>
            <w:tcBorders>
              <w:top w:val="single" w:sz="4" w:space="0" w:color="auto"/>
              <w:left w:val="nil"/>
              <w:bottom w:val="nil"/>
              <w:right w:val="nil"/>
            </w:tcBorders>
            <w:shd w:val="clear" w:color="auto" w:fill="FFFFFF"/>
            <w:hideMark/>
          </w:tcPr>
          <w:p w14:paraId="3530063C"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Free Elections</w:t>
            </w:r>
          </w:p>
        </w:tc>
        <w:tc>
          <w:tcPr>
            <w:tcW w:w="1288" w:type="dxa"/>
            <w:tcBorders>
              <w:top w:val="single" w:sz="4" w:space="0" w:color="auto"/>
              <w:left w:val="nil"/>
              <w:bottom w:val="nil"/>
              <w:right w:val="nil"/>
            </w:tcBorders>
            <w:shd w:val="clear" w:color="auto" w:fill="FFFFFF"/>
            <w:hideMark/>
          </w:tcPr>
          <w:p w14:paraId="0E6BF9A7" w14:textId="77777777" w:rsidR="00726C45" w:rsidRPr="00A42F8B" w:rsidRDefault="00726C45" w:rsidP="00A37677">
            <w:pPr>
              <w:autoSpaceDE w:val="0"/>
              <w:adjustRightInd w:val="0"/>
              <w:spacing w:line="240" w:lineRule="auto"/>
              <w:ind w:left="57" w:right="60"/>
              <w:jc w:val="center"/>
              <w:rPr>
                <w:rFonts w:cstheme="majorBidi"/>
                <w:color w:val="000000"/>
                <w:sz w:val="20"/>
                <w:szCs w:val="24"/>
              </w:rPr>
            </w:pPr>
            <w:r w:rsidRPr="00A42F8B">
              <w:rPr>
                <w:rFonts w:cstheme="majorBidi"/>
                <w:color w:val="808080" w:themeColor="background1" w:themeShade="80"/>
                <w:sz w:val="20"/>
                <w:szCs w:val="24"/>
              </w:rPr>
              <w:t>.</w:t>
            </w:r>
            <w:r w:rsidRPr="00A42F8B">
              <w:rPr>
                <w:rFonts w:cstheme="majorBidi"/>
                <w:bCs/>
                <w:color w:val="808080" w:themeColor="background1" w:themeShade="80"/>
                <w:sz w:val="20"/>
                <w:szCs w:val="24"/>
              </w:rPr>
              <w:t>375</w:t>
            </w:r>
          </w:p>
        </w:tc>
        <w:tc>
          <w:tcPr>
            <w:tcW w:w="1343" w:type="dxa"/>
            <w:tcBorders>
              <w:top w:val="single" w:sz="4" w:space="0" w:color="auto"/>
              <w:left w:val="nil"/>
              <w:bottom w:val="nil"/>
              <w:right w:val="nil"/>
            </w:tcBorders>
            <w:shd w:val="clear" w:color="auto" w:fill="FFFFFF"/>
            <w:hideMark/>
          </w:tcPr>
          <w:p w14:paraId="5F552494" w14:textId="77777777" w:rsidR="00726C45" w:rsidRPr="00A42F8B" w:rsidRDefault="00726C45" w:rsidP="00A37677">
            <w:pPr>
              <w:autoSpaceDE w:val="0"/>
              <w:adjustRightInd w:val="0"/>
              <w:spacing w:line="240" w:lineRule="auto"/>
              <w:ind w:left="57" w:right="60"/>
              <w:jc w:val="center"/>
              <w:rPr>
                <w:rFonts w:cstheme="majorBidi"/>
                <w:b/>
                <w:color w:val="808080" w:themeColor="background1" w:themeShade="80"/>
                <w:sz w:val="20"/>
                <w:szCs w:val="24"/>
              </w:rPr>
            </w:pPr>
            <w:r w:rsidRPr="00A42F8B">
              <w:rPr>
                <w:rFonts w:cstheme="majorBidi"/>
                <w:b/>
                <w:sz w:val="20"/>
                <w:szCs w:val="24"/>
              </w:rPr>
              <w:t>.498</w:t>
            </w:r>
          </w:p>
        </w:tc>
        <w:tc>
          <w:tcPr>
            <w:tcW w:w="1343" w:type="dxa"/>
            <w:tcBorders>
              <w:top w:val="single" w:sz="4" w:space="0" w:color="auto"/>
              <w:left w:val="nil"/>
              <w:bottom w:val="nil"/>
              <w:right w:val="nil"/>
            </w:tcBorders>
            <w:shd w:val="clear" w:color="auto" w:fill="FFFFFF"/>
          </w:tcPr>
          <w:p w14:paraId="60692259" w14:textId="77777777" w:rsidR="00726C45" w:rsidRPr="00484C79"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484C79">
              <w:rPr>
                <w:rFonts w:cstheme="majorBidi"/>
                <w:color w:val="948A54" w:themeColor="background2" w:themeShade="80"/>
                <w:sz w:val="20"/>
                <w:szCs w:val="24"/>
              </w:rPr>
              <w:t>-.119</w:t>
            </w:r>
          </w:p>
        </w:tc>
        <w:tc>
          <w:tcPr>
            <w:tcW w:w="1343" w:type="dxa"/>
            <w:tcBorders>
              <w:top w:val="single" w:sz="4" w:space="0" w:color="auto"/>
              <w:left w:val="nil"/>
              <w:bottom w:val="nil"/>
              <w:right w:val="nil"/>
            </w:tcBorders>
            <w:shd w:val="clear" w:color="auto" w:fill="FFFFFF"/>
          </w:tcPr>
          <w:p w14:paraId="3C578F57"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.155</w:t>
            </w:r>
          </w:p>
        </w:tc>
        <w:tc>
          <w:tcPr>
            <w:tcW w:w="1341" w:type="dxa"/>
            <w:tcBorders>
              <w:top w:val="single" w:sz="4" w:space="0" w:color="auto"/>
              <w:left w:val="nil"/>
              <w:bottom w:val="nil"/>
              <w:right w:val="nil"/>
            </w:tcBorders>
            <w:shd w:val="clear" w:color="auto" w:fill="FFFFFF"/>
          </w:tcPr>
          <w:p w14:paraId="0622E2BD" w14:textId="77777777" w:rsidR="00726C45" w:rsidRPr="00484C79"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4C79">
              <w:rPr>
                <w:rFonts w:cstheme="majorBidi"/>
                <w:color w:val="808080" w:themeColor="background1" w:themeShade="80"/>
                <w:sz w:val="20"/>
                <w:szCs w:val="24"/>
              </w:rPr>
              <w:t>.126</w:t>
            </w:r>
          </w:p>
        </w:tc>
      </w:tr>
      <w:tr w:rsidR="00726C45" w:rsidRPr="00482140" w14:paraId="260908F7" w14:textId="77777777" w:rsidTr="00A37677">
        <w:trPr>
          <w:cantSplit/>
          <w:trHeight w:val="287"/>
          <w:tblHeader/>
          <w:jc w:val="center"/>
        </w:trPr>
        <w:tc>
          <w:tcPr>
            <w:tcW w:w="2368" w:type="dxa"/>
            <w:shd w:val="clear" w:color="auto" w:fill="FFFFFF"/>
            <w:hideMark/>
          </w:tcPr>
          <w:p w14:paraId="3DAAEC73"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Civil Rights</w:t>
            </w:r>
          </w:p>
        </w:tc>
        <w:tc>
          <w:tcPr>
            <w:tcW w:w="1288" w:type="dxa"/>
            <w:shd w:val="clear" w:color="auto" w:fill="FFFFFF"/>
            <w:hideMark/>
          </w:tcPr>
          <w:p w14:paraId="613DDD14" w14:textId="77777777" w:rsidR="00726C45" w:rsidRPr="00A42F8B" w:rsidRDefault="00726C45" w:rsidP="00A37677">
            <w:pPr>
              <w:autoSpaceDE w:val="0"/>
              <w:adjustRightInd w:val="0"/>
              <w:spacing w:line="240" w:lineRule="auto"/>
              <w:ind w:left="57" w:right="60"/>
              <w:jc w:val="center"/>
              <w:rPr>
                <w:rFonts w:cstheme="majorBidi"/>
                <w:bCs/>
                <w:color w:val="000000"/>
                <w:sz w:val="20"/>
                <w:szCs w:val="24"/>
              </w:rPr>
            </w:pPr>
            <w:r w:rsidRPr="00A42F8B">
              <w:rPr>
                <w:rFonts w:cstheme="majorBidi"/>
                <w:bCs/>
                <w:color w:val="808080" w:themeColor="background1" w:themeShade="80"/>
                <w:sz w:val="20"/>
                <w:szCs w:val="24"/>
              </w:rPr>
              <w:t>.033</w:t>
            </w:r>
          </w:p>
        </w:tc>
        <w:tc>
          <w:tcPr>
            <w:tcW w:w="1343" w:type="dxa"/>
            <w:shd w:val="clear" w:color="auto" w:fill="FFFFFF"/>
            <w:hideMark/>
          </w:tcPr>
          <w:p w14:paraId="1D573849" w14:textId="77777777" w:rsidR="00726C45" w:rsidRPr="00A42F8B" w:rsidRDefault="00726C45" w:rsidP="00A37677">
            <w:pPr>
              <w:autoSpaceDE w:val="0"/>
              <w:adjustRightInd w:val="0"/>
              <w:spacing w:line="240" w:lineRule="auto"/>
              <w:ind w:left="57" w:right="60"/>
              <w:jc w:val="center"/>
              <w:rPr>
                <w:rFonts w:cstheme="majorBidi"/>
                <w:b/>
                <w:color w:val="808080" w:themeColor="background1" w:themeShade="80"/>
                <w:sz w:val="20"/>
                <w:szCs w:val="24"/>
              </w:rPr>
            </w:pPr>
            <w:r w:rsidRPr="00A42F8B">
              <w:rPr>
                <w:rFonts w:cstheme="majorBidi"/>
                <w:b/>
                <w:sz w:val="20"/>
                <w:szCs w:val="24"/>
              </w:rPr>
              <w:t>.853</w:t>
            </w:r>
          </w:p>
        </w:tc>
        <w:tc>
          <w:tcPr>
            <w:tcW w:w="1343" w:type="dxa"/>
            <w:shd w:val="clear" w:color="auto" w:fill="FFFFFF"/>
          </w:tcPr>
          <w:p w14:paraId="36171133" w14:textId="77777777" w:rsidR="00726C45" w:rsidRPr="00484C79"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484C79">
              <w:rPr>
                <w:rFonts w:cstheme="majorBidi"/>
                <w:color w:val="948A54" w:themeColor="background2" w:themeShade="80"/>
                <w:sz w:val="20"/>
                <w:szCs w:val="24"/>
              </w:rPr>
              <w:t>.011</w:t>
            </w:r>
          </w:p>
        </w:tc>
        <w:tc>
          <w:tcPr>
            <w:tcW w:w="1343" w:type="dxa"/>
            <w:shd w:val="clear" w:color="auto" w:fill="FFFFFF"/>
          </w:tcPr>
          <w:p w14:paraId="2DFBB2B6"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-.118</w:t>
            </w:r>
          </w:p>
        </w:tc>
        <w:tc>
          <w:tcPr>
            <w:tcW w:w="1341" w:type="dxa"/>
            <w:shd w:val="clear" w:color="auto" w:fill="FFFFFF"/>
          </w:tcPr>
          <w:p w14:paraId="2C03BA26" w14:textId="77777777" w:rsidR="00726C45" w:rsidRPr="00484C79"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4C79">
              <w:rPr>
                <w:rFonts w:cstheme="majorBidi"/>
                <w:color w:val="808080" w:themeColor="background1" w:themeShade="80"/>
                <w:sz w:val="20"/>
                <w:szCs w:val="24"/>
              </w:rPr>
              <w:t>-.116</w:t>
            </w:r>
          </w:p>
        </w:tc>
      </w:tr>
      <w:tr w:rsidR="00726C45" w:rsidRPr="00482140" w14:paraId="1B6F182B" w14:textId="77777777" w:rsidTr="00A37677">
        <w:trPr>
          <w:cantSplit/>
          <w:trHeight w:val="287"/>
          <w:tblHeader/>
          <w:jc w:val="center"/>
        </w:trPr>
        <w:tc>
          <w:tcPr>
            <w:tcW w:w="2368" w:type="dxa"/>
            <w:shd w:val="clear" w:color="auto" w:fill="FFFFFF"/>
            <w:hideMark/>
          </w:tcPr>
          <w:p w14:paraId="43A9B84F"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Referendum</w:t>
            </w:r>
          </w:p>
        </w:tc>
        <w:tc>
          <w:tcPr>
            <w:tcW w:w="1288" w:type="dxa"/>
            <w:shd w:val="clear" w:color="auto" w:fill="FFFFFF"/>
            <w:hideMark/>
          </w:tcPr>
          <w:p w14:paraId="61107A9A"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Pr>
                <w:rFonts w:cstheme="majorBidi"/>
                <w:b/>
                <w:bCs/>
                <w:color w:val="000000"/>
                <w:sz w:val="20"/>
                <w:szCs w:val="24"/>
              </w:rPr>
              <w:t>.757</w:t>
            </w:r>
          </w:p>
        </w:tc>
        <w:tc>
          <w:tcPr>
            <w:tcW w:w="1343" w:type="dxa"/>
            <w:shd w:val="clear" w:color="auto" w:fill="FFFFFF"/>
            <w:hideMark/>
          </w:tcPr>
          <w:p w14:paraId="503C3FDC"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-.063</w:t>
            </w:r>
          </w:p>
        </w:tc>
        <w:tc>
          <w:tcPr>
            <w:tcW w:w="1343" w:type="dxa"/>
            <w:shd w:val="clear" w:color="auto" w:fill="FFFFFF"/>
          </w:tcPr>
          <w:p w14:paraId="326AB390" w14:textId="77777777" w:rsidR="00726C45" w:rsidRPr="00484C79"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484C79">
              <w:rPr>
                <w:rFonts w:cstheme="majorBidi"/>
                <w:color w:val="948A54" w:themeColor="background2" w:themeShade="80"/>
                <w:sz w:val="20"/>
                <w:szCs w:val="24"/>
              </w:rPr>
              <w:t>-.152</w:t>
            </w:r>
          </w:p>
        </w:tc>
        <w:tc>
          <w:tcPr>
            <w:tcW w:w="1343" w:type="dxa"/>
            <w:shd w:val="clear" w:color="auto" w:fill="FFFFFF"/>
          </w:tcPr>
          <w:p w14:paraId="42777095"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-.102</w:t>
            </w:r>
          </w:p>
        </w:tc>
        <w:tc>
          <w:tcPr>
            <w:tcW w:w="1341" w:type="dxa"/>
            <w:shd w:val="clear" w:color="auto" w:fill="FFFFFF"/>
          </w:tcPr>
          <w:p w14:paraId="7B26D2BA" w14:textId="77777777" w:rsidR="00726C45" w:rsidRPr="00484C79"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4C79">
              <w:rPr>
                <w:rFonts w:cstheme="majorBidi"/>
                <w:color w:val="808080" w:themeColor="background1" w:themeShade="80"/>
                <w:sz w:val="20"/>
                <w:szCs w:val="24"/>
              </w:rPr>
              <w:t>-.111</w:t>
            </w:r>
          </w:p>
        </w:tc>
      </w:tr>
      <w:tr w:rsidR="00726C45" w:rsidRPr="00482140" w14:paraId="198EF7B9" w14:textId="77777777" w:rsidTr="00A37677">
        <w:trPr>
          <w:cantSplit/>
          <w:trHeight w:val="287"/>
          <w:tblHeader/>
          <w:jc w:val="center"/>
        </w:trPr>
        <w:tc>
          <w:tcPr>
            <w:tcW w:w="2368" w:type="dxa"/>
            <w:shd w:val="clear" w:color="auto" w:fill="FFFFFF"/>
            <w:hideMark/>
          </w:tcPr>
          <w:p w14:paraId="0FFEE0FF"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Equal Gender Rights</w:t>
            </w:r>
          </w:p>
        </w:tc>
        <w:tc>
          <w:tcPr>
            <w:tcW w:w="1288" w:type="dxa"/>
            <w:shd w:val="clear" w:color="auto" w:fill="FFFFFF"/>
            <w:hideMark/>
          </w:tcPr>
          <w:p w14:paraId="400A5307" w14:textId="77777777" w:rsidR="00726C45" w:rsidRPr="00482140" w:rsidRDefault="00726C45" w:rsidP="00A37677">
            <w:pPr>
              <w:autoSpaceDE w:val="0"/>
              <w:adjustRightInd w:val="0"/>
              <w:spacing w:line="240" w:lineRule="auto"/>
              <w:ind w:left="57" w:right="60"/>
              <w:jc w:val="center"/>
              <w:rPr>
                <w:rFonts w:cstheme="majorBidi"/>
                <w:b/>
                <w:bCs/>
                <w:color w:val="000000"/>
                <w:sz w:val="20"/>
                <w:szCs w:val="24"/>
              </w:rPr>
            </w:pPr>
            <w:r>
              <w:rPr>
                <w:rFonts w:cstheme="majorBidi"/>
                <w:b/>
                <w:bCs/>
                <w:color w:val="000000"/>
                <w:sz w:val="20"/>
                <w:szCs w:val="24"/>
              </w:rPr>
              <w:t>.666</w:t>
            </w:r>
          </w:p>
        </w:tc>
        <w:tc>
          <w:tcPr>
            <w:tcW w:w="1343" w:type="dxa"/>
            <w:shd w:val="clear" w:color="auto" w:fill="FFFFFF"/>
            <w:hideMark/>
          </w:tcPr>
          <w:p w14:paraId="67201CD1"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w:t>
            </w:r>
            <w:r w:rsidRPr="00482140">
              <w:rPr>
                <w:rFonts w:cstheme="majorBidi"/>
                <w:color w:val="808080" w:themeColor="background1" w:themeShade="80"/>
                <w:sz w:val="20"/>
                <w:szCs w:val="24"/>
              </w:rPr>
              <w:t>1</w:t>
            </w:r>
            <w:r>
              <w:rPr>
                <w:rFonts w:cstheme="majorBidi"/>
                <w:color w:val="808080" w:themeColor="background1" w:themeShade="80"/>
                <w:sz w:val="20"/>
                <w:szCs w:val="24"/>
              </w:rPr>
              <w:t>73</w:t>
            </w:r>
          </w:p>
        </w:tc>
        <w:tc>
          <w:tcPr>
            <w:tcW w:w="1343" w:type="dxa"/>
            <w:shd w:val="clear" w:color="auto" w:fill="FFFFFF"/>
          </w:tcPr>
          <w:p w14:paraId="55FE5FA2" w14:textId="77777777" w:rsidR="00726C45" w:rsidRPr="00484C79"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484C79">
              <w:rPr>
                <w:rFonts w:cstheme="majorBidi"/>
                <w:color w:val="948A54" w:themeColor="background2" w:themeShade="80"/>
                <w:sz w:val="20"/>
                <w:szCs w:val="24"/>
              </w:rPr>
              <w:t>.009</w:t>
            </w:r>
          </w:p>
        </w:tc>
        <w:tc>
          <w:tcPr>
            <w:tcW w:w="1343" w:type="dxa"/>
            <w:shd w:val="clear" w:color="auto" w:fill="FFFFFF"/>
          </w:tcPr>
          <w:p w14:paraId="1AA79E4C"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-.003</w:t>
            </w:r>
          </w:p>
        </w:tc>
        <w:tc>
          <w:tcPr>
            <w:tcW w:w="1341" w:type="dxa"/>
            <w:shd w:val="clear" w:color="auto" w:fill="FFFFFF"/>
          </w:tcPr>
          <w:p w14:paraId="2B709849" w14:textId="77777777" w:rsidR="00726C45" w:rsidRPr="00484C79"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4C79">
              <w:rPr>
                <w:rFonts w:cstheme="majorBidi"/>
                <w:color w:val="808080" w:themeColor="background1" w:themeShade="80"/>
                <w:sz w:val="20"/>
                <w:szCs w:val="24"/>
              </w:rPr>
              <w:t>-.102</w:t>
            </w:r>
          </w:p>
        </w:tc>
      </w:tr>
      <w:tr w:rsidR="00726C45" w:rsidRPr="00482140" w14:paraId="49FD21A2" w14:textId="77777777" w:rsidTr="00A37677">
        <w:trPr>
          <w:cantSplit/>
          <w:trHeight w:val="287"/>
          <w:tblHeader/>
          <w:jc w:val="center"/>
        </w:trPr>
        <w:tc>
          <w:tcPr>
            <w:tcW w:w="2368" w:type="dxa"/>
            <w:shd w:val="clear" w:color="auto" w:fill="FFFFFF"/>
            <w:hideMark/>
          </w:tcPr>
          <w:p w14:paraId="1CC22776"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Prospering Economy</w:t>
            </w:r>
          </w:p>
        </w:tc>
        <w:tc>
          <w:tcPr>
            <w:tcW w:w="1288" w:type="dxa"/>
            <w:shd w:val="clear" w:color="auto" w:fill="FFFFFF"/>
            <w:hideMark/>
          </w:tcPr>
          <w:p w14:paraId="5F7096A2" w14:textId="77777777" w:rsidR="00726C45" w:rsidRPr="00A42F8B" w:rsidRDefault="00726C45" w:rsidP="00A37677">
            <w:pPr>
              <w:autoSpaceDE w:val="0"/>
              <w:adjustRightInd w:val="0"/>
              <w:spacing w:line="240" w:lineRule="auto"/>
              <w:ind w:left="57" w:right="60"/>
              <w:jc w:val="center"/>
              <w:rPr>
                <w:rFonts w:cstheme="majorBidi"/>
                <w:bCs/>
                <w:color w:val="000000"/>
                <w:sz w:val="20"/>
                <w:szCs w:val="24"/>
              </w:rPr>
            </w:pPr>
            <w:r w:rsidRPr="00A42F8B">
              <w:rPr>
                <w:rFonts w:cstheme="majorBidi"/>
                <w:bCs/>
                <w:color w:val="808080" w:themeColor="background1" w:themeShade="80"/>
                <w:sz w:val="20"/>
                <w:szCs w:val="24"/>
              </w:rPr>
              <w:t>-.234</w:t>
            </w:r>
          </w:p>
        </w:tc>
        <w:tc>
          <w:tcPr>
            <w:tcW w:w="1343" w:type="dxa"/>
            <w:shd w:val="clear" w:color="auto" w:fill="FFFFFF"/>
            <w:hideMark/>
          </w:tcPr>
          <w:p w14:paraId="7D4FAA9A"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.197</w:t>
            </w:r>
          </w:p>
        </w:tc>
        <w:tc>
          <w:tcPr>
            <w:tcW w:w="1343" w:type="dxa"/>
            <w:shd w:val="clear" w:color="auto" w:fill="FFFFFF"/>
          </w:tcPr>
          <w:p w14:paraId="7450C968" w14:textId="77777777" w:rsidR="00726C45" w:rsidRPr="00482140" w:rsidRDefault="00726C45" w:rsidP="00A37677">
            <w:pPr>
              <w:autoSpaceDE w:val="0"/>
              <w:adjustRightInd w:val="0"/>
              <w:spacing w:line="240" w:lineRule="auto"/>
              <w:ind w:left="57" w:right="60"/>
              <w:jc w:val="center"/>
              <w:rPr>
                <w:rFonts w:cstheme="majorBidi"/>
                <w:b/>
                <w:sz w:val="20"/>
                <w:szCs w:val="24"/>
              </w:rPr>
            </w:pPr>
            <w:r>
              <w:rPr>
                <w:rFonts w:cstheme="majorBidi"/>
                <w:b/>
                <w:sz w:val="20"/>
                <w:szCs w:val="24"/>
              </w:rPr>
              <w:t>.748</w:t>
            </w:r>
          </w:p>
        </w:tc>
        <w:tc>
          <w:tcPr>
            <w:tcW w:w="1343" w:type="dxa"/>
            <w:shd w:val="clear" w:color="auto" w:fill="FFFFFF"/>
          </w:tcPr>
          <w:p w14:paraId="5A4B9789"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.013</w:t>
            </w:r>
          </w:p>
        </w:tc>
        <w:tc>
          <w:tcPr>
            <w:tcW w:w="1341" w:type="dxa"/>
            <w:shd w:val="clear" w:color="auto" w:fill="FFFFFF"/>
          </w:tcPr>
          <w:p w14:paraId="21014D3F" w14:textId="77777777" w:rsidR="00726C45" w:rsidRPr="00484C79"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4C79">
              <w:rPr>
                <w:rFonts w:cstheme="majorBidi"/>
                <w:color w:val="808080" w:themeColor="background1" w:themeShade="80"/>
                <w:sz w:val="20"/>
                <w:szCs w:val="24"/>
              </w:rPr>
              <w:t>-.103</w:t>
            </w:r>
          </w:p>
        </w:tc>
      </w:tr>
      <w:tr w:rsidR="00726C45" w:rsidRPr="00482140" w14:paraId="51C0C9CD" w14:textId="77777777" w:rsidTr="00A37677">
        <w:trPr>
          <w:cantSplit/>
          <w:trHeight w:val="287"/>
          <w:tblHeader/>
          <w:jc w:val="center"/>
        </w:trPr>
        <w:tc>
          <w:tcPr>
            <w:tcW w:w="2368" w:type="dxa"/>
            <w:shd w:val="clear" w:color="auto" w:fill="FFFFFF"/>
            <w:hideMark/>
          </w:tcPr>
          <w:p w14:paraId="0F002317"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Unemployment Aid</w:t>
            </w:r>
          </w:p>
        </w:tc>
        <w:tc>
          <w:tcPr>
            <w:tcW w:w="1288" w:type="dxa"/>
            <w:shd w:val="clear" w:color="auto" w:fill="FFFFFF"/>
            <w:hideMark/>
          </w:tcPr>
          <w:p w14:paraId="134ED7AA" w14:textId="77777777" w:rsidR="00726C45" w:rsidRPr="00A42F8B"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A42F8B">
              <w:rPr>
                <w:rFonts w:cstheme="majorBidi"/>
                <w:color w:val="808080" w:themeColor="background1" w:themeShade="80"/>
                <w:sz w:val="20"/>
                <w:szCs w:val="24"/>
              </w:rPr>
              <w:t>-.0</w:t>
            </w:r>
            <w:r w:rsidRPr="00A42F8B">
              <w:rPr>
                <w:rFonts w:cstheme="majorBidi"/>
                <w:bCs/>
                <w:color w:val="808080" w:themeColor="background1" w:themeShade="80"/>
                <w:sz w:val="20"/>
                <w:szCs w:val="24"/>
              </w:rPr>
              <w:t>51</w:t>
            </w:r>
          </w:p>
        </w:tc>
        <w:tc>
          <w:tcPr>
            <w:tcW w:w="1343" w:type="dxa"/>
            <w:shd w:val="clear" w:color="auto" w:fill="FFFFFF"/>
            <w:hideMark/>
          </w:tcPr>
          <w:p w14:paraId="52B451F9" w14:textId="77777777" w:rsidR="00726C45" w:rsidRPr="00A42F8B" w:rsidRDefault="00726C45" w:rsidP="00A37677">
            <w:pPr>
              <w:autoSpaceDE w:val="0"/>
              <w:adjustRightInd w:val="0"/>
              <w:spacing w:line="240" w:lineRule="auto"/>
              <w:ind w:left="57" w:right="60"/>
              <w:jc w:val="center"/>
              <w:rPr>
                <w:rFonts w:cstheme="majorBidi"/>
                <w:iCs/>
                <w:color w:val="948A54" w:themeColor="background2" w:themeShade="80"/>
                <w:sz w:val="20"/>
                <w:szCs w:val="24"/>
              </w:rPr>
            </w:pPr>
            <w:r w:rsidRPr="00A42F8B">
              <w:rPr>
                <w:rFonts w:cstheme="majorBidi"/>
                <w:iCs/>
                <w:color w:val="948A54" w:themeColor="background2" w:themeShade="80"/>
                <w:sz w:val="20"/>
                <w:szCs w:val="24"/>
              </w:rPr>
              <w:t>-.</w:t>
            </w:r>
            <w:r w:rsidRPr="00A42F8B">
              <w:rPr>
                <w:rFonts w:cstheme="majorBidi"/>
                <w:color w:val="948A54" w:themeColor="background2" w:themeShade="80"/>
                <w:sz w:val="20"/>
                <w:szCs w:val="24"/>
              </w:rPr>
              <w:t>044</w:t>
            </w:r>
          </w:p>
        </w:tc>
        <w:tc>
          <w:tcPr>
            <w:tcW w:w="1343" w:type="dxa"/>
            <w:shd w:val="clear" w:color="auto" w:fill="FFFFFF"/>
          </w:tcPr>
          <w:p w14:paraId="6AB9A6A7" w14:textId="77777777" w:rsidR="00726C45" w:rsidRPr="00484C79" w:rsidRDefault="00726C45" w:rsidP="00A37677">
            <w:pPr>
              <w:autoSpaceDE w:val="0"/>
              <w:adjustRightInd w:val="0"/>
              <w:spacing w:line="240" w:lineRule="auto"/>
              <w:ind w:left="57" w:right="60"/>
              <w:jc w:val="center"/>
              <w:rPr>
                <w:rFonts w:cstheme="majorBidi"/>
                <w:iCs/>
                <w:sz w:val="20"/>
                <w:szCs w:val="24"/>
              </w:rPr>
            </w:pPr>
            <w:r w:rsidRPr="00484C79">
              <w:rPr>
                <w:rFonts w:cstheme="majorBidi"/>
                <w:iCs/>
                <w:color w:val="948A54" w:themeColor="background2" w:themeShade="80"/>
                <w:sz w:val="20"/>
                <w:szCs w:val="24"/>
              </w:rPr>
              <w:t>-.085</w:t>
            </w:r>
          </w:p>
        </w:tc>
        <w:tc>
          <w:tcPr>
            <w:tcW w:w="1343" w:type="dxa"/>
            <w:shd w:val="clear" w:color="auto" w:fill="FFFFFF"/>
          </w:tcPr>
          <w:p w14:paraId="6F3B55C4" w14:textId="77777777" w:rsidR="00726C45" w:rsidRPr="00484C79" w:rsidRDefault="00726C45" w:rsidP="00A37677">
            <w:pPr>
              <w:autoSpaceDE w:val="0"/>
              <w:adjustRightInd w:val="0"/>
              <w:spacing w:line="240" w:lineRule="auto"/>
              <w:ind w:left="57" w:right="60"/>
              <w:jc w:val="center"/>
              <w:rPr>
                <w:rFonts w:cstheme="majorBidi"/>
                <w:b/>
                <w:iCs/>
                <w:color w:val="808080" w:themeColor="background1" w:themeShade="80"/>
                <w:sz w:val="20"/>
                <w:szCs w:val="24"/>
              </w:rPr>
            </w:pPr>
            <w:r w:rsidRPr="00484C79">
              <w:rPr>
                <w:rFonts w:cstheme="majorBidi"/>
                <w:b/>
                <w:iCs/>
                <w:color w:val="808080" w:themeColor="background1" w:themeShade="80"/>
                <w:sz w:val="20"/>
                <w:szCs w:val="24"/>
              </w:rPr>
              <w:t>.</w:t>
            </w:r>
            <w:r w:rsidRPr="00484C79">
              <w:rPr>
                <w:rFonts w:cstheme="majorBidi"/>
                <w:b/>
                <w:iCs/>
                <w:sz w:val="20"/>
                <w:szCs w:val="24"/>
              </w:rPr>
              <w:t>977</w:t>
            </w:r>
          </w:p>
        </w:tc>
        <w:tc>
          <w:tcPr>
            <w:tcW w:w="1341" w:type="dxa"/>
            <w:shd w:val="clear" w:color="auto" w:fill="FFFFFF"/>
          </w:tcPr>
          <w:p w14:paraId="52563F22" w14:textId="77777777" w:rsidR="00726C45" w:rsidRPr="00484C79" w:rsidRDefault="00726C45" w:rsidP="00A37677">
            <w:pPr>
              <w:autoSpaceDE w:val="0"/>
              <w:adjustRightInd w:val="0"/>
              <w:spacing w:line="240" w:lineRule="auto"/>
              <w:ind w:left="57" w:right="60"/>
              <w:jc w:val="center"/>
              <w:rPr>
                <w:rFonts w:cstheme="majorBidi"/>
                <w:iCs/>
                <w:color w:val="808080" w:themeColor="background1" w:themeShade="80"/>
                <w:sz w:val="20"/>
                <w:szCs w:val="24"/>
              </w:rPr>
            </w:pPr>
            <w:r w:rsidRPr="00484C79">
              <w:rPr>
                <w:rFonts w:cstheme="majorBidi"/>
                <w:iCs/>
                <w:color w:val="808080" w:themeColor="background1" w:themeShade="80"/>
                <w:sz w:val="20"/>
                <w:szCs w:val="24"/>
              </w:rPr>
              <w:t>-.012</w:t>
            </w:r>
          </w:p>
        </w:tc>
      </w:tr>
      <w:tr w:rsidR="00726C45" w:rsidRPr="00482140" w14:paraId="7AAA44C2" w14:textId="77777777" w:rsidTr="00A37677">
        <w:trPr>
          <w:cantSplit/>
          <w:trHeight w:val="287"/>
          <w:tblHeader/>
          <w:jc w:val="center"/>
        </w:trPr>
        <w:tc>
          <w:tcPr>
            <w:tcW w:w="2368" w:type="dxa"/>
            <w:shd w:val="clear" w:color="auto" w:fill="FFFFFF"/>
            <w:hideMark/>
          </w:tcPr>
          <w:p w14:paraId="6C0A9E21"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Criminal Punishment</w:t>
            </w:r>
          </w:p>
        </w:tc>
        <w:tc>
          <w:tcPr>
            <w:tcW w:w="1288" w:type="dxa"/>
            <w:shd w:val="clear" w:color="auto" w:fill="FFFFFF"/>
            <w:hideMark/>
          </w:tcPr>
          <w:p w14:paraId="6E613DF7" w14:textId="77777777" w:rsidR="00726C45" w:rsidRPr="00A42F8B" w:rsidRDefault="00726C45" w:rsidP="00A37677">
            <w:pPr>
              <w:autoSpaceDE w:val="0"/>
              <w:adjustRightInd w:val="0"/>
              <w:spacing w:line="240" w:lineRule="auto"/>
              <w:ind w:left="57" w:right="60"/>
              <w:jc w:val="center"/>
              <w:rPr>
                <w:rFonts w:cstheme="majorBidi"/>
                <w:bCs/>
                <w:color w:val="808080" w:themeColor="background1" w:themeShade="80"/>
                <w:sz w:val="20"/>
                <w:szCs w:val="24"/>
              </w:rPr>
            </w:pPr>
            <w:r w:rsidRPr="00A42F8B">
              <w:rPr>
                <w:rFonts w:cstheme="majorBidi"/>
                <w:bCs/>
                <w:color w:val="808080" w:themeColor="background1" w:themeShade="80"/>
                <w:sz w:val="20"/>
                <w:szCs w:val="24"/>
              </w:rPr>
              <w:t>.121</w:t>
            </w:r>
          </w:p>
        </w:tc>
        <w:tc>
          <w:tcPr>
            <w:tcW w:w="1343" w:type="dxa"/>
            <w:shd w:val="clear" w:color="auto" w:fill="FFFFFF"/>
            <w:hideMark/>
          </w:tcPr>
          <w:p w14:paraId="23930ED0" w14:textId="77777777" w:rsidR="00726C45" w:rsidRPr="00A42F8B"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A42F8B">
              <w:rPr>
                <w:rFonts w:cstheme="majorBidi"/>
                <w:color w:val="948A54" w:themeColor="background2" w:themeShade="80"/>
                <w:sz w:val="20"/>
                <w:szCs w:val="24"/>
              </w:rPr>
              <w:t>-.355</w:t>
            </w:r>
          </w:p>
        </w:tc>
        <w:tc>
          <w:tcPr>
            <w:tcW w:w="1343" w:type="dxa"/>
            <w:shd w:val="clear" w:color="auto" w:fill="FFFFFF"/>
          </w:tcPr>
          <w:p w14:paraId="5BAC128F" w14:textId="77777777" w:rsidR="00726C45" w:rsidRPr="00482140" w:rsidRDefault="00726C45" w:rsidP="00A37677">
            <w:pPr>
              <w:autoSpaceDE w:val="0"/>
              <w:adjustRightInd w:val="0"/>
              <w:spacing w:line="240" w:lineRule="auto"/>
              <w:ind w:left="57" w:right="60"/>
              <w:jc w:val="center"/>
              <w:rPr>
                <w:rFonts w:cstheme="majorBidi"/>
                <w:b/>
                <w:sz w:val="20"/>
                <w:szCs w:val="24"/>
              </w:rPr>
            </w:pPr>
            <w:r>
              <w:rPr>
                <w:rFonts w:cstheme="majorBidi"/>
                <w:b/>
                <w:sz w:val="20"/>
                <w:szCs w:val="24"/>
              </w:rPr>
              <w:t>.755</w:t>
            </w:r>
          </w:p>
        </w:tc>
        <w:tc>
          <w:tcPr>
            <w:tcW w:w="1343" w:type="dxa"/>
            <w:shd w:val="clear" w:color="auto" w:fill="FFFFFF"/>
          </w:tcPr>
          <w:p w14:paraId="7350DF59"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w:t>
            </w:r>
            <w:r w:rsidRPr="00482140">
              <w:rPr>
                <w:rFonts w:cstheme="majorBidi"/>
                <w:color w:val="808080" w:themeColor="background1" w:themeShade="80"/>
                <w:sz w:val="20"/>
                <w:szCs w:val="24"/>
              </w:rPr>
              <w:t>.1</w:t>
            </w:r>
            <w:r>
              <w:rPr>
                <w:rFonts w:cstheme="majorBidi"/>
                <w:color w:val="808080" w:themeColor="background1" w:themeShade="80"/>
                <w:sz w:val="20"/>
                <w:szCs w:val="24"/>
              </w:rPr>
              <w:t>26</w:t>
            </w:r>
          </w:p>
        </w:tc>
        <w:tc>
          <w:tcPr>
            <w:tcW w:w="1341" w:type="dxa"/>
            <w:shd w:val="clear" w:color="auto" w:fill="FFFFFF"/>
          </w:tcPr>
          <w:p w14:paraId="00954CA7" w14:textId="77777777" w:rsidR="00726C45" w:rsidRPr="00484C79" w:rsidRDefault="00726C45" w:rsidP="00A37677">
            <w:pPr>
              <w:autoSpaceDE w:val="0"/>
              <w:adjustRightInd w:val="0"/>
              <w:spacing w:line="240" w:lineRule="auto"/>
              <w:ind w:left="57" w:right="60"/>
              <w:jc w:val="center"/>
              <w:rPr>
                <w:rFonts w:cstheme="majorBidi"/>
                <w:color w:val="808080" w:themeColor="background1" w:themeShade="80"/>
                <w:sz w:val="20"/>
                <w:szCs w:val="24"/>
              </w:rPr>
            </w:pPr>
            <w:r w:rsidRPr="00484C79">
              <w:rPr>
                <w:rFonts w:cstheme="majorBidi"/>
                <w:color w:val="808080" w:themeColor="background1" w:themeShade="80"/>
                <w:sz w:val="20"/>
                <w:szCs w:val="24"/>
              </w:rPr>
              <w:t>-.037</w:t>
            </w:r>
          </w:p>
        </w:tc>
      </w:tr>
      <w:tr w:rsidR="00726C45" w:rsidRPr="00482140" w14:paraId="0B411A31" w14:textId="77777777" w:rsidTr="00A37677">
        <w:trPr>
          <w:cantSplit/>
          <w:trHeight w:val="287"/>
          <w:tblHeader/>
          <w:jc w:val="center"/>
        </w:trPr>
        <w:tc>
          <w:tcPr>
            <w:tcW w:w="2368" w:type="dxa"/>
            <w:shd w:val="clear" w:color="auto" w:fill="FFFFFF"/>
            <w:hideMark/>
          </w:tcPr>
          <w:p w14:paraId="711CB91E"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Religious Authorities</w:t>
            </w:r>
          </w:p>
        </w:tc>
        <w:tc>
          <w:tcPr>
            <w:tcW w:w="1288" w:type="dxa"/>
            <w:shd w:val="clear" w:color="auto" w:fill="FFFFFF"/>
            <w:hideMark/>
          </w:tcPr>
          <w:p w14:paraId="75F695D4"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-.485</w:t>
            </w:r>
          </w:p>
        </w:tc>
        <w:tc>
          <w:tcPr>
            <w:tcW w:w="1343" w:type="dxa"/>
            <w:shd w:val="clear" w:color="auto" w:fill="FFFFFF"/>
            <w:hideMark/>
          </w:tcPr>
          <w:p w14:paraId="0FDECF71" w14:textId="77777777" w:rsidR="00726C45" w:rsidRPr="00A42F8B"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A42F8B">
              <w:rPr>
                <w:rFonts w:cstheme="majorBidi"/>
                <w:color w:val="948A54" w:themeColor="background2" w:themeShade="80"/>
                <w:sz w:val="20"/>
                <w:szCs w:val="24"/>
              </w:rPr>
              <w:t>-.</w:t>
            </w:r>
            <w:r w:rsidRPr="00A42F8B">
              <w:rPr>
                <w:rFonts w:cstheme="majorBidi"/>
                <w:bCs/>
                <w:color w:val="948A54" w:themeColor="background2" w:themeShade="80"/>
                <w:sz w:val="20"/>
                <w:szCs w:val="24"/>
              </w:rPr>
              <w:t>385</w:t>
            </w:r>
          </w:p>
        </w:tc>
        <w:tc>
          <w:tcPr>
            <w:tcW w:w="1343" w:type="dxa"/>
            <w:shd w:val="clear" w:color="auto" w:fill="FFFFFF"/>
          </w:tcPr>
          <w:p w14:paraId="71C8EB67" w14:textId="77777777" w:rsidR="00726C45" w:rsidRPr="00482140" w:rsidRDefault="00726C45" w:rsidP="00A37677">
            <w:pPr>
              <w:autoSpaceDE w:val="0"/>
              <w:adjustRightInd w:val="0"/>
              <w:spacing w:line="240" w:lineRule="auto"/>
              <w:ind w:left="57" w:right="60"/>
              <w:jc w:val="center"/>
              <w:rPr>
                <w:rFonts w:cstheme="majorBidi"/>
                <w:color w:val="A6A6A6" w:themeColor="background1" w:themeShade="A6"/>
                <w:sz w:val="20"/>
                <w:szCs w:val="24"/>
              </w:rPr>
            </w:pPr>
            <w:r>
              <w:rPr>
                <w:rFonts w:cstheme="majorBidi"/>
                <w:color w:val="A6A6A6" w:themeColor="background1" w:themeShade="A6"/>
                <w:sz w:val="20"/>
                <w:szCs w:val="24"/>
              </w:rPr>
              <w:t>-</w:t>
            </w:r>
            <w:r w:rsidRPr="00482140">
              <w:rPr>
                <w:rFonts w:cstheme="majorBidi"/>
                <w:color w:val="A6A6A6" w:themeColor="background1" w:themeShade="A6"/>
                <w:sz w:val="20"/>
                <w:szCs w:val="24"/>
              </w:rPr>
              <w:t>.</w:t>
            </w:r>
            <w:r>
              <w:rPr>
                <w:rFonts w:cstheme="majorBidi"/>
                <w:color w:val="A6A6A6" w:themeColor="background1" w:themeShade="A6"/>
                <w:sz w:val="20"/>
                <w:szCs w:val="24"/>
              </w:rPr>
              <w:t>312</w:t>
            </w:r>
          </w:p>
        </w:tc>
        <w:tc>
          <w:tcPr>
            <w:tcW w:w="1343" w:type="dxa"/>
            <w:shd w:val="clear" w:color="auto" w:fill="FFFFFF"/>
          </w:tcPr>
          <w:p w14:paraId="43FBC7F4" w14:textId="77777777" w:rsidR="00726C45" w:rsidRPr="00484C79" w:rsidRDefault="00726C45" w:rsidP="00A37677">
            <w:pPr>
              <w:autoSpaceDE w:val="0"/>
              <w:adjustRightInd w:val="0"/>
              <w:spacing w:line="240" w:lineRule="auto"/>
              <w:ind w:left="57" w:right="60"/>
              <w:jc w:val="center"/>
              <w:rPr>
                <w:rFonts w:cstheme="majorBidi"/>
                <w:color w:val="7F7F7F" w:themeColor="text1" w:themeTint="80"/>
                <w:sz w:val="20"/>
                <w:szCs w:val="24"/>
              </w:rPr>
            </w:pPr>
            <w:r w:rsidRPr="00484C79">
              <w:rPr>
                <w:rFonts w:cstheme="majorBidi"/>
                <w:color w:val="7F7F7F" w:themeColor="text1" w:themeTint="80"/>
                <w:sz w:val="20"/>
                <w:szCs w:val="24"/>
              </w:rPr>
              <w:t>-.347</w:t>
            </w:r>
          </w:p>
        </w:tc>
        <w:tc>
          <w:tcPr>
            <w:tcW w:w="1341" w:type="dxa"/>
            <w:shd w:val="clear" w:color="auto" w:fill="FFFFFF"/>
          </w:tcPr>
          <w:p w14:paraId="2D32A718" w14:textId="77777777" w:rsidR="00726C45" w:rsidRPr="00484C79" w:rsidRDefault="00726C45" w:rsidP="00A37677">
            <w:pPr>
              <w:autoSpaceDE w:val="0"/>
              <w:adjustRightInd w:val="0"/>
              <w:spacing w:line="240" w:lineRule="auto"/>
              <w:ind w:left="57" w:right="60"/>
              <w:jc w:val="center"/>
              <w:rPr>
                <w:rFonts w:cstheme="majorBidi"/>
                <w:color w:val="7F7F7F" w:themeColor="text1" w:themeTint="80"/>
                <w:sz w:val="20"/>
                <w:szCs w:val="24"/>
              </w:rPr>
            </w:pPr>
            <w:r w:rsidRPr="00484C79">
              <w:rPr>
                <w:rFonts w:cstheme="majorBidi"/>
                <w:color w:val="7F7F7F" w:themeColor="text1" w:themeTint="80"/>
                <w:sz w:val="20"/>
                <w:szCs w:val="24"/>
              </w:rPr>
              <w:t>-.034</w:t>
            </w:r>
          </w:p>
        </w:tc>
      </w:tr>
      <w:tr w:rsidR="00726C45" w:rsidRPr="00482140" w14:paraId="5B255598" w14:textId="77777777" w:rsidTr="00A37677">
        <w:trPr>
          <w:cantSplit/>
          <w:trHeight w:val="287"/>
          <w:tblHeader/>
          <w:jc w:val="center"/>
        </w:trPr>
        <w:tc>
          <w:tcPr>
            <w:tcW w:w="2368" w:type="dxa"/>
            <w:shd w:val="clear" w:color="auto" w:fill="FFFFFF"/>
            <w:hideMark/>
          </w:tcPr>
          <w:p w14:paraId="5B966E70" w14:textId="77777777" w:rsidR="00726C45" w:rsidRPr="00482140" w:rsidRDefault="00726C45" w:rsidP="00A37677">
            <w:pPr>
              <w:spacing w:line="240" w:lineRule="auto"/>
              <w:ind w:left="57" w:right="60"/>
              <w:rPr>
                <w:rFonts w:cstheme="majorBidi"/>
                <w:sz w:val="20"/>
                <w:szCs w:val="24"/>
              </w:rPr>
            </w:pPr>
            <w:r w:rsidRPr="00482140">
              <w:rPr>
                <w:rFonts w:cstheme="majorBidi"/>
                <w:color w:val="000000"/>
                <w:sz w:val="20"/>
                <w:szCs w:val="24"/>
              </w:rPr>
              <w:t>Army Intervention</w:t>
            </w:r>
          </w:p>
        </w:tc>
        <w:tc>
          <w:tcPr>
            <w:tcW w:w="1288" w:type="dxa"/>
            <w:shd w:val="clear" w:color="auto" w:fill="FFFFFF"/>
            <w:hideMark/>
          </w:tcPr>
          <w:p w14:paraId="3517B813" w14:textId="77777777" w:rsidR="00726C45" w:rsidRPr="00482140" w:rsidRDefault="00726C45" w:rsidP="00A37677">
            <w:pPr>
              <w:autoSpaceDE w:val="0"/>
              <w:adjustRightInd w:val="0"/>
              <w:spacing w:line="240" w:lineRule="auto"/>
              <w:ind w:left="57" w:right="60"/>
              <w:jc w:val="center"/>
              <w:rPr>
                <w:rFonts w:cstheme="majorBidi"/>
                <w:color w:val="808080" w:themeColor="background1" w:themeShade="80"/>
                <w:sz w:val="20"/>
                <w:szCs w:val="24"/>
              </w:rPr>
            </w:pPr>
            <w:r>
              <w:rPr>
                <w:rFonts w:cstheme="majorBidi"/>
                <w:color w:val="808080" w:themeColor="background1" w:themeShade="80"/>
                <w:sz w:val="20"/>
                <w:szCs w:val="24"/>
              </w:rPr>
              <w:t>-.479</w:t>
            </w:r>
          </w:p>
        </w:tc>
        <w:tc>
          <w:tcPr>
            <w:tcW w:w="1343" w:type="dxa"/>
            <w:shd w:val="clear" w:color="auto" w:fill="FFFFFF"/>
            <w:hideMark/>
          </w:tcPr>
          <w:p w14:paraId="69FD6E44" w14:textId="77777777" w:rsidR="00726C45" w:rsidRPr="00A42F8B"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A42F8B">
              <w:rPr>
                <w:rFonts w:cstheme="majorBidi"/>
                <w:color w:val="948A54" w:themeColor="background2" w:themeShade="80"/>
                <w:sz w:val="20"/>
                <w:szCs w:val="24"/>
              </w:rPr>
              <w:t>-.329</w:t>
            </w:r>
          </w:p>
        </w:tc>
        <w:tc>
          <w:tcPr>
            <w:tcW w:w="1343" w:type="dxa"/>
            <w:shd w:val="clear" w:color="auto" w:fill="FFFFFF"/>
          </w:tcPr>
          <w:p w14:paraId="3A7C1DD7" w14:textId="77777777" w:rsidR="00726C45" w:rsidRPr="00482140" w:rsidRDefault="00726C45" w:rsidP="00A37677">
            <w:pPr>
              <w:autoSpaceDE w:val="0"/>
              <w:adjustRightInd w:val="0"/>
              <w:spacing w:line="240" w:lineRule="auto"/>
              <w:ind w:left="57" w:right="60"/>
              <w:jc w:val="center"/>
              <w:rPr>
                <w:rFonts w:cstheme="majorBidi"/>
                <w:color w:val="A6A6A6" w:themeColor="background1" w:themeShade="A6"/>
                <w:sz w:val="20"/>
                <w:szCs w:val="24"/>
              </w:rPr>
            </w:pPr>
            <w:r>
              <w:rPr>
                <w:rFonts w:cstheme="majorBidi"/>
                <w:color w:val="A6A6A6" w:themeColor="background1" w:themeShade="A6"/>
                <w:sz w:val="20"/>
                <w:szCs w:val="24"/>
              </w:rPr>
              <w:t>.370</w:t>
            </w:r>
          </w:p>
        </w:tc>
        <w:tc>
          <w:tcPr>
            <w:tcW w:w="1343" w:type="dxa"/>
            <w:shd w:val="clear" w:color="auto" w:fill="FFFFFF"/>
          </w:tcPr>
          <w:p w14:paraId="4691939A" w14:textId="77777777" w:rsidR="00726C45" w:rsidRPr="00484C79" w:rsidRDefault="00726C45" w:rsidP="00A37677">
            <w:pPr>
              <w:autoSpaceDE w:val="0"/>
              <w:adjustRightInd w:val="0"/>
              <w:spacing w:line="240" w:lineRule="auto"/>
              <w:ind w:left="57" w:right="60"/>
              <w:jc w:val="center"/>
              <w:rPr>
                <w:rFonts w:cstheme="majorBidi"/>
                <w:color w:val="7F7F7F" w:themeColor="text1" w:themeTint="80"/>
                <w:sz w:val="20"/>
                <w:szCs w:val="24"/>
              </w:rPr>
            </w:pPr>
            <w:r w:rsidRPr="00484C79">
              <w:rPr>
                <w:rFonts w:cstheme="majorBidi"/>
                <w:color w:val="7F7F7F" w:themeColor="text1" w:themeTint="80"/>
                <w:sz w:val="20"/>
                <w:szCs w:val="24"/>
              </w:rPr>
              <w:t>.214</w:t>
            </w:r>
          </w:p>
        </w:tc>
        <w:tc>
          <w:tcPr>
            <w:tcW w:w="1341" w:type="dxa"/>
            <w:shd w:val="clear" w:color="auto" w:fill="FFFFFF"/>
          </w:tcPr>
          <w:p w14:paraId="59D85442" w14:textId="77777777" w:rsidR="00726C45" w:rsidRPr="00484C79" w:rsidRDefault="00726C45" w:rsidP="00A37677">
            <w:pPr>
              <w:autoSpaceDE w:val="0"/>
              <w:adjustRightInd w:val="0"/>
              <w:spacing w:line="240" w:lineRule="auto"/>
              <w:ind w:left="57" w:right="60"/>
              <w:jc w:val="center"/>
              <w:rPr>
                <w:rFonts w:cstheme="majorBidi"/>
                <w:color w:val="7F7F7F" w:themeColor="text1" w:themeTint="80"/>
                <w:sz w:val="20"/>
                <w:szCs w:val="24"/>
              </w:rPr>
            </w:pPr>
            <w:r w:rsidRPr="00484C79">
              <w:rPr>
                <w:rFonts w:cstheme="majorBidi"/>
                <w:color w:val="7F7F7F" w:themeColor="text1" w:themeTint="80"/>
                <w:sz w:val="20"/>
                <w:szCs w:val="24"/>
              </w:rPr>
              <w:t>-.471</w:t>
            </w:r>
          </w:p>
        </w:tc>
      </w:tr>
      <w:tr w:rsidR="00726C45" w:rsidRPr="00482140" w14:paraId="1CF86641" w14:textId="77777777" w:rsidTr="00A37677">
        <w:trPr>
          <w:cantSplit/>
          <w:trHeight w:val="287"/>
          <w:tblHeader/>
          <w:jc w:val="center"/>
        </w:trPr>
        <w:tc>
          <w:tcPr>
            <w:tcW w:w="2368" w:type="dxa"/>
            <w:tcBorders>
              <w:top w:val="nil"/>
              <w:left w:val="nil"/>
              <w:bottom w:val="single" w:sz="4" w:space="0" w:color="auto"/>
              <w:right w:val="nil"/>
            </w:tcBorders>
            <w:shd w:val="clear" w:color="auto" w:fill="FFFFFF"/>
            <w:hideMark/>
          </w:tcPr>
          <w:p w14:paraId="42519E75"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Tax</w:t>
            </w:r>
          </w:p>
        </w:tc>
        <w:tc>
          <w:tcPr>
            <w:tcW w:w="1288" w:type="dxa"/>
            <w:tcBorders>
              <w:top w:val="nil"/>
              <w:left w:val="nil"/>
              <w:bottom w:val="single" w:sz="4" w:space="0" w:color="auto"/>
              <w:right w:val="nil"/>
            </w:tcBorders>
            <w:shd w:val="clear" w:color="auto" w:fill="FFFFFF"/>
            <w:hideMark/>
          </w:tcPr>
          <w:p w14:paraId="5038BA1B" w14:textId="77777777" w:rsidR="00726C45" w:rsidRPr="00482140" w:rsidRDefault="00726C45" w:rsidP="00A37677">
            <w:pPr>
              <w:autoSpaceDE w:val="0"/>
              <w:adjustRightInd w:val="0"/>
              <w:spacing w:line="240" w:lineRule="auto"/>
              <w:ind w:left="57" w:right="60"/>
              <w:jc w:val="center"/>
              <w:rPr>
                <w:rFonts w:cstheme="majorBidi"/>
                <w:b/>
                <w:bCs/>
                <w:color w:val="808080" w:themeColor="background1" w:themeShade="80"/>
                <w:sz w:val="20"/>
                <w:szCs w:val="24"/>
              </w:rPr>
            </w:pPr>
            <w:r w:rsidRPr="00482140">
              <w:rPr>
                <w:rFonts w:cstheme="majorBidi"/>
                <w:bCs/>
                <w:color w:val="808080" w:themeColor="background1" w:themeShade="80"/>
                <w:sz w:val="20"/>
                <w:szCs w:val="24"/>
              </w:rPr>
              <w:t>.</w:t>
            </w:r>
            <w:r>
              <w:rPr>
                <w:rFonts w:cstheme="majorBidi"/>
                <w:color w:val="808080" w:themeColor="background1" w:themeShade="80"/>
                <w:sz w:val="20"/>
                <w:szCs w:val="24"/>
              </w:rPr>
              <w:t>234</w:t>
            </w:r>
          </w:p>
        </w:tc>
        <w:tc>
          <w:tcPr>
            <w:tcW w:w="1343" w:type="dxa"/>
            <w:tcBorders>
              <w:top w:val="nil"/>
              <w:left w:val="nil"/>
              <w:bottom w:val="single" w:sz="4" w:space="0" w:color="auto"/>
              <w:right w:val="nil"/>
            </w:tcBorders>
            <w:shd w:val="clear" w:color="auto" w:fill="FFFFFF"/>
            <w:hideMark/>
          </w:tcPr>
          <w:p w14:paraId="2B488237" w14:textId="77777777" w:rsidR="00726C45" w:rsidRPr="00A42F8B" w:rsidRDefault="00726C45" w:rsidP="00A37677">
            <w:pPr>
              <w:autoSpaceDE w:val="0"/>
              <w:adjustRightInd w:val="0"/>
              <w:spacing w:line="240" w:lineRule="auto"/>
              <w:ind w:left="57" w:right="60"/>
              <w:jc w:val="center"/>
              <w:rPr>
                <w:rFonts w:cstheme="majorBidi"/>
                <w:color w:val="948A54" w:themeColor="background2" w:themeShade="80"/>
                <w:sz w:val="20"/>
                <w:szCs w:val="24"/>
              </w:rPr>
            </w:pPr>
            <w:r w:rsidRPr="00A42F8B">
              <w:rPr>
                <w:rFonts w:cstheme="majorBidi"/>
                <w:color w:val="948A54" w:themeColor="background2" w:themeShade="80"/>
                <w:sz w:val="20"/>
                <w:szCs w:val="24"/>
              </w:rPr>
              <w:t>-.</w:t>
            </w:r>
            <w:r w:rsidRPr="00A42F8B">
              <w:rPr>
                <w:rFonts w:cstheme="majorBidi"/>
                <w:bCs/>
                <w:color w:val="948A54" w:themeColor="background2" w:themeShade="80"/>
                <w:sz w:val="20"/>
                <w:szCs w:val="24"/>
              </w:rPr>
              <w:t>098</w:t>
            </w:r>
          </w:p>
        </w:tc>
        <w:tc>
          <w:tcPr>
            <w:tcW w:w="1343" w:type="dxa"/>
            <w:tcBorders>
              <w:top w:val="nil"/>
              <w:left w:val="nil"/>
              <w:bottom w:val="single" w:sz="4" w:space="0" w:color="auto"/>
              <w:right w:val="nil"/>
            </w:tcBorders>
            <w:shd w:val="clear" w:color="auto" w:fill="FFFFFF"/>
          </w:tcPr>
          <w:p w14:paraId="17B83ABF" w14:textId="77777777" w:rsidR="00726C45" w:rsidRPr="00482140" w:rsidRDefault="00726C45" w:rsidP="00A37677">
            <w:pPr>
              <w:autoSpaceDE w:val="0"/>
              <w:adjustRightInd w:val="0"/>
              <w:spacing w:line="240" w:lineRule="auto"/>
              <w:ind w:left="57" w:right="60"/>
              <w:jc w:val="center"/>
              <w:rPr>
                <w:rFonts w:cstheme="majorBidi"/>
                <w:color w:val="A6A6A6" w:themeColor="background1" w:themeShade="A6"/>
                <w:sz w:val="20"/>
                <w:szCs w:val="24"/>
              </w:rPr>
            </w:pPr>
            <w:r>
              <w:rPr>
                <w:rFonts w:cstheme="majorBidi"/>
                <w:color w:val="A6A6A6" w:themeColor="background1" w:themeShade="A6"/>
                <w:sz w:val="20"/>
                <w:szCs w:val="24"/>
              </w:rPr>
              <w:t>-</w:t>
            </w:r>
            <w:r w:rsidRPr="00482140">
              <w:rPr>
                <w:rFonts w:cstheme="majorBidi"/>
                <w:color w:val="A6A6A6" w:themeColor="background1" w:themeShade="A6"/>
                <w:sz w:val="20"/>
                <w:szCs w:val="24"/>
              </w:rPr>
              <w:t>.</w:t>
            </w:r>
            <w:r>
              <w:rPr>
                <w:rFonts w:cstheme="majorBidi"/>
                <w:color w:val="A6A6A6" w:themeColor="background1" w:themeShade="A6"/>
                <w:sz w:val="20"/>
                <w:szCs w:val="24"/>
              </w:rPr>
              <w:t>168</w:t>
            </w:r>
          </w:p>
        </w:tc>
        <w:tc>
          <w:tcPr>
            <w:tcW w:w="1343" w:type="dxa"/>
            <w:tcBorders>
              <w:top w:val="nil"/>
              <w:left w:val="nil"/>
              <w:bottom w:val="single" w:sz="4" w:space="0" w:color="auto"/>
              <w:right w:val="nil"/>
            </w:tcBorders>
            <w:shd w:val="clear" w:color="auto" w:fill="FFFFFF"/>
          </w:tcPr>
          <w:p w14:paraId="11B25ECC"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A6A6A6" w:themeColor="background1" w:themeShade="A6"/>
                <w:sz w:val="20"/>
                <w:szCs w:val="24"/>
              </w:rPr>
              <w:t>.046</w:t>
            </w:r>
          </w:p>
        </w:tc>
        <w:tc>
          <w:tcPr>
            <w:tcW w:w="1341" w:type="dxa"/>
            <w:tcBorders>
              <w:top w:val="nil"/>
              <w:left w:val="nil"/>
              <w:bottom w:val="single" w:sz="4" w:space="0" w:color="auto"/>
              <w:right w:val="nil"/>
            </w:tcBorders>
            <w:shd w:val="clear" w:color="auto" w:fill="FFFFFF"/>
          </w:tcPr>
          <w:p w14:paraId="02EB6E70" w14:textId="77777777" w:rsidR="00726C45" w:rsidRPr="00484C79" w:rsidRDefault="00726C45" w:rsidP="00A37677">
            <w:pPr>
              <w:autoSpaceDE w:val="0"/>
              <w:adjustRightInd w:val="0"/>
              <w:spacing w:line="240" w:lineRule="auto"/>
              <w:ind w:left="57" w:right="60"/>
              <w:jc w:val="center"/>
              <w:rPr>
                <w:rFonts w:cstheme="majorBidi"/>
                <w:b/>
                <w:color w:val="A6A6A6" w:themeColor="background1" w:themeShade="A6"/>
                <w:sz w:val="20"/>
                <w:szCs w:val="24"/>
              </w:rPr>
            </w:pPr>
            <w:r w:rsidRPr="00484C79">
              <w:rPr>
                <w:rFonts w:cstheme="majorBidi"/>
                <w:b/>
                <w:sz w:val="20"/>
                <w:szCs w:val="24"/>
              </w:rPr>
              <w:t>.910</w:t>
            </w:r>
          </w:p>
        </w:tc>
      </w:tr>
      <w:tr w:rsidR="00726C45" w:rsidRPr="00482140" w14:paraId="720BE24C" w14:textId="77777777" w:rsidTr="00A37677">
        <w:trPr>
          <w:cantSplit/>
          <w:trHeight w:val="287"/>
          <w:tblHeader/>
          <w:jc w:val="center"/>
        </w:trPr>
        <w:tc>
          <w:tcPr>
            <w:tcW w:w="2368" w:type="dxa"/>
            <w:shd w:val="clear" w:color="auto" w:fill="FFFFFF"/>
            <w:hideMark/>
          </w:tcPr>
          <w:p w14:paraId="00777B80"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Eigenvalue</w:t>
            </w:r>
          </w:p>
        </w:tc>
        <w:tc>
          <w:tcPr>
            <w:tcW w:w="1288" w:type="dxa"/>
            <w:shd w:val="clear" w:color="auto" w:fill="FFFFFF"/>
            <w:hideMark/>
          </w:tcPr>
          <w:p w14:paraId="02C9843E"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2.2</w:t>
            </w:r>
            <w:r w:rsidRPr="00482140">
              <w:rPr>
                <w:rFonts w:cstheme="majorBidi"/>
                <w:color w:val="000000"/>
                <w:sz w:val="20"/>
                <w:szCs w:val="24"/>
              </w:rPr>
              <w:t>8</w:t>
            </w:r>
          </w:p>
        </w:tc>
        <w:tc>
          <w:tcPr>
            <w:tcW w:w="1343" w:type="dxa"/>
            <w:shd w:val="clear" w:color="auto" w:fill="FFFFFF"/>
            <w:hideMark/>
          </w:tcPr>
          <w:p w14:paraId="07E2EE7C" w14:textId="77777777" w:rsidR="00726C45" w:rsidRPr="00482140" w:rsidRDefault="00726C45" w:rsidP="00A37677">
            <w:pPr>
              <w:autoSpaceDE w:val="0"/>
              <w:adjustRightInd w:val="0"/>
              <w:spacing w:line="240" w:lineRule="auto"/>
              <w:ind w:left="57" w:right="60"/>
              <w:jc w:val="center"/>
              <w:rPr>
                <w:rFonts w:cstheme="majorBidi"/>
                <w:i/>
                <w:iCs/>
                <w:color w:val="000000"/>
                <w:sz w:val="20"/>
                <w:szCs w:val="24"/>
              </w:rPr>
            </w:pPr>
            <w:r>
              <w:rPr>
                <w:rFonts w:cstheme="majorBidi"/>
                <w:color w:val="000000"/>
                <w:sz w:val="20"/>
                <w:szCs w:val="24"/>
              </w:rPr>
              <w:t>1.43</w:t>
            </w:r>
          </w:p>
        </w:tc>
        <w:tc>
          <w:tcPr>
            <w:tcW w:w="1343" w:type="dxa"/>
            <w:shd w:val="clear" w:color="auto" w:fill="FFFFFF"/>
          </w:tcPr>
          <w:p w14:paraId="27E3AD40"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1.23</w:t>
            </w:r>
          </w:p>
        </w:tc>
        <w:tc>
          <w:tcPr>
            <w:tcW w:w="1343" w:type="dxa"/>
            <w:shd w:val="clear" w:color="auto" w:fill="FFFFFF"/>
          </w:tcPr>
          <w:p w14:paraId="647A432A"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1.01</w:t>
            </w:r>
          </w:p>
        </w:tc>
        <w:tc>
          <w:tcPr>
            <w:tcW w:w="1341" w:type="dxa"/>
            <w:shd w:val="clear" w:color="auto" w:fill="FFFFFF"/>
          </w:tcPr>
          <w:p w14:paraId="416F9DF7"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1.00</w:t>
            </w:r>
          </w:p>
        </w:tc>
      </w:tr>
      <w:tr w:rsidR="00726C45" w:rsidRPr="00482140" w14:paraId="216C5FF9" w14:textId="77777777" w:rsidTr="00A37677">
        <w:trPr>
          <w:cantSplit/>
          <w:trHeight w:val="287"/>
          <w:tblHeader/>
          <w:jc w:val="center"/>
        </w:trPr>
        <w:tc>
          <w:tcPr>
            <w:tcW w:w="2368" w:type="dxa"/>
            <w:tcBorders>
              <w:top w:val="nil"/>
              <w:left w:val="nil"/>
              <w:bottom w:val="single" w:sz="4" w:space="0" w:color="auto"/>
              <w:right w:val="nil"/>
            </w:tcBorders>
            <w:shd w:val="clear" w:color="auto" w:fill="FFFFFF"/>
            <w:hideMark/>
          </w:tcPr>
          <w:p w14:paraId="4CF56815"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 of Variance</w:t>
            </w:r>
          </w:p>
        </w:tc>
        <w:tc>
          <w:tcPr>
            <w:tcW w:w="1288" w:type="dxa"/>
            <w:tcBorders>
              <w:top w:val="nil"/>
              <w:left w:val="nil"/>
              <w:bottom w:val="single" w:sz="4" w:space="0" w:color="auto"/>
              <w:right w:val="nil"/>
            </w:tcBorders>
            <w:shd w:val="clear" w:color="auto" w:fill="FFFFFF"/>
            <w:hideMark/>
          </w:tcPr>
          <w:p w14:paraId="7DA6CBCF"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22</w:t>
            </w:r>
            <w:r w:rsidRPr="00482140">
              <w:rPr>
                <w:rFonts w:cstheme="majorBidi"/>
                <w:color w:val="000000"/>
                <w:sz w:val="20"/>
                <w:szCs w:val="24"/>
              </w:rPr>
              <w:t>.8</w:t>
            </w:r>
          </w:p>
        </w:tc>
        <w:tc>
          <w:tcPr>
            <w:tcW w:w="1343" w:type="dxa"/>
            <w:tcBorders>
              <w:top w:val="nil"/>
              <w:left w:val="nil"/>
              <w:bottom w:val="single" w:sz="4" w:space="0" w:color="auto"/>
              <w:right w:val="nil"/>
            </w:tcBorders>
            <w:shd w:val="clear" w:color="auto" w:fill="FFFFFF"/>
            <w:hideMark/>
          </w:tcPr>
          <w:p w14:paraId="02E5D0C5"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14.3</w:t>
            </w:r>
          </w:p>
        </w:tc>
        <w:tc>
          <w:tcPr>
            <w:tcW w:w="1343" w:type="dxa"/>
            <w:tcBorders>
              <w:top w:val="nil"/>
              <w:left w:val="nil"/>
              <w:bottom w:val="single" w:sz="4" w:space="0" w:color="auto"/>
              <w:right w:val="nil"/>
            </w:tcBorders>
            <w:shd w:val="clear" w:color="auto" w:fill="FFFFFF"/>
          </w:tcPr>
          <w:p w14:paraId="4586BFC0"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12.3</w:t>
            </w:r>
          </w:p>
        </w:tc>
        <w:tc>
          <w:tcPr>
            <w:tcW w:w="1343" w:type="dxa"/>
            <w:tcBorders>
              <w:top w:val="nil"/>
              <w:left w:val="nil"/>
              <w:bottom w:val="single" w:sz="4" w:space="0" w:color="auto"/>
              <w:right w:val="nil"/>
            </w:tcBorders>
            <w:shd w:val="clear" w:color="auto" w:fill="FFFFFF"/>
          </w:tcPr>
          <w:p w14:paraId="5D770CB5"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10.1</w:t>
            </w:r>
          </w:p>
        </w:tc>
        <w:tc>
          <w:tcPr>
            <w:tcW w:w="1341" w:type="dxa"/>
            <w:tcBorders>
              <w:top w:val="nil"/>
              <w:left w:val="nil"/>
              <w:bottom w:val="single" w:sz="4" w:space="0" w:color="auto"/>
              <w:right w:val="nil"/>
            </w:tcBorders>
            <w:shd w:val="clear" w:color="auto" w:fill="FFFFFF"/>
          </w:tcPr>
          <w:p w14:paraId="3B2F5212"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Pr>
                <w:rFonts w:cstheme="majorBidi"/>
                <w:color w:val="000000"/>
                <w:sz w:val="20"/>
                <w:szCs w:val="24"/>
              </w:rPr>
              <w:t>10.0</w:t>
            </w:r>
          </w:p>
        </w:tc>
      </w:tr>
      <w:tr w:rsidR="00726C45" w:rsidRPr="00482140" w14:paraId="68269CD4" w14:textId="77777777" w:rsidTr="00A37677">
        <w:trPr>
          <w:cantSplit/>
          <w:trHeight w:val="287"/>
          <w:tblHeader/>
          <w:jc w:val="center"/>
        </w:trPr>
        <w:tc>
          <w:tcPr>
            <w:tcW w:w="2368" w:type="dxa"/>
            <w:tcBorders>
              <w:top w:val="single" w:sz="4" w:space="0" w:color="auto"/>
              <w:left w:val="nil"/>
              <w:bottom w:val="nil"/>
              <w:right w:val="nil"/>
            </w:tcBorders>
            <w:shd w:val="clear" w:color="auto" w:fill="FFFFFF"/>
            <w:hideMark/>
          </w:tcPr>
          <w:p w14:paraId="55AA885B" w14:textId="77777777" w:rsidR="00726C45" w:rsidRPr="00482140" w:rsidRDefault="00726C45" w:rsidP="00A37677">
            <w:pPr>
              <w:autoSpaceDE w:val="0"/>
              <w:adjustRightInd w:val="0"/>
              <w:spacing w:line="240" w:lineRule="auto"/>
              <w:ind w:left="57" w:right="60"/>
              <w:rPr>
                <w:rFonts w:cstheme="majorBidi"/>
                <w:i/>
                <w:iCs/>
                <w:color w:val="000000"/>
                <w:sz w:val="20"/>
                <w:szCs w:val="24"/>
              </w:rPr>
            </w:pPr>
            <w:r w:rsidRPr="00482140">
              <w:rPr>
                <w:rFonts w:cstheme="majorBidi"/>
                <w:i/>
                <w:iCs/>
                <w:color w:val="000000"/>
                <w:sz w:val="20"/>
                <w:szCs w:val="24"/>
              </w:rPr>
              <w:t>N</w:t>
            </w:r>
          </w:p>
        </w:tc>
        <w:tc>
          <w:tcPr>
            <w:tcW w:w="5317" w:type="dxa"/>
            <w:gridSpan w:val="4"/>
            <w:vMerge w:val="restart"/>
            <w:tcBorders>
              <w:top w:val="single" w:sz="4" w:space="0" w:color="auto"/>
              <w:left w:val="nil"/>
              <w:right w:val="nil"/>
            </w:tcBorders>
            <w:shd w:val="clear" w:color="auto" w:fill="FFFFFF"/>
            <w:hideMark/>
          </w:tcPr>
          <w:p w14:paraId="0A3DEE0B"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45,545</w:t>
            </w:r>
          </w:p>
          <w:p w14:paraId="04E1CD74"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r w:rsidRPr="00482140">
              <w:rPr>
                <w:rFonts w:cstheme="majorBidi"/>
                <w:color w:val="000000"/>
                <w:sz w:val="20"/>
                <w:szCs w:val="24"/>
              </w:rPr>
              <w:t>46</w:t>
            </w:r>
          </w:p>
        </w:tc>
        <w:tc>
          <w:tcPr>
            <w:tcW w:w="1341" w:type="dxa"/>
            <w:tcBorders>
              <w:top w:val="single" w:sz="4" w:space="0" w:color="auto"/>
              <w:left w:val="nil"/>
              <w:right w:val="nil"/>
            </w:tcBorders>
            <w:shd w:val="clear" w:color="auto" w:fill="FFFFFF"/>
          </w:tcPr>
          <w:p w14:paraId="65938A1E" w14:textId="77777777" w:rsidR="00726C45" w:rsidRPr="00482140" w:rsidRDefault="00726C45" w:rsidP="00A37677">
            <w:pPr>
              <w:autoSpaceDE w:val="0"/>
              <w:adjustRightInd w:val="0"/>
              <w:spacing w:line="240" w:lineRule="auto"/>
              <w:ind w:left="57" w:right="60"/>
              <w:jc w:val="center"/>
              <w:rPr>
                <w:rFonts w:cstheme="majorBidi"/>
                <w:color w:val="000000"/>
                <w:sz w:val="20"/>
                <w:szCs w:val="24"/>
              </w:rPr>
            </w:pPr>
          </w:p>
        </w:tc>
      </w:tr>
      <w:tr w:rsidR="00726C45" w:rsidRPr="00482140" w14:paraId="591F56E4" w14:textId="77777777" w:rsidTr="00A37677">
        <w:trPr>
          <w:cantSplit/>
          <w:trHeight w:val="449"/>
          <w:tblHeader/>
          <w:jc w:val="center"/>
        </w:trPr>
        <w:tc>
          <w:tcPr>
            <w:tcW w:w="2368" w:type="dxa"/>
            <w:shd w:val="clear" w:color="auto" w:fill="FFFFFF"/>
            <w:hideMark/>
          </w:tcPr>
          <w:p w14:paraId="2C5B5B7E" w14:textId="77777777" w:rsidR="00726C45" w:rsidRPr="00482140" w:rsidRDefault="00726C45" w:rsidP="00A37677">
            <w:pPr>
              <w:autoSpaceDE w:val="0"/>
              <w:adjustRightInd w:val="0"/>
              <w:spacing w:line="240" w:lineRule="auto"/>
              <w:ind w:left="57" w:right="60"/>
              <w:rPr>
                <w:rFonts w:cstheme="majorBidi"/>
                <w:color w:val="000000"/>
                <w:sz w:val="20"/>
                <w:szCs w:val="24"/>
              </w:rPr>
            </w:pPr>
            <w:r w:rsidRPr="00482140">
              <w:rPr>
                <w:rFonts w:cstheme="majorBidi"/>
                <w:color w:val="000000"/>
                <w:sz w:val="20"/>
                <w:szCs w:val="24"/>
              </w:rPr>
              <w:t>countries</w:t>
            </w:r>
          </w:p>
        </w:tc>
        <w:tc>
          <w:tcPr>
            <w:tcW w:w="5317" w:type="dxa"/>
            <w:gridSpan w:val="4"/>
            <w:vMerge/>
            <w:shd w:val="clear" w:color="auto" w:fill="FFFFFF"/>
            <w:hideMark/>
          </w:tcPr>
          <w:p w14:paraId="47D1A885" w14:textId="77777777" w:rsidR="00726C45" w:rsidRPr="00482140" w:rsidRDefault="00726C45" w:rsidP="00A37677">
            <w:pPr>
              <w:autoSpaceDE w:val="0"/>
              <w:adjustRightInd w:val="0"/>
              <w:spacing w:line="240" w:lineRule="auto"/>
              <w:ind w:left="57" w:right="60"/>
              <w:rPr>
                <w:rFonts w:cstheme="majorBidi"/>
                <w:color w:val="000000"/>
                <w:sz w:val="20"/>
                <w:szCs w:val="24"/>
              </w:rPr>
            </w:pPr>
          </w:p>
        </w:tc>
        <w:tc>
          <w:tcPr>
            <w:tcW w:w="1341" w:type="dxa"/>
            <w:shd w:val="clear" w:color="auto" w:fill="FFFFFF"/>
          </w:tcPr>
          <w:p w14:paraId="513AD58D" w14:textId="77777777" w:rsidR="00726C45" w:rsidRPr="00482140" w:rsidRDefault="00726C45" w:rsidP="00A37677">
            <w:pPr>
              <w:autoSpaceDE w:val="0"/>
              <w:adjustRightInd w:val="0"/>
              <w:spacing w:line="240" w:lineRule="auto"/>
              <w:ind w:left="57" w:right="60"/>
              <w:rPr>
                <w:rFonts w:cstheme="majorBidi"/>
                <w:color w:val="000000"/>
                <w:sz w:val="20"/>
                <w:szCs w:val="24"/>
              </w:rPr>
            </w:pPr>
          </w:p>
        </w:tc>
      </w:tr>
    </w:tbl>
    <w:p w14:paraId="22554C69" w14:textId="77777777" w:rsidR="00726C45" w:rsidRDefault="00726C45" w:rsidP="00726C45">
      <w:pPr>
        <w:rPr>
          <w:b/>
        </w:rPr>
      </w:pPr>
    </w:p>
    <w:p w14:paraId="3D611AFB" w14:textId="77777777" w:rsidR="00726C45" w:rsidRDefault="00726C45" w:rsidP="00726C45">
      <w:pPr>
        <w:rPr>
          <w:b/>
        </w:rPr>
      </w:pPr>
    </w:p>
    <w:p w14:paraId="5154E9EC" w14:textId="77777777" w:rsidR="00726C45" w:rsidRDefault="00726C45" w:rsidP="00726C45">
      <w:pPr>
        <w:rPr>
          <w:b/>
        </w:rPr>
      </w:pPr>
    </w:p>
    <w:p w14:paraId="419EDB4D" w14:textId="77777777" w:rsidR="00726C45" w:rsidRDefault="00726C45" w:rsidP="00726C45">
      <w:pPr>
        <w:rPr>
          <w:b/>
        </w:rPr>
      </w:pPr>
    </w:p>
    <w:p w14:paraId="064FE747" w14:textId="77777777" w:rsidR="00726C45" w:rsidRDefault="00726C45" w:rsidP="00726C45">
      <w:pPr>
        <w:rPr>
          <w:b/>
        </w:rPr>
      </w:pPr>
    </w:p>
    <w:p w14:paraId="42683B27" w14:textId="77777777" w:rsidR="00726C45" w:rsidRDefault="00726C45" w:rsidP="00726C45">
      <w:pPr>
        <w:rPr>
          <w:b/>
        </w:rPr>
      </w:pPr>
    </w:p>
    <w:p w14:paraId="33B20F06" w14:textId="77777777" w:rsidR="00726C45" w:rsidRDefault="00726C45" w:rsidP="00726C45">
      <w:pPr>
        <w:rPr>
          <w:b/>
        </w:rPr>
      </w:pPr>
    </w:p>
    <w:p w14:paraId="50F73A70" w14:textId="77777777" w:rsidR="00726C45" w:rsidRDefault="00726C45" w:rsidP="00726C45">
      <w:pPr>
        <w:rPr>
          <w:b/>
        </w:rPr>
      </w:pPr>
    </w:p>
    <w:p w14:paraId="3789ABB0" w14:textId="77777777" w:rsidR="00726C45" w:rsidRDefault="00726C45" w:rsidP="00726C45">
      <w:pPr>
        <w:rPr>
          <w:b/>
        </w:rPr>
      </w:pPr>
    </w:p>
    <w:p w14:paraId="378C3FFA" w14:textId="77777777" w:rsidR="00726C45" w:rsidRDefault="00726C45" w:rsidP="00726C45">
      <w:pPr>
        <w:rPr>
          <w:b/>
        </w:rPr>
      </w:pPr>
      <w:r>
        <w:rPr>
          <w:b/>
        </w:rPr>
        <w:t>Figure B14: PCA run on democracy characteristics without Tax and without Tax and Punish</w:t>
      </w:r>
    </w:p>
    <w:tbl>
      <w:tblPr>
        <w:tblW w:w="0" w:type="auto"/>
        <w:jc w:val="center"/>
        <w:tblCellMar>
          <w:left w:w="10" w:type="dxa"/>
          <w:right w:w="10" w:type="dxa"/>
        </w:tblCellMar>
        <w:tblLook w:val="04A0" w:firstRow="1" w:lastRow="0" w:firstColumn="1" w:lastColumn="0" w:noHBand="0" w:noVBand="1"/>
      </w:tblPr>
      <w:tblGrid>
        <w:gridCol w:w="2158"/>
        <w:gridCol w:w="1121"/>
        <w:gridCol w:w="1154"/>
        <w:gridCol w:w="1127"/>
        <w:gridCol w:w="1127"/>
      </w:tblGrid>
      <w:tr w:rsidR="00726C45" w:rsidRPr="007C3C24" w14:paraId="040A6307" w14:textId="77777777" w:rsidTr="00A37677">
        <w:trPr>
          <w:cantSplit/>
          <w:trHeight w:val="286"/>
          <w:tblHeader/>
          <w:jc w:val="center"/>
        </w:trPr>
        <w:tc>
          <w:tcPr>
            <w:tcW w:w="2158" w:type="dxa"/>
            <w:shd w:val="clear" w:color="auto" w:fill="FFFFFF"/>
          </w:tcPr>
          <w:p w14:paraId="1A7F26C6" w14:textId="77777777" w:rsidR="00726C45" w:rsidRPr="007C3C24" w:rsidRDefault="00726C45" w:rsidP="00A37677">
            <w:pPr>
              <w:spacing w:line="240" w:lineRule="auto"/>
              <w:ind w:left="57" w:right="60"/>
              <w:rPr>
                <w:rFonts w:cstheme="majorBidi"/>
                <w:i/>
                <w:iCs/>
                <w:color w:val="000000"/>
                <w:sz w:val="18"/>
                <w:szCs w:val="24"/>
              </w:rPr>
            </w:pPr>
          </w:p>
        </w:tc>
        <w:tc>
          <w:tcPr>
            <w:tcW w:w="2275" w:type="dxa"/>
            <w:gridSpan w:val="2"/>
            <w:shd w:val="clear" w:color="auto" w:fill="FFFFFF"/>
          </w:tcPr>
          <w:p w14:paraId="1AFF4250" w14:textId="77777777" w:rsidR="00726C45" w:rsidRPr="007C3C24" w:rsidRDefault="00726C45" w:rsidP="00A37677">
            <w:pPr>
              <w:autoSpaceDE w:val="0"/>
              <w:adjustRightInd w:val="0"/>
              <w:spacing w:line="240" w:lineRule="auto"/>
              <w:ind w:left="57" w:right="60"/>
              <w:jc w:val="center"/>
              <w:rPr>
                <w:rFonts w:cstheme="majorBidi"/>
                <w:i/>
                <w:iCs/>
                <w:color w:val="000000"/>
                <w:sz w:val="18"/>
                <w:szCs w:val="24"/>
              </w:rPr>
            </w:pPr>
            <w:r w:rsidRPr="007C3C24">
              <w:rPr>
                <w:rFonts w:cstheme="majorBidi"/>
                <w:i/>
                <w:iCs/>
                <w:color w:val="000000"/>
                <w:sz w:val="18"/>
                <w:szCs w:val="24"/>
              </w:rPr>
              <w:t>Without Tax</w:t>
            </w:r>
          </w:p>
        </w:tc>
        <w:tc>
          <w:tcPr>
            <w:tcW w:w="2254" w:type="dxa"/>
            <w:gridSpan w:val="2"/>
            <w:shd w:val="clear" w:color="auto" w:fill="FFFFFF"/>
          </w:tcPr>
          <w:p w14:paraId="4D9FBC5F" w14:textId="77777777" w:rsidR="00726C45" w:rsidRPr="007C3C24" w:rsidRDefault="00726C45" w:rsidP="00A37677">
            <w:pPr>
              <w:autoSpaceDE w:val="0"/>
              <w:adjustRightInd w:val="0"/>
              <w:spacing w:line="240" w:lineRule="auto"/>
              <w:ind w:left="57" w:right="60"/>
              <w:jc w:val="center"/>
              <w:rPr>
                <w:rFonts w:cstheme="majorBidi"/>
                <w:i/>
                <w:iCs/>
                <w:color w:val="000000"/>
                <w:sz w:val="18"/>
                <w:szCs w:val="24"/>
              </w:rPr>
            </w:pPr>
            <w:r w:rsidRPr="007C3C24">
              <w:rPr>
                <w:rFonts w:cstheme="majorBidi"/>
                <w:i/>
                <w:iCs/>
                <w:color w:val="000000"/>
                <w:sz w:val="18"/>
                <w:szCs w:val="24"/>
              </w:rPr>
              <w:t>Without Tax &amp; Punish</w:t>
            </w:r>
          </w:p>
        </w:tc>
      </w:tr>
      <w:tr w:rsidR="00726C45" w:rsidRPr="007C3C24" w14:paraId="3E48627F" w14:textId="77777777" w:rsidTr="00A37677">
        <w:trPr>
          <w:cantSplit/>
          <w:trHeight w:val="286"/>
          <w:tblHeader/>
          <w:jc w:val="center"/>
        </w:trPr>
        <w:tc>
          <w:tcPr>
            <w:tcW w:w="2158" w:type="dxa"/>
            <w:shd w:val="clear" w:color="auto" w:fill="FFFFFF"/>
          </w:tcPr>
          <w:p w14:paraId="1D85C735" w14:textId="77777777" w:rsidR="00726C45" w:rsidRPr="007C3C24" w:rsidRDefault="00726C45" w:rsidP="00A37677">
            <w:pPr>
              <w:spacing w:line="240" w:lineRule="auto"/>
              <w:ind w:left="57" w:right="60"/>
              <w:rPr>
                <w:rFonts w:cstheme="majorBidi"/>
                <w:i/>
                <w:iCs/>
                <w:color w:val="000000"/>
                <w:sz w:val="18"/>
                <w:szCs w:val="24"/>
              </w:rPr>
            </w:pPr>
          </w:p>
        </w:tc>
        <w:tc>
          <w:tcPr>
            <w:tcW w:w="2275" w:type="dxa"/>
            <w:gridSpan w:val="2"/>
            <w:shd w:val="clear" w:color="auto" w:fill="FFFFFF"/>
            <w:hideMark/>
          </w:tcPr>
          <w:p w14:paraId="3037F08E" w14:textId="77777777" w:rsidR="00726C45" w:rsidRPr="007C3C24" w:rsidRDefault="00726C45" w:rsidP="00A37677">
            <w:pPr>
              <w:autoSpaceDE w:val="0"/>
              <w:adjustRightInd w:val="0"/>
              <w:spacing w:line="240" w:lineRule="auto"/>
              <w:ind w:left="57" w:right="60"/>
              <w:jc w:val="center"/>
              <w:rPr>
                <w:rFonts w:cstheme="majorBidi"/>
                <w:i/>
                <w:iCs/>
                <w:color w:val="000000"/>
                <w:sz w:val="18"/>
                <w:szCs w:val="24"/>
              </w:rPr>
            </w:pPr>
            <w:r w:rsidRPr="007C3C24">
              <w:rPr>
                <w:rFonts w:cstheme="majorBidi"/>
                <w:i/>
                <w:iCs/>
                <w:color w:val="000000"/>
                <w:sz w:val="18"/>
                <w:szCs w:val="24"/>
              </w:rPr>
              <w:t>Components</w:t>
            </w:r>
          </w:p>
        </w:tc>
        <w:tc>
          <w:tcPr>
            <w:tcW w:w="2254" w:type="dxa"/>
            <w:gridSpan w:val="2"/>
            <w:shd w:val="clear" w:color="auto" w:fill="FFFFFF"/>
            <w:hideMark/>
          </w:tcPr>
          <w:p w14:paraId="6D14492E" w14:textId="77777777" w:rsidR="00726C45" w:rsidRPr="007C3C24" w:rsidRDefault="00726C45" w:rsidP="00A37677">
            <w:pPr>
              <w:autoSpaceDE w:val="0"/>
              <w:adjustRightInd w:val="0"/>
              <w:spacing w:line="240" w:lineRule="auto"/>
              <w:ind w:left="57" w:right="60"/>
              <w:jc w:val="center"/>
              <w:rPr>
                <w:rFonts w:cstheme="majorBidi"/>
                <w:i/>
                <w:iCs/>
                <w:color w:val="000000"/>
                <w:sz w:val="18"/>
                <w:szCs w:val="24"/>
              </w:rPr>
            </w:pPr>
            <w:r w:rsidRPr="007C3C24">
              <w:rPr>
                <w:rFonts w:cstheme="majorBidi"/>
                <w:i/>
                <w:iCs/>
                <w:color w:val="000000"/>
                <w:sz w:val="18"/>
                <w:szCs w:val="24"/>
              </w:rPr>
              <w:t>Components</w:t>
            </w:r>
          </w:p>
        </w:tc>
      </w:tr>
      <w:tr w:rsidR="00726C45" w:rsidRPr="007C3C24" w14:paraId="0317D137" w14:textId="77777777" w:rsidTr="00A37677">
        <w:trPr>
          <w:cantSplit/>
          <w:trHeight w:val="286"/>
          <w:tblHeader/>
          <w:jc w:val="center"/>
        </w:trPr>
        <w:tc>
          <w:tcPr>
            <w:tcW w:w="2158" w:type="dxa"/>
            <w:tcBorders>
              <w:top w:val="nil"/>
              <w:left w:val="nil"/>
              <w:bottom w:val="single" w:sz="4" w:space="0" w:color="auto"/>
              <w:right w:val="nil"/>
            </w:tcBorders>
            <w:shd w:val="clear" w:color="auto" w:fill="FFFFFF"/>
          </w:tcPr>
          <w:p w14:paraId="79F7747B" w14:textId="77777777" w:rsidR="00726C45" w:rsidRPr="007C3C24" w:rsidRDefault="00726C45" w:rsidP="00A37677">
            <w:pPr>
              <w:spacing w:line="240" w:lineRule="auto"/>
              <w:ind w:left="57" w:right="60"/>
              <w:rPr>
                <w:rFonts w:cstheme="majorBidi"/>
                <w:i/>
                <w:iCs/>
                <w:color w:val="000000"/>
                <w:sz w:val="18"/>
                <w:szCs w:val="24"/>
              </w:rPr>
            </w:pPr>
          </w:p>
        </w:tc>
        <w:tc>
          <w:tcPr>
            <w:tcW w:w="1121" w:type="dxa"/>
            <w:tcBorders>
              <w:top w:val="nil"/>
              <w:left w:val="nil"/>
              <w:bottom w:val="single" w:sz="4" w:space="0" w:color="auto"/>
              <w:right w:val="nil"/>
            </w:tcBorders>
            <w:shd w:val="clear" w:color="auto" w:fill="FFFFFF"/>
            <w:hideMark/>
          </w:tcPr>
          <w:p w14:paraId="253C846D"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i/>
                <w:iCs/>
                <w:color w:val="000000"/>
                <w:sz w:val="18"/>
                <w:szCs w:val="24"/>
              </w:rPr>
              <w:t>1</w:t>
            </w:r>
          </w:p>
        </w:tc>
        <w:tc>
          <w:tcPr>
            <w:tcW w:w="1154" w:type="dxa"/>
            <w:tcBorders>
              <w:top w:val="nil"/>
              <w:left w:val="nil"/>
              <w:bottom w:val="single" w:sz="4" w:space="0" w:color="auto"/>
              <w:right w:val="single" w:sz="4" w:space="0" w:color="auto"/>
            </w:tcBorders>
            <w:shd w:val="clear" w:color="auto" w:fill="FFFFFF"/>
            <w:hideMark/>
          </w:tcPr>
          <w:p w14:paraId="1DB11940"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i/>
                <w:iCs/>
                <w:color w:val="000000"/>
                <w:sz w:val="18"/>
                <w:szCs w:val="24"/>
              </w:rPr>
              <w:t>2</w:t>
            </w:r>
          </w:p>
        </w:tc>
        <w:tc>
          <w:tcPr>
            <w:tcW w:w="1127" w:type="dxa"/>
            <w:tcBorders>
              <w:top w:val="nil"/>
              <w:left w:val="single" w:sz="4" w:space="0" w:color="auto"/>
              <w:bottom w:val="single" w:sz="4" w:space="0" w:color="auto"/>
              <w:right w:val="nil"/>
            </w:tcBorders>
            <w:shd w:val="clear" w:color="auto" w:fill="FFFFFF"/>
            <w:hideMark/>
          </w:tcPr>
          <w:p w14:paraId="2E2262F3" w14:textId="77777777" w:rsidR="00726C45" w:rsidRPr="007C3C24" w:rsidRDefault="00726C45" w:rsidP="00A37677">
            <w:pPr>
              <w:autoSpaceDE w:val="0"/>
              <w:adjustRightInd w:val="0"/>
              <w:spacing w:line="240" w:lineRule="auto"/>
              <w:ind w:left="57" w:right="60"/>
              <w:jc w:val="center"/>
              <w:rPr>
                <w:rFonts w:cstheme="majorBidi"/>
                <w:i/>
                <w:iCs/>
                <w:color w:val="000000"/>
                <w:sz w:val="18"/>
                <w:szCs w:val="24"/>
              </w:rPr>
            </w:pPr>
            <w:r w:rsidRPr="007C3C24">
              <w:rPr>
                <w:rFonts w:cstheme="majorBidi"/>
                <w:i/>
                <w:iCs/>
                <w:color w:val="000000"/>
                <w:sz w:val="18"/>
                <w:szCs w:val="24"/>
              </w:rPr>
              <w:t>1</w:t>
            </w:r>
          </w:p>
        </w:tc>
        <w:tc>
          <w:tcPr>
            <w:tcW w:w="1127" w:type="dxa"/>
            <w:tcBorders>
              <w:top w:val="nil"/>
              <w:left w:val="nil"/>
              <w:bottom w:val="single" w:sz="4" w:space="0" w:color="auto"/>
              <w:right w:val="nil"/>
            </w:tcBorders>
            <w:shd w:val="clear" w:color="auto" w:fill="FFFFFF"/>
            <w:hideMark/>
          </w:tcPr>
          <w:p w14:paraId="783ACEAE" w14:textId="77777777" w:rsidR="00726C45" w:rsidRPr="007C3C24" w:rsidRDefault="00726C45" w:rsidP="00A37677">
            <w:pPr>
              <w:autoSpaceDE w:val="0"/>
              <w:adjustRightInd w:val="0"/>
              <w:spacing w:line="240" w:lineRule="auto"/>
              <w:ind w:left="57" w:right="60"/>
              <w:jc w:val="center"/>
              <w:rPr>
                <w:rFonts w:cstheme="majorBidi"/>
                <w:i/>
                <w:iCs/>
                <w:color w:val="000000"/>
                <w:sz w:val="18"/>
                <w:szCs w:val="24"/>
              </w:rPr>
            </w:pPr>
            <w:r w:rsidRPr="007C3C24">
              <w:rPr>
                <w:rFonts w:cstheme="majorBidi"/>
                <w:i/>
                <w:iCs/>
                <w:color w:val="000000"/>
                <w:sz w:val="18"/>
                <w:szCs w:val="24"/>
              </w:rPr>
              <w:t>2</w:t>
            </w:r>
          </w:p>
        </w:tc>
      </w:tr>
      <w:tr w:rsidR="00726C45" w:rsidRPr="007C3C24" w14:paraId="4E5E9720" w14:textId="77777777" w:rsidTr="00A37677">
        <w:trPr>
          <w:cantSplit/>
          <w:trHeight w:val="286"/>
          <w:tblHeader/>
          <w:jc w:val="center"/>
        </w:trPr>
        <w:tc>
          <w:tcPr>
            <w:tcW w:w="2158" w:type="dxa"/>
            <w:tcBorders>
              <w:top w:val="single" w:sz="4" w:space="0" w:color="auto"/>
              <w:left w:val="nil"/>
              <w:bottom w:val="nil"/>
              <w:right w:val="nil"/>
            </w:tcBorders>
            <w:shd w:val="clear" w:color="auto" w:fill="FFFFFF"/>
            <w:hideMark/>
          </w:tcPr>
          <w:p w14:paraId="43C1E2F4" w14:textId="77777777" w:rsidR="00726C45" w:rsidRPr="007C3C24" w:rsidRDefault="00726C45" w:rsidP="00A37677">
            <w:pPr>
              <w:spacing w:line="240" w:lineRule="auto"/>
              <w:ind w:left="57" w:right="60"/>
              <w:rPr>
                <w:rFonts w:cstheme="majorBidi"/>
                <w:sz w:val="18"/>
                <w:szCs w:val="24"/>
              </w:rPr>
            </w:pPr>
            <w:r w:rsidRPr="007C3C24">
              <w:rPr>
                <w:rFonts w:cstheme="majorBidi"/>
                <w:color w:val="000000"/>
                <w:sz w:val="18"/>
                <w:szCs w:val="24"/>
              </w:rPr>
              <w:t>Free Elections</w:t>
            </w:r>
          </w:p>
        </w:tc>
        <w:tc>
          <w:tcPr>
            <w:tcW w:w="1121" w:type="dxa"/>
            <w:tcBorders>
              <w:top w:val="single" w:sz="4" w:space="0" w:color="auto"/>
              <w:left w:val="nil"/>
              <w:bottom w:val="nil"/>
              <w:right w:val="nil"/>
            </w:tcBorders>
            <w:shd w:val="clear" w:color="auto" w:fill="FFFFFF"/>
            <w:hideMark/>
          </w:tcPr>
          <w:p w14:paraId="002C786C" w14:textId="77777777" w:rsidR="00726C45" w:rsidRPr="007C3C24" w:rsidRDefault="00726C45" w:rsidP="00A37677">
            <w:pPr>
              <w:autoSpaceDE w:val="0"/>
              <w:adjustRightInd w:val="0"/>
              <w:spacing w:line="240" w:lineRule="auto"/>
              <w:ind w:left="57" w:right="60"/>
              <w:jc w:val="center"/>
              <w:rPr>
                <w:rFonts w:cstheme="majorBidi"/>
                <w:b/>
                <w:color w:val="000000"/>
                <w:sz w:val="18"/>
                <w:szCs w:val="24"/>
              </w:rPr>
            </w:pPr>
            <w:r w:rsidRPr="007C3C24">
              <w:rPr>
                <w:rFonts w:cstheme="majorBidi"/>
                <w:b/>
                <w:color w:val="000000"/>
                <w:sz w:val="18"/>
                <w:szCs w:val="24"/>
              </w:rPr>
              <w:t>.705</w:t>
            </w:r>
          </w:p>
        </w:tc>
        <w:tc>
          <w:tcPr>
            <w:tcW w:w="1154" w:type="dxa"/>
            <w:tcBorders>
              <w:top w:val="single" w:sz="4" w:space="0" w:color="auto"/>
              <w:left w:val="nil"/>
              <w:bottom w:val="nil"/>
              <w:right w:val="single" w:sz="4" w:space="0" w:color="auto"/>
            </w:tcBorders>
            <w:shd w:val="clear" w:color="auto" w:fill="FFFFFF"/>
            <w:hideMark/>
          </w:tcPr>
          <w:p w14:paraId="4514802E"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-.168</w:t>
            </w:r>
          </w:p>
        </w:tc>
        <w:tc>
          <w:tcPr>
            <w:tcW w:w="1127" w:type="dxa"/>
            <w:tcBorders>
              <w:top w:val="single" w:sz="4" w:space="0" w:color="auto"/>
              <w:left w:val="single" w:sz="4" w:space="0" w:color="auto"/>
              <w:bottom w:val="nil"/>
              <w:right w:val="nil"/>
            </w:tcBorders>
            <w:shd w:val="clear" w:color="auto" w:fill="FFFFFF"/>
            <w:hideMark/>
          </w:tcPr>
          <w:p w14:paraId="3E86405A" w14:textId="77777777" w:rsidR="00726C45" w:rsidRPr="007C3C24" w:rsidRDefault="00726C45" w:rsidP="00A37677">
            <w:pPr>
              <w:autoSpaceDE w:val="0"/>
              <w:adjustRightInd w:val="0"/>
              <w:spacing w:line="240" w:lineRule="auto"/>
              <w:ind w:left="57" w:right="60"/>
              <w:jc w:val="center"/>
              <w:rPr>
                <w:rFonts w:cstheme="majorBidi"/>
                <w:b/>
                <w:color w:val="000000"/>
                <w:sz w:val="18"/>
                <w:szCs w:val="24"/>
              </w:rPr>
            </w:pPr>
            <w:r w:rsidRPr="007C3C24">
              <w:rPr>
                <w:rFonts w:cstheme="majorBidi"/>
                <w:b/>
                <w:color w:val="000000"/>
                <w:sz w:val="18"/>
                <w:szCs w:val="24"/>
              </w:rPr>
              <w:t>.726</w:t>
            </w:r>
          </w:p>
        </w:tc>
        <w:tc>
          <w:tcPr>
            <w:tcW w:w="1127" w:type="dxa"/>
            <w:tcBorders>
              <w:top w:val="single" w:sz="4" w:space="0" w:color="auto"/>
              <w:left w:val="nil"/>
              <w:bottom w:val="nil"/>
              <w:right w:val="nil"/>
            </w:tcBorders>
            <w:shd w:val="clear" w:color="auto" w:fill="FFFFFF"/>
            <w:hideMark/>
          </w:tcPr>
          <w:p w14:paraId="3F5F842D"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-.135</w:t>
            </w:r>
          </w:p>
        </w:tc>
      </w:tr>
      <w:tr w:rsidR="00726C45" w:rsidRPr="007C3C24" w14:paraId="6BBB4F7B" w14:textId="77777777" w:rsidTr="00A37677">
        <w:trPr>
          <w:cantSplit/>
          <w:trHeight w:val="286"/>
          <w:tblHeader/>
          <w:jc w:val="center"/>
        </w:trPr>
        <w:tc>
          <w:tcPr>
            <w:tcW w:w="2158" w:type="dxa"/>
            <w:shd w:val="clear" w:color="auto" w:fill="FFFFFF"/>
            <w:hideMark/>
          </w:tcPr>
          <w:p w14:paraId="1DD88C3B" w14:textId="77777777" w:rsidR="00726C45" w:rsidRPr="007C3C24" w:rsidRDefault="00726C45" w:rsidP="00A37677">
            <w:pPr>
              <w:spacing w:line="240" w:lineRule="auto"/>
              <w:ind w:left="57" w:right="60"/>
              <w:rPr>
                <w:rFonts w:cstheme="majorBidi"/>
                <w:sz w:val="18"/>
                <w:szCs w:val="24"/>
              </w:rPr>
            </w:pPr>
            <w:r w:rsidRPr="007C3C24">
              <w:rPr>
                <w:rFonts w:cstheme="majorBidi"/>
                <w:color w:val="000000"/>
                <w:sz w:val="18"/>
                <w:szCs w:val="24"/>
              </w:rPr>
              <w:t>Civil Rights</w:t>
            </w:r>
          </w:p>
        </w:tc>
        <w:tc>
          <w:tcPr>
            <w:tcW w:w="1121" w:type="dxa"/>
            <w:shd w:val="clear" w:color="auto" w:fill="FFFFFF"/>
            <w:hideMark/>
          </w:tcPr>
          <w:p w14:paraId="1788729A"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.708</w:t>
            </w:r>
          </w:p>
        </w:tc>
        <w:tc>
          <w:tcPr>
            <w:tcW w:w="1154" w:type="dxa"/>
            <w:tcBorders>
              <w:right w:val="single" w:sz="4" w:space="0" w:color="auto"/>
            </w:tcBorders>
            <w:shd w:val="clear" w:color="auto" w:fill="FFFFFF"/>
            <w:hideMark/>
          </w:tcPr>
          <w:p w14:paraId="68A13624"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-.005</w:t>
            </w:r>
          </w:p>
        </w:tc>
        <w:tc>
          <w:tcPr>
            <w:tcW w:w="1127" w:type="dxa"/>
            <w:tcBorders>
              <w:left w:val="single" w:sz="4" w:space="0" w:color="auto"/>
            </w:tcBorders>
            <w:shd w:val="clear" w:color="auto" w:fill="FFFFFF"/>
            <w:hideMark/>
          </w:tcPr>
          <w:p w14:paraId="0BA6E5C3"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.727</w:t>
            </w:r>
          </w:p>
        </w:tc>
        <w:tc>
          <w:tcPr>
            <w:tcW w:w="1127" w:type="dxa"/>
            <w:shd w:val="clear" w:color="auto" w:fill="FFFFFF"/>
            <w:hideMark/>
          </w:tcPr>
          <w:p w14:paraId="1CC925C9"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.023</w:t>
            </w:r>
          </w:p>
        </w:tc>
      </w:tr>
      <w:tr w:rsidR="00726C45" w:rsidRPr="007C3C24" w14:paraId="73B56AE1" w14:textId="77777777" w:rsidTr="00A37677">
        <w:trPr>
          <w:cantSplit/>
          <w:trHeight w:val="286"/>
          <w:tblHeader/>
          <w:jc w:val="center"/>
        </w:trPr>
        <w:tc>
          <w:tcPr>
            <w:tcW w:w="2158" w:type="dxa"/>
            <w:shd w:val="clear" w:color="auto" w:fill="FFFFFF"/>
            <w:hideMark/>
          </w:tcPr>
          <w:p w14:paraId="0BE51C1F" w14:textId="77777777" w:rsidR="00726C45" w:rsidRPr="007C3C24" w:rsidRDefault="00726C45" w:rsidP="00A37677">
            <w:pPr>
              <w:spacing w:line="240" w:lineRule="auto"/>
              <w:ind w:left="57" w:right="60"/>
              <w:rPr>
                <w:rFonts w:cstheme="majorBidi"/>
                <w:sz w:val="18"/>
                <w:szCs w:val="24"/>
              </w:rPr>
            </w:pPr>
            <w:r w:rsidRPr="007C3C24">
              <w:rPr>
                <w:rFonts w:cstheme="majorBidi"/>
                <w:color w:val="000000"/>
                <w:sz w:val="18"/>
                <w:szCs w:val="24"/>
              </w:rPr>
              <w:t>Referendum</w:t>
            </w:r>
          </w:p>
        </w:tc>
        <w:tc>
          <w:tcPr>
            <w:tcW w:w="1121" w:type="dxa"/>
            <w:shd w:val="clear" w:color="auto" w:fill="FFFFFF"/>
            <w:hideMark/>
          </w:tcPr>
          <w:p w14:paraId="6F747D3E"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.668</w:t>
            </w:r>
          </w:p>
        </w:tc>
        <w:tc>
          <w:tcPr>
            <w:tcW w:w="1154" w:type="dxa"/>
            <w:tcBorders>
              <w:right w:val="single" w:sz="4" w:space="0" w:color="auto"/>
            </w:tcBorders>
            <w:shd w:val="clear" w:color="auto" w:fill="FFFFFF"/>
            <w:hideMark/>
          </w:tcPr>
          <w:p w14:paraId="62F5A543"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-.044</w:t>
            </w:r>
          </w:p>
        </w:tc>
        <w:tc>
          <w:tcPr>
            <w:tcW w:w="1127" w:type="dxa"/>
            <w:tcBorders>
              <w:left w:val="single" w:sz="4" w:space="0" w:color="auto"/>
            </w:tcBorders>
            <w:shd w:val="clear" w:color="auto" w:fill="FFFFFF"/>
            <w:hideMark/>
          </w:tcPr>
          <w:p w14:paraId="04D1F15B"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.680</w:t>
            </w:r>
          </w:p>
        </w:tc>
        <w:tc>
          <w:tcPr>
            <w:tcW w:w="1127" w:type="dxa"/>
            <w:shd w:val="clear" w:color="auto" w:fill="FFFFFF"/>
            <w:hideMark/>
          </w:tcPr>
          <w:p w14:paraId="0524E6C3"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-.024</w:t>
            </w:r>
          </w:p>
        </w:tc>
      </w:tr>
      <w:tr w:rsidR="00726C45" w:rsidRPr="007C3C24" w14:paraId="79502A56" w14:textId="77777777" w:rsidTr="00A37677">
        <w:trPr>
          <w:cantSplit/>
          <w:trHeight w:val="286"/>
          <w:tblHeader/>
          <w:jc w:val="center"/>
        </w:trPr>
        <w:tc>
          <w:tcPr>
            <w:tcW w:w="2158" w:type="dxa"/>
            <w:shd w:val="clear" w:color="auto" w:fill="FFFFFF"/>
            <w:hideMark/>
          </w:tcPr>
          <w:p w14:paraId="11D221BE" w14:textId="77777777" w:rsidR="00726C45" w:rsidRPr="007C3C24" w:rsidRDefault="00726C45" w:rsidP="00A37677">
            <w:pPr>
              <w:spacing w:line="240" w:lineRule="auto"/>
              <w:ind w:left="57" w:right="60"/>
              <w:rPr>
                <w:rFonts w:cstheme="majorBidi"/>
                <w:sz w:val="18"/>
                <w:szCs w:val="24"/>
              </w:rPr>
            </w:pPr>
            <w:r w:rsidRPr="007C3C24">
              <w:rPr>
                <w:rFonts w:cstheme="majorBidi"/>
                <w:color w:val="000000"/>
                <w:sz w:val="18"/>
                <w:szCs w:val="24"/>
              </w:rPr>
              <w:t>Equal Gender Rights</w:t>
            </w:r>
          </w:p>
        </w:tc>
        <w:tc>
          <w:tcPr>
            <w:tcW w:w="1121" w:type="dxa"/>
            <w:shd w:val="clear" w:color="auto" w:fill="FFFFFF"/>
            <w:hideMark/>
          </w:tcPr>
          <w:p w14:paraId="45652DFF"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.683</w:t>
            </w:r>
          </w:p>
        </w:tc>
        <w:tc>
          <w:tcPr>
            <w:tcW w:w="1154" w:type="dxa"/>
            <w:tcBorders>
              <w:right w:val="single" w:sz="4" w:space="0" w:color="auto"/>
            </w:tcBorders>
            <w:shd w:val="clear" w:color="auto" w:fill="FFFFFF"/>
            <w:hideMark/>
          </w:tcPr>
          <w:p w14:paraId="55A25D69"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-.223</w:t>
            </w:r>
          </w:p>
        </w:tc>
        <w:tc>
          <w:tcPr>
            <w:tcW w:w="1127" w:type="dxa"/>
            <w:tcBorders>
              <w:left w:val="single" w:sz="4" w:space="0" w:color="auto"/>
            </w:tcBorders>
            <w:shd w:val="clear" w:color="auto" w:fill="FFFFFF"/>
            <w:hideMark/>
          </w:tcPr>
          <w:p w14:paraId="50E673D0"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.686</w:t>
            </w:r>
          </w:p>
        </w:tc>
        <w:tc>
          <w:tcPr>
            <w:tcW w:w="1127" w:type="dxa"/>
            <w:shd w:val="clear" w:color="auto" w:fill="FFFFFF"/>
            <w:hideMark/>
          </w:tcPr>
          <w:p w14:paraId="33F5D744"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-.219</w:t>
            </w:r>
          </w:p>
        </w:tc>
      </w:tr>
      <w:tr w:rsidR="00726C45" w:rsidRPr="007C3C24" w14:paraId="3AD05B72" w14:textId="77777777" w:rsidTr="00A37677">
        <w:trPr>
          <w:cantSplit/>
          <w:trHeight w:val="286"/>
          <w:tblHeader/>
          <w:jc w:val="center"/>
        </w:trPr>
        <w:tc>
          <w:tcPr>
            <w:tcW w:w="2158" w:type="dxa"/>
            <w:shd w:val="clear" w:color="auto" w:fill="FFFFFF"/>
            <w:hideMark/>
          </w:tcPr>
          <w:p w14:paraId="13750EE5" w14:textId="77777777" w:rsidR="00726C45" w:rsidRPr="007C3C24" w:rsidRDefault="00726C45" w:rsidP="00A37677">
            <w:pPr>
              <w:autoSpaceDE w:val="0"/>
              <w:adjustRightInd w:val="0"/>
              <w:spacing w:line="240" w:lineRule="auto"/>
              <w:ind w:left="57" w:right="60"/>
              <w:rPr>
                <w:rFonts w:cstheme="majorBidi"/>
                <w:color w:val="000000"/>
                <w:sz w:val="18"/>
                <w:szCs w:val="24"/>
              </w:rPr>
            </w:pPr>
            <w:r w:rsidRPr="007C3C24">
              <w:rPr>
                <w:rFonts w:cstheme="majorBidi"/>
                <w:color w:val="000000"/>
                <w:sz w:val="18"/>
                <w:szCs w:val="24"/>
              </w:rPr>
              <w:t>Prospering Economy</w:t>
            </w:r>
          </w:p>
        </w:tc>
        <w:tc>
          <w:tcPr>
            <w:tcW w:w="1121" w:type="dxa"/>
            <w:shd w:val="clear" w:color="auto" w:fill="FFFFFF"/>
            <w:hideMark/>
          </w:tcPr>
          <w:p w14:paraId="0CC91F2B"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.655</w:t>
            </w:r>
          </w:p>
        </w:tc>
        <w:tc>
          <w:tcPr>
            <w:tcW w:w="1154" w:type="dxa"/>
            <w:tcBorders>
              <w:right w:val="single" w:sz="4" w:space="0" w:color="auto"/>
            </w:tcBorders>
            <w:shd w:val="clear" w:color="auto" w:fill="FFFFFF"/>
            <w:hideMark/>
          </w:tcPr>
          <w:p w14:paraId="1ABD5C09"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.343</w:t>
            </w:r>
          </w:p>
        </w:tc>
        <w:tc>
          <w:tcPr>
            <w:tcW w:w="1127" w:type="dxa"/>
            <w:tcBorders>
              <w:left w:val="single" w:sz="4" w:space="0" w:color="auto"/>
            </w:tcBorders>
            <w:shd w:val="clear" w:color="auto" w:fill="FFFFFF"/>
            <w:hideMark/>
          </w:tcPr>
          <w:p w14:paraId="6D808D93"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.632</w:t>
            </w:r>
          </w:p>
        </w:tc>
        <w:tc>
          <w:tcPr>
            <w:tcW w:w="1127" w:type="dxa"/>
            <w:shd w:val="clear" w:color="auto" w:fill="FFFFFF"/>
            <w:hideMark/>
          </w:tcPr>
          <w:p w14:paraId="77C4251A"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.305</w:t>
            </w:r>
          </w:p>
        </w:tc>
      </w:tr>
      <w:tr w:rsidR="00726C45" w:rsidRPr="007C3C24" w14:paraId="0A66AB40" w14:textId="77777777" w:rsidTr="00A37677">
        <w:trPr>
          <w:cantSplit/>
          <w:trHeight w:val="286"/>
          <w:tblHeader/>
          <w:jc w:val="center"/>
        </w:trPr>
        <w:tc>
          <w:tcPr>
            <w:tcW w:w="2158" w:type="dxa"/>
            <w:shd w:val="clear" w:color="auto" w:fill="FFFFFF"/>
            <w:hideMark/>
          </w:tcPr>
          <w:p w14:paraId="6650E7C6" w14:textId="77777777" w:rsidR="00726C45" w:rsidRPr="007C3C24" w:rsidRDefault="00726C45" w:rsidP="00A37677">
            <w:pPr>
              <w:autoSpaceDE w:val="0"/>
              <w:adjustRightInd w:val="0"/>
              <w:spacing w:line="240" w:lineRule="auto"/>
              <w:ind w:left="57" w:right="60"/>
              <w:rPr>
                <w:rFonts w:cstheme="majorBidi"/>
                <w:color w:val="000000"/>
                <w:sz w:val="18"/>
                <w:szCs w:val="24"/>
              </w:rPr>
            </w:pPr>
            <w:r w:rsidRPr="007C3C24">
              <w:rPr>
                <w:rFonts w:cstheme="majorBidi"/>
                <w:color w:val="000000"/>
                <w:sz w:val="18"/>
                <w:szCs w:val="24"/>
              </w:rPr>
              <w:t>Unemployment Aid</w:t>
            </w:r>
          </w:p>
        </w:tc>
        <w:tc>
          <w:tcPr>
            <w:tcW w:w="1121" w:type="dxa"/>
            <w:shd w:val="clear" w:color="auto" w:fill="FFFFFF"/>
            <w:hideMark/>
          </w:tcPr>
          <w:p w14:paraId="48D87C15"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w:t>
            </w:r>
            <w:r w:rsidRPr="007C3C24">
              <w:rPr>
                <w:rFonts w:cstheme="majorBidi"/>
                <w:b/>
                <w:bCs/>
                <w:color w:val="000000"/>
                <w:sz w:val="18"/>
                <w:szCs w:val="24"/>
              </w:rPr>
              <w:t>569</w:t>
            </w:r>
          </w:p>
        </w:tc>
        <w:tc>
          <w:tcPr>
            <w:tcW w:w="1154" w:type="dxa"/>
            <w:tcBorders>
              <w:right w:val="single" w:sz="4" w:space="0" w:color="auto"/>
            </w:tcBorders>
            <w:shd w:val="clear" w:color="auto" w:fill="FFFFFF"/>
            <w:hideMark/>
          </w:tcPr>
          <w:p w14:paraId="341D13B6" w14:textId="77777777" w:rsidR="00726C45" w:rsidRPr="007C3C24" w:rsidRDefault="00726C45" w:rsidP="00A37677">
            <w:pPr>
              <w:autoSpaceDE w:val="0"/>
              <w:adjustRightInd w:val="0"/>
              <w:spacing w:line="240" w:lineRule="auto"/>
              <w:ind w:left="57" w:right="60"/>
              <w:jc w:val="center"/>
              <w:rPr>
                <w:rFonts w:cstheme="majorBidi"/>
                <w:i/>
                <w:iCs/>
                <w:color w:val="808080" w:themeColor="background1" w:themeShade="80"/>
                <w:sz w:val="18"/>
                <w:szCs w:val="24"/>
              </w:rPr>
            </w:pPr>
            <w:r w:rsidRPr="007C3C24">
              <w:rPr>
                <w:rFonts w:cstheme="majorBidi"/>
                <w:i/>
                <w:iCs/>
                <w:color w:val="808080" w:themeColor="background1" w:themeShade="80"/>
                <w:sz w:val="18"/>
                <w:szCs w:val="24"/>
              </w:rPr>
              <w:t>.</w:t>
            </w:r>
            <w:r w:rsidRPr="007C3C24">
              <w:rPr>
                <w:rFonts w:cstheme="majorBidi"/>
                <w:color w:val="808080" w:themeColor="background1" w:themeShade="80"/>
                <w:sz w:val="18"/>
                <w:szCs w:val="24"/>
              </w:rPr>
              <w:t>144</w:t>
            </w:r>
          </w:p>
        </w:tc>
        <w:tc>
          <w:tcPr>
            <w:tcW w:w="1127" w:type="dxa"/>
            <w:tcBorders>
              <w:left w:val="single" w:sz="4" w:space="0" w:color="auto"/>
            </w:tcBorders>
            <w:shd w:val="clear" w:color="auto" w:fill="FFFFFF"/>
            <w:hideMark/>
          </w:tcPr>
          <w:p w14:paraId="5A89FE0A"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w:t>
            </w:r>
            <w:r w:rsidRPr="007C3C24">
              <w:rPr>
                <w:rFonts w:cstheme="majorBidi"/>
                <w:b/>
                <w:bCs/>
                <w:color w:val="000000"/>
                <w:sz w:val="18"/>
                <w:szCs w:val="24"/>
              </w:rPr>
              <w:t>588</w:t>
            </w:r>
          </w:p>
        </w:tc>
        <w:tc>
          <w:tcPr>
            <w:tcW w:w="1127" w:type="dxa"/>
            <w:shd w:val="clear" w:color="auto" w:fill="FFFFFF"/>
            <w:hideMark/>
          </w:tcPr>
          <w:p w14:paraId="7AE3A610" w14:textId="77777777" w:rsidR="00726C45" w:rsidRPr="007C3C24" w:rsidRDefault="00726C45" w:rsidP="00A37677">
            <w:pPr>
              <w:autoSpaceDE w:val="0"/>
              <w:adjustRightInd w:val="0"/>
              <w:spacing w:line="240" w:lineRule="auto"/>
              <w:ind w:left="57" w:right="60"/>
              <w:jc w:val="center"/>
              <w:rPr>
                <w:rFonts w:cstheme="majorBidi"/>
                <w:i/>
                <w:iCs/>
                <w:color w:val="808080" w:themeColor="background1" w:themeShade="80"/>
                <w:sz w:val="18"/>
                <w:szCs w:val="24"/>
              </w:rPr>
            </w:pPr>
            <w:r w:rsidRPr="007C3C24">
              <w:rPr>
                <w:rFonts w:cstheme="majorBidi"/>
                <w:i/>
                <w:iCs/>
                <w:color w:val="808080" w:themeColor="background1" w:themeShade="80"/>
                <w:sz w:val="18"/>
                <w:szCs w:val="24"/>
              </w:rPr>
              <w:t>.</w:t>
            </w:r>
            <w:r w:rsidRPr="007C3C24">
              <w:rPr>
                <w:rFonts w:cstheme="majorBidi"/>
                <w:color w:val="808080" w:themeColor="background1" w:themeShade="80"/>
                <w:sz w:val="18"/>
                <w:szCs w:val="24"/>
              </w:rPr>
              <w:t>175</w:t>
            </w:r>
          </w:p>
        </w:tc>
      </w:tr>
      <w:tr w:rsidR="00726C45" w:rsidRPr="007C3C24" w14:paraId="28829061" w14:textId="77777777" w:rsidTr="00A37677">
        <w:trPr>
          <w:cantSplit/>
          <w:trHeight w:val="286"/>
          <w:tblHeader/>
          <w:jc w:val="center"/>
        </w:trPr>
        <w:tc>
          <w:tcPr>
            <w:tcW w:w="2158" w:type="dxa"/>
            <w:shd w:val="clear" w:color="auto" w:fill="FFFFFF"/>
            <w:hideMark/>
          </w:tcPr>
          <w:p w14:paraId="1FC47E69" w14:textId="77777777" w:rsidR="00726C45" w:rsidRPr="007C3C24" w:rsidRDefault="00726C45" w:rsidP="00A37677">
            <w:pPr>
              <w:autoSpaceDE w:val="0"/>
              <w:adjustRightInd w:val="0"/>
              <w:spacing w:line="240" w:lineRule="auto"/>
              <w:ind w:left="57" w:right="60"/>
              <w:rPr>
                <w:rFonts w:cstheme="majorBidi"/>
                <w:color w:val="000000"/>
                <w:sz w:val="18"/>
                <w:szCs w:val="24"/>
              </w:rPr>
            </w:pPr>
            <w:r w:rsidRPr="007C3C24">
              <w:rPr>
                <w:rFonts w:cstheme="majorBidi"/>
                <w:color w:val="000000"/>
                <w:sz w:val="18"/>
                <w:szCs w:val="24"/>
              </w:rPr>
              <w:t>Criminal Punishment</w:t>
            </w:r>
          </w:p>
        </w:tc>
        <w:tc>
          <w:tcPr>
            <w:tcW w:w="1121" w:type="dxa"/>
            <w:shd w:val="clear" w:color="auto" w:fill="FFFFFF"/>
            <w:hideMark/>
          </w:tcPr>
          <w:p w14:paraId="5032328C" w14:textId="77777777" w:rsidR="00726C45" w:rsidRPr="007C3C24" w:rsidRDefault="00726C45" w:rsidP="00A37677">
            <w:pPr>
              <w:autoSpaceDE w:val="0"/>
              <w:adjustRightInd w:val="0"/>
              <w:spacing w:line="240" w:lineRule="auto"/>
              <w:ind w:left="57" w:right="60"/>
              <w:jc w:val="center"/>
              <w:rPr>
                <w:rFonts w:cstheme="majorBidi"/>
                <w:b/>
                <w:bCs/>
                <w:color w:val="000000"/>
                <w:sz w:val="18"/>
                <w:szCs w:val="24"/>
              </w:rPr>
            </w:pPr>
            <w:r w:rsidRPr="007C3C24">
              <w:rPr>
                <w:rFonts w:cstheme="majorBidi"/>
                <w:b/>
                <w:bCs/>
                <w:color w:val="000000"/>
                <w:sz w:val="18"/>
                <w:szCs w:val="24"/>
              </w:rPr>
              <w:t>.579</w:t>
            </w:r>
          </w:p>
        </w:tc>
        <w:tc>
          <w:tcPr>
            <w:tcW w:w="1154" w:type="dxa"/>
            <w:tcBorders>
              <w:right w:val="single" w:sz="4" w:space="0" w:color="auto"/>
            </w:tcBorders>
            <w:shd w:val="clear" w:color="auto" w:fill="FFFFFF"/>
            <w:hideMark/>
          </w:tcPr>
          <w:p w14:paraId="30CA0BBD"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.358</w:t>
            </w:r>
          </w:p>
        </w:tc>
        <w:tc>
          <w:tcPr>
            <w:tcW w:w="1127" w:type="dxa"/>
            <w:tcBorders>
              <w:left w:val="single" w:sz="4" w:space="0" w:color="auto"/>
            </w:tcBorders>
            <w:shd w:val="clear" w:color="auto" w:fill="FFFFFF"/>
            <w:hideMark/>
          </w:tcPr>
          <w:p w14:paraId="52311432" w14:textId="77777777" w:rsidR="00726C45" w:rsidRPr="007C3C24" w:rsidRDefault="00726C45" w:rsidP="00A37677">
            <w:pPr>
              <w:autoSpaceDE w:val="0"/>
              <w:adjustRightInd w:val="0"/>
              <w:spacing w:line="240" w:lineRule="auto"/>
              <w:ind w:left="57" w:right="60"/>
              <w:jc w:val="center"/>
              <w:rPr>
                <w:rFonts w:cstheme="majorBidi"/>
                <w:bCs/>
                <w:sz w:val="18"/>
                <w:szCs w:val="24"/>
              </w:rPr>
            </w:pPr>
            <w:r w:rsidRPr="007C3C24">
              <w:rPr>
                <w:rFonts w:cstheme="majorBidi"/>
                <w:bCs/>
                <w:sz w:val="18"/>
                <w:szCs w:val="24"/>
              </w:rPr>
              <w:t>.</w:t>
            </w:r>
          </w:p>
        </w:tc>
        <w:tc>
          <w:tcPr>
            <w:tcW w:w="1127" w:type="dxa"/>
            <w:shd w:val="clear" w:color="auto" w:fill="FFFFFF"/>
            <w:hideMark/>
          </w:tcPr>
          <w:p w14:paraId="3FE0A764" w14:textId="77777777" w:rsidR="00726C45" w:rsidRPr="007C3C24" w:rsidRDefault="00726C45" w:rsidP="00A37677">
            <w:pPr>
              <w:autoSpaceDE w:val="0"/>
              <w:adjustRightInd w:val="0"/>
              <w:spacing w:line="240" w:lineRule="auto"/>
              <w:ind w:left="57" w:right="60"/>
              <w:jc w:val="center"/>
              <w:rPr>
                <w:rFonts w:cstheme="majorBidi"/>
                <w:sz w:val="18"/>
                <w:szCs w:val="24"/>
              </w:rPr>
            </w:pPr>
            <w:r w:rsidRPr="007C3C24">
              <w:rPr>
                <w:rFonts w:cstheme="majorBidi"/>
                <w:sz w:val="18"/>
                <w:szCs w:val="24"/>
              </w:rPr>
              <w:t>.</w:t>
            </w:r>
          </w:p>
        </w:tc>
      </w:tr>
      <w:tr w:rsidR="00726C45" w:rsidRPr="007C3C24" w14:paraId="224FF4CD" w14:textId="77777777" w:rsidTr="00A37677">
        <w:trPr>
          <w:cantSplit/>
          <w:trHeight w:val="286"/>
          <w:tblHeader/>
          <w:jc w:val="center"/>
        </w:trPr>
        <w:tc>
          <w:tcPr>
            <w:tcW w:w="2158" w:type="dxa"/>
            <w:shd w:val="clear" w:color="auto" w:fill="FFFFFF"/>
            <w:hideMark/>
          </w:tcPr>
          <w:p w14:paraId="33E9A60A" w14:textId="77777777" w:rsidR="00726C45" w:rsidRPr="007C3C24" w:rsidRDefault="00726C45" w:rsidP="00A37677">
            <w:pPr>
              <w:spacing w:line="240" w:lineRule="auto"/>
              <w:ind w:left="57" w:right="60"/>
              <w:rPr>
                <w:rFonts w:cstheme="majorBidi"/>
                <w:sz w:val="18"/>
                <w:szCs w:val="24"/>
              </w:rPr>
            </w:pPr>
            <w:r w:rsidRPr="007C3C24">
              <w:rPr>
                <w:rFonts w:cstheme="majorBidi"/>
                <w:color w:val="000000"/>
                <w:sz w:val="18"/>
                <w:szCs w:val="24"/>
              </w:rPr>
              <w:t>Religious Authorities</w:t>
            </w:r>
          </w:p>
        </w:tc>
        <w:tc>
          <w:tcPr>
            <w:tcW w:w="1121" w:type="dxa"/>
            <w:shd w:val="clear" w:color="auto" w:fill="FFFFFF"/>
            <w:hideMark/>
          </w:tcPr>
          <w:p w14:paraId="2593AE71"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-.020</w:t>
            </w:r>
          </w:p>
        </w:tc>
        <w:tc>
          <w:tcPr>
            <w:tcW w:w="1154" w:type="dxa"/>
            <w:tcBorders>
              <w:right w:val="single" w:sz="4" w:space="0" w:color="auto"/>
            </w:tcBorders>
            <w:shd w:val="clear" w:color="auto" w:fill="FFFFFF"/>
            <w:hideMark/>
          </w:tcPr>
          <w:p w14:paraId="2D97F29A"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w:t>
            </w:r>
            <w:r w:rsidRPr="007C3C24">
              <w:rPr>
                <w:rFonts w:cstheme="majorBidi"/>
                <w:b/>
                <w:bCs/>
                <w:color w:val="000000"/>
                <w:sz w:val="18"/>
                <w:szCs w:val="24"/>
              </w:rPr>
              <w:t>783</w:t>
            </w:r>
          </w:p>
        </w:tc>
        <w:tc>
          <w:tcPr>
            <w:tcW w:w="1127" w:type="dxa"/>
            <w:tcBorders>
              <w:left w:val="single" w:sz="4" w:space="0" w:color="auto"/>
            </w:tcBorders>
            <w:shd w:val="clear" w:color="auto" w:fill="FFFFFF"/>
            <w:hideMark/>
          </w:tcPr>
          <w:p w14:paraId="3942D7B6"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-.005</w:t>
            </w:r>
          </w:p>
        </w:tc>
        <w:tc>
          <w:tcPr>
            <w:tcW w:w="1127" w:type="dxa"/>
            <w:shd w:val="clear" w:color="auto" w:fill="FFFFFF"/>
            <w:hideMark/>
          </w:tcPr>
          <w:p w14:paraId="545A2BD2"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w:t>
            </w:r>
            <w:r w:rsidRPr="007C3C24">
              <w:rPr>
                <w:rFonts w:cstheme="majorBidi"/>
                <w:b/>
                <w:bCs/>
                <w:color w:val="000000"/>
                <w:sz w:val="18"/>
                <w:szCs w:val="24"/>
              </w:rPr>
              <w:t>806</w:t>
            </w:r>
          </w:p>
        </w:tc>
      </w:tr>
      <w:tr w:rsidR="00726C45" w:rsidRPr="007C3C24" w14:paraId="0F893656" w14:textId="77777777" w:rsidTr="00A37677">
        <w:trPr>
          <w:cantSplit/>
          <w:trHeight w:val="286"/>
          <w:tblHeader/>
          <w:jc w:val="center"/>
        </w:trPr>
        <w:tc>
          <w:tcPr>
            <w:tcW w:w="2158" w:type="dxa"/>
            <w:shd w:val="clear" w:color="auto" w:fill="FFFFFF"/>
            <w:hideMark/>
          </w:tcPr>
          <w:p w14:paraId="706F2A52" w14:textId="77777777" w:rsidR="00726C45" w:rsidRPr="007C3C24" w:rsidRDefault="00726C45" w:rsidP="00A37677">
            <w:pPr>
              <w:spacing w:line="240" w:lineRule="auto"/>
              <w:ind w:left="57" w:right="60"/>
              <w:rPr>
                <w:rFonts w:cstheme="majorBidi"/>
                <w:sz w:val="18"/>
                <w:szCs w:val="24"/>
              </w:rPr>
            </w:pPr>
            <w:r w:rsidRPr="007C3C24">
              <w:rPr>
                <w:rFonts w:cstheme="majorBidi"/>
                <w:color w:val="000000"/>
                <w:sz w:val="18"/>
                <w:szCs w:val="24"/>
              </w:rPr>
              <w:t>Army Intervention</w:t>
            </w:r>
          </w:p>
        </w:tc>
        <w:tc>
          <w:tcPr>
            <w:tcW w:w="1121" w:type="dxa"/>
            <w:shd w:val="clear" w:color="auto" w:fill="FFFFFF"/>
            <w:hideMark/>
          </w:tcPr>
          <w:p w14:paraId="73B7816C"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-.018</w:t>
            </w:r>
          </w:p>
        </w:tc>
        <w:tc>
          <w:tcPr>
            <w:tcW w:w="1154" w:type="dxa"/>
            <w:tcBorders>
              <w:right w:val="single" w:sz="4" w:space="0" w:color="auto"/>
            </w:tcBorders>
            <w:shd w:val="clear" w:color="auto" w:fill="FFFFFF"/>
            <w:hideMark/>
          </w:tcPr>
          <w:p w14:paraId="61ED1354"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w:t>
            </w:r>
            <w:r w:rsidRPr="007C3C24">
              <w:rPr>
                <w:rFonts w:cstheme="majorBidi"/>
                <w:b/>
                <w:bCs/>
                <w:color w:val="000000"/>
                <w:sz w:val="18"/>
                <w:szCs w:val="24"/>
              </w:rPr>
              <w:t>764</w:t>
            </w:r>
          </w:p>
        </w:tc>
        <w:tc>
          <w:tcPr>
            <w:tcW w:w="1127" w:type="dxa"/>
            <w:tcBorders>
              <w:left w:val="single" w:sz="4" w:space="0" w:color="auto"/>
            </w:tcBorders>
            <w:shd w:val="clear" w:color="auto" w:fill="FFFFFF"/>
            <w:hideMark/>
          </w:tcPr>
          <w:p w14:paraId="5F0B6A89" w14:textId="77777777" w:rsidR="00726C45" w:rsidRPr="007C3C24" w:rsidRDefault="00726C45" w:rsidP="00A37677">
            <w:pPr>
              <w:autoSpaceDE w:val="0"/>
              <w:adjustRightInd w:val="0"/>
              <w:spacing w:line="240" w:lineRule="auto"/>
              <w:ind w:left="57" w:right="60"/>
              <w:jc w:val="center"/>
              <w:rPr>
                <w:rFonts w:cstheme="majorBidi"/>
                <w:color w:val="808080" w:themeColor="background1" w:themeShade="80"/>
                <w:sz w:val="18"/>
                <w:szCs w:val="24"/>
              </w:rPr>
            </w:pPr>
            <w:r w:rsidRPr="007C3C24">
              <w:rPr>
                <w:rFonts w:cstheme="majorBidi"/>
                <w:color w:val="808080" w:themeColor="background1" w:themeShade="80"/>
                <w:sz w:val="18"/>
                <w:szCs w:val="24"/>
              </w:rPr>
              <w:t>-.001</w:t>
            </w:r>
          </w:p>
        </w:tc>
        <w:tc>
          <w:tcPr>
            <w:tcW w:w="1127" w:type="dxa"/>
            <w:shd w:val="clear" w:color="auto" w:fill="FFFFFF"/>
            <w:hideMark/>
          </w:tcPr>
          <w:p w14:paraId="5402EE9F"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w:t>
            </w:r>
            <w:r w:rsidRPr="007C3C24">
              <w:rPr>
                <w:rFonts w:cstheme="majorBidi"/>
                <w:b/>
                <w:bCs/>
                <w:color w:val="000000"/>
                <w:sz w:val="18"/>
                <w:szCs w:val="24"/>
              </w:rPr>
              <w:t>792</w:t>
            </w:r>
          </w:p>
        </w:tc>
      </w:tr>
      <w:tr w:rsidR="00726C45" w:rsidRPr="007C3C24" w14:paraId="066A48E7" w14:textId="77777777" w:rsidTr="00A37677">
        <w:trPr>
          <w:cantSplit/>
          <w:trHeight w:val="286"/>
          <w:tblHeader/>
          <w:jc w:val="center"/>
        </w:trPr>
        <w:tc>
          <w:tcPr>
            <w:tcW w:w="2158" w:type="dxa"/>
            <w:tcBorders>
              <w:top w:val="nil"/>
              <w:left w:val="nil"/>
              <w:bottom w:val="single" w:sz="4" w:space="0" w:color="auto"/>
              <w:right w:val="nil"/>
            </w:tcBorders>
            <w:shd w:val="clear" w:color="auto" w:fill="FFFFFF"/>
            <w:hideMark/>
          </w:tcPr>
          <w:p w14:paraId="1DF63C4A" w14:textId="77777777" w:rsidR="00726C45" w:rsidRPr="007C3C24" w:rsidRDefault="00726C45" w:rsidP="00A37677">
            <w:pPr>
              <w:autoSpaceDE w:val="0"/>
              <w:adjustRightInd w:val="0"/>
              <w:spacing w:line="240" w:lineRule="auto"/>
              <w:ind w:left="57" w:right="60"/>
              <w:rPr>
                <w:rFonts w:cstheme="majorBidi"/>
                <w:color w:val="000000"/>
                <w:sz w:val="18"/>
                <w:szCs w:val="24"/>
              </w:rPr>
            </w:pPr>
            <w:r w:rsidRPr="007C3C24">
              <w:rPr>
                <w:rFonts w:cstheme="majorBidi"/>
                <w:color w:val="000000"/>
                <w:sz w:val="18"/>
                <w:szCs w:val="24"/>
              </w:rPr>
              <w:t>Tax</w:t>
            </w:r>
          </w:p>
        </w:tc>
        <w:tc>
          <w:tcPr>
            <w:tcW w:w="1121" w:type="dxa"/>
            <w:tcBorders>
              <w:top w:val="nil"/>
              <w:left w:val="nil"/>
              <w:bottom w:val="single" w:sz="4" w:space="0" w:color="auto"/>
              <w:right w:val="nil"/>
            </w:tcBorders>
            <w:shd w:val="clear" w:color="auto" w:fill="FFFFFF"/>
            <w:hideMark/>
          </w:tcPr>
          <w:p w14:paraId="0A739B75" w14:textId="77777777" w:rsidR="00726C45" w:rsidRPr="007C3C24" w:rsidRDefault="00726C45" w:rsidP="00A37677">
            <w:pPr>
              <w:autoSpaceDE w:val="0"/>
              <w:adjustRightInd w:val="0"/>
              <w:spacing w:line="240" w:lineRule="auto"/>
              <w:ind w:left="57" w:right="60"/>
              <w:jc w:val="center"/>
              <w:rPr>
                <w:rFonts w:cstheme="majorBidi"/>
                <w:b/>
                <w:bCs/>
                <w:sz w:val="18"/>
                <w:szCs w:val="24"/>
              </w:rPr>
            </w:pPr>
            <w:r w:rsidRPr="007C3C24">
              <w:rPr>
                <w:rFonts w:cstheme="majorBidi"/>
                <w:b/>
                <w:bCs/>
                <w:sz w:val="18"/>
                <w:szCs w:val="24"/>
              </w:rPr>
              <w:t>.</w:t>
            </w:r>
          </w:p>
        </w:tc>
        <w:tc>
          <w:tcPr>
            <w:tcW w:w="1154" w:type="dxa"/>
            <w:tcBorders>
              <w:top w:val="nil"/>
              <w:left w:val="nil"/>
              <w:bottom w:val="single" w:sz="4" w:space="0" w:color="auto"/>
              <w:right w:val="single" w:sz="4" w:space="0" w:color="auto"/>
            </w:tcBorders>
            <w:shd w:val="clear" w:color="auto" w:fill="FFFFFF"/>
            <w:hideMark/>
          </w:tcPr>
          <w:p w14:paraId="101F904E" w14:textId="77777777" w:rsidR="00726C45" w:rsidRPr="007C3C24" w:rsidRDefault="00726C45" w:rsidP="00A37677">
            <w:pPr>
              <w:autoSpaceDE w:val="0"/>
              <w:adjustRightInd w:val="0"/>
              <w:spacing w:line="240" w:lineRule="auto"/>
              <w:ind w:left="57" w:right="60"/>
              <w:jc w:val="center"/>
              <w:rPr>
                <w:rFonts w:cstheme="majorBidi"/>
                <w:b/>
                <w:sz w:val="18"/>
                <w:szCs w:val="24"/>
              </w:rPr>
            </w:pPr>
            <w:r w:rsidRPr="007C3C24">
              <w:rPr>
                <w:rFonts w:cstheme="majorBidi"/>
                <w:b/>
                <w:sz w:val="18"/>
                <w:szCs w:val="24"/>
              </w:rPr>
              <w:t>.</w:t>
            </w:r>
          </w:p>
        </w:tc>
        <w:tc>
          <w:tcPr>
            <w:tcW w:w="1127" w:type="dxa"/>
            <w:tcBorders>
              <w:top w:val="nil"/>
              <w:left w:val="single" w:sz="4" w:space="0" w:color="auto"/>
              <w:bottom w:val="single" w:sz="4" w:space="0" w:color="auto"/>
              <w:right w:val="nil"/>
            </w:tcBorders>
            <w:shd w:val="clear" w:color="auto" w:fill="FFFFFF"/>
            <w:hideMark/>
          </w:tcPr>
          <w:p w14:paraId="25EFA7AD" w14:textId="77777777" w:rsidR="00726C45" w:rsidRPr="007C3C24" w:rsidRDefault="00726C45" w:rsidP="00A37677">
            <w:pPr>
              <w:autoSpaceDE w:val="0"/>
              <w:adjustRightInd w:val="0"/>
              <w:spacing w:line="240" w:lineRule="auto"/>
              <w:ind w:left="57" w:right="60"/>
              <w:jc w:val="center"/>
              <w:rPr>
                <w:rFonts w:cstheme="majorBidi"/>
                <w:b/>
                <w:bCs/>
                <w:sz w:val="18"/>
                <w:szCs w:val="24"/>
              </w:rPr>
            </w:pPr>
            <w:r w:rsidRPr="007C3C24">
              <w:rPr>
                <w:rFonts w:cstheme="majorBidi"/>
                <w:b/>
                <w:bCs/>
                <w:sz w:val="18"/>
                <w:szCs w:val="24"/>
              </w:rPr>
              <w:t>.</w:t>
            </w:r>
          </w:p>
        </w:tc>
        <w:tc>
          <w:tcPr>
            <w:tcW w:w="1127" w:type="dxa"/>
            <w:tcBorders>
              <w:top w:val="nil"/>
              <w:left w:val="nil"/>
              <w:bottom w:val="single" w:sz="4" w:space="0" w:color="auto"/>
              <w:right w:val="nil"/>
            </w:tcBorders>
            <w:shd w:val="clear" w:color="auto" w:fill="FFFFFF"/>
            <w:hideMark/>
          </w:tcPr>
          <w:p w14:paraId="7600592F" w14:textId="77777777" w:rsidR="00726C45" w:rsidRPr="007C3C24" w:rsidRDefault="00726C45" w:rsidP="00A37677">
            <w:pPr>
              <w:autoSpaceDE w:val="0"/>
              <w:adjustRightInd w:val="0"/>
              <w:spacing w:line="240" w:lineRule="auto"/>
              <w:ind w:left="57" w:right="60"/>
              <w:jc w:val="center"/>
              <w:rPr>
                <w:rFonts w:cstheme="majorBidi"/>
                <w:b/>
                <w:sz w:val="18"/>
                <w:szCs w:val="24"/>
              </w:rPr>
            </w:pPr>
            <w:r w:rsidRPr="007C3C24">
              <w:rPr>
                <w:rFonts w:cstheme="majorBidi"/>
                <w:b/>
                <w:sz w:val="18"/>
                <w:szCs w:val="24"/>
              </w:rPr>
              <w:t>.</w:t>
            </w:r>
          </w:p>
        </w:tc>
      </w:tr>
      <w:tr w:rsidR="00726C45" w:rsidRPr="007C3C24" w14:paraId="1A6F31F9" w14:textId="77777777" w:rsidTr="00A37677">
        <w:trPr>
          <w:cantSplit/>
          <w:trHeight w:val="286"/>
          <w:tblHeader/>
          <w:jc w:val="center"/>
        </w:trPr>
        <w:tc>
          <w:tcPr>
            <w:tcW w:w="2158" w:type="dxa"/>
            <w:shd w:val="clear" w:color="auto" w:fill="FFFFFF"/>
            <w:hideMark/>
          </w:tcPr>
          <w:p w14:paraId="367B7DE4" w14:textId="77777777" w:rsidR="00726C45" w:rsidRPr="007C3C24" w:rsidRDefault="00726C45" w:rsidP="00A37677">
            <w:pPr>
              <w:autoSpaceDE w:val="0"/>
              <w:adjustRightInd w:val="0"/>
              <w:spacing w:line="240" w:lineRule="auto"/>
              <w:ind w:left="57" w:right="60"/>
              <w:rPr>
                <w:rFonts w:cstheme="majorBidi"/>
                <w:color w:val="000000"/>
                <w:sz w:val="18"/>
                <w:szCs w:val="24"/>
              </w:rPr>
            </w:pPr>
            <w:r w:rsidRPr="007C3C24">
              <w:rPr>
                <w:rFonts w:cstheme="majorBidi"/>
                <w:color w:val="000000"/>
                <w:sz w:val="18"/>
                <w:szCs w:val="24"/>
              </w:rPr>
              <w:t>Eigenvalue</w:t>
            </w:r>
          </w:p>
        </w:tc>
        <w:tc>
          <w:tcPr>
            <w:tcW w:w="1121" w:type="dxa"/>
            <w:shd w:val="clear" w:color="auto" w:fill="FFFFFF"/>
            <w:hideMark/>
          </w:tcPr>
          <w:p w14:paraId="3A99619B"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3.02</w:t>
            </w:r>
          </w:p>
        </w:tc>
        <w:tc>
          <w:tcPr>
            <w:tcW w:w="1154" w:type="dxa"/>
            <w:tcBorders>
              <w:right w:val="single" w:sz="4" w:space="0" w:color="auto"/>
            </w:tcBorders>
            <w:shd w:val="clear" w:color="auto" w:fill="FFFFFF"/>
            <w:hideMark/>
          </w:tcPr>
          <w:p w14:paraId="29423F9E" w14:textId="77777777" w:rsidR="00726C45" w:rsidRPr="007C3C24" w:rsidRDefault="00726C45" w:rsidP="00A37677">
            <w:pPr>
              <w:autoSpaceDE w:val="0"/>
              <w:adjustRightInd w:val="0"/>
              <w:spacing w:line="240" w:lineRule="auto"/>
              <w:ind w:left="57" w:right="60"/>
              <w:jc w:val="center"/>
              <w:rPr>
                <w:rFonts w:cstheme="majorBidi"/>
                <w:i/>
                <w:iCs/>
                <w:color w:val="000000"/>
                <w:sz w:val="18"/>
                <w:szCs w:val="24"/>
              </w:rPr>
            </w:pPr>
            <w:r w:rsidRPr="007C3C24">
              <w:rPr>
                <w:rFonts w:cstheme="majorBidi"/>
                <w:color w:val="000000"/>
                <w:sz w:val="18"/>
                <w:szCs w:val="24"/>
              </w:rPr>
              <w:t>1.52</w:t>
            </w:r>
          </w:p>
        </w:tc>
        <w:tc>
          <w:tcPr>
            <w:tcW w:w="1127" w:type="dxa"/>
            <w:tcBorders>
              <w:left w:val="single" w:sz="4" w:space="0" w:color="auto"/>
            </w:tcBorders>
            <w:shd w:val="clear" w:color="auto" w:fill="FFFFFF"/>
            <w:hideMark/>
          </w:tcPr>
          <w:p w14:paraId="6D8F4EBC"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2.74</w:t>
            </w:r>
          </w:p>
        </w:tc>
        <w:tc>
          <w:tcPr>
            <w:tcW w:w="1127" w:type="dxa"/>
            <w:shd w:val="clear" w:color="auto" w:fill="FFFFFF"/>
            <w:hideMark/>
          </w:tcPr>
          <w:p w14:paraId="2DCC874C"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1.46</w:t>
            </w:r>
          </w:p>
        </w:tc>
      </w:tr>
      <w:tr w:rsidR="00726C45" w:rsidRPr="007C3C24" w14:paraId="36FC5D24" w14:textId="77777777" w:rsidTr="00A37677">
        <w:trPr>
          <w:cantSplit/>
          <w:trHeight w:val="286"/>
          <w:tblHeader/>
          <w:jc w:val="center"/>
        </w:trPr>
        <w:tc>
          <w:tcPr>
            <w:tcW w:w="2158" w:type="dxa"/>
            <w:tcBorders>
              <w:top w:val="nil"/>
              <w:left w:val="nil"/>
              <w:bottom w:val="single" w:sz="4" w:space="0" w:color="auto"/>
              <w:right w:val="nil"/>
            </w:tcBorders>
            <w:shd w:val="clear" w:color="auto" w:fill="FFFFFF"/>
            <w:hideMark/>
          </w:tcPr>
          <w:p w14:paraId="36DCDC3F" w14:textId="77777777" w:rsidR="00726C45" w:rsidRPr="007C3C24" w:rsidRDefault="00726C45" w:rsidP="00A37677">
            <w:pPr>
              <w:autoSpaceDE w:val="0"/>
              <w:adjustRightInd w:val="0"/>
              <w:spacing w:line="240" w:lineRule="auto"/>
              <w:ind w:left="57" w:right="60"/>
              <w:rPr>
                <w:rFonts w:cstheme="majorBidi"/>
                <w:color w:val="000000"/>
                <w:sz w:val="18"/>
                <w:szCs w:val="24"/>
              </w:rPr>
            </w:pPr>
            <w:r w:rsidRPr="007C3C24">
              <w:rPr>
                <w:rFonts w:cstheme="majorBidi"/>
                <w:color w:val="000000"/>
                <w:sz w:val="18"/>
                <w:szCs w:val="24"/>
              </w:rPr>
              <w:t>% of Variance</w:t>
            </w:r>
          </w:p>
        </w:tc>
        <w:tc>
          <w:tcPr>
            <w:tcW w:w="1121" w:type="dxa"/>
            <w:tcBorders>
              <w:top w:val="nil"/>
              <w:left w:val="nil"/>
              <w:bottom w:val="single" w:sz="4" w:space="0" w:color="auto"/>
              <w:right w:val="nil"/>
            </w:tcBorders>
            <w:shd w:val="clear" w:color="auto" w:fill="FFFFFF"/>
            <w:hideMark/>
          </w:tcPr>
          <w:p w14:paraId="51FA3EF8"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33.6</w:t>
            </w:r>
          </w:p>
        </w:tc>
        <w:tc>
          <w:tcPr>
            <w:tcW w:w="1154" w:type="dxa"/>
            <w:tcBorders>
              <w:top w:val="nil"/>
              <w:left w:val="nil"/>
              <w:bottom w:val="single" w:sz="4" w:space="0" w:color="auto"/>
              <w:right w:val="single" w:sz="4" w:space="0" w:color="auto"/>
            </w:tcBorders>
            <w:shd w:val="clear" w:color="auto" w:fill="FFFFFF"/>
            <w:hideMark/>
          </w:tcPr>
          <w:p w14:paraId="084E8105"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16.9</w:t>
            </w:r>
          </w:p>
        </w:tc>
        <w:tc>
          <w:tcPr>
            <w:tcW w:w="1127" w:type="dxa"/>
            <w:tcBorders>
              <w:top w:val="nil"/>
              <w:left w:val="single" w:sz="4" w:space="0" w:color="auto"/>
              <w:bottom w:val="single" w:sz="4" w:space="0" w:color="auto"/>
              <w:right w:val="nil"/>
            </w:tcBorders>
            <w:shd w:val="clear" w:color="auto" w:fill="FFFFFF"/>
            <w:hideMark/>
          </w:tcPr>
          <w:p w14:paraId="46B856E3"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34.2</w:t>
            </w:r>
          </w:p>
        </w:tc>
        <w:tc>
          <w:tcPr>
            <w:tcW w:w="1127" w:type="dxa"/>
            <w:tcBorders>
              <w:top w:val="nil"/>
              <w:left w:val="nil"/>
              <w:bottom w:val="single" w:sz="4" w:space="0" w:color="auto"/>
              <w:right w:val="nil"/>
            </w:tcBorders>
            <w:shd w:val="clear" w:color="auto" w:fill="FFFFFF"/>
            <w:hideMark/>
          </w:tcPr>
          <w:p w14:paraId="28EA138A"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18.3</w:t>
            </w:r>
          </w:p>
        </w:tc>
      </w:tr>
      <w:tr w:rsidR="00726C45" w:rsidRPr="007C3C24" w14:paraId="7DB970CA" w14:textId="77777777" w:rsidTr="00A37677">
        <w:trPr>
          <w:cantSplit/>
          <w:trHeight w:val="286"/>
          <w:tblHeader/>
          <w:jc w:val="center"/>
        </w:trPr>
        <w:tc>
          <w:tcPr>
            <w:tcW w:w="2158" w:type="dxa"/>
            <w:tcBorders>
              <w:top w:val="single" w:sz="4" w:space="0" w:color="auto"/>
              <w:bottom w:val="single" w:sz="4" w:space="0" w:color="auto"/>
            </w:tcBorders>
            <w:shd w:val="clear" w:color="auto" w:fill="FFFFFF"/>
            <w:hideMark/>
          </w:tcPr>
          <w:p w14:paraId="0A8DF6E9" w14:textId="77777777" w:rsidR="00726C45" w:rsidRPr="007C3C24" w:rsidRDefault="00726C45" w:rsidP="00A37677">
            <w:pPr>
              <w:autoSpaceDE w:val="0"/>
              <w:adjustRightInd w:val="0"/>
              <w:spacing w:line="240" w:lineRule="auto"/>
              <w:ind w:left="57" w:right="60"/>
              <w:rPr>
                <w:rFonts w:cstheme="majorBidi"/>
                <w:i/>
                <w:iCs/>
                <w:color w:val="000000"/>
                <w:sz w:val="18"/>
                <w:szCs w:val="24"/>
              </w:rPr>
            </w:pPr>
            <w:r w:rsidRPr="007C3C24">
              <w:rPr>
                <w:rFonts w:cstheme="majorBidi"/>
                <w:i/>
                <w:iCs/>
                <w:color w:val="000000"/>
                <w:sz w:val="18"/>
                <w:szCs w:val="24"/>
              </w:rPr>
              <w:t>N</w:t>
            </w:r>
          </w:p>
          <w:p w14:paraId="03461167" w14:textId="77777777" w:rsidR="00726C45" w:rsidRPr="007C3C24" w:rsidRDefault="00726C45" w:rsidP="00A37677">
            <w:pPr>
              <w:autoSpaceDE w:val="0"/>
              <w:adjustRightInd w:val="0"/>
              <w:spacing w:line="240" w:lineRule="auto"/>
              <w:ind w:left="57" w:right="60"/>
              <w:rPr>
                <w:rFonts w:cstheme="majorBidi"/>
                <w:i/>
                <w:iCs/>
                <w:color w:val="000000"/>
                <w:sz w:val="18"/>
                <w:szCs w:val="24"/>
              </w:rPr>
            </w:pPr>
            <w:r w:rsidRPr="007C3C24">
              <w:rPr>
                <w:rFonts w:cstheme="majorBidi"/>
                <w:i/>
                <w:iCs/>
                <w:color w:val="000000"/>
                <w:sz w:val="18"/>
                <w:szCs w:val="24"/>
              </w:rPr>
              <w:t>Countries</w:t>
            </w:r>
          </w:p>
        </w:tc>
        <w:tc>
          <w:tcPr>
            <w:tcW w:w="4529" w:type="dxa"/>
            <w:gridSpan w:val="4"/>
            <w:tcBorders>
              <w:top w:val="single" w:sz="4" w:space="0" w:color="auto"/>
              <w:bottom w:val="single" w:sz="4" w:space="0" w:color="auto"/>
            </w:tcBorders>
            <w:shd w:val="clear" w:color="auto" w:fill="FFFFFF"/>
          </w:tcPr>
          <w:p w14:paraId="32165E35"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45,545</w:t>
            </w:r>
          </w:p>
          <w:p w14:paraId="1F28DD2B" w14:textId="77777777" w:rsidR="00726C45" w:rsidRPr="007C3C24" w:rsidRDefault="00726C45" w:rsidP="00A37677">
            <w:pPr>
              <w:autoSpaceDE w:val="0"/>
              <w:adjustRightInd w:val="0"/>
              <w:spacing w:line="240" w:lineRule="auto"/>
              <w:ind w:left="57" w:right="60"/>
              <w:jc w:val="center"/>
              <w:rPr>
                <w:rFonts w:cstheme="majorBidi"/>
                <w:color w:val="000000"/>
                <w:sz w:val="18"/>
                <w:szCs w:val="24"/>
              </w:rPr>
            </w:pPr>
            <w:r w:rsidRPr="007C3C24">
              <w:rPr>
                <w:rFonts w:cstheme="majorBidi"/>
                <w:color w:val="000000"/>
                <w:sz w:val="18"/>
                <w:szCs w:val="24"/>
              </w:rPr>
              <w:t>45</w:t>
            </w:r>
          </w:p>
        </w:tc>
      </w:tr>
    </w:tbl>
    <w:p w14:paraId="4E290219" w14:textId="77777777" w:rsidR="00726C45" w:rsidRDefault="00726C45" w:rsidP="00726C45">
      <w:pPr>
        <w:rPr>
          <w:b/>
        </w:rPr>
      </w:pPr>
    </w:p>
    <w:p w14:paraId="164257B8" w14:textId="77777777" w:rsidR="00726C45" w:rsidRDefault="00726C45" w:rsidP="00726C45">
      <w:pPr>
        <w:rPr>
          <w:b/>
        </w:rPr>
      </w:pPr>
    </w:p>
    <w:p w14:paraId="0A2BF122" w14:textId="77777777" w:rsidR="00726C45" w:rsidRDefault="00726C45" w:rsidP="00726C45">
      <w:pPr>
        <w:rPr>
          <w:b/>
        </w:rPr>
      </w:pPr>
    </w:p>
    <w:p w14:paraId="52CE5D2C" w14:textId="77777777" w:rsidR="00726C45" w:rsidRDefault="00726C45" w:rsidP="00726C45">
      <w:pPr>
        <w:rPr>
          <w:b/>
        </w:rPr>
      </w:pPr>
    </w:p>
    <w:p w14:paraId="51D94730" w14:textId="77777777" w:rsidR="00726C45" w:rsidRDefault="00726C45" w:rsidP="00726C45">
      <w:pPr>
        <w:rPr>
          <w:b/>
        </w:rPr>
      </w:pPr>
    </w:p>
    <w:p w14:paraId="178CCCFD" w14:textId="77777777" w:rsidR="00726C45" w:rsidRDefault="00726C45" w:rsidP="00726C45">
      <w:pPr>
        <w:rPr>
          <w:b/>
        </w:rPr>
      </w:pPr>
    </w:p>
    <w:p w14:paraId="0FA0C381" w14:textId="77777777" w:rsidR="00726C45" w:rsidRDefault="00726C45" w:rsidP="00726C45">
      <w:pPr>
        <w:rPr>
          <w:b/>
        </w:rPr>
      </w:pPr>
    </w:p>
    <w:p w14:paraId="2578EB2E" w14:textId="77777777" w:rsidR="00726C45" w:rsidRDefault="00726C45" w:rsidP="00726C45">
      <w:pPr>
        <w:rPr>
          <w:b/>
        </w:rPr>
      </w:pPr>
    </w:p>
    <w:p w14:paraId="2AE309D8" w14:textId="77777777" w:rsidR="00726C45" w:rsidRDefault="00726C45" w:rsidP="00726C45">
      <w:pPr>
        <w:rPr>
          <w:b/>
        </w:rPr>
      </w:pPr>
    </w:p>
    <w:p w14:paraId="62FD7DE8" w14:textId="77777777" w:rsidR="00726C45" w:rsidRDefault="00726C45" w:rsidP="00726C45">
      <w:pPr>
        <w:rPr>
          <w:b/>
        </w:rPr>
      </w:pPr>
    </w:p>
    <w:p w14:paraId="31D41056" w14:textId="77777777" w:rsidR="00726C45" w:rsidRDefault="00726C45" w:rsidP="00726C45">
      <w:pPr>
        <w:rPr>
          <w:b/>
        </w:rPr>
      </w:pPr>
    </w:p>
    <w:p w14:paraId="2F839207" w14:textId="77777777" w:rsidR="00726C45" w:rsidRDefault="00726C45" w:rsidP="00726C45">
      <w:pPr>
        <w:rPr>
          <w:b/>
        </w:rPr>
      </w:pPr>
    </w:p>
    <w:p w14:paraId="2FAC5841" w14:textId="77777777" w:rsidR="00726C45" w:rsidRDefault="00726C45" w:rsidP="00726C45">
      <w:pPr>
        <w:rPr>
          <w:b/>
        </w:rPr>
      </w:pPr>
    </w:p>
    <w:p w14:paraId="56F358E4" w14:textId="2C397F39" w:rsidR="00726C45" w:rsidRDefault="00726C45" w:rsidP="00726C45">
      <w:pPr>
        <w:pStyle w:val="Heading2"/>
      </w:pPr>
      <w:r>
        <w:t>Section C</w:t>
      </w:r>
    </w:p>
    <w:p w14:paraId="6585E7C3" w14:textId="2804B07C" w:rsidR="00726C45" w:rsidRPr="00726C45" w:rsidRDefault="00726C45" w:rsidP="00726C45">
      <w:r w:rsidRPr="00726C45">
        <w:t>Extended Analysis for Chapter 5</w:t>
      </w:r>
    </w:p>
    <w:p w14:paraId="5D192025" w14:textId="77777777" w:rsidR="00726C45" w:rsidRDefault="00726C45" w:rsidP="00726C45">
      <w:pPr>
        <w:rPr>
          <w:b/>
        </w:rPr>
      </w:pPr>
      <w:r>
        <w:rPr>
          <w:b/>
        </w:rPr>
        <w:t>Figure C1: Correlation results for individual level scalar variables (all correlations are significant at the 0.05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
        <w:gridCol w:w="1382"/>
        <w:gridCol w:w="1406"/>
        <w:gridCol w:w="1418"/>
        <w:gridCol w:w="1499"/>
        <w:gridCol w:w="1466"/>
      </w:tblGrid>
      <w:tr w:rsidR="00726C45" w:rsidRPr="0032704E" w14:paraId="4876270C" w14:textId="77777777" w:rsidTr="00A37677">
        <w:tc>
          <w:tcPr>
            <w:tcW w:w="1502" w:type="dxa"/>
          </w:tcPr>
          <w:p w14:paraId="27F31265" w14:textId="77777777" w:rsidR="00726C45" w:rsidRPr="0032704E" w:rsidRDefault="00726C45" w:rsidP="00A37677">
            <w:pPr>
              <w:rPr>
                <w:b/>
              </w:rPr>
            </w:pPr>
          </w:p>
        </w:tc>
        <w:tc>
          <w:tcPr>
            <w:tcW w:w="1502" w:type="dxa"/>
          </w:tcPr>
          <w:p w14:paraId="33157632" w14:textId="77777777" w:rsidR="00726C45" w:rsidRPr="0032704E" w:rsidRDefault="00726C45" w:rsidP="00A37677">
            <w:pPr>
              <w:rPr>
                <w:b/>
              </w:rPr>
            </w:pPr>
            <w:r w:rsidRPr="0032704E">
              <w:rPr>
                <w:b/>
              </w:rPr>
              <w:t>Age</w:t>
            </w:r>
          </w:p>
        </w:tc>
        <w:tc>
          <w:tcPr>
            <w:tcW w:w="1503" w:type="dxa"/>
          </w:tcPr>
          <w:p w14:paraId="59643D45" w14:textId="77777777" w:rsidR="00726C45" w:rsidRPr="0032704E" w:rsidRDefault="00726C45" w:rsidP="00A37677">
            <w:pPr>
              <w:rPr>
                <w:b/>
              </w:rPr>
            </w:pPr>
            <w:r w:rsidRPr="0032704E">
              <w:rPr>
                <w:b/>
              </w:rPr>
              <w:t>Income</w:t>
            </w:r>
          </w:p>
        </w:tc>
        <w:tc>
          <w:tcPr>
            <w:tcW w:w="1503" w:type="dxa"/>
          </w:tcPr>
          <w:p w14:paraId="758F697D" w14:textId="77777777" w:rsidR="00726C45" w:rsidRPr="0032704E" w:rsidRDefault="00726C45" w:rsidP="00A37677">
            <w:pPr>
              <w:rPr>
                <w:b/>
              </w:rPr>
            </w:pPr>
            <w:r w:rsidRPr="0032704E">
              <w:rPr>
                <w:b/>
              </w:rPr>
              <w:t>Political interest</w:t>
            </w:r>
          </w:p>
        </w:tc>
        <w:tc>
          <w:tcPr>
            <w:tcW w:w="1503" w:type="dxa"/>
          </w:tcPr>
          <w:p w14:paraId="19CED00E" w14:textId="77777777" w:rsidR="00726C45" w:rsidRPr="0032704E" w:rsidRDefault="00726C45" w:rsidP="00A37677">
            <w:pPr>
              <w:rPr>
                <w:b/>
              </w:rPr>
            </w:pPr>
            <w:r w:rsidRPr="0032704E">
              <w:rPr>
                <w:b/>
              </w:rPr>
              <w:t>Institutional trust</w:t>
            </w:r>
          </w:p>
        </w:tc>
        <w:tc>
          <w:tcPr>
            <w:tcW w:w="1503" w:type="dxa"/>
          </w:tcPr>
          <w:p w14:paraId="2E107570" w14:textId="77777777" w:rsidR="00726C45" w:rsidRPr="0032704E" w:rsidRDefault="00726C45" w:rsidP="00A37677">
            <w:pPr>
              <w:rPr>
                <w:b/>
              </w:rPr>
            </w:pPr>
            <w:r w:rsidRPr="0032704E">
              <w:rPr>
                <w:b/>
              </w:rPr>
              <w:t xml:space="preserve">Religiosity </w:t>
            </w:r>
          </w:p>
        </w:tc>
      </w:tr>
      <w:tr w:rsidR="00726C45" w:rsidRPr="0032704E" w14:paraId="6AF87FDD" w14:textId="77777777" w:rsidTr="00A37677">
        <w:tc>
          <w:tcPr>
            <w:tcW w:w="1502" w:type="dxa"/>
          </w:tcPr>
          <w:p w14:paraId="77C4DDA2" w14:textId="77777777" w:rsidR="00726C45" w:rsidRPr="0032704E" w:rsidRDefault="00726C45" w:rsidP="00A37677">
            <w:pPr>
              <w:rPr>
                <w:b/>
              </w:rPr>
            </w:pPr>
            <w:r w:rsidRPr="0032704E">
              <w:rPr>
                <w:b/>
              </w:rPr>
              <w:t>Age</w:t>
            </w:r>
          </w:p>
        </w:tc>
        <w:tc>
          <w:tcPr>
            <w:tcW w:w="1502" w:type="dxa"/>
          </w:tcPr>
          <w:p w14:paraId="56778DBB" w14:textId="77777777" w:rsidR="00726C45" w:rsidRPr="0032704E" w:rsidRDefault="00726C45" w:rsidP="00A37677">
            <w:pPr>
              <w:rPr>
                <w:b/>
              </w:rPr>
            </w:pPr>
            <w:r w:rsidRPr="0032704E">
              <w:rPr>
                <w:b/>
              </w:rPr>
              <w:t>1</w:t>
            </w:r>
          </w:p>
        </w:tc>
        <w:tc>
          <w:tcPr>
            <w:tcW w:w="1503" w:type="dxa"/>
          </w:tcPr>
          <w:p w14:paraId="43851EC4" w14:textId="77777777" w:rsidR="00726C45" w:rsidRPr="0032704E" w:rsidRDefault="00726C45" w:rsidP="00A37677"/>
        </w:tc>
        <w:tc>
          <w:tcPr>
            <w:tcW w:w="1503" w:type="dxa"/>
          </w:tcPr>
          <w:p w14:paraId="64FA2B41" w14:textId="77777777" w:rsidR="00726C45" w:rsidRPr="0032704E" w:rsidRDefault="00726C45" w:rsidP="00A37677"/>
        </w:tc>
        <w:tc>
          <w:tcPr>
            <w:tcW w:w="1503" w:type="dxa"/>
          </w:tcPr>
          <w:p w14:paraId="6C5A4596" w14:textId="77777777" w:rsidR="00726C45" w:rsidRPr="0032704E" w:rsidRDefault="00726C45" w:rsidP="00A37677"/>
        </w:tc>
        <w:tc>
          <w:tcPr>
            <w:tcW w:w="1503" w:type="dxa"/>
          </w:tcPr>
          <w:p w14:paraId="5E2C77B0" w14:textId="77777777" w:rsidR="00726C45" w:rsidRPr="0032704E" w:rsidRDefault="00726C45" w:rsidP="00A37677"/>
        </w:tc>
      </w:tr>
      <w:tr w:rsidR="00726C45" w:rsidRPr="0032704E" w14:paraId="04B7A92B" w14:textId="77777777" w:rsidTr="00A37677">
        <w:tc>
          <w:tcPr>
            <w:tcW w:w="1502" w:type="dxa"/>
          </w:tcPr>
          <w:p w14:paraId="5A4E34D3" w14:textId="77777777" w:rsidR="00726C45" w:rsidRPr="0032704E" w:rsidRDefault="00726C45" w:rsidP="00A37677">
            <w:pPr>
              <w:rPr>
                <w:b/>
              </w:rPr>
            </w:pPr>
            <w:r w:rsidRPr="0032704E">
              <w:rPr>
                <w:b/>
              </w:rPr>
              <w:t>Income</w:t>
            </w:r>
          </w:p>
        </w:tc>
        <w:tc>
          <w:tcPr>
            <w:tcW w:w="1502" w:type="dxa"/>
          </w:tcPr>
          <w:p w14:paraId="054D6018" w14:textId="77777777" w:rsidR="00726C45" w:rsidRPr="0032704E" w:rsidRDefault="00726C45" w:rsidP="00A37677">
            <w:r w:rsidRPr="0032704E">
              <w:t>-0.1142</w:t>
            </w:r>
          </w:p>
        </w:tc>
        <w:tc>
          <w:tcPr>
            <w:tcW w:w="1503" w:type="dxa"/>
          </w:tcPr>
          <w:p w14:paraId="046C193E" w14:textId="77777777" w:rsidR="00726C45" w:rsidRPr="0032704E" w:rsidRDefault="00726C45" w:rsidP="00A37677">
            <w:pPr>
              <w:rPr>
                <w:b/>
              </w:rPr>
            </w:pPr>
            <w:r w:rsidRPr="0032704E">
              <w:rPr>
                <w:b/>
              </w:rPr>
              <w:t>1</w:t>
            </w:r>
          </w:p>
        </w:tc>
        <w:tc>
          <w:tcPr>
            <w:tcW w:w="1503" w:type="dxa"/>
          </w:tcPr>
          <w:p w14:paraId="42110C8E" w14:textId="77777777" w:rsidR="00726C45" w:rsidRPr="0032704E" w:rsidRDefault="00726C45" w:rsidP="00A37677"/>
        </w:tc>
        <w:tc>
          <w:tcPr>
            <w:tcW w:w="1503" w:type="dxa"/>
          </w:tcPr>
          <w:p w14:paraId="231B83CC" w14:textId="77777777" w:rsidR="00726C45" w:rsidRPr="0032704E" w:rsidRDefault="00726C45" w:rsidP="00A37677"/>
        </w:tc>
        <w:tc>
          <w:tcPr>
            <w:tcW w:w="1503" w:type="dxa"/>
          </w:tcPr>
          <w:p w14:paraId="719BE546" w14:textId="77777777" w:rsidR="00726C45" w:rsidRPr="0032704E" w:rsidRDefault="00726C45" w:rsidP="00A37677"/>
        </w:tc>
      </w:tr>
      <w:tr w:rsidR="00726C45" w:rsidRPr="0032704E" w14:paraId="3D96AF9E" w14:textId="77777777" w:rsidTr="00A37677">
        <w:tc>
          <w:tcPr>
            <w:tcW w:w="1502" w:type="dxa"/>
          </w:tcPr>
          <w:p w14:paraId="14E1781E" w14:textId="77777777" w:rsidR="00726C45" w:rsidRPr="0032704E" w:rsidRDefault="00726C45" w:rsidP="00A37677">
            <w:pPr>
              <w:rPr>
                <w:b/>
              </w:rPr>
            </w:pPr>
            <w:r w:rsidRPr="0032704E">
              <w:rPr>
                <w:b/>
              </w:rPr>
              <w:t>Political interest</w:t>
            </w:r>
          </w:p>
        </w:tc>
        <w:tc>
          <w:tcPr>
            <w:tcW w:w="1502" w:type="dxa"/>
          </w:tcPr>
          <w:p w14:paraId="28C9D1CB" w14:textId="77777777" w:rsidR="00726C45" w:rsidRPr="0032704E" w:rsidRDefault="00726C45" w:rsidP="00A37677">
            <w:r w:rsidRPr="0032704E">
              <w:t>0.0712</w:t>
            </w:r>
          </w:p>
        </w:tc>
        <w:tc>
          <w:tcPr>
            <w:tcW w:w="1503" w:type="dxa"/>
          </w:tcPr>
          <w:p w14:paraId="618229BE" w14:textId="77777777" w:rsidR="00726C45" w:rsidRPr="0032704E" w:rsidRDefault="00726C45" w:rsidP="00A37677">
            <w:r w:rsidRPr="0032704E">
              <w:t>0.0796</w:t>
            </w:r>
          </w:p>
        </w:tc>
        <w:tc>
          <w:tcPr>
            <w:tcW w:w="1503" w:type="dxa"/>
          </w:tcPr>
          <w:p w14:paraId="5988456C" w14:textId="77777777" w:rsidR="00726C45" w:rsidRPr="0032704E" w:rsidRDefault="00726C45" w:rsidP="00A37677">
            <w:pPr>
              <w:rPr>
                <w:b/>
              </w:rPr>
            </w:pPr>
            <w:r w:rsidRPr="0032704E">
              <w:rPr>
                <w:b/>
              </w:rPr>
              <w:t>1</w:t>
            </w:r>
          </w:p>
        </w:tc>
        <w:tc>
          <w:tcPr>
            <w:tcW w:w="1503" w:type="dxa"/>
          </w:tcPr>
          <w:p w14:paraId="5BDC338C" w14:textId="77777777" w:rsidR="00726C45" w:rsidRPr="0032704E" w:rsidRDefault="00726C45" w:rsidP="00A37677"/>
        </w:tc>
        <w:tc>
          <w:tcPr>
            <w:tcW w:w="1503" w:type="dxa"/>
          </w:tcPr>
          <w:p w14:paraId="29B2709B" w14:textId="77777777" w:rsidR="00726C45" w:rsidRPr="0032704E" w:rsidRDefault="00726C45" w:rsidP="00A37677"/>
        </w:tc>
      </w:tr>
      <w:tr w:rsidR="00726C45" w:rsidRPr="0032704E" w14:paraId="400EE998" w14:textId="77777777" w:rsidTr="00A37677">
        <w:tc>
          <w:tcPr>
            <w:tcW w:w="1502" w:type="dxa"/>
          </w:tcPr>
          <w:p w14:paraId="58DC1AE9" w14:textId="77777777" w:rsidR="00726C45" w:rsidRPr="0032704E" w:rsidRDefault="00726C45" w:rsidP="00A37677">
            <w:pPr>
              <w:rPr>
                <w:b/>
              </w:rPr>
            </w:pPr>
            <w:r w:rsidRPr="0032704E">
              <w:rPr>
                <w:b/>
              </w:rPr>
              <w:t>Institutional trust</w:t>
            </w:r>
          </w:p>
        </w:tc>
        <w:tc>
          <w:tcPr>
            <w:tcW w:w="1502" w:type="dxa"/>
          </w:tcPr>
          <w:p w14:paraId="0F0146AC" w14:textId="77777777" w:rsidR="00726C45" w:rsidRPr="0032704E" w:rsidRDefault="00726C45" w:rsidP="00A37677">
            <w:r w:rsidRPr="0032704E">
              <w:t>0.0291</w:t>
            </w:r>
          </w:p>
        </w:tc>
        <w:tc>
          <w:tcPr>
            <w:tcW w:w="1503" w:type="dxa"/>
          </w:tcPr>
          <w:p w14:paraId="3F00E8C9" w14:textId="77777777" w:rsidR="00726C45" w:rsidRPr="0032704E" w:rsidRDefault="00726C45" w:rsidP="00A37677">
            <w:r w:rsidRPr="0032704E">
              <w:t>0.0307</w:t>
            </w:r>
          </w:p>
        </w:tc>
        <w:tc>
          <w:tcPr>
            <w:tcW w:w="1503" w:type="dxa"/>
          </w:tcPr>
          <w:p w14:paraId="20EF389E" w14:textId="77777777" w:rsidR="00726C45" w:rsidRPr="0032704E" w:rsidRDefault="00726C45" w:rsidP="00A37677">
            <w:r w:rsidRPr="0032704E">
              <w:t>0.1843</w:t>
            </w:r>
          </w:p>
        </w:tc>
        <w:tc>
          <w:tcPr>
            <w:tcW w:w="1503" w:type="dxa"/>
          </w:tcPr>
          <w:p w14:paraId="145BD7D3" w14:textId="77777777" w:rsidR="00726C45" w:rsidRPr="0032704E" w:rsidRDefault="00726C45" w:rsidP="00A37677">
            <w:pPr>
              <w:rPr>
                <w:b/>
              </w:rPr>
            </w:pPr>
            <w:r w:rsidRPr="0032704E">
              <w:rPr>
                <w:b/>
              </w:rPr>
              <w:t>1</w:t>
            </w:r>
          </w:p>
        </w:tc>
        <w:tc>
          <w:tcPr>
            <w:tcW w:w="1503" w:type="dxa"/>
          </w:tcPr>
          <w:p w14:paraId="227365A3" w14:textId="77777777" w:rsidR="00726C45" w:rsidRPr="0032704E" w:rsidRDefault="00726C45" w:rsidP="00A37677"/>
        </w:tc>
      </w:tr>
      <w:tr w:rsidR="00726C45" w:rsidRPr="0032704E" w14:paraId="67E57A65" w14:textId="77777777" w:rsidTr="00A37677">
        <w:tc>
          <w:tcPr>
            <w:tcW w:w="1502" w:type="dxa"/>
          </w:tcPr>
          <w:p w14:paraId="17243BB8" w14:textId="77777777" w:rsidR="00726C45" w:rsidRPr="0032704E" w:rsidRDefault="00726C45" w:rsidP="00A37677">
            <w:pPr>
              <w:rPr>
                <w:b/>
              </w:rPr>
            </w:pPr>
            <w:r w:rsidRPr="0032704E">
              <w:rPr>
                <w:b/>
              </w:rPr>
              <w:t xml:space="preserve">Religiosity </w:t>
            </w:r>
          </w:p>
        </w:tc>
        <w:tc>
          <w:tcPr>
            <w:tcW w:w="1502" w:type="dxa"/>
          </w:tcPr>
          <w:p w14:paraId="6413D0F7" w14:textId="77777777" w:rsidR="00726C45" w:rsidRPr="0032704E" w:rsidRDefault="00726C45" w:rsidP="00A37677">
            <w:r w:rsidRPr="0032704E">
              <w:t>0.1409</w:t>
            </w:r>
          </w:p>
        </w:tc>
        <w:tc>
          <w:tcPr>
            <w:tcW w:w="1503" w:type="dxa"/>
          </w:tcPr>
          <w:p w14:paraId="67448CBD" w14:textId="77777777" w:rsidR="00726C45" w:rsidRPr="0032704E" w:rsidRDefault="00726C45" w:rsidP="00A37677">
            <w:r w:rsidRPr="0032704E">
              <w:t>-0.0495</w:t>
            </w:r>
          </w:p>
        </w:tc>
        <w:tc>
          <w:tcPr>
            <w:tcW w:w="1503" w:type="dxa"/>
          </w:tcPr>
          <w:p w14:paraId="4BD815E9" w14:textId="77777777" w:rsidR="00726C45" w:rsidRPr="0032704E" w:rsidRDefault="00726C45" w:rsidP="00A37677">
            <w:r w:rsidRPr="0032704E">
              <w:t>0.0506</w:t>
            </w:r>
          </w:p>
        </w:tc>
        <w:tc>
          <w:tcPr>
            <w:tcW w:w="1503" w:type="dxa"/>
          </w:tcPr>
          <w:p w14:paraId="3BCD7106" w14:textId="77777777" w:rsidR="00726C45" w:rsidRPr="0032704E" w:rsidRDefault="00726C45" w:rsidP="00A37677">
            <w:r w:rsidRPr="0032704E">
              <w:t>0.0871</w:t>
            </w:r>
          </w:p>
        </w:tc>
        <w:tc>
          <w:tcPr>
            <w:tcW w:w="1503" w:type="dxa"/>
          </w:tcPr>
          <w:p w14:paraId="5375C3CD" w14:textId="77777777" w:rsidR="00726C45" w:rsidRPr="0032704E" w:rsidRDefault="00726C45" w:rsidP="00A37677">
            <w:pPr>
              <w:rPr>
                <w:b/>
              </w:rPr>
            </w:pPr>
            <w:r w:rsidRPr="0032704E">
              <w:rPr>
                <w:b/>
              </w:rPr>
              <w:t>1</w:t>
            </w:r>
          </w:p>
        </w:tc>
      </w:tr>
    </w:tbl>
    <w:p w14:paraId="6995563F" w14:textId="77777777" w:rsidR="00726C45" w:rsidRDefault="00726C45" w:rsidP="00726C45">
      <w:pPr>
        <w:rPr>
          <w:b/>
        </w:rPr>
      </w:pPr>
    </w:p>
    <w:p w14:paraId="211A9BC2" w14:textId="77777777" w:rsidR="00726C45" w:rsidRDefault="00726C45" w:rsidP="00726C45">
      <w:pPr>
        <w:rPr>
          <w:b/>
        </w:rPr>
      </w:pPr>
      <w:r>
        <w:rPr>
          <w:b/>
        </w:rPr>
        <w:t>Figure C2: Correlation results for national level scalar variables (all correlations are significant at the 0.05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750"/>
        <w:gridCol w:w="1883"/>
        <w:gridCol w:w="1703"/>
        <w:gridCol w:w="1631"/>
      </w:tblGrid>
      <w:tr w:rsidR="00726C45" w14:paraId="3246FD6D" w14:textId="77777777" w:rsidTr="00A37677">
        <w:tc>
          <w:tcPr>
            <w:tcW w:w="1737" w:type="dxa"/>
          </w:tcPr>
          <w:p w14:paraId="14D63865" w14:textId="77777777" w:rsidR="00726C45" w:rsidRDefault="00726C45" w:rsidP="00A37677">
            <w:pPr>
              <w:rPr>
                <w:b/>
              </w:rPr>
            </w:pPr>
          </w:p>
        </w:tc>
        <w:tc>
          <w:tcPr>
            <w:tcW w:w="1837" w:type="dxa"/>
          </w:tcPr>
          <w:p w14:paraId="793E4923" w14:textId="77777777" w:rsidR="00726C45" w:rsidRDefault="00726C45" w:rsidP="00A37677">
            <w:pPr>
              <w:rPr>
                <w:b/>
              </w:rPr>
            </w:pPr>
            <w:r>
              <w:rPr>
                <w:b/>
              </w:rPr>
              <w:t>HDI</w:t>
            </w:r>
          </w:p>
        </w:tc>
        <w:tc>
          <w:tcPr>
            <w:tcW w:w="1968" w:type="dxa"/>
          </w:tcPr>
          <w:p w14:paraId="6588CABC" w14:textId="77777777" w:rsidR="00726C45" w:rsidRDefault="00726C45" w:rsidP="00A37677">
            <w:pPr>
              <w:rPr>
                <w:b/>
              </w:rPr>
            </w:pPr>
            <w:r>
              <w:rPr>
                <w:b/>
              </w:rPr>
              <w:t>Press Freedom</w:t>
            </w:r>
          </w:p>
        </w:tc>
        <w:tc>
          <w:tcPr>
            <w:tcW w:w="1737" w:type="dxa"/>
          </w:tcPr>
          <w:p w14:paraId="4BD6746C" w14:textId="77777777" w:rsidR="00726C45" w:rsidRDefault="00726C45" w:rsidP="00A37677">
            <w:pPr>
              <w:rPr>
                <w:b/>
              </w:rPr>
            </w:pPr>
            <w:r>
              <w:rPr>
                <w:b/>
              </w:rPr>
              <w:t>Democratic History</w:t>
            </w:r>
          </w:p>
        </w:tc>
        <w:tc>
          <w:tcPr>
            <w:tcW w:w="1737" w:type="dxa"/>
          </w:tcPr>
          <w:p w14:paraId="7D3D432D" w14:textId="77777777" w:rsidR="00726C45" w:rsidRDefault="00726C45" w:rsidP="00A37677">
            <w:pPr>
              <w:rPr>
                <w:b/>
              </w:rPr>
            </w:pPr>
            <w:r>
              <w:rPr>
                <w:b/>
              </w:rPr>
              <w:t>GINI</w:t>
            </w:r>
          </w:p>
        </w:tc>
      </w:tr>
      <w:tr w:rsidR="00726C45" w14:paraId="4B1AC514" w14:textId="77777777" w:rsidTr="00A37677">
        <w:tc>
          <w:tcPr>
            <w:tcW w:w="1737" w:type="dxa"/>
          </w:tcPr>
          <w:p w14:paraId="6874FD9C" w14:textId="77777777" w:rsidR="00726C45" w:rsidRDefault="00726C45" w:rsidP="00A37677">
            <w:pPr>
              <w:rPr>
                <w:b/>
              </w:rPr>
            </w:pPr>
            <w:r>
              <w:rPr>
                <w:b/>
              </w:rPr>
              <w:t>HDI</w:t>
            </w:r>
          </w:p>
        </w:tc>
        <w:tc>
          <w:tcPr>
            <w:tcW w:w="1837" w:type="dxa"/>
          </w:tcPr>
          <w:p w14:paraId="6B3240A8" w14:textId="77777777" w:rsidR="00726C45" w:rsidRDefault="00726C45" w:rsidP="00A37677">
            <w:pPr>
              <w:rPr>
                <w:b/>
              </w:rPr>
            </w:pPr>
            <w:r>
              <w:rPr>
                <w:b/>
              </w:rPr>
              <w:t>1</w:t>
            </w:r>
          </w:p>
        </w:tc>
        <w:tc>
          <w:tcPr>
            <w:tcW w:w="1968" w:type="dxa"/>
          </w:tcPr>
          <w:p w14:paraId="01E757F5" w14:textId="77777777" w:rsidR="00726C45" w:rsidRDefault="00726C45" w:rsidP="00A37677">
            <w:pPr>
              <w:rPr>
                <w:b/>
              </w:rPr>
            </w:pPr>
          </w:p>
        </w:tc>
        <w:tc>
          <w:tcPr>
            <w:tcW w:w="1737" w:type="dxa"/>
          </w:tcPr>
          <w:p w14:paraId="23260D46" w14:textId="77777777" w:rsidR="00726C45" w:rsidRDefault="00726C45" w:rsidP="00A37677">
            <w:pPr>
              <w:rPr>
                <w:b/>
              </w:rPr>
            </w:pPr>
          </w:p>
        </w:tc>
        <w:tc>
          <w:tcPr>
            <w:tcW w:w="1737" w:type="dxa"/>
          </w:tcPr>
          <w:p w14:paraId="05D803E9" w14:textId="77777777" w:rsidR="00726C45" w:rsidRDefault="00726C45" w:rsidP="00A37677">
            <w:pPr>
              <w:rPr>
                <w:b/>
              </w:rPr>
            </w:pPr>
          </w:p>
        </w:tc>
      </w:tr>
      <w:tr w:rsidR="00726C45" w14:paraId="6D694177" w14:textId="77777777" w:rsidTr="00A37677">
        <w:tc>
          <w:tcPr>
            <w:tcW w:w="1737" w:type="dxa"/>
          </w:tcPr>
          <w:p w14:paraId="5D077C63" w14:textId="77777777" w:rsidR="00726C45" w:rsidRDefault="00726C45" w:rsidP="00A37677">
            <w:pPr>
              <w:rPr>
                <w:b/>
              </w:rPr>
            </w:pPr>
            <w:r>
              <w:rPr>
                <w:b/>
              </w:rPr>
              <w:t>Press Freedom</w:t>
            </w:r>
          </w:p>
        </w:tc>
        <w:tc>
          <w:tcPr>
            <w:tcW w:w="1837" w:type="dxa"/>
          </w:tcPr>
          <w:p w14:paraId="033BBFEE" w14:textId="77777777" w:rsidR="00726C45" w:rsidRPr="00F01834" w:rsidRDefault="00726C45" w:rsidP="00A37677">
            <w:r w:rsidRPr="00F01834">
              <w:t>0.4015</w:t>
            </w:r>
          </w:p>
        </w:tc>
        <w:tc>
          <w:tcPr>
            <w:tcW w:w="1968" w:type="dxa"/>
          </w:tcPr>
          <w:p w14:paraId="263EB866" w14:textId="77777777" w:rsidR="00726C45" w:rsidRDefault="00726C45" w:rsidP="00A37677">
            <w:pPr>
              <w:rPr>
                <w:b/>
              </w:rPr>
            </w:pPr>
            <w:r>
              <w:rPr>
                <w:b/>
              </w:rPr>
              <w:t>1</w:t>
            </w:r>
          </w:p>
        </w:tc>
        <w:tc>
          <w:tcPr>
            <w:tcW w:w="1737" w:type="dxa"/>
          </w:tcPr>
          <w:p w14:paraId="4F34D79B" w14:textId="77777777" w:rsidR="00726C45" w:rsidRDefault="00726C45" w:rsidP="00A37677">
            <w:pPr>
              <w:rPr>
                <w:b/>
              </w:rPr>
            </w:pPr>
          </w:p>
        </w:tc>
        <w:tc>
          <w:tcPr>
            <w:tcW w:w="1737" w:type="dxa"/>
          </w:tcPr>
          <w:p w14:paraId="394028C8" w14:textId="77777777" w:rsidR="00726C45" w:rsidRDefault="00726C45" w:rsidP="00A37677">
            <w:pPr>
              <w:rPr>
                <w:b/>
              </w:rPr>
            </w:pPr>
          </w:p>
        </w:tc>
      </w:tr>
      <w:tr w:rsidR="00726C45" w14:paraId="1AD8AB44" w14:textId="77777777" w:rsidTr="00A37677">
        <w:tc>
          <w:tcPr>
            <w:tcW w:w="1737" w:type="dxa"/>
          </w:tcPr>
          <w:p w14:paraId="7A017700" w14:textId="77777777" w:rsidR="00726C45" w:rsidRDefault="00726C45" w:rsidP="00A37677">
            <w:pPr>
              <w:rPr>
                <w:b/>
              </w:rPr>
            </w:pPr>
            <w:r>
              <w:rPr>
                <w:b/>
              </w:rPr>
              <w:t>Democratic History</w:t>
            </w:r>
          </w:p>
        </w:tc>
        <w:tc>
          <w:tcPr>
            <w:tcW w:w="1837" w:type="dxa"/>
          </w:tcPr>
          <w:p w14:paraId="253F361C" w14:textId="77777777" w:rsidR="00726C45" w:rsidRPr="00F01834" w:rsidRDefault="00726C45" w:rsidP="00A37677">
            <w:r w:rsidRPr="00F01834">
              <w:t>0.67531</w:t>
            </w:r>
          </w:p>
        </w:tc>
        <w:tc>
          <w:tcPr>
            <w:tcW w:w="1968" w:type="dxa"/>
          </w:tcPr>
          <w:p w14:paraId="050B946F" w14:textId="77777777" w:rsidR="00726C45" w:rsidRPr="00F01834" w:rsidRDefault="00726C45" w:rsidP="00A37677">
            <w:r w:rsidRPr="00F01834">
              <w:t>0.6463</w:t>
            </w:r>
          </w:p>
        </w:tc>
        <w:tc>
          <w:tcPr>
            <w:tcW w:w="1737" w:type="dxa"/>
          </w:tcPr>
          <w:p w14:paraId="284A2C02" w14:textId="77777777" w:rsidR="00726C45" w:rsidRDefault="00726C45" w:rsidP="00A37677">
            <w:pPr>
              <w:rPr>
                <w:b/>
              </w:rPr>
            </w:pPr>
            <w:r>
              <w:rPr>
                <w:b/>
              </w:rPr>
              <w:t>1</w:t>
            </w:r>
          </w:p>
        </w:tc>
        <w:tc>
          <w:tcPr>
            <w:tcW w:w="1737" w:type="dxa"/>
          </w:tcPr>
          <w:p w14:paraId="40871FB8" w14:textId="77777777" w:rsidR="00726C45" w:rsidRDefault="00726C45" w:rsidP="00A37677">
            <w:pPr>
              <w:rPr>
                <w:b/>
              </w:rPr>
            </w:pPr>
          </w:p>
        </w:tc>
      </w:tr>
      <w:tr w:rsidR="00726C45" w14:paraId="2423811D" w14:textId="77777777" w:rsidTr="00A37677">
        <w:tc>
          <w:tcPr>
            <w:tcW w:w="1737" w:type="dxa"/>
          </w:tcPr>
          <w:p w14:paraId="052F05E1" w14:textId="77777777" w:rsidR="00726C45" w:rsidRDefault="00726C45" w:rsidP="00A37677">
            <w:pPr>
              <w:rPr>
                <w:b/>
              </w:rPr>
            </w:pPr>
            <w:r>
              <w:rPr>
                <w:b/>
              </w:rPr>
              <w:t>GINI</w:t>
            </w:r>
          </w:p>
        </w:tc>
        <w:tc>
          <w:tcPr>
            <w:tcW w:w="1837" w:type="dxa"/>
          </w:tcPr>
          <w:p w14:paraId="780148B9" w14:textId="77777777" w:rsidR="00726C45" w:rsidRPr="00F01834" w:rsidRDefault="00726C45" w:rsidP="00A37677">
            <w:r w:rsidRPr="00F01834">
              <w:t>-0.3616</w:t>
            </w:r>
          </w:p>
        </w:tc>
        <w:tc>
          <w:tcPr>
            <w:tcW w:w="1968" w:type="dxa"/>
          </w:tcPr>
          <w:p w14:paraId="644FE60E" w14:textId="77777777" w:rsidR="00726C45" w:rsidRPr="00F01834" w:rsidRDefault="00726C45" w:rsidP="00A37677">
            <w:r w:rsidRPr="00F01834">
              <w:t>-0.0810</w:t>
            </w:r>
          </w:p>
        </w:tc>
        <w:tc>
          <w:tcPr>
            <w:tcW w:w="1737" w:type="dxa"/>
          </w:tcPr>
          <w:p w14:paraId="683982DF" w14:textId="77777777" w:rsidR="00726C45" w:rsidRPr="00F01834" w:rsidRDefault="00726C45" w:rsidP="00A37677">
            <w:r w:rsidRPr="00F01834">
              <w:t>-0.2610</w:t>
            </w:r>
          </w:p>
        </w:tc>
        <w:tc>
          <w:tcPr>
            <w:tcW w:w="1737" w:type="dxa"/>
          </w:tcPr>
          <w:p w14:paraId="015E9269" w14:textId="77777777" w:rsidR="00726C45" w:rsidRDefault="00726C45" w:rsidP="00A37677">
            <w:pPr>
              <w:rPr>
                <w:b/>
              </w:rPr>
            </w:pPr>
            <w:r>
              <w:rPr>
                <w:b/>
              </w:rPr>
              <w:t>1</w:t>
            </w:r>
          </w:p>
        </w:tc>
      </w:tr>
    </w:tbl>
    <w:p w14:paraId="011D0D82" w14:textId="77777777" w:rsidR="00726C45" w:rsidRDefault="00726C45" w:rsidP="00726C45">
      <w:pPr>
        <w:rPr>
          <w:b/>
        </w:rPr>
      </w:pPr>
    </w:p>
    <w:p w14:paraId="6C83C71E" w14:textId="77777777" w:rsidR="00726C45" w:rsidRDefault="00726C45" w:rsidP="00726C45">
      <w:pPr>
        <w:rPr>
          <w:b/>
        </w:rPr>
      </w:pPr>
      <w:r>
        <w:rPr>
          <w:b/>
        </w:rPr>
        <w:t>Figure C3: Full interaction MLM result: Models Compound (C)7 and Authoritarian (A)7 expanded to include Income*HDI, Income*GINI and Income*GINI*HDI</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0"/>
        <w:gridCol w:w="1180"/>
        <w:gridCol w:w="1180"/>
        <w:gridCol w:w="1181"/>
        <w:gridCol w:w="1181"/>
        <w:gridCol w:w="1180"/>
        <w:gridCol w:w="1183"/>
      </w:tblGrid>
      <w:tr w:rsidR="00726C45" w:rsidRPr="005A3AB9" w14:paraId="6AEB880D" w14:textId="77777777" w:rsidTr="00A37677">
        <w:trPr>
          <w:trHeight w:val="321"/>
        </w:trPr>
        <w:tc>
          <w:tcPr>
            <w:tcW w:w="2690" w:type="dxa"/>
          </w:tcPr>
          <w:p w14:paraId="167AC99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7085" w:type="dxa"/>
            <w:gridSpan w:val="6"/>
          </w:tcPr>
          <w:p w14:paraId="7F93FA05" w14:textId="77777777" w:rsidR="00726C45" w:rsidRPr="00D33F11" w:rsidRDefault="00726C45" w:rsidP="00A37677">
            <w:pPr>
              <w:widowControl w:val="0"/>
              <w:autoSpaceDE w:val="0"/>
              <w:autoSpaceDN w:val="0"/>
              <w:adjustRightInd w:val="0"/>
              <w:spacing w:line="240" w:lineRule="auto"/>
              <w:jc w:val="center"/>
              <w:rPr>
                <w:rFonts w:cs="Segoe UI"/>
                <w:b/>
                <w:sz w:val="20"/>
                <w:szCs w:val="20"/>
                <w:lang w:val="en-US"/>
              </w:rPr>
            </w:pPr>
            <w:r w:rsidRPr="00D33F11">
              <w:rPr>
                <w:rFonts w:cs="Segoe UI"/>
                <w:b/>
                <w:sz w:val="20"/>
                <w:szCs w:val="20"/>
                <w:lang w:val="en-US"/>
              </w:rPr>
              <w:t xml:space="preserve">Multilevel Mixed-Effects </w:t>
            </w:r>
            <w:r>
              <w:rPr>
                <w:rFonts w:cs="Segoe UI"/>
                <w:b/>
                <w:sz w:val="20"/>
                <w:szCs w:val="20"/>
                <w:lang w:val="en-US"/>
              </w:rPr>
              <w:t xml:space="preserve">Interaction </w:t>
            </w:r>
            <w:r w:rsidRPr="00D33F11">
              <w:rPr>
                <w:rFonts w:cs="Segoe UI"/>
                <w:b/>
                <w:sz w:val="20"/>
                <w:szCs w:val="20"/>
                <w:lang w:val="en-US"/>
              </w:rPr>
              <w:t>Model</w:t>
            </w:r>
            <w:r>
              <w:rPr>
                <w:rFonts w:cs="Segoe UI"/>
                <w:b/>
                <w:sz w:val="20"/>
                <w:szCs w:val="20"/>
                <w:lang w:val="en-US"/>
              </w:rPr>
              <w:t xml:space="preserve">s </w:t>
            </w:r>
          </w:p>
        </w:tc>
      </w:tr>
      <w:tr w:rsidR="00726C45" w:rsidRPr="005A3AB9" w14:paraId="5086CBC2" w14:textId="77777777" w:rsidTr="00A37677">
        <w:trPr>
          <w:trHeight w:val="321"/>
        </w:trPr>
        <w:tc>
          <w:tcPr>
            <w:tcW w:w="2690" w:type="dxa"/>
          </w:tcPr>
          <w:p w14:paraId="68CF4CD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2360" w:type="dxa"/>
            <w:gridSpan w:val="2"/>
          </w:tcPr>
          <w:p w14:paraId="73C3A028" w14:textId="77777777" w:rsidR="00726C45" w:rsidRPr="00D33F11"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Income*HDI</w:t>
            </w:r>
          </w:p>
        </w:tc>
        <w:tc>
          <w:tcPr>
            <w:tcW w:w="2362" w:type="dxa"/>
            <w:gridSpan w:val="2"/>
          </w:tcPr>
          <w:p w14:paraId="32E40662" w14:textId="77777777" w:rsidR="00726C45" w:rsidRPr="00D33F11"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Income*GINI</w:t>
            </w:r>
          </w:p>
        </w:tc>
        <w:tc>
          <w:tcPr>
            <w:tcW w:w="2363" w:type="dxa"/>
            <w:gridSpan w:val="2"/>
          </w:tcPr>
          <w:p w14:paraId="70D5AE26" w14:textId="77777777" w:rsidR="00726C45" w:rsidRPr="00D33F11"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Income*GINI*HDI</w:t>
            </w:r>
          </w:p>
        </w:tc>
      </w:tr>
      <w:tr w:rsidR="00726C45" w:rsidRPr="005A3AB9" w14:paraId="02A74DC0" w14:textId="77777777" w:rsidTr="00A37677">
        <w:trPr>
          <w:trHeight w:val="321"/>
        </w:trPr>
        <w:tc>
          <w:tcPr>
            <w:tcW w:w="2690" w:type="dxa"/>
          </w:tcPr>
          <w:p w14:paraId="5E43B74D" w14:textId="77777777" w:rsidR="00726C45" w:rsidRPr="005A3AB9" w:rsidRDefault="00726C45" w:rsidP="00A37677">
            <w:pPr>
              <w:widowControl w:val="0"/>
              <w:autoSpaceDE w:val="0"/>
              <w:autoSpaceDN w:val="0"/>
              <w:adjustRightInd w:val="0"/>
              <w:spacing w:line="240" w:lineRule="auto"/>
              <w:rPr>
                <w:rFonts w:cs="Segoe UI"/>
                <w:b/>
                <w:i/>
                <w:sz w:val="20"/>
                <w:szCs w:val="20"/>
                <w:lang w:val="en-US"/>
              </w:rPr>
            </w:pPr>
            <w:r w:rsidRPr="005A3AB9">
              <w:rPr>
                <w:rFonts w:cs="Segoe UI"/>
                <w:b/>
                <w:i/>
                <w:sz w:val="20"/>
                <w:szCs w:val="20"/>
                <w:lang w:val="en-US"/>
              </w:rPr>
              <w:t>Individual Level</w:t>
            </w:r>
          </w:p>
        </w:tc>
        <w:tc>
          <w:tcPr>
            <w:tcW w:w="1180" w:type="dxa"/>
          </w:tcPr>
          <w:p w14:paraId="66DBFF67" w14:textId="77777777" w:rsidR="00726C45" w:rsidRPr="00D36F3D"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C</w:t>
            </w:r>
          </w:p>
        </w:tc>
        <w:tc>
          <w:tcPr>
            <w:tcW w:w="1180" w:type="dxa"/>
          </w:tcPr>
          <w:p w14:paraId="20E20AFB" w14:textId="77777777" w:rsidR="00726C45" w:rsidRPr="004D1FA4"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A</w:t>
            </w:r>
          </w:p>
        </w:tc>
        <w:tc>
          <w:tcPr>
            <w:tcW w:w="1181" w:type="dxa"/>
          </w:tcPr>
          <w:p w14:paraId="1ACBFCA1" w14:textId="77777777" w:rsidR="00726C45" w:rsidRPr="00675571"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C</w:t>
            </w:r>
          </w:p>
        </w:tc>
        <w:tc>
          <w:tcPr>
            <w:tcW w:w="1181" w:type="dxa"/>
          </w:tcPr>
          <w:p w14:paraId="1EA75DDE" w14:textId="77777777" w:rsidR="00726C45" w:rsidRPr="00675571"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A</w:t>
            </w:r>
          </w:p>
        </w:tc>
        <w:tc>
          <w:tcPr>
            <w:tcW w:w="1180" w:type="dxa"/>
          </w:tcPr>
          <w:p w14:paraId="15C8DC07" w14:textId="77777777" w:rsidR="00726C45" w:rsidRPr="00322ACA"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C</w:t>
            </w:r>
          </w:p>
        </w:tc>
        <w:tc>
          <w:tcPr>
            <w:tcW w:w="1183" w:type="dxa"/>
          </w:tcPr>
          <w:p w14:paraId="55ADABDE" w14:textId="77777777" w:rsidR="00726C45" w:rsidRPr="00322ACA"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A</w:t>
            </w:r>
          </w:p>
        </w:tc>
      </w:tr>
      <w:tr w:rsidR="00726C45" w:rsidRPr="005A3AB9" w14:paraId="4DACC31C" w14:textId="77777777" w:rsidTr="00A37677">
        <w:trPr>
          <w:trHeight w:val="321"/>
        </w:trPr>
        <w:tc>
          <w:tcPr>
            <w:tcW w:w="2690" w:type="dxa"/>
            <w:shd w:val="clear" w:color="auto" w:fill="F2F2F2" w:themeFill="background1" w:themeFillShade="F2"/>
          </w:tcPr>
          <w:p w14:paraId="675E7A0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Age</w:t>
            </w:r>
          </w:p>
        </w:tc>
        <w:tc>
          <w:tcPr>
            <w:tcW w:w="1180" w:type="dxa"/>
            <w:shd w:val="clear" w:color="auto" w:fill="F2F2F2" w:themeFill="background1" w:themeFillShade="F2"/>
          </w:tcPr>
          <w:p w14:paraId="2E7BDF4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61322A0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0" w:type="dxa"/>
            <w:shd w:val="clear" w:color="auto" w:fill="F2F2F2" w:themeFill="background1" w:themeFillShade="F2"/>
          </w:tcPr>
          <w:p w14:paraId="5C83D41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486D60D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1" w:type="dxa"/>
            <w:shd w:val="clear" w:color="auto" w:fill="F2F2F2" w:themeFill="background1" w:themeFillShade="F2"/>
          </w:tcPr>
          <w:p w14:paraId="2729A93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044DA64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1" w:type="dxa"/>
            <w:shd w:val="clear" w:color="auto" w:fill="F2F2F2" w:themeFill="background1" w:themeFillShade="F2"/>
          </w:tcPr>
          <w:p w14:paraId="31EFEE7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5C9B554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0" w:type="dxa"/>
            <w:shd w:val="clear" w:color="auto" w:fill="F2F2F2" w:themeFill="background1" w:themeFillShade="F2"/>
          </w:tcPr>
          <w:p w14:paraId="4E23FBD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5580EF3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3" w:type="dxa"/>
            <w:shd w:val="clear" w:color="auto" w:fill="F2F2F2" w:themeFill="background1" w:themeFillShade="F2"/>
          </w:tcPr>
          <w:p w14:paraId="4E6542A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1DBBEE2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r>
      <w:tr w:rsidR="00726C45" w:rsidRPr="005A3AB9" w14:paraId="6A62F573" w14:textId="77777777" w:rsidTr="00A37677">
        <w:trPr>
          <w:trHeight w:val="321"/>
        </w:trPr>
        <w:tc>
          <w:tcPr>
            <w:tcW w:w="2690" w:type="dxa"/>
            <w:shd w:val="clear" w:color="auto" w:fill="F2F2F2" w:themeFill="background1" w:themeFillShade="F2"/>
          </w:tcPr>
          <w:p w14:paraId="77C5DAB1"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Age-squared</w:t>
            </w:r>
          </w:p>
        </w:tc>
        <w:tc>
          <w:tcPr>
            <w:tcW w:w="1180" w:type="dxa"/>
            <w:shd w:val="clear" w:color="auto" w:fill="F2F2F2" w:themeFill="background1" w:themeFillShade="F2"/>
          </w:tcPr>
          <w:p w14:paraId="7C63AA1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1682177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0" w:type="dxa"/>
            <w:shd w:val="clear" w:color="auto" w:fill="F2F2F2" w:themeFill="background1" w:themeFillShade="F2"/>
          </w:tcPr>
          <w:p w14:paraId="17CA1C1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3FA4C0F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1" w:type="dxa"/>
            <w:shd w:val="clear" w:color="auto" w:fill="F2F2F2" w:themeFill="background1" w:themeFillShade="F2"/>
          </w:tcPr>
          <w:p w14:paraId="2E8B0A4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271579F8"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1" w:type="dxa"/>
            <w:shd w:val="clear" w:color="auto" w:fill="F2F2F2" w:themeFill="background1" w:themeFillShade="F2"/>
          </w:tcPr>
          <w:p w14:paraId="7DF4D97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354770D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0" w:type="dxa"/>
            <w:shd w:val="clear" w:color="auto" w:fill="F2F2F2" w:themeFill="background1" w:themeFillShade="F2"/>
          </w:tcPr>
          <w:p w14:paraId="10BFB99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263FFAD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183" w:type="dxa"/>
            <w:shd w:val="clear" w:color="auto" w:fill="F2F2F2" w:themeFill="background1" w:themeFillShade="F2"/>
          </w:tcPr>
          <w:p w14:paraId="7F872F9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003AC9F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r>
      <w:tr w:rsidR="00726C45" w:rsidRPr="005A3AB9" w14:paraId="28CC3D61" w14:textId="77777777" w:rsidTr="00A37677">
        <w:trPr>
          <w:trHeight w:val="321"/>
        </w:trPr>
        <w:tc>
          <w:tcPr>
            <w:tcW w:w="2690" w:type="dxa"/>
            <w:shd w:val="clear" w:color="auto" w:fill="F2F2F2" w:themeFill="background1" w:themeFillShade="F2"/>
          </w:tcPr>
          <w:p w14:paraId="716F2C1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Gender (Ref=</w:t>
            </w:r>
            <w:r w:rsidRPr="005A3AB9">
              <w:rPr>
                <w:rFonts w:cs="Segoe UI"/>
                <w:i/>
                <w:sz w:val="20"/>
                <w:szCs w:val="20"/>
                <w:lang w:val="en-US"/>
              </w:rPr>
              <w:t>Female</w:t>
            </w:r>
            <w:r w:rsidRPr="005A3AB9">
              <w:rPr>
                <w:rFonts w:cs="Segoe UI"/>
                <w:sz w:val="20"/>
                <w:szCs w:val="20"/>
                <w:lang w:val="en-US"/>
              </w:rPr>
              <w:t>)</w:t>
            </w:r>
          </w:p>
        </w:tc>
        <w:tc>
          <w:tcPr>
            <w:tcW w:w="1180" w:type="dxa"/>
            <w:shd w:val="clear" w:color="auto" w:fill="F2F2F2" w:themeFill="background1" w:themeFillShade="F2"/>
          </w:tcPr>
          <w:p w14:paraId="50FC865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02BA92C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0" w:type="dxa"/>
            <w:shd w:val="clear" w:color="auto" w:fill="F2F2F2" w:themeFill="background1" w:themeFillShade="F2"/>
          </w:tcPr>
          <w:p w14:paraId="4A9E51C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36B35B6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1" w:type="dxa"/>
            <w:shd w:val="clear" w:color="auto" w:fill="F2F2F2" w:themeFill="background1" w:themeFillShade="F2"/>
          </w:tcPr>
          <w:p w14:paraId="19C6DD7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7D2B87B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1" w:type="dxa"/>
            <w:shd w:val="clear" w:color="auto" w:fill="F2F2F2" w:themeFill="background1" w:themeFillShade="F2"/>
          </w:tcPr>
          <w:p w14:paraId="0A02044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0A6B8D7D"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0" w:type="dxa"/>
            <w:shd w:val="clear" w:color="auto" w:fill="F2F2F2" w:themeFill="background1" w:themeFillShade="F2"/>
          </w:tcPr>
          <w:p w14:paraId="5B1F988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662B3BA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3" w:type="dxa"/>
            <w:shd w:val="clear" w:color="auto" w:fill="F2F2F2" w:themeFill="background1" w:themeFillShade="F2"/>
          </w:tcPr>
          <w:p w14:paraId="239C298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38F1A178"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r>
      <w:tr w:rsidR="00726C45" w:rsidRPr="005A3AB9" w14:paraId="57B7070B" w14:textId="77777777" w:rsidTr="00A37677">
        <w:trPr>
          <w:trHeight w:val="321"/>
        </w:trPr>
        <w:tc>
          <w:tcPr>
            <w:tcW w:w="2690" w:type="dxa"/>
          </w:tcPr>
          <w:p w14:paraId="3E5B8256"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r w:rsidRPr="005A3AB9">
              <w:rPr>
                <w:rFonts w:cs="Segoe UI"/>
                <w:b/>
                <w:sz w:val="20"/>
                <w:szCs w:val="20"/>
                <w:lang w:val="en-US"/>
              </w:rPr>
              <w:t>Modernization</w:t>
            </w:r>
          </w:p>
        </w:tc>
        <w:tc>
          <w:tcPr>
            <w:tcW w:w="1180" w:type="dxa"/>
          </w:tcPr>
          <w:p w14:paraId="57A3FDC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494A86C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4B21DDA1"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6D40590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58A559A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3" w:type="dxa"/>
          </w:tcPr>
          <w:p w14:paraId="5A6E621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r>
      <w:tr w:rsidR="00726C45" w:rsidRPr="005A3AB9" w14:paraId="05F52881" w14:textId="77777777" w:rsidTr="00A37677">
        <w:trPr>
          <w:trHeight w:val="321"/>
        </w:trPr>
        <w:tc>
          <w:tcPr>
            <w:tcW w:w="2690" w:type="dxa"/>
          </w:tcPr>
          <w:p w14:paraId="23960B4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Education (Ref=</w:t>
            </w:r>
            <w:r w:rsidRPr="005A3AB9">
              <w:rPr>
                <w:rFonts w:cs="Segoe UI"/>
                <w:i/>
                <w:sz w:val="20"/>
                <w:szCs w:val="20"/>
                <w:lang w:val="en-US"/>
              </w:rPr>
              <w:t>Lower</w:t>
            </w:r>
            <w:r w:rsidRPr="005A3AB9">
              <w:rPr>
                <w:rFonts w:cs="Segoe UI"/>
                <w:sz w:val="20"/>
                <w:szCs w:val="20"/>
                <w:lang w:val="en-US"/>
              </w:rPr>
              <w:t>)</w:t>
            </w:r>
          </w:p>
        </w:tc>
        <w:tc>
          <w:tcPr>
            <w:tcW w:w="1180" w:type="dxa"/>
          </w:tcPr>
          <w:p w14:paraId="4E3BC4A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65F3883D"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4ABE82F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09B44DA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6512B68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3" w:type="dxa"/>
          </w:tcPr>
          <w:p w14:paraId="19F2781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r>
      <w:tr w:rsidR="00726C45" w:rsidRPr="005A3AB9" w14:paraId="2496DC50" w14:textId="77777777" w:rsidTr="00A37677">
        <w:trPr>
          <w:trHeight w:val="321"/>
        </w:trPr>
        <w:tc>
          <w:tcPr>
            <w:tcW w:w="2690" w:type="dxa"/>
          </w:tcPr>
          <w:p w14:paraId="291F87CD" w14:textId="77777777" w:rsidR="00726C45" w:rsidRPr="005A3AB9" w:rsidRDefault="00726C45" w:rsidP="00A37677">
            <w:pPr>
              <w:widowControl w:val="0"/>
              <w:autoSpaceDE w:val="0"/>
              <w:autoSpaceDN w:val="0"/>
              <w:adjustRightInd w:val="0"/>
              <w:spacing w:line="240" w:lineRule="auto"/>
              <w:rPr>
                <w:rFonts w:cs="Segoe UI"/>
                <w:i/>
                <w:sz w:val="20"/>
                <w:szCs w:val="20"/>
                <w:lang w:val="en-US"/>
              </w:rPr>
            </w:pPr>
            <w:r w:rsidRPr="005A3AB9">
              <w:rPr>
                <w:rFonts w:cs="Segoe UI"/>
                <w:i/>
                <w:sz w:val="20"/>
                <w:szCs w:val="20"/>
                <w:lang w:val="en-US"/>
              </w:rPr>
              <w:t>Middle</w:t>
            </w:r>
          </w:p>
        </w:tc>
        <w:tc>
          <w:tcPr>
            <w:tcW w:w="1180" w:type="dxa"/>
          </w:tcPr>
          <w:p w14:paraId="39A97A0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 (0.03</w:t>
            </w:r>
            <w:r w:rsidRPr="005A3AB9">
              <w:rPr>
                <w:rFonts w:cs="Segoe UI"/>
                <w:sz w:val="20"/>
                <w:szCs w:val="20"/>
                <w:lang w:val="en-US"/>
              </w:rPr>
              <w:t>)</w:t>
            </w:r>
          </w:p>
        </w:tc>
        <w:tc>
          <w:tcPr>
            <w:tcW w:w="1180" w:type="dxa"/>
          </w:tcPr>
          <w:p w14:paraId="35BAF4A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-0.25*** (0.03</w:t>
            </w:r>
            <w:r w:rsidRPr="005A3AB9">
              <w:rPr>
                <w:rFonts w:cs="Segoe UI"/>
                <w:sz w:val="20"/>
                <w:szCs w:val="20"/>
                <w:lang w:val="en-US"/>
              </w:rPr>
              <w:t>)</w:t>
            </w:r>
          </w:p>
        </w:tc>
        <w:tc>
          <w:tcPr>
            <w:tcW w:w="1181" w:type="dxa"/>
          </w:tcPr>
          <w:p w14:paraId="60484E2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 (0.03</w:t>
            </w:r>
            <w:r w:rsidRPr="005A3AB9">
              <w:rPr>
                <w:rFonts w:cs="Segoe UI"/>
                <w:sz w:val="20"/>
                <w:szCs w:val="20"/>
                <w:lang w:val="en-US"/>
              </w:rPr>
              <w:t>)</w:t>
            </w:r>
          </w:p>
        </w:tc>
        <w:tc>
          <w:tcPr>
            <w:tcW w:w="1181" w:type="dxa"/>
          </w:tcPr>
          <w:p w14:paraId="50EC3EA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-0.25*** (0.03</w:t>
            </w:r>
            <w:r w:rsidRPr="005A3AB9">
              <w:rPr>
                <w:rFonts w:cs="Segoe UI"/>
                <w:sz w:val="20"/>
                <w:szCs w:val="20"/>
                <w:lang w:val="en-US"/>
              </w:rPr>
              <w:t>)</w:t>
            </w:r>
          </w:p>
        </w:tc>
        <w:tc>
          <w:tcPr>
            <w:tcW w:w="1180" w:type="dxa"/>
          </w:tcPr>
          <w:p w14:paraId="122CAE37"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 (0.03</w:t>
            </w:r>
            <w:r w:rsidRPr="005A3AB9">
              <w:rPr>
                <w:rFonts w:cs="Segoe UI"/>
                <w:sz w:val="20"/>
                <w:szCs w:val="20"/>
                <w:lang w:val="en-US"/>
              </w:rPr>
              <w:t>)</w:t>
            </w:r>
          </w:p>
        </w:tc>
        <w:tc>
          <w:tcPr>
            <w:tcW w:w="1183" w:type="dxa"/>
          </w:tcPr>
          <w:p w14:paraId="57243F2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-0.25*** (0.03</w:t>
            </w:r>
            <w:r w:rsidRPr="005A3AB9">
              <w:rPr>
                <w:rFonts w:cs="Segoe UI"/>
                <w:sz w:val="20"/>
                <w:szCs w:val="20"/>
                <w:lang w:val="en-US"/>
              </w:rPr>
              <w:t>)</w:t>
            </w:r>
          </w:p>
        </w:tc>
      </w:tr>
      <w:tr w:rsidR="00726C45" w:rsidRPr="005A3AB9" w14:paraId="583EBDE4" w14:textId="77777777" w:rsidTr="00A37677">
        <w:trPr>
          <w:trHeight w:val="321"/>
        </w:trPr>
        <w:tc>
          <w:tcPr>
            <w:tcW w:w="2690" w:type="dxa"/>
          </w:tcPr>
          <w:p w14:paraId="4A8E9E30" w14:textId="77777777" w:rsidR="00726C45" w:rsidRPr="005A3AB9" w:rsidRDefault="00726C45" w:rsidP="00A37677">
            <w:pPr>
              <w:widowControl w:val="0"/>
              <w:autoSpaceDE w:val="0"/>
              <w:autoSpaceDN w:val="0"/>
              <w:adjustRightInd w:val="0"/>
              <w:spacing w:line="240" w:lineRule="auto"/>
              <w:rPr>
                <w:rFonts w:cs="Segoe UI"/>
                <w:i/>
                <w:sz w:val="20"/>
                <w:szCs w:val="20"/>
                <w:lang w:val="en-US"/>
              </w:rPr>
            </w:pPr>
            <w:r w:rsidRPr="005A3AB9">
              <w:rPr>
                <w:rFonts w:cs="Segoe UI"/>
                <w:i/>
                <w:sz w:val="20"/>
                <w:szCs w:val="20"/>
                <w:lang w:val="en-US"/>
              </w:rPr>
              <w:t>Higher</w:t>
            </w:r>
          </w:p>
        </w:tc>
        <w:tc>
          <w:tcPr>
            <w:tcW w:w="1180" w:type="dxa"/>
          </w:tcPr>
          <w:p w14:paraId="5C5768F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0.22***</w:t>
            </w:r>
          </w:p>
          <w:p w14:paraId="206270D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180" w:type="dxa"/>
          </w:tcPr>
          <w:p w14:paraId="7B8EFEC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-0.61***</w:t>
            </w:r>
          </w:p>
          <w:p w14:paraId="37D0237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c>
          <w:tcPr>
            <w:tcW w:w="1181" w:type="dxa"/>
          </w:tcPr>
          <w:p w14:paraId="46EDF8C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0.22***</w:t>
            </w:r>
          </w:p>
          <w:p w14:paraId="326DD4F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181" w:type="dxa"/>
          </w:tcPr>
          <w:p w14:paraId="3A90E0E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-0.61***</w:t>
            </w:r>
          </w:p>
          <w:p w14:paraId="6311B6F7"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c>
          <w:tcPr>
            <w:tcW w:w="1180" w:type="dxa"/>
          </w:tcPr>
          <w:p w14:paraId="39A51DE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0.22***</w:t>
            </w:r>
          </w:p>
          <w:p w14:paraId="0E78667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183" w:type="dxa"/>
          </w:tcPr>
          <w:p w14:paraId="3C004E6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-0.61***</w:t>
            </w:r>
          </w:p>
          <w:p w14:paraId="72CDB251"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r>
      <w:tr w:rsidR="00726C45" w:rsidRPr="005A3AB9" w14:paraId="35DE1A0F" w14:textId="77777777" w:rsidTr="00A37677">
        <w:trPr>
          <w:trHeight w:val="321"/>
        </w:trPr>
        <w:tc>
          <w:tcPr>
            <w:tcW w:w="2690" w:type="dxa"/>
          </w:tcPr>
          <w:p w14:paraId="7A07C66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Income (1-10)</w:t>
            </w:r>
          </w:p>
        </w:tc>
        <w:tc>
          <w:tcPr>
            <w:tcW w:w="1180" w:type="dxa"/>
          </w:tcPr>
          <w:p w14:paraId="1752E01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 xml:space="preserve">-0.10*** </w:t>
            </w:r>
            <w:r w:rsidRPr="005A3AB9">
              <w:rPr>
                <w:rFonts w:cs="Segoe UI"/>
                <w:sz w:val="20"/>
                <w:szCs w:val="20"/>
                <w:lang w:val="en-US"/>
              </w:rPr>
              <w:t>(0.00)</w:t>
            </w:r>
          </w:p>
        </w:tc>
        <w:tc>
          <w:tcPr>
            <w:tcW w:w="1180" w:type="dxa"/>
          </w:tcPr>
          <w:p w14:paraId="616CA70D"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 (0.02</w:t>
            </w:r>
            <w:r w:rsidRPr="005A3AB9">
              <w:rPr>
                <w:rFonts w:cs="Segoe UI"/>
                <w:sz w:val="20"/>
                <w:szCs w:val="20"/>
                <w:lang w:val="en-US"/>
              </w:rPr>
              <w:t>)</w:t>
            </w:r>
          </w:p>
        </w:tc>
        <w:tc>
          <w:tcPr>
            <w:tcW w:w="1181" w:type="dxa"/>
          </w:tcPr>
          <w:p w14:paraId="20519AD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  (0.01</w:t>
            </w:r>
            <w:r w:rsidRPr="005A3AB9">
              <w:rPr>
                <w:rFonts w:cs="Segoe UI"/>
                <w:sz w:val="20"/>
                <w:szCs w:val="20"/>
                <w:lang w:val="en-US"/>
              </w:rPr>
              <w:t>)</w:t>
            </w:r>
          </w:p>
        </w:tc>
        <w:tc>
          <w:tcPr>
            <w:tcW w:w="1181" w:type="dxa"/>
          </w:tcPr>
          <w:p w14:paraId="75AE841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 (0.02</w:t>
            </w:r>
            <w:r w:rsidRPr="005A3AB9">
              <w:rPr>
                <w:rFonts w:cs="Segoe UI"/>
                <w:sz w:val="20"/>
                <w:szCs w:val="20"/>
                <w:lang w:val="en-US"/>
              </w:rPr>
              <w:t>)</w:t>
            </w:r>
          </w:p>
        </w:tc>
        <w:tc>
          <w:tcPr>
            <w:tcW w:w="1180" w:type="dxa"/>
          </w:tcPr>
          <w:p w14:paraId="430D8F7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  (0.02</w:t>
            </w:r>
            <w:r w:rsidRPr="005A3AB9">
              <w:rPr>
                <w:rFonts w:cs="Segoe UI"/>
                <w:sz w:val="20"/>
                <w:szCs w:val="20"/>
                <w:lang w:val="en-US"/>
              </w:rPr>
              <w:t>)</w:t>
            </w:r>
          </w:p>
        </w:tc>
        <w:tc>
          <w:tcPr>
            <w:tcW w:w="1183" w:type="dxa"/>
          </w:tcPr>
          <w:p w14:paraId="7A44A0E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   (0.03</w:t>
            </w:r>
            <w:r w:rsidRPr="005A3AB9">
              <w:rPr>
                <w:rFonts w:cs="Segoe UI"/>
                <w:sz w:val="20"/>
                <w:szCs w:val="20"/>
                <w:lang w:val="en-US"/>
              </w:rPr>
              <w:t>)</w:t>
            </w:r>
          </w:p>
        </w:tc>
      </w:tr>
      <w:tr w:rsidR="00726C45" w:rsidRPr="005A3AB9" w14:paraId="1C1141B4" w14:textId="77777777" w:rsidTr="00A37677">
        <w:trPr>
          <w:trHeight w:val="321"/>
        </w:trPr>
        <w:tc>
          <w:tcPr>
            <w:tcW w:w="2690" w:type="dxa"/>
            <w:shd w:val="clear" w:color="auto" w:fill="F2F2F2" w:themeFill="background1" w:themeFillShade="F2"/>
          </w:tcPr>
          <w:p w14:paraId="249A7E67"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r>
              <w:rPr>
                <w:rFonts w:cs="Segoe UI"/>
                <w:b/>
                <w:sz w:val="20"/>
                <w:szCs w:val="20"/>
                <w:lang w:val="en-US"/>
              </w:rPr>
              <w:t>Cog.</w:t>
            </w:r>
            <w:r w:rsidRPr="005A3AB9">
              <w:rPr>
                <w:rFonts w:cs="Segoe UI"/>
                <w:b/>
                <w:sz w:val="20"/>
                <w:szCs w:val="20"/>
                <w:lang w:val="en-US"/>
              </w:rPr>
              <w:t xml:space="preserve"> Engagement</w:t>
            </w:r>
          </w:p>
        </w:tc>
        <w:tc>
          <w:tcPr>
            <w:tcW w:w="1180" w:type="dxa"/>
            <w:shd w:val="clear" w:color="auto" w:fill="F2F2F2" w:themeFill="background1" w:themeFillShade="F2"/>
          </w:tcPr>
          <w:p w14:paraId="55EFFDCC"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p>
        </w:tc>
        <w:tc>
          <w:tcPr>
            <w:tcW w:w="1180" w:type="dxa"/>
            <w:shd w:val="clear" w:color="auto" w:fill="F2F2F2" w:themeFill="background1" w:themeFillShade="F2"/>
          </w:tcPr>
          <w:p w14:paraId="72E866C7"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p>
        </w:tc>
        <w:tc>
          <w:tcPr>
            <w:tcW w:w="1181" w:type="dxa"/>
            <w:shd w:val="clear" w:color="auto" w:fill="F2F2F2" w:themeFill="background1" w:themeFillShade="F2"/>
          </w:tcPr>
          <w:p w14:paraId="58BBE12B"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p>
        </w:tc>
        <w:tc>
          <w:tcPr>
            <w:tcW w:w="1181" w:type="dxa"/>
            <w:shd w:val="clear" w:color="auto" w:fill="F2F2F2" w:themeFill="background1" w:themeFillShade="F2"/>
          </w:tcPr>
          <w:p w14:paraId="3ABA18A5"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p>
        </w:tc>
        <w:tc>
          <w:tcPr>
            <w:tcW w:w="1180" w:type="dxa"/>
            <w:shd w:val="clear" w:color="auto" w:fill="F2F2F2" w:themeFill="background1" w:themeFillShade="F2"/>
          </w:tcPr>
          <w:p w14:paraId="10504C9C"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p>
        </w:tc>
        <w:tc>
          <w:tcPr>
            <w:tcW w:w="1183" w:type="dxa"/>
            <w:shd w:val="clear" w:color="auto" w:fill="F2F2F2" w:themeFill="background1" w:themeFillShade="F2"/>
          </w:tcPr>
          <w:p w14:paraId="7397A7E7"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p>
        </w:tc>
      </w:tr>
      <w:tr w:rsidR="00726C45" w:rsidRPr="005A3AB9" w14:paraId="6B760AEF" w14:textId="77777777" w:rsidTr="00A37677">
        <w:trPr>
          <w:trHeight w:val="321"/>
        </w:trPr>
        <w:tc>
          <w:tcPr>
            <w:tcW w:w="2690" w:type="dxa"/>
            <w:shd w:val="clear" w:color="auto" w:fill="F2F2F2" w:themeFill="background1" w:themeFillShade="F2"/>
          </w:tcPr>
          <w:p w14:paraId="5D1268B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Political Interest (1-10)</w:t>
            </w:r>
          </w:p>
        </w:tc>
        <w:tc>
          <w:tcPr>
            <w:tcW w:w="1180" w:type="dxa"/>
            <w:shd w:val="clear" w:color="auto" w:fill="F2F2F2" w:themeFill="background1" w:themeFillShade="F2"/>
          </w:tcPr>
          <w:p w14:paraId="2648E60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sidRPr="00083452">
              <w:rPr>
                <w:rFonts w:cs="Segoe UI"/>
                <w:sz w:val="20"/>
                <w:szCs w:val="20"/>
                <w:lang w:val="en-US"/>
              </w:rPr>
              <w:t xml:space="preserve"> </w:t>
            </w:r>
            <w:r>
              <w:rPr>
                <w:rFonts w:cs="Segoe UI"/>
                <w:sz w:val="20"/>
                <w:szCs w:val="20"/>
                <w:lang w:val="en-US"/>
              </w:rPr>
              <w:t>(0.01)</w:t>
            </w:r>
          </w:p>
        </w:tc>
        <w:tc>
          <w:tcPr>
            <w:tcW w:w="1180" w:type="dxa"/>
            <w:shd w:val="clear" w:color="auto" w:fill="F2F2F2" w:themeFill="background1" w:themeFillShade="F2"/>
          </w:tcPr>
          <w:p w14:paraId="55ADDD21"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sidRPr="00083452">
              <w:rPr>
                <w:rFonts w:cs="Segoe UI"/>
                <w:sz w:val="20"/>
                <w:szCs w:val="20"/>
                <w:lang w:val="en-US"/>
              </w:rPr>
              <w:t xml:space="preserve"> </w:t>
            </w:r>
            <w:r>
              <w:rPr>
                <w:rFonts w:cs="Segoe UI"/>
                <w:sz w:val="20"/>
                <w:szCs w:val="20"/>
                <w:lang w:val="en-US"/>
              </w:rPr>
              <w:t>(0.01)</w:t>
            </w:r>
          </w:p>
        </w:tc>
        <w:tc>
          <w:tcPr>
            <w:tcW w:w="1181" w:type="dxa"/>
            <w:shd w:val="clear" w:color="auto" w:fill="F2F2F2" w:themeFill="background1" w:themeFillShade="F2"/>
          </w:tcPr>
          <w:p w14:paraId="0A09307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sidRPr="00083452">
              <w:rPr>
                <w:rFonts w:cs="Segoe UI"/>
                <w:sz w:val="20"/>
                <w:szCs w:val="20"/>
                <w:lang w:val="en-US"/>
              </w:rPr>
              <w:t xml:space="preserve"> </w:t>
            </w:r>
            <w:r>
              <w:rPr>
                <w:rFonts w:cs="Segoe UI"/>
                <w:sz w:val="20"/>
                <w:szCs w:val="20"/>
                <w:lang w:val="en-US"/>
              </w:rPr>
              <w:t>(0.01)</w:t>
            </w:r>
          </w:p>
        </w:tc>
        <w:tc>
          <w:tcPr>
            <w:tcW w:w="1181" w:type="dxa"/>
            <w:shd w:val="clear" w:color="auto" w:fill="F2F2F2" w:themeFill="background1" w:themeFillShade="F2"/>
          </w:tcPr>
          <w:p w14:paraId="1D958AF8"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sidRPr="00083452">
              <w:rPr>
                <w:rFonts w:cs="Segoe UI"/>
                <w:sz w:val="20"/>
                <w:szCs w:val="20"/>
                <w:lang w:val="en-US"/>
              </w:rPr>
              <w:t xml:space="preserve"> </w:t>
            </w:r>
            <w:r>
              <w:rPr>
                <w:rFonts w:cs="Segoe UI"/>
                <w:sz w:val="20"/>
                <w:szCs w:val="20"/>
                <w:lang w:val="en-US"/>
              </w:rPr>
              <w:t>(0.01)</w:t>
            </w:r>
          </w:p>
        </w:tc>
        <w:tc>
          <w:tcPr>
            <w:tcW w:w="1180" w:type="dxa"/>
            <w:shd w:val="clear" w:color="auto" w:fill="F2F2F2" w:themeFill="background1" w:themeFillShade="F2"/>
          </w:tcPr>
          <w:p w14:paraId="0D010CF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sidRPr="00083452">
              <w:rPr>
                <w:rFonts w:cs="Segoe UI"/>
                <w:sz w:val="20"/>
                <w:szCs w:val="20"/>
                <w:lang w:val="en-US"/>
              </w:rPr>
              <w:t xml:space="preserve"> </w:t>
            </w:r>
            <w:r>
              <w:rPr>
                <w:rFonts w:cs="Segoe UI"/>
                <w:sz w:val="20"/>
                <w:szCs w:val="20"/>
                <w:lang w:val="en-US"/>
              </w:rPr>
              <w:t>(0.01)</w:t>
            </w:r>
          </w:p>
        </w:tc>
        <w:tc>
          <w:tcPr>
            <w:tcW w:w="1183" w:type="dxa"/>
            <w:shd w:val="clear" w:color="auto" w:fill="F2F2F2" w:themeFill="background1" w:themeFillShade="F2"/>
          </w:tcPr>
          <w:p w14:paraId="7C5BDE8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sidRPr="00083452">
              <w:rPr>
                <w:rFonts w:cs="Segoe UI"/>
                <w:sz w:val="20"/>
                <w:szCs w:val="20"/>
                <w:lang w:val="en-US"/>
              </w:rPr>
              <w:t xml:space="preserve"> </w:t>
            </w:r>
            <w:r>
              <w:rPr>
                <w:rFonts w:cs="Segoe UI"/>
                <w:sz w:val="20"/>
                <w:szCs w:val="20"/>
                <w:lang w:val="en-US"/>
              </w:rPr>
              <w:t>(0.01)</w:t>
            </w:r>
          </w:p>
        </w:tc>
      </w:tr>
      <w:tr w:rsidR="00726C45" w:rsidRPr="005A3AB9" w14:paraId="254FAFFA" w14:textId="77777777" w:rsidTr="00A37677">
        <w:trPr>
          <w:trHeight w:val="321"/>
        </w:trPr>
        <w:tc>
          <w:tcPr>
            <w:tcW w:w="2690" w:type="dxa"/>
            <w:shd w:val="clear" w:color="auto" w:fill="F2F2F2" w:themeFill="background1" w:themeFillShade="F2"/>
          </w:tcPr>
          <w:p w14:paraId="2A8E5DC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Media Use (Ref=</w:t>
            </w:r>
            <w:r w:rsidRPr="005A3AB9">
              <w:rPr>
                <w:rFonts w:cs="Segoe UI"/>
                <w:i/>
                <w:sz w:val="20"/>
                <w:szCs w:val="20"/>
                <w:lang w:val="en-US"/>
              </w:rPr>
              <w:t>None</w:t>
            </w:r>
            <w:r w:rsidRPr="005A3AB9">
              <w:rPr>
                <w:rFonts w:cs="Segoe UI"/>
                <w:sz w:val="20"/>
                <w:szCs w:val="20"/>
                <w:lang w:val="en-US"/>
              </w:rPr>
              <w:t>)</w:t>
            </w:r>
          </w:p>
        </w:tc>
        <w:tc>
          <w:tcPr>
            <w:tcW w:w="1180" w:type="dxa"/>
            <w:shd w:val="clear" w:color="auto" w:fill="F2F2F2" w:themeFill="background1" w:themeFillShade="F2"/>
          </w:tcPr>
          <w:p w14:paraId="32AF4A0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shd w:val="clear" w:color="auto" w:fill="F2F2F2" w:themeFill="background1" w:themeFillShade="F2"/>
          </w:tcPr>
          <w:p w14:paraId="09B76F4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shd w:val="clear" w:color="auto" w:fill="F2F2F2" w:themeFill="background1" w:themeFillShade="F2"/>
          </w:tcPr>
          <w:p w14:paraId="5D35630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shd w:val="clear" w:color="auto" w:fill="F2F2F2" w:themeFill="background1" w:themeFillShade="F2"/>
          </w:tcPr>
          <w:p w14:paraId="64256BD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shd w:val="clear" w:color="auto" w:fill="F2F2F2" w:themeFill="background1" w:themeFillShade="F2"/>
          </w:tcPr>
          <w:p w14:paraId="0AA6346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3" w:type="dxa"/>
            <w:shd w:val="clear" w:color="auto" w:fill="F2F2F2" w:themeFill="background1" w:themeFillShade="F2"/>
          </w:tcPr>
          <w:p w14:paraId="25360AF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r>
      <w:tr w:rsidR="00726C45" w:rsidRPr="005A3AB9" w14:paraId="4192BA85" w14:textId="77777777" w:rsidTr="00A37677">
        <w:trPr>
          <w:trHeight w:val="321"/>
        </w:trPr>
        <w:tc>
          <w:tcPr>
            <w:tcW w:w="2690" w:type="dxa"/>
            <w:shd w:val="clear" w:color="auto" w:fill="F2F2F2" w:themeFill="background1" w:themeFillShade="F2"/>
          </w:tcPr>
          <w:p w14:paraId="7D1EC22A" w14:textId="77777777" w:rsidR="00726C45" w:rsidRPr="005A3AB9" w:rsidRDefault="00726C45" w:rsidP="00A37677">
            <w:pPr>
              <w:widowControl w:val="0"/>
              <w:autoSpaceDE w:val="0"/>
              <w:autoSpaceDN w:val="0"/>
              <w:adjustRightInd w:val="0"/>
              <w:spacing w:line="240" w:lineRule="auto"/>
              <w:rPr>
                <w:rFonts w:cs="Segoe UI"/>
                <w:i/>
                <w:sz w:val="20"/>
                <w:szCs w:val="20"/>
                <w:lang w:val="en-US"/>
              </w:rPr>
            </w:pPr>
            <w:r w:rsidRPr="005A3AB9">
              <w:rPr>
                <w:rFonts w:cs="Segoe UI"/>
                <w:i/>
                <w:sz w:val="20"/>
                <w:szCs w:val="20"/>
                <w:lang w:val="en-US"/>
              </w:rPr>
              <w:t>1-4 Sources</w:t>
            </w:r>
          </w:p>
        </w:tc>
        <w:tc>
          <w:tcPr>
            <w:tcW w:w="1180" w:type="dxa"/>
            <w:shd w:val="clear" w:color="auto" w:fill="F2F2F2" w:themeFill="background1" w:themeFillShade="F2"/>
          </w:tcPr>
          <w:p w14:paraId="200BB5E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0.44***</w:t>
            </w:r>
          </w:p>
          <w:p w14:paraId="7C4D2C8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180" w:type="dxa"/>
            <w:shd w:val="clear" w:color="auto" w:fill="F2F2F2" w:themeFill="background1" w:themeFillShade="F2"/>
          </w:tcPr>
          <w:p w14:paraId="37B18B2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-0.18**</w:t>
            </w:r>
          </w:p>
          <w:p w14:paraId="313386C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1" w:type="dxa"/>
            <w:shd w:val="clear" w:color="auto" w:fill="F2F2F2" w:themeFill="background1" w:themeFillShade="F2"/>
          </w:tcPr>
          <w:p w14:paraId="20C6113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0.44***</w:t>
            </w:r>
          </w:p>
          <w:p w14:paraId="698FB9D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181" w:type="dxa"/>
            <w:shd w:val="clear" w:color="auto" w:fill="F2F2F2" w:themeFill="background1" w:themeFillShade="F2"/>
          </w:tcPr>
          <w:p w14:paraId="49D9F3F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-0.18**</w:t>
            </w:r>
          </w:p>
          <w:p w14:paraId="4970B8F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0" w:type="dxa"/>
            <w:shd w:val="clear" w:color="auto" w:fill="F2F2F2" w:themeFill="background1" w:themeFillShade="F2"/>
          </w:tcPr>
          <w:p w14:paraId="0475006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0.44***</w:t>
            </w:r>
          </w:p>
          <w:p w14:paraId="179E128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183" w:type="dxa"/>
            <w:shd w:val="clear" w:color="auto" w:fill="F2F2F2" w:themeFill="background1" w:themeFillShade="F2"/>
          </w:tcPr>
          <w:p w14:paraId="26391F4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-0.18**</w:t>
            </w:r>
          </w:p>
          <w:p w14:paraId="7871D20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r>
      <w:tr w:rsidR="00726C45" w:rsidRPr="005A3AB9" w14:paraId="123E6044" w14:textId="77777777" w:rsidTr="00A37677">
        <w:trPr>
          <w:trHeight w:val="321"/>
        </w:trPr>
        <w:tc>
          <w:tcPr>
            <w:tcW w:w="2690" w:type="dxa"/>
            <w:shd w:val="clear" w:color="auto" w:fill="F2F2F2" w:themeFill="background1" w:themeFillShade="F2"/>
          </w:tcPr>
          <w:p w14:paraId="350A5CDB" w14:textId="77777777" w:rsidR="00726C45" w:rsidRPr="005A3AB9" w:rsidRDefault="00726C45" w:rsidP="00A37677">
            <w:pPr>
              <w:widowControl w:val="0"/>
              <w:autoSpaceDE w:val="0"/>
              <w:autoSpaceDN w:val="0"/>
              <w:adjustRightInd w:val="0"/>
              <w:spacing w:line="240" w:lineRule="auto"/>
              <w:rPr>
                <w:rFonts w:cs="Segoe UI"/>
                <w:i/>
                <w:sz w:val="20"/>
                <w:szCs w:val="20"/>
                <w:lang w:val="en-US"/>
              </w:rPr>
            </w:pPr>
            <w:r w:rsidRPr="005A3AB9">
              <w:rPr>
                <w:rFonts w:cs="Segoe UI"/>
                <w:i/>
                <w:sz w:val="20"/>
                <w:szCs w:val="20"/>
                <w:lang w:val="en-US"/>
              </w:rPr>
              <w:t xml:space="preserve">5+ Sources </w:t>
            </w:r>
          </w:p>
        </w:tc>
        <w:tc>
          <w:tcPr>
            <w:tcW w:w="1180" w:type="dxa"/>
            <w:shd w:val="clear" w:color="auto" w:fill="F2F2F2" w:themeFill="background1" w:themeFillShade="F2"/>
          </w:tcPr>
          <w:p w14:paraId="6998FD8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0.55***</w:t>
            </w:r>
          </w:p>
          <w:p w14:paraId="2D43C258"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0" w:type="dxa"/>
            <w:shd w:val="clear" w:color="auto" w:fill="F2F2F2" w:themeFill="background1" w:themeFillShade="F2"/>
          </w:tcPr>
          <w:p w14:paraId="1B8385A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1FAC4AA4"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1" w:type="dxa"/>
            <w:shd w:val="clear" w:color="auto" w:fill="F2F2F2" w:themeFill="background1" w:themeFillShade="F2"/>
          </w:tcPr>
          <w:p w14:paraId="2FB834A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0.55***</w:t>
            </w:r>
          </w:p>
          <w:p w14:paraId="48C95BB6"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1" w:type="dxa"/>
            <w:shd w:val="clear" w:color="auto" w:fill="F2F2F2" w:themeFill="background1" w:themeFillShade="F2"/>
          </w:tcPr>
          <w:p w14:paraId="6FD03BE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2297884E"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0" w:type="dxa"/>
            <w:shd w:val="clear" w:color="auto" w:fill="F2F2F2" w:themeFill="background1" w:themeFillShade="F2"/>
          </w:tcPr>
          <w:p w14:paraId="2A54DB6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0.55***</w:t>
            </w:r>
          </w:p>
          <w:p w14:paraId="1471A156"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3" w:type="dxa"/>
            <w:shd w:val="clear" w:color="auto" w:fill="F2F2F2" w:themeFill="background1" w:themeFillShade="F2"/>
          </w:tcPr>
          <w:p w14:paraId="66472C7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5380E0D6"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r>
      <w:tr w:rsidR="00726C45" w:rsidRPr="005A3AB9" w14:paraId="439F7221" w14:textId="77777777" w:rsidTr="00A37677">
        <w:trPr>
          <w:trHeight w:val="321"/>
        </w:trPr>
        <w:tc>
          <w:tcPr>
            <w:tcW w:w="2690" w:type="dxa"/>
          </w:tcPr>
          <w:p w14:paraId="7DFFC11A"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r w:rsidRPr="005A3AB9">
              <w:rPr>
                <w:rFonts w:cs="Segoe UI"/>
                <w:b/>
                <w:sz w:val="20"/>
                <w:szCs w:val="20"/>
                <w:lang w:val="en-US"/>
              </w:rPr>
              <w:t>Social Capital</w:t>
            </w:r>
          </w:p>
        </w:tc>
        <w:tc>
          <w:tcPr>
            <w:tcW w:w="1180" w:type="dxa"/>
          </w:tcPr>
          <w:p w14:paraId="57A00FA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3286958D"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7024080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3155E60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4765F4B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3" w:type="dxa"/>
          </w:tcPr>
          <w:p w14:paraId="2D6981A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r>
      <w:tr w:rsidR="00726C45" w:rsidRPr="005A3AB9" w14:paraId="2DCB494E" w14:textId="77777777" w:rsidTr="00A37677">
        <w:trPr>
          <w:trHeight w:val="321"/>
        </w:trPr>
        <w:tc>
          <w:tcPr>
            <w:tcW w:w="2690" w:type="dxa"/>
          </w:tcPr>
          <w:p w14:paraId="56EA380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 xml:space="preserve">Trust (Ref = </w:t>
            </w:r>
            <w:r w:rsidRPr="005A3AB9">
              <w:rPr>
                <w:rFonts w:cs="Segoe UI"/>
                <w:i/>
                <w:sz w:val="20"/>
                <w:szCs w:val="20"/>
                <w:lang w:val="en-US"/>
              </w:rPr>
              <w:t>can’t be trusted</w:t>
            </w:r>
            <w:r w:rsidRPr="005A3AB9">
              <w:rPr>
                <w:rFonts w:cs="Segoe UI"/>
                <w:sz w:val="20"/>
                <w:szCs w:val="20"/>
                <w:lang w:val="en-US"/>
              </w:rPr>
              <w:t>)</w:t>
            </w:r>
          </w:p>
        </w:tc>
        <w:tc>
          <w:tcPr>
            <w:tcW w:w="1180" w:type="dxa"/>
          </w:tcPr>
          <w:p w14:paraId="727333E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(0.03</w:t>
            </w:r>
            <w:r w:rsidRPr="005A3AB9">
              <w:rPr>
                <w:rFonts w:cs="Segoe UI"/>
                <w:sz w:val="20"/>
                <w:szCs w:val="20"/>
                <w:lang w:val="en-US"/>
              </w:rPr>
              <w:t>)</w:t>
            </w:r>
          </w:p>
        </w:tc>
        <w:tc>
          <w:tcPr>
            <w:tcW w:w="1180" w:type="dxa"/>
          </w:tcPr>
          <w:p w14:paraId="489C5328"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 (0.02</w:t>
            </w:r>
            <w:r w:rsidRPr="005A3AB9">
              <w:rPr>
                <w:rFonts w:cs="Segoe UI"/>
                <w:sz w:val="20"/>
                <w:szCs w:val="20"/>
                <w:lang w:val="en-US"/>
              </w:rPr>
              <w:t>)</w:t>
            </w:r>
          </w:p>
        </w:tc>
        <w:tc>
          <w:tcPr>
            <w:tcW w:w="1181" w:type="dxa"/>
          </w:tcPr>
          <w:p w14:paraId="302EFEC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(0.03</w:t>
            </w:r>
            <w:r w:rsidRPr="005A3AB9">
              <w:rPr>
                <w:rFonts w:cs="Segoe UI"/>
                <w:sz w:val="20"/>
                <w:szCs w:val="20"/>
                <w:lang w:val="en-US"/>
              </w:rPr>
              <w:t>)</w:t>
            </w:r>
          </w:p>
        </w:tc>
        <w:tc>
          <w:tcPr>
            <w:tcW w:w="1181" w:type="dxa"/>
          </w:tcPr>
          <w:p w14:paraId="15F0B23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 (0.02</w:t>
            </w:r>
            <w:r w:rsidRPr="005A3AB9">
              <w:rPr>
                <w:rFonts w:cs="Segoe UI"/>
                <w:sz w:val="20"/>
                <w:szCs w:val="20"/>
                <w:lang w:val="en-US"/>
              </w:rPr>
              <w:t>)</w:t>
            </w:r>
          </w:p>
        </w:tc>
        <w:tc>
          <w:tcPr>
            <w:tcW w:w="1180" w:type="dxa"/>
          </w:tcPr>
          <w:p w14:paraId="4DF1E25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(0.03</w:t>
            </w:r>
            <w:r w:rsidRPr="005A3AB9">
              <w:rPr>
                <w:rFonts w:cs="Segoe UI"/>
                <w:sz w:val="20"/>
                <w:szCs w:val="20"/>
                <w:lang w:val="en-US"/>
              </w:rPr>
              <w:t>)</w:t>
            </w:r>
          </w:p>
        </w:tc>
        <w:tc>
          <w:tcPr>
            <w:tcW w:w="1183" w:type="dxa"/>
          </w:tcPr>
          <w:p w14:paraId="5384EED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 (0.02</w:t>
            </w:r>
            <w:r w:rsidRPr="005A3AB9">
              <w:rPr>
                <w:rFonts w:cs="Segoe UI"/>
                <w:sz w:val="20"/>
                <w:szCs w:val="20"/>
                <w:lang w:val="en-US"/>
              </w:rPr>
              <w:t>)</w:t>
            </w:r>
          </w:p>
        </w:tc>
      </w:tr>
      <w:tr w:rsidR="00726C45" w:rsidRPr="005A3AB9" w14:paraId="639B870F" w14:textId="77777777" w:rsidTr="00A37677">
        <w:trPr>
          <w:trHeight w:val="321"/>
        </w:trPr>
        <w:tc>
          <w:tcPr>
            <w:tcW w:w="2690" w:type="dxa"/>
          </w:tcPr>
          <w:p w14:paraId="6AC80CB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Institutional Trust (1-</w:t>
            </w:r>
            <w:r w:rsidRPr="005A3AB9">
              <w:rPr>
                <w:rFonts w:cs="Segoe UI"/>
                <w:sz w:val="20"/>
                <w:szCs w:val="20"/>
                <w:lang w:val="en-US"/>
              </w:rPr>
              <w:t>10)</w:t>
            </w:r>
          </w:p>
        </w:tc>
        <w:tc>
          <w:tcPr>
            <w:tcW w:w="1180" w:type="dxa"/>
          </w:tcPr>
          <w:p w14:paraId="179C274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5C9C09E3"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0" w:type="dxa"/>
          </w:tcPr>
          <w:p w14:paraId="693438A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136E7427"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1" w:type="dxa"/>
          </w:tcPr>
          <w:p w14:paraId="0F6ABDF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0D0625EA"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1" w:type="dxa"/>
          </w:tcPr>
          <w:p w14:paraId="3FE9478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736A688C"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0" w:type="dxa"/>
          </w:tcPr>
          <w:p w14:paraId="5439C6E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478FA80A"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183" w:type="dxa"/>
          </w:tcPr>
          <w:p w14:paraId="6D2E5C9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26A35909"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r>
      <w:tr w:rsidR="00726C45" w:rsidRPr="005A3AB9" w14:paraId="3B9EFB8C" w14:textId="77777777" w:rsidTr="00A37677">
        <w:trPr>
          <w:trHeight w:val="321"/>
        </w:trPr>
        <w:tc>
          <w:tcPr>
            <w:tcW w:w="2690" w:type="dxa"/>
          </w:tcPr>
          <w:p w14:paraId="60992DA7"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 xml:space="preserve">Group Membership (ref = </w:t>
            </w:r>
            <w:r w:rsidRPr="005A3AB9">
              <w:rPr>
                <w:rFonts w:cs="Segoe UI"/>
                <w:i/>
                <w:sz w:val="20"/>
                <w:szCs w:val="20"/>
                <w:lang w:val="en-US"/>
              </w:rPr>
              <w:t>None</w:t>
            </w:r>
            <w:r w:rsidRPr="005A3AB9">
              <w:rPr>
                <w:rFonts w:cs="Segoe UI"/>
                <w:sz w:val="20"/>
                <w:szCs w:val="20"/>
                <w:lang w:val="en-US"/>
              </w:rPr>
              <w:t>)</w:t>
            </w:r>
          </w:p>
        </w:tc>
        <w:tc>
          <w:tcPr>
            <w:tcW w:w="1180" w:type="dxa"/>
          </w:tcPr>
          <w:p w14:paraId="6F794C6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1B74615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5AC5EA8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tcPr>
          <w:p w14:paraId="75C39DF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tcPr>
          <w:p w14:paraId="6C90649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3" w:type="dxa"/>
          </w:tcPr>
          <w:p w14:paraId="7A70274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r>
      <w:tr w:rsidR="00726C45" w:rsidRPr="005A3AB9" w14:paraId="485C0442" w14:textId="77777777" w:rsidTr="00A37677">
        <w:trPr>
          <w:trHeight w:val="321"/>
        </w:trPr>
        <w:tc>
          <w:tcPr>
            <w:tcW w:w="2690" w:type="dxa"/>
          </w:tcPr>
          <w:p w14:paraId="5D250B57" w14:textId="77777777" w:rsidR="00726C45" w:rsidRPr="005A3AB9" w:rsidRDefault="00726C45" w:rsidP="00A37677">
            <w:pPr>
              <w:widowControl w:val="0"/>
              <w:autoSpaceDE w:val="0"/>
              <w:autoSpaceDN w:val="0"/>
              <w:adjustRightInd w:val="0"/>
              <w:spacing w:line="240" w:lineRule="auto"/>
              <w:rPr>
                <w:rFonts w:cs="Segoe UI"/>
                <w:i/>
                <w:sz w:val="20"/>
                <w:szCs w:val="20"/>
                <w:lang w:val="en-US"/>
              </w:rPr>
            </w:pPr>
            <w:r w:rsidRPr="005A3AB9">
              <w:rPr>
                <w:rFonts w:cs="Segoe UI"/>
                <w:i/>
                <w:sz w:val="20"/>
                <w:szCs w:val="20"/>
                <w:lang w:val="en-US"/>
              </w:rPr>
              <w:t>One</w:t>
            </w:r>
          </w:p>
        </w:tc>
        <w:tc>
          <w:tcPr>
            <w:tcW w:w="1180" w:type="dxa"/>
          </w:tcPr>
          <w:p w14:paraId="7130EE8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7D3ACC43"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0" w:type="dxa"/>
          </w:tcPr>
          <w:p w14:paraId="53BB1AD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4C02086B"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1" w:type="dxa"/>
          </w:tcPr>
          <w:p w14:paraId="0509C7F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63481E92"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1" w:type="dxa"/>
          </w:tcPr>
          <w:p w14:paraId="60C9C5D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37B6C9A7"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0" w:type="dxa"/>
          </w:tcPr>
          <w:p w14:paraId="7A62E6A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3F369BF5"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3" w:type="dxa"/>
          </w:tcPr>
          <w:p w14:paraId="2D09EE6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710ADA0C"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r>
      <w:tr w:rsidR="00726C45" w:rsidRPr="005A3AB9" w14:paraId="2567C56C" w14:textId="77777777" w:rsidTr="00A37677">
        <w:trPr>
          <w:trHeight w:val="321"/>
        </w:trPr>
        <w:tc>
          <w:tcPr>
            <w:tcW w:w="2690" w:type="dxa"/>
          </w:tcPr>
          <w:p w14:paraId="0D1C223C" w14:textId="77777777" w:rsidR="00726C45" w:rsidRPr="005A3AB9" w:rsidRDefault="00726C45" w:rsidP="00A37677">
            <w:pPr>
              <w:widowControl w:val="0"/>
              <w:autoSpaceDE w:val="0"/>
              <w:autoSpaceDN w:val="0"/>
              <w:adjustRightInd w:val="0"/>
              <w:spacing w:line="240" w:lineRule="auto"/>
              <w:rPr>
                <w:rFonts w:cs="Segoe UI"/>
                <w:i/>
                <w:sz w:val="20"/>
                <w:szCs w:val="20"/>
                <w:lang w:val="en-US"/>
              </w:rPr>
            </w:pPr>
            <w:r w:rsidRPr="005A3AB9">
              <w:rPr>
                <w:rFonts w:cs="Segoe UI"/>
                <w:i/>
                <w:sz w:val="20"/>
                <w:szCs w:val="20"/>
                <w:lang w:val="en-US"/>
              </w:rPr>
              <w:t>Two or more</w:t>
            </w:r>
          </w:p>
        </w:tc>
        <w:tc>
          <w:tcPr>
            <w:tcW w:w="1180" w:type="dxa"/>
          </w:tcPr>
          <w:p w14:paraId="0B5A0B8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1877EDB7"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0" w:type="dxa"/>
          </w:tcPr>
          <w:p w14:paraId="4BE7528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04551494"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c>
          <w:tcPr>
            <w:tcW w:w="1181" w:type="dxa"/>
          </w:tcPr>
          <w:p w14:paraId="4F0332F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48C69587"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1" w:type="dxa"/>
          </w:tcPr>
          <w:p w14:paraId="0563428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4BFCBAEB"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c>
          <w:tcPr>
            <w:tcW w:w="1180" w:type="dxa"/>
          </w:tcPr>
          <w:p w14:paraId="399B9CD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21DCCB49"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3" w:type="dxa"/>
          </w:tcPr>
          <w:p w14:paraId="2E6F679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02E4FA6C"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r>
      <w:tr w:rsidR="00726C45" w:rsidRPr="005A3AB9" w14:paraId="281DE76D" w14:textId="77777777" w:rsidTr="00A37677">
        <w:trPr>
          <w:trHeight w:val="321"/>
        </w:trPr>
        <w:tc>
          <w:tcPr>
            <w:tcW w:w="2690" w:type="dxa"/>
            <w:shd w:val="clear" w:color="auto" w:fill="F2F2F2" w:themeFill="background1" w:themeFillShade="F2"/>
          </w:tcPr>
          <w:p w14:paraId="190D7EF4" w14:textId="77777777" w:rsidR="00726C45" w:rsidRPr="005A3AB9" w:rsidRDefault="00726C45" w:rsidP="00A37677">
            <w:pPr>
              <w:widowControl w:val="0"/>
              <w:autoSpaceDE w:val="0"/>
              <w:autoSpaceDN w:val="0"/>
              <w:adjustRightInd w:val="0"/>
              <w:spacing w:line="240" w:lineRule="auto"/>
              <w:rPr>
                <w:rFonts w:cs="Segoe UI"/>
                <w:b/>
                <w:sz w:val="20"/>
                <w:szCs w:val="20"/>
                <w:lang w:val="en-US"/>
              </w:rPr>
            </w:pPr>
            <w:r w:rsidRPr="005A3AB9">
              <w:rPr>
                <w:rFonts w:cs="Segoe UI"/>
                <w:b/>
                <w:sz w:val="20"/>
                <w:szCs w:val="20"/>
                <w:lang w:val="en-US"/>
              </w:rPr>
              <w:t>Religion</w:t>
            </w:r>
          </w:p>
        </w:tc>
        <w:tc>
          <w:tcPr>
            <w:tcW w:w="1180" w:type="dxa"/>
            <w:shd w:val="clear" w:color="auto" w:fill="F2F2F2" w:themeFill="background1" w:themeFillShade="F2"/>
          </w:tcPr>
          <w:p w14:paraId="35CC226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shd w:val="clear" w:color="auto" w:fill="F2F2F2" w:themeFill="background1" w:themeFillShade="F2"/>
          </w:tcPr>
          <w:p w14:paraId="735048A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shd w:val="clear" w:color="auto" w:fill="F2F2F2" w:themeFill="background1" w:themeFillShade="F2"/>
          </w:tcPr>
          <w:p w14:paraId="6A00A90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shd w:val="clear" w:color="auto" w:fill="F2F2F2" w:themeFill="background1" w:themeFillShade="F2"/>
          </w:tcPr>
          <w:p w14:paraId="36605FF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shd w:val="clear" w:color="auto" w:fill="F2F2F2" w:themeFill="background1" w:themeFillShade="F2"/>
          </w:tcPr>
          <w:p w14:paraId="2A4E169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3" w:type="dxa"/>
            <w:shd w:val="clear" w:color="auto" w:fill="F2F2F2" w:themeFill="background1" w:themeFillShade="F2"/>
          </w:tcPr>
          <w:p w14:paraId="10C6725C"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r>
      <w:tr w:rsidR="00726C45" w:rsidRPr="005A3AB9" w14:paraId="168578B9" w14:textId="77777777" w:rsidTr="00A37677">
        <w:trPr>
          <w:trHeight w:val="321"/>
        </w:trPr>
        <w:tc>
          <w:tcPr>
            <w:tcW w:w="2690" w:type="dxa"/>
            <w:shd w:val="clear" w:color="auto" w:fill="F2F2F2" w:themeFill="background1" w:themeFillShade="F2"/>
          </w:tcPr>
          <w:p w14:paraId="1E43F65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 xml:space="preserve">Religiosity (1-10) </w:t>
            </w:r>
          </w:p>
        </w:tc>
        <w:tc>
          <w:tcPr>
            <w:tcW w:w="1180" w:type="dxa"/>
            <w:shd w:val="clear" w:color="auto" w:fill="F2F2F2" w:themeFill="background1" w:themeFillShade="F2"/>
          </w:tcPr>
          <w:p w14:paraId="304D8AB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29CE9F8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r w:rsidRPr="005A3AB9">
              <w:rPr>
                <w:rFonts w:cs="Segoe UI"/>
                <w:sz w:val="20"/>
                <w:szCs w:val="20"/>
                <w:lang w:val="en-US"/>
              </w:rPr>
              <w:t>)</w:t>
            </w:r>
          </w:p>
        </w:tc>
        <w:tc>
          <w:tcPr>
            <w:tcW w:w="1180" w:type="dxa"/>
            <w:shd w:val="clear" w:color="auto" w:fill="F2F2F2" w:themeFill="background1" w:themeFillShade="F2"/>
          </w:tcPr>
          <w:p w14:paraId="76CA3E0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47BB7447"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r w:rsidRPr="005A3AB9">
              <w:rPr>
                <w:rFonts w:cs="Segoe UI"/>
                <w:sz w:val="20"/>
                <w:szCs w:val="20"/>
                <w:lang w:val="en-US"/>
              </w:rPr>
              <w:t>)</w:t>
            </w:r>
          </w:p>
        </w:tc>
        <w:tc>
          <w:tcPr>
            <w:tcW w:w="1181" w:type="dxa"/>
            <w:shd w:val="clear" w:color="auto" w:fill="F2F2F2" w:themeFill="background1" w:themeFillShade="F2"/>
          </w:tcPr>
          <w:p w14:paraId="7D68B5D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3515B29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r w:rsidRPr="005A3AB9">
              <w:rPr>
                <w:rFonts w:cs="Segoe UI"/>
                <w:sz w:val="20"/>
                <w:szCs w:val="20"/>
                <w:lang w:val="en-US"/>
              </w:rPr>
              <w:t>)</w:t>
            </w:r>
          </w:p>
        </w:tc>
        <w:tc>
          <w:tcPr>
            <w:tcW w:w="1181" w:type="dxa"/>
            <w:shd w:val="clear" w:color="auto" w:fill="F2F2F2" w:themeFill="background1" w:themeFillShade="F2"/>
          </w:tcPr>
          <w:p w14:paraId="1C71BD8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52818A8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r w:rsidRPr="005A3AB9">
              <w:rPr>
                <w:rFonts w:cs="Segoe UI"/>
                <w:sz w:val="20"/>
                <w:szCs w:val="20"/>
                <w:lang w:val="en-US"/>
              </w:rPr>
              <w:t>)</w:t>
            </w:r>
          </w:p>
        </w:tc>
        <w:tc>
          <w:tcPr>
            <w:tcW w:w="1180" w:type="dxa"/>
            <w:shd w:val="clear" w:color="auto" w:fill="F2F2F2" w:themeFill="background1" w:themeFillShade="F2"/>
          </w:tcPr>
          <w:p w14:paraId="4EAB979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27E320B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r w:rsidRPr="005A3AB9">
              <w:rPr>
                <w:rFonts w:cs="Segoe UI"/>
                <w:sz w:val="20"/>
                <w:szCs w:val="20"/>
                <w:lang w:val="en-US"/>
              </w:rPr>
              <w:t>)</w:t>
            </w:r>
          </w:p>
        </w:tc>
        <w:tc>
          <w:tcPr>
            <w:tcW w:w="1183" w:type="dxa"/>
            <w:shd w:val="clear" w:color="auto" w:fill="F2F2F2" w:themeFill="background1" w:themeFillShade="F2"/>
          </w:tcPr>
          <w:p w14:paraId="4F6B1AC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5AEECEE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r w:rsidRPr="005A3AB9">
              <w:rPr>
                <w:rFonts w:cs="Segoe UI"/>
                <w:sz w:val="20"/>
                <w:szCs w:val="20"/>
                <w:lang w:val="en-US"/>
              </w:rPr>
              <w:t>)</w:t>
            </w:r>
          </w:p>
        </w:tc>
      </w:tr>
      <w:tr w:rsidR="00726C45" w:rsidRPr="005A3AB9" w14:paraId="7732F8C4" w14:textId="77777777" w:rsidTr="00A37677">
        <w:trPr>
          <w:trHeight w:val="321"/>
        </w:trPr>
        <w:tc>
          <w:tcPr>
            <w:tcW w:w="2690" w:type="dxa"/>
            <w:shd w:val="clear" w:color="auto" w:fill="F2F2F2" w:themeFill="background1" w:themeFillShade="F2"/>
          </w:tcPr>
          <w:p w14:paraId="19751924" w14:textId="77777777" w:rsidR="00726C45" w:rsidRPr="005A3AB9" w:rsidRDefault="00726C45" w:rsidP="00A37677">
            <w:pPr>
              <w:spacing w:line="240" w:lineRule="auto"/>
              <w:rPr>
                <w:rFonts w:cs="Segoe UI"/>
                <w:sz w:val="20"/>
                <w:szCs w:val="20"/>
              </w:rPr>
            </w:pPr>
            <w:r w:rsidRPr="005A3AB9">
              <w:rPr>
                <w:rFonts w:cs="Segoe UI"/>
                <w:sz w:val="20"/>
                <w:szCs w:val="20"/>
              </w:rPr>
              <w:t xml:space="preserve">Religion (Ref = </w:t>
            </w:r>
            <w:r w:rsidRPr="005A3AB9">
              <w:rPr>
                <w:rFonts w:cs="Segoe UI"/>
                <w:i/>
                <w:sz w:val="20"/>
                <w:szCs w:val="20"/>
              </w:rPr>
              <w:t>None</w:t>
            </w:r>
            <w:r w:rsidRPr="005A3AB9">
              <w:rPr>
                <w:rFonts w:cs="Segoe UI"/>
                <w:sz w:val="20"/>
                <w:szCs w:val="20"/>
              </w:rPr>
              <w:t>)</w:t>
            </w:r>
          </w:p>
        </w:tc>
        <w:tc>
          <w:tcPr>
            <w:tcW w:w="1180" w:type="dxa"/>
            <w:shd w:val="clear" w:color="auto" w:fill="F2F2F2" w:themeFill="background1" w:themeFillShade="F2"/>
          </w:tcPr>
          <w:p w14:paraId="3C523BF1"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shd w:val="clear" w:color="auto" w:fill="F2F2F2" w:themeFill="background1" w:themeFillShade="F2"/>
          </w:tcPr>
          <w:p w14:paraId="39D2596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shd w:val="clear" w:color="auto" w:fill="F2F2F2" w:themeFill="background1" w:themeFillShade="F2"/>
          </w:tcPr>
          <w:p w14:paraId="55BD925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1" w:type="dxa"/>
            <w:shd w:val="clear" w:color="auto" w:fill="F2F2F2" w:themeFill="background1" w:themeFillShade="F2"/>
          </w:tcPr>
          <w:p w14:paraId="64A5364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0" w:type="dxa"/>
            <w:shd w:val="clear" w:color="auto" w:fill="F2F2F2" w:themeFill="background1" w:themeFillShade="F2"/>
          </w:tcPr>
          <w:p w14:paraId="3121287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c>
          <w:tcPr>
            <w:tcW w:w="1183" w:type="dxa"/>
            <w:shd w:val="clear" w:color="auto" w:fill="F2F2F2" w:themeFill="background1" w:themeFillShade="F2"/>
          </w:tcPr>
          <w:p w14:paraId="601A978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p>
        </w:tc>
      </w:tr>
      <w:tr w:rsidR="00726C45" w:rsidRPr="005A3AB9" w14:paraId="29454198" w14:textId="77777777" w:rsidTr="00A37677">
        <w:trPr>
          <w:trHeight w:val="321"/>
        </w:trPr>
        <w:tc>
          <w:tcPr>
            <w:tcW w:w="2690" w:type="dxa"/>
            <w:shd w:val="clear" w:color="auto" w:fill="F2F2F2" w:themeFill="background1" w:themeFillShade="F2"/>
          </w:tcPr>
          <w:p w14:paraId="797E6D49" w14:textId="77777777" w:rsidR="00726C45" w:rsidRPr="005A3AB9" w:rsidRDefault="00726C45" w:rsidP="00A37677">
            <w:pPr>
              <w:spacing w:line="240" w:lineRule="auto"/>
              <w:rPr>
                <w:rFonts w:cs="Segoe UI"/>
                <w:i/>
                <w:sz w:val="20"/>
                <w:szCs w:val="20"/>
              </w:rPr>
            </w:pPr>
            <w:r w:rsidRPr="005A3AB9">
              <w:rPr>
                <w:rFonts w:cs="Segoe UI"/>
                <w:i/>
                <w:sz w:val="20"/>
                <w:szCs w:val="20"/>
              </w:rPr>
              <w:t>Catholic</w:t>
            </w:r>
          </w:p>
        </w:tc>
        <w:tc>
          <w:tcPr>
            <w:tcW w:w="1180" w:type="dxa"/>
            <w:shd w:val="clear" w:color="auto" w:fill="F2F2F2" w:themeFill="background1" w:themeFillShade="F2"/>
          </w:tcPr>
          <w:p w14:paraId="023393E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0FBE3E5E"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0" w:type="dxa"/>
            <w:shd w:val="clear" w:color="auto" w:fill="F2F2F2" w:themeFill="background1" w:themeFillShade="F2"/>
          </w:tcPr>
          <w:p w14:paraId="106B652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p w14:paraId="031390B0"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181" w:type="dxa"/>
            <w:shd w:val="clear" w:color="auto" w:fill="F2F2F2" w:themeFill="background1" w:themeFillShade="F2"/>
          </w:tcPr>
          <w:p w14:paraId="20A2606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1059B05C"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1" w:type="dxa"/>
            <w:shd w:val="clear" w:color="auto" w:fill="F2F2F2" w:themeFill="background1" w:themeFillShade="F2"/>
          </w:tcPr>
          <w:p w14:paraId="5BCF687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p w14:paraId="3EE7ECDB"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180" w:type="dxa"/>
            <w:shd w:val="clear" w:color="auto" w:fill="F2F2F2" w:themeFill="background1" w:themeFillShade="F2"/>
          </w:tcPr>
          <w:p w14:paraId="627673E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75499020"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3" w:type="dxa"/>
            <w:shd w:val="clear" w:color="auto" w:fill="F2F2F2" w:themeFill="background1" w:themeFillShade="F2"/>
          </w:tcPr>
          <w:p w14:paraId="222B1DB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p w14:paraId="6B1F4274" w14:textId="77777777" w:rsidR="00726C45" w:rsidRPr="00224063"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r>
      <w:tr w:rsidR="00726C45" w:rsidRPr="005A3AB9" w14:paraId="0133DD92" w14:textId="77777777" w:rsidTr="00A37677">
        <w:trPr>
          <w:trHeight w:val="321"/>
        </w:trPr>
        <w:tc>
          <w:tcPr>
            <w:tcW w:w="2690" w:type="dxa"/>
            <w:shd w:val="clear" w:color="auto" w:fill="F2F2F2" w:themeFill="background1" w:themeFillShade="F2"/>
          </w:tcPr>
          <w:p w14:paraId="60F23BF5" w14:textId="77777777" w:rsidR="00726C45" w:rsidRPr="005A3AB9" w:rsidRDefault="00726C45" w:rsidP="00A37677">
            <w:pPr>
              <w:spacing w:line="240" w:lineRule="auto"/>
              <w:rPr>
                <w:rFonts w:cs="Segoe UI"/>
                <w:i/>
                <w:sz w:val="20"/>
                <w:szCs w:val="20"/>
              </w:rPr>
            </w:pPr>
            <w:r w:rsidRPr="005A3AB9">
              <w:rPr>
                <w:rFonts w:cs="Segoe UI"/>
                <w:i/>
                <w:sz w:val="20"/>
                <w:szCs w:val="20"/>
              </w:rPr>
              <w:t>Protestant</w:t>
            </w:r>
          </w:p>
        </w:tc>
        <w:tc>
          <w:tcPr>
            <w:tcW w:w="1180" w:type="dxa"/>
            <w:shd w:val="clear" w:color="auto" w:fill="F2F2F2" w:themeFill="background1" w:themeFillShade="F2"/>
          </w:tcPr>
          <w:p w14:paraId="47F31AB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5455C4B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0" w:type="dxa"/>
            <w:shd w:val="clear" w:color="auto" w:fill="F2F2F2" w:themeFill="background1" w:themeFillShade="F2"/>
          </w:tcPr>
          <w:p w14:paraId="79686436" w14:textId="77777777" w:rsidR="00726C45"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-0.</w:t>
            </w:r>
            <w:r>
              <w:rPr>
                <w:rFonts w:cs="Segoe UI"/>
                <w:sz w:val="20"/>
                <w:szCs w:val="20"/>
                <w:lang w:val="en-US"/>
              </w:rPr>
              <w:t>04</w:t>
            </w:r>
          </w:p>
          <w:p w14:paraId="34D9739D"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181" w:type="dxa"/>
            <w:shd w:val="clear" w:color="auto" w:fill="F2F2F2" w:themeFill="background1" w:themeFillShade="F2"/>
          </w:tcPr>
          <w:p w14:paraId="15351B9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3170234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1" w:type="dxa"/>
            <w:shd w:val="clear" w:color="auto" w:fill="F2F2F2" w:themeFill="background1" w:themeFillShade="F2"/>
          </w:tcPr>
          <w:p w14:paraId="360565AE" w14:textId="77777777" w:rsidR="00726C45"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-0.</w:t>
            </w:r>
            <w:r>
              <w:rPr>
                <w:rFonts w:cs="Segoe UI"/>
                <w:sz w:val="20"/>
                <w:szCs w:val="20"/>
                <w:lang w:val="en-US"/>
              </w:rPr>
              <w:t>04</w:t>
            </w:r>
          </w:p>
          <w:p w14:paraId="081AA1B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180" w:type="dxa"/>
            <w:shd w:val="clear" w:color="auto" w:fill="F2F2F2" w:themeFill="background1" w:themeFillShade="F2"/>
          </w:tcPr>
          <w:p w14:paraId="00BB041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219782B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183" w:type="dxa"/>
            <w:shd w:val="clear" w:color="auto" w:fill="F2F2F2" w:themeFill="background1" w:themeFillShade="F2"/>
          </w:tcPr>
          <w:p w14:paraId="4C7ED3CA" w14:textId="77777777" w:rsidR="00726C45"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-0.</w:t>
            </w:r>
            <w:r>
              <w:rPr>
                <w:rFonts w:cs="Segoe UI"/>
                <w:sz w:val="20"/>
                <w:szCs w:val="20"/>
                <w:lang w:val="en-US"/>
              </w:rPr>
              <w:t>04</w:t>
            </w:r>
          </w:p>
          <w:p w14:paraId="388FD6E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r>
      <w:tr w:rsidR="00726C45" w:rsidRPr="005A3AB9" w14:paraId="72F4EC50" w14:textId="77777777" w:rsidTr="00A37677">
        <w:trPr>
          <w:trHeight w:val="321"/>
        </w:trPr>
        <w:tc>
          <w:tcPr>
            <w:tcW w:w="2690" w:type="dxa"/>
            <w:shd w:val="clear" w:color="auto" w:fill="F2F2F2" w:themeFill="background1" w:themeFillShade="F2"/>
          </w:tcPr>
          <w:p w14:paraId="3DC7DD5E" w14:textId="77777777" w:rsidR="00726C45" w:rsidRPr="005A3AB9" w:rsidRDefault="00726C45" w:rsidP="00A37677">
            <w:pPr>
              <w:spacing w:line="240" w:lineRule="auto"/>
              <w:rPr>
                <w:rFonts w:cs="Segoe UI"/>
                <w:i/>
                <w:sz w:val="20"/>
                <w:szCs w:val="20"/>
              </w:rPr>
            </w:pPr>
            <w:r w:rsidRPr="005A3AB9">
              <w:rPr>
                <w:rFonts w:cs="Segoe UI"/>
                <w:i/>
                <w:sz w:val="20"/>
                <w:szCs w:val="20"/>
              </w:rPr>
              <w:t>Muslim</w:t>
            </w:r>
          </w:p>
        </w:tc>
        <w:tc>
          <w:tcPr>
            <w:tcW w:w="1180" w:type="dxa"/>
            <w:shd w:val="clear" w:color="auto" w:fill="F2F2F2" w:themeFill="background1" w:themeFillShade="F2"/>
          </w:tcPr>
          <w:p w14:paraId="378422E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633B253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180" w:type="dxa"/>
            <w:shd w:val="clear" w:color="auto" w:fill="F2F2F2" w:themeFill="background1" w:themeFillShade="F2"/>
          </w:tcPr>
          <w:p w14:paraId="6F0EDAF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27F3DE0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1" w:type="dxa"/>
            <w:shd w:val="clear" w:color="auto" w:fill="F2F2F2" w:themeFill="background1" w:themeFillShade="F2"/>
          </w:tcPr>
          <w:p w14:paraId="5198619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5DE3E10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181" w:type="dxa"/>
            <w:shd w:val="clear" w:color="auto" w:fill="F2F2F2" w:themeFill="background1" w:themeFillShade="F2"/>
          </w:tcPr>
          <w:p w14:paraId="0A3C8BD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4FCE20E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180" w:type="dxa"/>
            <w:shd w:val="clear" w:color="auto" w:fill="F2F2F2" w:themeFill="background1" w:themeFillShade="F2"/>
          </w:tcPr>
          <w:p w14:paraId="31D04D2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1F2C9CD9"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183" w:type="dxa"/>
            <w:shd w:val="clear" w:color="auto" w:fill="F2F2F2" w:themeFill="background1" w:themeFillShade="F2"/>
          </w:tcPr>
          <w:p w14:paraId="0D89F5D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00A91E1D"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r>
      <w:tr w:rsidR="00726C45" w:rsidRPr="005A3AB9" w14:paraId="035908B3" w14:textId="77777777" w:rsidTr="00A37677">
        <w:trPr>
          <w:trHeight w:val="321"/>
        </w:trPr>
        <w:tc>
          <w:tcPr>
            <w:tcW w:w="2690" w:type="dxa"/>
            <w:shd w:val="clear" w:color="auto" w:fill="F2F2F2" w:themeFill="background1" w:themeFillShade="F2"/>
          </w:tcPr>
          <w:p w14:paraId="391AB898" w14:textId="77777777" w:rsidR="00726C45" w:rsidRPr="005A3AB9" w:rsidRDefault="00726C45" w:rsidP="00A37677">
            <w:pPr>
              <w:spacing w:line="240" w:lineRule="auto"/>
              <w:rPr>
                <w:rFonts w:cs="Segoe UI"/>
                <w:i/>
                <w:sz w:val="20"/>
                <w:szCs w:val="20"/>
              </w:rPr>
            </w:pPr>
            <w:r w:rsidRPr="005A3AB9">
              <w:rPr>
                <w:rFonts w:cs="Segoe UI"/>
                <w:i/>
                <w:sz w:val="20"/>
                <w:szCs w:val="20"/>
              </w:rPr>
              <w:t>Orthodox</w:t>
            </w:r>
          </w:p>
        </w:tc>
        <w:tc>
          <w:tcPr>
            <w:tcW w:w="1180" w:type="dxa"/>
            <w:shd w:val="clear" w:color="auto" w:fill="F2F2F2" w:themeFill="background1" w:themeFillShade="F2"/>
          </w:tcPr>
          <w:p w14:paraId="51286414"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15942A5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FB3BE7">
              <w:rPr>
                <w:rFonts w:cs="Segoe UI"/>
                <w:sz w:val="20"/>
                <w:szCs w:val="20"/>
                <w:lang w:val="en-US"/>
              </w:rPr>
              <w:t>(</w:t>
            </w:r>
            <w:r>
              <w:rPr>
                <w:rFonts w:cs="Segoe UI"/>
                <w:sz w:val="20"/>
                <w:szCs w:val="20"/>
                <w:lang w:val="en-US"/>
              </w:rPr>
              <w:t>0.08)</w:t>
            </w:r>
          </w:p>
        </w:tc>
        <w:tc>
          <w:tcPr>
            <w:tcW w:w="1180" w:type="dxa"/>
            <w:shd w:val="clear" w:color="auto" w:fill="F2F2F2" w:themeFill="background1" w:themeFillShade="F2"/>
          </w:tcPr>
          <w:p w14:paraId="7028DB43"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w:t>
            </w:r>
          </w:p>
          <w:p w14:paraId="6A70981E"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FB3BE7">
              <w:rPr>
                <w:rFonts w:cs="Segoe UI"/>
                <w:sz w:val="20"/>
                <w:szCs w:val="20"/>
                <w:lang w:val="en-US"/>
              </w:rPr>
              <w:t>(</w:t>
            </w:r>
            <w:r>
              <w:rPr>
                <w:rFonts w:cs="Segoe UI"/>
                <w:sz w:val="20"/>
                <w:szCs w:val="20"/>
                <w:lang w:val="en-US"/>
              </w:rPr>
              <w:t>0.06)</w:t>
            </w:r>
          </w:p>
        </w:tc>
        <w:tc>
          <w:tcPr>
            <w:tcW w:w="1181" w:type="dxa"/>
            <w:shd w:val="clear" w:color="auto" w:fill="F2F2F2" w:themeFill="background1" w:themeFillShade="F2"/>
          </w:tcPr>
          <w:p w14:paraId="7C889D9F"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2013DE17"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FB3BE7">
              <w:rPr>
                <w:rFonts w:cs="Segoe UI"/>
                <w:sz w:val="20"/>
                <w:szCs w:val="20"/>
                <w:lang w:val="en-US"/>
              </w:rPr>
              <w:t>(</w:t>
            </w:r>
            <w:r>
              <w:rPr>
                <w:rFonts w:cs="Segoe UI"/>
                <w:sz w:val="20"/>
                <w:szCs w:val="20"/>
                <w:lang w:val="en-US"/>
              </w:rPr>
              <w:t>0.08)</w:t>
            </w:r>
          </w:p>
        </w:tc>
        <w:tc>
          <w:tcPr>
            <w:tcW w:w="1181" w:type="dxa"/>
            <w:shd w:val="clear" w:color="auto" w:fill="F2F2F2" w:themeFill="background1" w:themeFillShade="F2"/>
          </w:tcPr>
          <w:p w14:paraId="353BDF9D"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w:t>
            </w:r>
          </w:p>
          <w:p w14:paraId="54FE59E8"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FB3BE7">
              <w:rPr>
                <w:rFonts w:cs="Segoe UI"/>
                <w:sz w:val="20"/>
                <w:szCs w:val="20"/>
                <w:lang w:val="en-US"/>
              </w:rPr>
              <w:t>(</w:t>
            </w:r>
            <w:r>
              <w:rPr>
                <w:rFonts w:cs="Segoe UI"/>
                <w:sz w:val="20"/>
                <w:szCs w:val="20"/>
                <w:lang w:val="en-US"/>
              </w:rPr>
              <w:t>0.06)</w:t>
            </w:r>
          </w:p>
        </w:tc>
        <w:tc>
          <w:tcPr>
            <w:tcW w:w="1180" w:type="dxa"/>
            <w:shd w:val="clear" w:color="auto" w:fill="F2F2F2" w:themeFill="background1" w:themeFillShade="F2"/>
          </w:tcPr>
          <w:p w14:paraId="3CCC0B3F"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7AD8544A"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FB3BE7">
              <w:rPr>
                <w:rFonts w:cs="Segoe UI"/>
                <w:sz w:val="20"/>
                <w:szCs w:val="20"/>
                <w:lang w:val="en-US"/>
              </w:rPr>
              <w:t>(</w:t>
            </w:r>
            <w:r>
              <w:rPr>
                <w:rFonts w:cs="Segoe UI"/>
                <w:sz w:val="20"/>
                <w:szCs w:val="20"/>
                <w:lang w:val="en-US"/>
              </w:rPr>
              <w:t>0.08)</w:t>
            </w:r>
          </w:p>
        </w:tc>
        <w:tc>
          <w:tcPr>
            <w:tcW w:w="1183" w:type="dxa"/>
            <w:shd w:val="clear" w:color="auto" w:fill="F2F2F2" w:themeFill="background1" w:themeFillShade="F2"/>
          </w:tcPr>
          <w:p w14:paraId="58268402"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w:t>
            </w:r>
          </w:p>
          <w:p w14:paraId="58A31492"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FB3BE7">
              <w:rPr>
                <w:rFonts w:cs="Segoe UI"/>
                <w:sz w:val="20"/>
                <w:szCs w:val="20"/>
                <w:lang w:val="en-US"/>
              </w:rPr>
              <w:t>(</w:t>
            </w:r>
            <w:r>
              <w:rPr>
                <w:rFonts w:cs="Segoe UI"/>
                <w:sz w:val="20"/>
                <w:szCs w:val="20"/>
                <w:lang w:val="en-US"/>
              </w:rPr>
              <w:t>0.06)</w:t>
            </w:r>
          </w:p>
        </w:tc>
      </w:tr>
      <w:tr w:rsidR="00726C45" w:rsidRPr="005A3AB9" w14:paraId="36127283" w14:textId="77777777" w:rsidTr="00A37677">
        <w:trPr>
          <w:trHeight w:val="321"/>
        </w:trPr>
        <w:tc>
          <w:tcPr>
            <w:tcW w:w="2690" w:type="dxa"/>
            <w:shd w:val="clear" w:color="auto" w:fill="F2F2F2" w:themeFill="background1" w:themeFillShade="F2"/>
          </w:tcPr>
          <w:p w14:paraId="09AF5E79" w14:textId="77777777" w:rsidR="00726C45" w:rsidRPr="005A3AB9" w:rsidRDefault="00726C45" w:rsidP="00A37677">
            <w:pPr>
              <w:spacing w:line="240" w:lineRule="auto"/>
              <w:rPr>
                <w:rFonts w:cs="Segoe UI"/>
                <w:i/>
                <w:sz w:val="20"/>
                <w:szCs w:val="20"/>
              </w:rPr>
            </w:pPr>
            <w:r w:rsidRPr="005A3AB9">
              <w:rPr>
                <w:rFonts w:cs="Segoe UI"/>
                <w:i/>
                <w:sz w:val="20"/>
                <w:szCs w:val="20"/>
              </w:rPr>
              <w:t>Buddhist</w:t>
            </w:r>
          </w:p>
        </w:tc>
        <w:tc>
          <w:tcPr>
            <w:tcW w:w="1180" w:type="dxa"/>
            <w:shd w:val="clear" w:color="auto" w:fill="F2F2F2" w:themeFill="background1" w:themeFillShade="F2"/>
          </w:tcPr>
          <w:p w14:paraId="27C7F83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-0.16**</w:t>
            </w:r>
          </w:p>
          <w:p w14:paraId="3D8A088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0" w:type="dxa"/>
            <w:shd w:val="clear" w:color="auto" w:fill="F2F2F2" w:themeFill="background1" w:themeFillShade="F2"/>
          </w:tcPr>
          <w:p w14:paraId="737720B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p w14:paraId="3C2F640D"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(0.07)</w:t>
            </w:r>
          </w:p>
        </w:tc>
        <w:tc>
          <w:tcPr>
            <w:tcW w:w="1181" w:type="dxa"/>
            <w:shd w:val="clear" w:color="auto" w:fill="F2F2F2" w:themeFill="background1" w:themeFillShade="F2"/>
          </w:tcPr>
          <w:p w14:paraId="011E108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-0.16**</w:t>
            </w:r>
          </w:p>
          <w:p w14:paraId="796CE1A8"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1" w:type="dxa"/>
            <w:shd w:val="clear" w:color="auto" w:fill="F2F2F2" w:themeFill="background1" w:themeFillShade="F2"/>
          </w:tcPr>
          <w:p w14:paraId="6119E95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p w14:paraId="3A195EA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(0.07)</w:t>
            </w:r>
          </w:p>
        </w:tc>
        <w:tc>
          <w:tcPr>
            <w:tcW w:w="1180" w:type="dxa"/>
            <w:shd w:val="clear" w:color="auto" w:fill="F2F2F2" w:themeFill="background1" w:themeFillShade="F2"/>
          </w:tcPr>
          <w:p w14:paraId="7A50573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-0.16**</w:t>
            </w:r>
          </w:p>
          <w:p w14:paraId="77300963"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3" w:type="dxa"/>
            <w:shd w:val="clear" w:color="auto" w:fill="F2F2F2" w:themeFill="background1" w:themeFillShade="F2"/>
          </w:tcPr>
          <w:p w14:paraId="08E524C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p w14:paraId="59C001D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(0.07)</w:t>
            </w:r>
          </w:p>
        </w:tc>
      </w:tr>
      <w:tr w:rsidR="00726C45" w:rsidRPr="005A3AB9" w14:paraId="249B4630" w14:textId="77777777" w:rsidTr="00A37677">
        <w:trPr>
          <w:trHeight w:val="321"/>
        </w:trPr>
        <w:tc>
          <w:tcPr>
            <w:tcW w:w="2690" w:type="dxa"/>
            <w:shd w:val="clear" w:color="auto" w:fill="F2F2F2" w:themeFill="background1" w:themeFillShade="F2"/>
          </w:tcPr>
          <w:p w14:paraId="7CBFDF48" w14:textId="77777777" w:rsidR="00726C45" w:rsidRPr="005A3AB9" w:rsidRDefault="00726C45" w:rsidP="00A37677">
            <w:pPr>
              <w:spacing w:line="240" w:lineRule="auto"/>
              <w:rPr>
                <w:rFonts w:cs="Segoe UI"/>
                <w:i/>
                <w:sz w:val="20"/>
                <w:szCs w:val="20"/>
              </w:rPr>
            </w:pPr>
            <w:r w:rsidRPr="005A3AB9">
              <w:rPr>
                <w:rFonts w:cs="Segoe UI"/>
                <w:i/>
                <w:sz w:val="20"/>
                <w:szCs w:val="20"/>
              </w:rPr>
              <w:t>Hindu</w:t>
            </w:r>
          </w:p>
        </w:tc>
        <w:tc>
          <w:tcPr>
            <w:tcW w:w="1180" w:type="dxa"/>
            <w:shd w:val="clear" w:color="auto" w:fill="F2F2F2" w:themeFill="background1" w:themeFillShade="F2"/>
          </w:tcPr>
          <w:p w14:paraId="67E5C93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7565FB34"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0" w:type="dxa"/>
            <w:shd w:val="clear" w:color="auto" w:fill="F2F2F2" w:themeFill="background1" w:themeFillShade="F2"/>
          </w:tcPr>
          <w:p w14:paraId="6462F61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4388E36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tc>
        <w:tc>
          <w:tcPr>
            <w:tcW w:w="1181" w:type="dxa"/>
            <w:shd w:val="clear" w:color="auto" w:fill="F2F2F2" w:themeFill="background1" w:themeFillShade="F2"/>
          </w:tcPr>
          <w:p w14:paraId="7588754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0F07171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1" w:type="dxa"/>
            <w:shd w:val="clear" w:color="auto" w:fill="F2F2F2" w:themeFill="background1" w:themeFillShade="F2"/>
          </w:tcPr>
          <w:p w14:paraId="1E0E2E3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210FD1CB"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tc>
        <w:tc>
          <w:tcPr>
            <w:tcW w:w="1180" w:type="dxa"/>
            <w:shd w:val="clear" w:color="auto" w:fill="F2F2F2" w:themeFill="background1" w:themeFillShade="F2"/>
          </w:tcPr>
          <w:p w14:paraId="76F01C1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74731CF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183" w:type="dxa"/>
            <w:shd w:val="clear" w:color="auto" w:fill="F2F2F2" w:themeFill="background1" w:themeFillShade="F2"/>
          </w:tcPr>
          <w:p w14:paraId="7F2AEB9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2C9D2B8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tc>
      </w:tr>
      <w:tr w:rsidR="00726C45" w:rsidRPr="005A3AB9" w14:paraId="3073B085" w14:textId="77777777" w:rsidTr="00A37677">
        <w:trPr>
          <w:trHeight w:val="321"/>
        </w:trPr>
        <w:tc>
          <w:tcPr>
            <w:tcW w:w="2690" w:type="dxa"/>
            <w:shd w:val="clear" w:color="auto" w:fill="F2F2F2" w:themeFill="background1" w:themeFillShade="F2"/>
          </w:tcPr>
          <w:p w14:paraId="73E0741B" w14:textId="77777777" w:rsidR="00726C45" w:rsidRPr="005A3AB9" w:rsidRDefault="00726C45" w:rsidP="00A37677">
            <w:pPr>
              <w:spacing w:line="240" w:lineRule="auto"/>
              <w:rPr>
                <w:rFonts w:cs="Segoe UI"/>
                <w:i/>
                <w:sz w:val="20"/>
                <w:szCs w:val="20"/>
              </w:rPr>
            </w:pPr>
            <w:r w:rsidRPr="005A3AB9">
              <w:rPr>
                <w:rFonts w:cs="Segoe UI"/>
                <w:i/>
                <w:sz w:val="20"/>
                <w:szCs w:val="20"/>
              </w:rPr>
              <w:t>Other</w:t>
            </w:r>
          </w:p>
        </w:tc>
        <w:tc>
          <w:tcPr>
            <w:tcW w:w="1180" w:type="dxa"/>
            <w:shd w:val="clear" w:color="auto" w:fill="F2F2F2" w:themeFill="background1" w:themeFillShade="F2"/>
          </w:tcPr>
          <w:p w14:paraId="04D31364"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w:t>
            </w:r>
            <w:r>
              <w:rPr>
                <w:rFonts w:cs="Segoe UI"/>
                <w:sz w:val="20"/>
                <w:szCs w:val="20"/>
                <w:lang w:val="en-US"/>
              </w:rPr>
              <w:br/>
              <w:t>(0.05)</w:t>
            </w:r>
          </w:p>
        </w:tc>
        <w:tc>
          <w:tcPr>
            <w:tcW w:w="1180" w:type="dxa"/>
            <w:shd w:val="clear" w:color="auto" w:fill="F2F2F2" w:themeFill="background1" w:themeFillShade="F2"/>
          </w:tcPr>
          <w:p w14:paraId="309BA63E"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Pr>
                <w:rFonts w:cs="Segoe UI"/>
                <w:sz w:val="20"/>
                <w:szCs w:val="20"/>
                <w:lang w:val="en-US"/>
              </w:rPr>
              <w:br/>
              <w:t>(0.04)</w:t>
            </w:r>
          </w:p>
        </w:tc>
        <w:tc>
          <w:tcPr>
            <w:tcW w:w="1181" w:type="dxa"/>
            <w:shd w:val="clear" w:color="auto" w:fill="F2F2F2" w:themeFill="background1" w:themeFillShade="F2"/>
          </w:tcPr>
          <w:p w14:paraId="5E4553DD"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w:t>
            </w:r>
            <w:r>
              <w:rPr>
                <w:rFonts w:cs="Segoe UI"/>
                <w:sz w:val="20"/>
                <w:szCs w:val="20"/>
                <w:lang w:val="en-US"/>
              </w:rPr>
              <w:br/>
              <w:t>(0.05)</w:t>
            </w:r>
          </w:p>
        </w:tc>
        <w:tc>
          <w:tcPr>
            <w:tcW w:w="1181" w:type="dxa"/>
            <w:shd w:val="clear" w:color="auto" w:fill="F2F2F2" w:themeFill="background1" w:themeFillShade="F2"/>
          </w:tcPr>
          <w:p w14:paraId="24AF4018"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Pr>
                <w:rFonts w:cs="Segoe UI"/>
                <w:sz w:val="20"/>
                <w:szCs w:val="20"/>
                <w:lang w:val="en-US"/>
              </w:rPr>
              <w:br/>
              <w:t>(0.04)</w:t>
            </w:r>
          </w:p>
        </w:tc>
        <w:tc>
          <w:tcPr>
            <w:tcW w:w="1180" w:type="dxa"/>
            <w:shd w:val="clear" w:color="auto" w:fill="F2F2F2" w:themeFill="background1" w:themeFillShade="F2"/>
          </w:tcPr>
          <w:p w14:paraId="723AA764"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w:t>
            </w:r>
            <w:r>
              <w:rPr>
                <w:rFonts w:cs="Segoe UI"/>
                <w:sz w:val="20"/>
                <w:szCs w:val="20"/>
                <w:lang w:val="en-US"/>
              </w:rPr>
              <w:br/>
              <w:t>(0.05)</w:t>
            </w:r>
          </w:p>
        </w:tc>
        <w:tc>
          <w:tcPr>
            <w:tcW w:w="1183" w:type="dxa"/>
            <w:shd w:val="clear" w:color="auto" w:fill="F2F2F2" w:themeFill="background1" w:themeFillShade="F2"/>
          </w:tcPr>
          <w:p w14:paraId="4F349CE4" w14:textId="77777777" w:rsidR="00726C45" w:rsidRPr="00FB3BE7"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Pr>
                <w:rFonts w:cs="Segoe UI"/>
                <w:sz w:val="20"/>
                <w:szCs w:val="20"/>
                <w:lang w:val="en-US"/>
              </w:rPr>
              <w:br/>
              <w:t>(0.04)</w:t>
            </w:r>
          </w:p>
        </w:tc>
      </w:tr>
      <w:tr w:rsidR="00726C45" w:rsidRPr="005A3AB9" w14:paraId="73965C85" w14:textId="77777777" w:rsidTr="00A37677">
        <w:trPr>
          <w:trHeight w:val="321"/>
        </w:trPr>
        <w:tc>
          <w:tcPr>
            <w:tcW w:w="2690" w:type="dxa"/>
          </w:tcPr>
          <w:p w14:paraId="6147A20D" w14:textId="77777777" w:rsidR="00726C45" w:rsidRPr="005A3AB9" w:rsidRDefault="00726C45" w:rsidP="00A37677">
            <w:pPr>
              <w:widowControl w:val="0"/>
              <w:autoSpaceDE w:val="0"/>
              <w:autoSpaceDN w:val="0"/>
              <w:adjustRightInd w:val="0"/>
              <w:spacing w:line="240" w:lineRule="auto"/>
              <w:rPr>
                <w:rFonts w:cs="Segoe UI"/>
                <w:b/>
                <w:i/>
                <w:sz w:val="20"/>
                <w:szCs w:val="20"/>
                <w:lang w:val="en-US"/>
              </w:rPr>
            </w:pPr>
            <w:r w:rsidRPr="005A3AB9">
              <w:rPr>
                <w:rFonts w:cs="Segoe UI"/>
                <w:b/>
                <w:i/>
                <w:sz w:val="20"/>
                <w:szCs w:val="20"/>
                <w:lang w:val="en-US"/>
              </w:rPr>
              <w:t>Country Level</w:t>
            </w:r>
          </w:p>
        </w:tc>
        <w:tc>
          <w:tcPr>
            <w:tcW w:w="1180" w:type="dxa"/>
          </w:tcPr>
          <w:p w14:paraId="1420AE5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44CDA689"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207AA89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1CA1918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7D57B8A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3" w:type="dxa"/>
          </w:tcPr>
          <w:p w14:paraId="29531697"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r>
      <w:tr w:rsidR="00726C45" w:rsidRPr="005A3AB9" w14:paraId="1EEDB301" w14:textId="77777777" w:rsidTr="00A37677">
        <w:trPr>
          <w:trHeight w:val="321"/>
        </w:trPr>
        <w:tc>
          <w:tcPr>
            <w:tcW w:w="2690" w:type="dxa"/>
          </w:tcPr>
          <w:p w14:paraId="6A6846F6"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HDI (0-100)</w:t>
            </w:r>
          </w:p>
        </w:tc>
        <w:tc>
          <w:tcPr>
            <w:tcW w:w="1180" w:type="dxa"/>
          </w:tcPr>
          <w:p w14:paraId="3D7733E5"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210E9A9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0" w:type="dxa"/>
          </w:tcPr>
          <w:p w14:paraId="484CF70F"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-0.04***</w:t>
            </w:r>
          </w:p>
          <w:p w14:paraId="4BAEC56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1" w:type="dxa"/>
          </w:tcPr>
          <w:p w14:paraId="0AD6E64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714D8CB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471CD8B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3" w:type="dxa"/>
          </w:tcPr>
          <w:p w14:paraId="38B1FAC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r>
      <w:tr w:rsidR="00726C45" w:rsidRPr="005A3AB9" w14:paraId="47D449E1" w14:textId="77777777" w:rsidTr="00A37677">
        <w:trPr>
          <w:trHeight w:val="321"/>
        </w:trPr>
        <w:tc>
          <w:tcPr>
            <w:tcW w:w="2690" w:type="dxa"/>
          </w:tcPr>
          <w:p w14:paraId="1FF8EEA1"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sz w:val="20"/>
                <w:szCs w:val="20"/>
                <w:lang w:val="en-US"/>
              </w:rPr>
              <w:t>Inequality (GINI) (0-100)</w:t>
            </w:r>
          </w:p>
        </w:tc>
        <w:tc>
          <w:tcPr>
            <w:tcW w:w="1180" w:type="dxa"/>
          </w:tcPr>
          <w:p w14:paraId="2BE751FC"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6440EC90"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29C03D1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p w14:paraId="4EF52B1F"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tc>
        <w:tc>
          <w:tcPr>
            <w:tcW w:w="1181" w:type="dxa"/>
          </w:tcPr>
          <w:p w14:paraId="2E8416D6"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p w14:paraId="1C6CC9AA"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(0.02)</w:t>
            </w:r>
          </w:p>
        </w:tc>
        <w:tc>
          <w:tcPr>
            <w:tcW w:w="1180" w:type="dxa"/>
          </w:tcPr>
          <w:p w14:paraId="148141E6"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p w14:paraId="3DC9BE7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tc>
        <w:tc>
          <w:tcPr>
            <w:tcW w:w="1183" w:type="dxa"/>
          </w:tcPr>
          <w:p w14:paraId="7F9BBD21"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p w14:paraId="14B39127"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(0.02)</w:t>
            </w:r>
          </w:p>
        </w:tc>
      </w:tr>
      <w:tr w:rsidR="00726C45" w:rsidRPr="005A3AB9" w14:paraId="334A8B4B" w14:textId="77777777" w:rsidTr="00A37677">
        <w:trPr>
          <w:trHeight w:val="321"/>
        </w:trPr>
        <w:tc>
          <w:tcPr>
            <w:tcW w:w="2690" w:type="dxa"/>
          </w:tcPr>
          <w:p w14:paraId="362305DF"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 xml:space="preserve">HDI dummy (Ref = </w:t>
            </w:r>
            <w:r w:rsidRPr="00B804C8">
              <w:rPr>
                <w:rFonts w:cs="Segoe UI"/>
                <w:i/>
                <w:sz w:val="20"/>
                <w:szCs w:val="20"/>
                <w:lang w:val="en-US"/>
              </w:rPr>
              <w:t>Developing</w:t>
            </w:r>
            <w:r>
              <w:rPr>
                <w:rFonts w:cs="Segoe UI"/>
                <w:sz w:val="20"/>
                <w:szCs w:val="20"/>
                <w:lang w:val="en-US"/>
              </w:rPr>
              <w:t>)</w:t>
            </w:r>
          </w:p>
        </w:tc>
        <w:tc>
          <w:tcPr>
            <w:tcW w:w="1180" w:type="dxa"/>
          </w:tcPr>
          <w:p w14:paraId="78A4FA46"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6C224D7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7B026F6C"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27796E0F"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787FF79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-0.81</w:t>
            </w:r>
          </w:p>
          <w:p w14:paraId="604B046C"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(0.67)</w:t>
            </w:r>
          </w:p>
        </w:tc>
        <w:tc>
          <w:tcPr>
            <w:tcW w:w="1183" w:type="dxa"/>
          </w:tcPr>
          <w:p w14:paraId="38F57AAD"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-4.29***</w:t>
            </w:r>
          </w:p>
          <w:p w14:paraId="3C7017B7"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(1.05)</w:t>
            </w:r>
          </w:p>
        </w:tc>
      </w:tr>
      <w:tr w:rsidR="00726C45" w:rsidRPr="005A3AB9" w14:paraId="30EC604E" w14:textId="77777777" w:rsidTr="00A37677">
        <w:trPr>
          <w:trHeight w:val="321"/>
        </w:trPr>
        <w:tc>
          <w:tcPr>
            <w:tcW w:w="2690" w:type="dxa"/>
          </w:tcPr>
          <w:p w14:paraId="4DCE7E7B" w14:textId="77777777" w:rsidR="00726C45" w:rsidRPr="005823DE" w:rsidRDefault="00726C45" w:rsidP="00A37677">
            <w:pPr>
              <w:widowControl w:val="0"/>
              <w:autoSpaceDE w:val="0"/>
              <w:autoSpaceDN w:val="0"/>
              <w:adjustRightInd w:val="0"/>
              <w:spacing w:line="240" w:lineRule="auto"/>
              <w:rPr>
                <w:rFonts w:cs="Segoe UI"/>
                <w:b/>
                <w:i/>
                <w:sz w:val="20"/>
                <w:szCs w:val="20"/>
                <w:lang w:val="en-US"/>
              </w:rPr>
            </w:pPr>
            <w:r w:rsidRPr="005823DE">
              <w:rPr>
                <w:rFonts w:cs="Segoe UI"/>
                <w:b/>
                <w:i/>
                <w:sz w:val="20"/>
                <w:szCs w:val="20"/>
                <w:lang w:val="en-US"/>
              </w:rPr>
              <w:t>Interaction</w:t>
            </w:r>
            <w:r>
              <w:rPr>
                <w:rFonts w:cs="Segoe UI"/>
                <w:b/>
                <w:i/>
                <w:sz w:val="20"/>
                <w:szCs w:val="20"/>
                <w:lang w:val="en-US"/>
              </w:rPr>
              <w:t>s</w:t>
            </w:r>
          </w:p>
        </w:tc>
        <w:tc>
          <w:tcPr>
            <w:tcW w:w="1180" w:type="dxa"/>
          </w:tcPr>
          <w:p w14:paraId="05D72468"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299C5697"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6DB2AA28"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7A36AF6C"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1EF4BBD8"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3" w:type="dxa"/>
          </w:tcPr>
          <w:p w14:paraId="2DD71FD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r>
      <w:tr w:rsidR="00726C45" w:rsidRPr="005A3AB9" w14:paraId="14529BC8" w14:textId="77777777" w:rsidTr="00A37677">
        <w:trPr>
          <w:trHeight w:val="321"/>
        </w:trPr>
        <w:tc>
          <w:tcPr>
            <w:tcW w:w="2690" w:type="dxa"/>
          </w:tcPr>
          <w:p w14:paraId="77375FD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Income*HDI</w:t>
            </w:r>
          </w:p>
        </w:tc>
        <w:tc>
          <w:tcPr>
            <w:tcW w:w="1180" w:type="dxa"/>
          </w:tcPr>
          <w:p w14:paraId="226463D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00580E4C"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0" w:type="dxa"/>
          </w:tcPr>
          <w:p w14:paraId="4D293A7F"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41B5FF84"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1" w:type="dxa"/>
          </w:tcPr>
          <w:p w14:paraId="7E1849F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04DA4880"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451BF9C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3" w:type="dxa"/>
          </w:tcPr>
          <w:p w14:paraId="5D4AA96D"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r>
      <w:tr w:rsidR="00726C45" w:rsidRPr="005A3AB9" w14:paraId="2D5E6D3A" w14:textId="77777777" w:rsidTr="00A37677">
        <w:trPr>
          <w:trHeight w:val="321"/>
        </w:trPr>
        <w:tc>
          <w:tcPr>
            <w:tcW w:w="2690" w:type="dxa"/>
          </w:tcPr>
          <w:p w14:paraId="402F11B0"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Income*GINI</w:t>
            </w:r>
          </w:p>
        </w:tc>
        <w:tc>
          <w:tcPr>
            <w:tcW w:w="1180" w:type="dxa"/>
          </w:tcPr>
          <w:p w14:paraId="68C65218"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1B4855A9"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410B004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5E173D86"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1" w:type="dxa"/>
          </w:tcPr>
          <w:p w14:paraId="3CA0165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64851D0E"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0" w:type="dxa"/>
          </w:tcPr>
          <w:p w14:paraId="61B8970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018795F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3" w:type="dxa"/>
          </w:tcPr>
          <w:p w14:paraId="49908F60"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49D938A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r>
      <w:tr w:rsidR="00726C45" w:rsidRPr="005A3AB9" w14:paraId="675A9C7E" w14:textId="77777777" w:rsidTr="00A37677">
        <w:trPr>
          <w:trHeight w:val="321"/>
        </w:trPr>
        <w:tc>
          <w:tcPr>
            <w:tcW w:w="2690" w:type="dxa"/>
          </w:tcPr>
          <w:p w14:paraId="1A9123C3" w14:textId="77777777" w:rsidR="00726C45" w:rsidRPr="009D5F90" w:rsidRDefault="00726C45" w:rsidP="00A37677">
            <w:pPr>
              <w:widowControl w:val="0"/>
              <w:tabs>
                <w:tab w:val="right" w:pos="2046"/>
              </w:tabs>
              <w:autoSpaceDE w:val="0"/>
              <w:autoSpaceDN w:val="0"/>
              <w:adjustRightInd w:val="0"/>
              <w:spacing w:line="240" w:lineRule="auto"/>
              <w:rPr>
                <w:rFonts w:cs="Segoe UI"/>
                <w:iCs/>
                <w:sz w:val="20"/>
                <w:szCs w:val="20"/>
                <w:lang w:val="en-US"/>
              </w:rPr>
            </w:pPr>
            <w:r>
              <w:rPr>
                <w:rFonts w:cs="Segoe UI"/>
                <w:iCs/>
                <w:sz w:val="20"/>
                <w:szCs w:val="20"/>
                <w:lang w:val="en-US"/>
              </w:rPr>
              <w:t xml:space="preserve">Income*HDI dummy (Ref  = </w:t>
            </w:r>
            <w:r w:rsidRPr="00B804C8">
              <w:rPr>
                <w:rFonts w:cs="Segoe UI"/>
                <w:i/>
                <w:iCs/>
                <w:sz w:val="20"/>
                <w:szCs w:val="20"/>
                <w:lang w:val="en-US"/>
              </w:rPr>
              <w:t>Developing</w:t>
            </w:r>
            <w:r>
              <w:rPr>
                <w:rFonts w:cs="Segoe UI"/>
                <w:iCs/>
                <w:sz w:val="20"/>
                <w:szCs w:val="20"/>
                <w:lang w:val="en-US"/>
              </w:rPr>
              <w:t>)</w:t>
            </w:r>
          </w:p>
        </w:tc>
        <w:tc>
          <w:tcPr>
            <w:tcW w:w="1180" w:type="dxa"/>
          </w:tcPr>
          <w:p w14:paraId="4D15B393"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5496F008"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3D8356BF"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72A3B02E"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0CAAC9E7"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-0.12***</w:t>
            </w:r>
          </w:p>
          <w:p w14:paraId="0F1059B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tc>
        <w:tc>
          <w:tcPr>
            <w:tcW w:w="1183" w:type="dxa"/>
          </w:tcPr>
          <w:p w14:paraId="014DACAD"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0.04</w:t>
            </w:r>
          </w:p>
          <w:p w14:paraId="1BE6265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tc>
      </w:tr>
      <w:tr w:rsidR="00726C45" w:rsidRPr="005A3AB9" w14:paraId="663B82BC" w14:textId="77777777" w:rsidTr="00A37677">
        <w:trPr>
          <w:trHeight w:val="321"/>
        </w:trPr>
        <w:tc>
          <w:tcPr>
            <w:tcW w:w="2690" w:type="dxa"/>
          </w:tcPr>
          <w:p w14:paraId="1A3289E5" w14:textId="77777777" w:rsidR="00726C45" w:rsidRPr="009D5F90" w:rsidRDefault="00726C45" w:rsidP="00A37677">
            <w:pPr>
              <w:widowControl w:val="0"/>
              <w:tabs>
                <w:tab w:val="right" w:pos="2046"/>
              </w:tabs>
              <w:autoSpaceDE w:val="0"/>
              <w:autoSpaceDN w:val="0"/>
              <w:adjustRightInd w:val="0"/>
              <w:spacing w:line="240" w:lineRule="auto"/>
              <w:rPr>
                <w:rFonts w:cs="Segoe UI"/>
                <w:iCs/>
                <w:sz w:val="20"/>
                <w:szCs w:val="20"/>
                <w:lang w:val="en-US"/>
              </w:rPr>
            </w:pPr>
            <w:r>
              <w:rPr>
                <w:rFonts w:cs="Segoe UI"/>
                <w:iCs/>
                <w:sz w:val="20"/>
                <w:szCs w:val="20"/>
                <w:lang w:val="en-US"/>
              </w:rPr>
              <w:t xml:space="preserve">HDI dummy*Gini (Ref  = </w:t>
            </w:r>
            <w:r w:rsidRPr="00B804C8">
              <w:rPr>
                <w:rFonts w:cs="Segoe UI"/>
                <w:i/>
                <w:iCs/>
                <w:sz w:val="20"/>
                <w:szCs w:val="20"/>
                <w:lang w:val="en-US"/>
              </w:rPr>
              <w:t>Developing</w:t>
            </w:r>
            <w:r>
              <w:rPr>
                <w:rFonts w:cs="Segoe UI"/>
                <w:iCs/>
                <w:sz w:val="20"/>
                <w:szCs w:val="20"/>
                <w:lang w:val="en-US"/>
              </w:rPr>
              <w:t>)</w:t>
            </w:r>
          </w:p>
        </w:tc>
        <w:tc>
          <w:tcPr>
            <w:tcW w:w="1180" w:type="dxa"/>
          </w:tcPr>
          <w:p w14:paraId="1FE0D895"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0FE17D0F"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58877360"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5F621C4A"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51E42AB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0.02</w:t>
            </w:r>
          </w:p>
          <w:p w14:paraId="39483EB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(0.02)</w:t>
            </w:r>
          </w:p>
        </w:tc>
        <w:tc>
          <w:tcPr>
            <w:tcW w:w="1183" w:type="dxa"/>
          </w:tcPr>
          <w:p w14:paraId="239A08AF"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0.07**</w:t>
            </w:r>
          </w:p>
          <w:p w14:paraId="674BE921"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tc>
      </w:tr>
      <w:tr w:rsidR="00726C45" w:rsidRPr="005A3AB9" w14:paraId="59EDE642" w14:textId="77777777" w:rsidTr="00A37677">
        <w:trPr>
          <w:trHeight w:val="321"/>
        </w:trPr>
        <w:tc>
          <w:tcPr>
            <w:tcW w:w="2690" w:type="dxa"/>
          </w:tcPr>
          <w:p w14:paraId="141347C8" w14:textId="77777777" w:rsidR="00726C45" w:rsidRPr="009D5F90" w:rsidRDefault="00726C45" w:rsidP="00A37677">
            <w:pPr>
              <w:widowControl w:val="0"/>
              <w:tabs>
                <w:tab w:val="right" w:pos="2046"/>
              </w:tabs>
              <w:autoSpaceDE w:val="0"/>
              <w:autoSpaceDN w:val="0"/>
              <w:adjustRightInd w:val="0"/>
              <w:spacing w:line="240" w:lineRule="auto"/>
              <w:rPr>
                <w:rFonts w:cs="Segoe UI"/>
                <w:iCs/>
                <w:sz w:val="20"/>
                <w:szCs w:val="20"/>
                <w:lang w:val="en-US"/>
              </w:rPr>
            </w:pPr>
            <w:r w:rsidRPr="009D5F90">
              <w:rPr>
                <w:rFonts w:cs="Segoe UI"/>
                <w:iCs/>
                <w:sz w:val="20"/>
                <w:szCs w:val="20"/>
                <w:lang w:val="en-US"/>
              </w:rPr>
              <w:t>Income*HDI</w:t>
            </w:r>
            <w:r>
              <w:rPr>
                <w:rFonts w:cs="Segoe UI"/>
                <w:iCs/>
                <w:sz w:val="20"/>
                <w:szCs w:val="20"/>
                <w:lang w:val="en-US"/>
              </w:rPr>
              <w:t xml:space="preserve"> dummy</w:t>
            </w:r>
            <w:r w:rsidRPr="009D5F90">
              <w:rPr>
                <w:rFonts w:cs="Segoe UI"/>
                <w:iCs/>
                <w:sz w:val="20"/>
                <w:szCs w:val="20"/>
                <w:lang w:val="en-US"/>
              </w:rPr>
              <w:t>*GINI</w:t>
            </w:r>
            <w:r>
              <w:rPr>
                <w:rFonts w:cs="Segoe UI"/>
                <w:iCs/>
                <w:sz w:val="20"/>
                <w:szCs w:val="20"/>
                <w:lang w:val="en-US"/>
              </w:rPr>
              <w:t xml:space="preserve"> (Ref  = </w:t>
            </w:r>
            <w:r w:rsidRPr="00B804C8">
              <w:rPr>
                <w:rFonts w:cs="Segoe UI"/>
                <w:i/>
                <w:iCs/>
                <w:sz w:val="20"/>
                <w:szCs w:val="20"/>
                <w:lang w:val="en-US"/>
              </w:rPr>
              <w:t>Developing</w:t>
            </w:r>
            <w:r>
              <w:rPr>
                <w:rFonts w:cs="Segoe UI"/>
                <w:iCs/>
                <w:sz w:val="20"/>
                <w:szCs w:val="20"/>
                <w:lang w:val="en-US"/>
              </w:rPr>
              <w:t>)</w:t>
            </w:r>
          </w:p>
        </w:tc>
        <w:tc>
          <w:tcPr>
            <w:tcW w:w="1180" w:type="dxa"/>
          </w:tcPr>
          <w:p w14:paraId="42B58332"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4876F034"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15E9C8F8"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44CF8FE9"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69D0B1DD"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06444B6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183" w:type="dxa"/>
          </w:tcPr>
          <w:p w14:paraId="050E2370"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0A7231D1"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r>
      <w:tr w:rsidR="00726C45" w:rsidRPr="005A3AB9" w14:paraId="7D1BDFB3" w14:textId="77777777" w:rsidTr="00A37677">
        <w:trPr>
          <w:trHeight w:val="321"/>
        </w:trPr>
        <w:tc>
          <w:tcPr>
            <w:tcW w:w="2690" w:type="dxa"/>
          </w:tcPr>
          <w:p w14:paraId="16A748D2" w14:textId="77777777" w:rsidR="00726C45" w:rsidRPr="005A3AB9" w:rsidRDefault="00726C45" w:rsidP="00A37677">
            <w:pPr>
              <w:widowControl w:val="0"/>
              <w:tabs>
                <w:tab w:val="right" w:pos="2046"/>
              </w:tabs>
              <w:autoSpaceDE w:val="0"/>
              <w:autoSpaceDN w:val="0"/>
              <w:adjustRightInd w:val="0"/>
              <w:spacing w:line="240" w:lineRule="auto"/>
              <w:rPr>
                <w:rFonts w:cs="Segoe UI"/>
                <w:sz w:val="20"/>
                <w:szCs w:val="20"/>
                <w:lang w:val="en-US"/>
              </w:rPr>
            </w:pPr>
            <w:r w:rsidRPr="005A3AB9">
              <w:rPr>
                <w:rFonts w:cs="Segoe UI"/>
                <w:i/>
                <w:iCs/>
                <w:sz w:val="20"/>
                <w:szCs w:val="20"/>
                <w:lang w:val="en-US"/>
              </w:rPr>
              <w:t>N</w:t>
            </w:r>
            <w:r>
              <w:rPr>
                <w:rFonts w:cs="Segoe UI"/>
                <w:i/>
                <w:iCs/>
                <w:sz w:val="20"/>
                <w:szCs w:val="20"/>
                <w:lang w:val="en-US"/>
              </w:rPr>
              <w:t xml:space="preserve"> individual</w:t>
            </w:r>
            <w:r>
              <w:rPr>
                <w:rFonts w:cs="Segoe UI"/>
                <w:i/>
                <w:iCs/>
                <w:sz w:val="20"/>
                <w:szCs w:val="20"/>
                <w:lang w:val="en-US"/>
              </w:rPr>
              <w:tab/>
            </w:r>
          </w:p>
        </w:tc>
        <w:tc>
          <w:tcPr>
            <w:tcW w:w="1180" w:type="dxa"/>
          </w:tcPr>
          <w:p w14:paraId="2AA167C6"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180" w:type="dxa"/>
          </w:tcPr>
          <w:p w14:paraId="0D16D559"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181" w:type="dxa"/>
          </w:tcPr>
          <w:p w14:paraId="4003769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181" w:type="dxa"/>
          </w:tcPr>
          <w:p w14:paraId="5FE8A49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180" w:type="dxa"/>
          </w:tcPr>
          <w:p w14:paraId="7AFE2D3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183" w:type="dxa"/>
          </w:tcPr>
          <w:p w14:paraId="041A397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r>
      <w:tr w:rsidR="00726C45" w:rsidRPr="005A3AB9" w14:paraId="37B7022A" w14:textId="77777777" w:rsidTr="00A37677">
        <w:trPr>
          <w:trHeight w:val="321"/>
        </w:trPr>
        <w:tc>
          <w:tcPr>
            <w:tcW w:w="2690" w:type="dxa"/>
          </w:tcPr>
          <w:p w14:paraId="3161C2D3" w14:textId="77777777" w:rsidR="00726C45" w:rsidRPr="005A3AB9"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N country</w:t>
            </w:r>
          </w:p>
        </w:tc>
        <w:tc>
          <w:tcPr>
            <w:tcW w:w="1180" w:type="dxa"/>
          </w:tcPr>
          <w:p w14:paraId="0E7BE89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180" w:type="dxa"/>
          </w:tcPr>
          <w:p w14:paraId="42972E84"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181" w:type="dxa"/>
          </w:tcPr>
          <w:p w14:paraId="3CE05E3D"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181" w:type="dxa"/>
          </w:tcPr>
          <w:p w14:paraId="068C0D4D"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180" w:type="dxa"/>
          </w:tcPr>
          <w:p w14:paraId="45E6ECDC"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183" w:type="dxa"/>
          </w:tcPr>
          <w:p w14:paraId="47197C0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r>
      <w:tr w:rsidR="00726C45" w:rsidRPr="005A3AB9" w14:paraId="26D10E51" w14:textId="77777777" w:rsidTr="00A37677">
        <w:trPr>
          <w:trHeight w:val="321"/>
        </w:trPr>
        <w:tc>
          <w:tcPr>
            <w:tcW w:w="2690" w:type="dxa"/>
          </w:tcPr>
          <w:p w14:paraId="02DAC9E5" w14:textId="77777777" w:rsidR="00726C45" w:rsidRPr="005A3AB9" w:rsidRDefault="00726C45" w:rsidP="00A37677">
            <w:pPr>
              <w:widowControl w:val="0"/>
              <w:autoSpaceDE w:val="0"/>
              <w:autoSpaceDN w:val="0"/>
              <w:adjustRightInd w:val="0"/>
              <w:spacing w:line="240" w:lineRule="auto"/>
              <w:rPr>
                <w:rFonts w:cs="Segoe UI"/>
                <w:sz w:val="20"/>
                <w:szCs w:val="20"/>
                <w:lang w:val="en-US"/>
              </w:rPr>
            </w:pPr>
            <w:r w:rsidRPr="005A3AB9">
              <w:rPr>
                <w:rFonts w:cs="Segoe UI"/>
                <w:i/>
                <w:iCs/>
                <w:sz w:val="20"/>
                <w:szCs w:val="20"/>
                <w:lang w:val="en-US"/>
              </w:rPr>
              <w:t>R</w:t>
            </w:r>
            <w:r w:rsidRPr="005A3AB9">
              <w:rPr>
                <w:rFonts w:cs="Segoe UI"/>
                <w:sz w:val="20"/>
                <w:szCs w:val="20"/>
                <w:vertAlign w:val="superscript"/>
                <w:lang w:val="en-US"/>
              </w:rPr>
              <w:t>2</w:t>
            </w:r>
          </w:p>
        </w:tc>
        <w:tc>
          <w:tcPr>
            <w:tcW w:w="1180" w:type="dxa"/>
          </w:tcPr>
          <w:p w14:paraId="1E80185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33331D73"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4AFD8CB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1" w:type="dxa"/>
          </w:tcPr>
          <w:p w14:paraId="7C0BE3FA"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0" w:type="dxa"/>
          </w:tcPr>
          <w:p w14:paraId="6F35E10F"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c>
          <w:tcPr>
            <w:tcW w:w="1183" w:type="dxa"/>
          </w:tcPr>
          <w:p w14:paraId="0107E46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p>
        </w:tc>
      </w:tr>
      <w:tr w:rsidR="00726C45" w:rsidRPr="005A3AB9" w14:paraId="1BC74F26" w14:textId="77777777" w:rsidTr="00A37677">
        <w:trPr>
          <w:trHeight w:val="321"/>
        </w:trPr>
        <w:tc>
          <w:tcPr>
            <w:tcW w:w="2690" w:type="dxa"/>
          </w:tcPr>
          <w:p w14:paraId="3D1F124B" w14:textId="77777777" w:rsidR="00726C45" w:rsidRPr="00B82296"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S&amp;B R</w:t>
            </w:r>
            <w:r>
              <w:rPr>
                <w:rFonts w:cs="Segoe UI"/>
                <w:i/>
                <w:iCs/>
                <w:sz w:val="20"/>
                <w:szCs w:val="20"/>
                <w:vertAlign w:val="superscript"/>
                <w:lang w:val="en-US"/>
              </w:rPr>
              <w:t xml:space="preserve">2 </w:t>
            </w:r>
            <w:r>
              <w:rPr>
                <w:rFonts w:cs="Segoe UI"/>
                <w:i/>
                <w:iCs/>
                <w:sz w:val="20"/>
                <w:szCs w:val="20"/>
                <w:lang w:val="en-US"/>
              </w:rPr>
              <w:t>(Individual)</w:t>
            </w:r>
          </w:p>
        </w:tc>
        <w:tc>
          <w:tcPr>
            <w:tcW w:w="1180" w:type="dxa"/>
          </w:tcPr>
          <w:p w14:paraId="6C0D968E"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tc>
        <w:tc>
          <w:tcPr>
            <w:tcW w:w="1180" w:type="dxa"/>
          </w:tcPr>
          <w:p w14:paraId="6055BCDF"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0.16</w:t>
            </w:r>
          </w:p>
        </w:tc>
        <w:tc>
          <w:tcPr>
            <w:tcW w:w="1181" w:type="dxa"/>
          </w:tcPr>
          <w:p w14:paraId="543B977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0.02</w:t>
            </w:r>
          </w:p>
        </w:tc>
        <w:tc>
          <w:tcPr>
            <w:tcW w:w="1181" w:type="dxa"/>
          </w:tcPr>
          <w:p w14:paraId="0D2DC17D"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0.08</w:t>
            </w:r>
          </w:p>
        </w:tc>
        <w:tc>
          <w:tcPr>
            <w:tcW w:w="1180" w:type="dxa"/>
          </w:tcPr>
          <w:p w14:paraId="2F64A06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tc>
        <w:tc>
          <w:tcPr>
            <w:tcW w:w="1183" w:type="dxa"/>
          </w:tcPr>
          <w:p w14:paraId="426AF1B4"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0.17</w:t>
            </w:r>
          </w:p>
        </w:tc>
      </w:tr>
      <w:tr w:rsidR="00726C45" w:rsidRPr="005A3AB9" w14:paraId="066667A1" w14:textId="77777777" w:rsidTr="00A37677">
        <w:trPr>
          <w:trHeight w:val="321"/>
        </w:trPr>
        <w:tc>
          <w:tcPr>
            <w:tcW w:w="2690" w:type="dxa"/>
          </w:tcPr>
          <w:p w14:paraId="48342697" w14:textId="77777777" w:rsidR="00726C45"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 xml:space="preserve">           (country)</w:t>
            </w:r>
          </w:p>
        </w:tc>
        <w:tc>
          <w:tcPr>
            <w:tcW w:w="1180" w:type="dxa"/>
          </w:tcPr>
          <w:p w14:paraId="13B95B2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0.04</w:t>
            </w:r>
          </w:p>
        </w:tc>
        <w:tc>
          <w:tcPr>
            <w:tcW w:w="1180" w:type="dxa"/>
          </w:tcPr>
          <w:p w14:paraId="48E9C686"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0.51</w:t>
            </w:r>
          </w:p>
        </w:tc>
        <w:tc>
          <w:tcPr>
            <w:tcW w:w="1181" w:type="dxa"/>
          </w:tcPr>
          <w:p w14:paraId="4B71CBBC"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0.09</w:t>
            </w:r>
          </w:p>
        </w:tc>
        <w:tc>
          <w:tcPr>
            <w:tcW w:w="1181" w:type="dxa"/>
          </w:tcPr>
          <w:p w14:paraId="67A1C8F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0.22</w:t>
            </w:r>
          </w:p>
        </w:tc>
        <w:tc>
          <w:tcPr>
            <w:tcW w:w="1180" w:type="dxa"/>
          </w:tcPr>
          <w:p w14:paraId="44A73AC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0.11</w:t>
            </w:r>
          </w:p>
        </w:tc>
        <w:tc>
          <w:tcPr>
            <w:tcW w:w="1183" w:type="dxa"/>
          </w:tcPr>
          <w:p w14:paraId="5E8744C7"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0.56</w:t>
            </w:r>
          </w:p>
        </w:tc>
      </w:tr>
      <w:tr w:rsidR="00726C45" w:rsidRPr="005A3AB9" w14:paraId="63A5AD97" w14:textId="77777777" w:rsidTr="00A37677">
        <w:trPr>
          <w:trHeight w:val="321"/>
        </w:trPr>
        <w:tc>
          <w:tcPr>
            <w:tcW w:w="2690" w:type="dxa"/>
          </w:tcPr>
          <w:p w14:paraId="21A23D18" w14:textId="77777777" w:rsidR="00726C45"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Log-Likelihood</w:t>
            </w:r>
          </w:p>
        </w:tc>
        <w:tc>
          <w:tcPr>
            <w:tcW w:w="1180" w:type="dxa"/>
          </w:tcPr>
          <w:p w14:paraId="680E7EA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-82842</w:t>
            </w:r>
          </w:p>
        </w:tc>
        <w:tc>
          <w:tcPr>
            <w:tcW w:w="1180" w:type="dxa"/>
          </w:tcPr>
          <w:p w14:paraId="0F1D008B"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-95539</w:t>
            </w:r>
          </w:p>
        </w:tc>
        <w:tc>
          <w:tcPr>
            <w:tcW w:w="1181" w:type="dxa"/>
          </w:tcPr>
          <w:p w14:paraId="66AA995A"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-82852</w:t>
            </w:r>
          </w:p>
        </w:tc>
        <w:tc>
          <w:tcPr>
            <w:tcW w:w="1181" w:type="dxa"/>
          </w:tcPr>
          <w:p w14:paraId="39CA0F20"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-95554</w:t>
            </w:r>
          </w:p>
        </w:tc>
        <w:tc>
          <w:tcPr>
            <w:tcW w:w="1180" w:type="dxa"/>
          </w:tcPr>
          <w:p w14:paraId="17B31B04"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-82801</w:t>
            </w:r>
          </w:p>
        </w:tc>
        <w:tc>
          <w:tcPr>
            <w:tcW w:w="1183" w:type="dxa"/>
          </w:tcPr>
          <w:p w14:paraId="4D201A81"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-95533</w:t>
            </w:r>
          </w:p>
        </w:tc>
      </w:tr>
      <w:tr w:rsidR="00726C45" w:rsidRPr="005A3AB9" w14:paraId="61CB1ADA" w14:textId="77777777" w:rsidTr="00A37677">
        <w:trPr>
          <w:trHeight w:val="321"/>
        </w:trPr>
        <w:tc>
          <w:tcPr>
            <w:tcW w:w="2690" w:type="dxa"/>
          </w:tcPr>
          <w:p w14:paraId="660154D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ICC</w:t>
            </w:r>
          </w:p>
        </w:tc>
        <w:tc>
          <w:tcPr>
            <w:tcW w:w="1180" w:type="dxa"/>
          </w:tcPr>
          <w:p w14:paraId="5C1FC36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.1071559</w:t>
            </w:r>
          </w:p>
        </w:tc>
        <w:tc>
          <w:tcPr>
            <w:tcW w:w="1180" w:type="dxa"/>
          </w:tcPr>
          <w:p w14:paraId="4997E1FE"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.1529609</w:t>
            </w:r>
          </w:p>
        </w:tc>
        <w:tc>
          <w:tcPr>
            <w:tcW w:w="1181" w:type="dxa"/>
          </w:tcPr>
          <w:p w14:paraId="62C5A11E"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.1025537</w:t>
            </w:r>
          </w:p>
        </w:tc>
        <w:tc>
          <w:tcPr>
            <w:tcW w:w="1181" w:type="dxa"/>
          </w:tcPr>
          <w:p w14:paraId="52C2DF8D"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.2234525</w:t>
            </w:r>
          </w:p>
        </w:tc>
        <w:tc>
          <w:tcPr>
            <w:tcW w:w="1180" w:type="dxa"/>
          </w:tcPr>
          <w:p w14:paraId="19071465"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.0998032</w:t>
            </w:r>
          </w:p>
        </w:tc>
        <w:tc>
          <w:tcPr>
            <w:tcW w:w="1183" w:type="dxa"/>
          </w:tcPr>
          <w:p w14:paraId="3FA616F2" w14:textId="77777777" w:rsidR="00726C45" w:rsidRPr="005A3AB9"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.1391852</w:t>
            </w:r>
          </w:p>
        </w:tc>
      </w:tr>
    </w:tbl>
    <w:p w14:paraId="607CDDB8" w14:textId="176EA794" w:rsidR="00726C45" w:rsidRDefault="00726C45" w:rsidP="00726C45"/>
    <w:p w14:paraId="3152CBF0" w14:textId="77777777" w:rsidR="00726C45" w:rsidRPr="003A26BF" w:rsidRDefault="00726C45" w:rsidP="00726C45">
      <w:pPr>
        <w:rPr>
          <w:b/>
        </w:rPr>
      </w:pPr>
      <w:r>
        <w:rPr>
          <w:b/>
        </w:rPr>
        <w:t>Figure C4: Full interaction MLM result: Models Compound (C)7 and Authoritarian (A)7 expanded to include Media*Press Freedom and Membership*Freedom House</w:t>
      </w:r>
    </w:p>
    <w:tbl>
      <w:tblPr>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8"/>
        <w:gridCol w:w="1277"/>
        <w:gridCol w:w="1418"/>
        <w:gridCol w:w="1418"/>
      </w:tblGrid>
      <w:tr w:rsidR="00726C45" w14:paraId="31818C3E"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tcPr>
          <w:p w14:paraId="506685D6"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5527" w:type="dxa"/>
            <w:gridSpan w:val="4"/>
            <w:tcBorders>
              <w:top w:val="single" w:sz="4" w:space="0" w:color="auto"/>
              <w:left w:val="single" w:sz="4" w:space="0" w:color="auto"/>
              <w:bottom w:val="single" w:sz="4" w:space="0" w:color="auto"/>
              <w:right w:val="single" w:sz="4" w:space="0" w:color="auto"/>
            </w:tcBorders>
            <w:hideMark/>
          </w:tcPr>
          <w:p w14:paraId="08293FCF" w14:textId="77777777" w:rsidR="00726C45"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 xml:space="preserve">Multilevel Mixed-Effects Interaction Models </w:t>
            </w:r>
          </w:p>
        </w:tc>
      </w:tr>
      <w:tr w:rsidR="00726C45" w14:paraId="5F79B3EC"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tcPr>
          <w:p w14:paraId="51EDE829"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2EF04B3B" w14:textId="77777777" w:rsidR="00726C45"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Media*Press Freedom</w:t>
            </w:r>
          </w:p>
        </w:tc>
        <w:tc>
          <w:tcPr>
            <w:tcW w:w="2834" w:type="dxa"/>
            <w:gridSpan w:val="2"/>
            <w:tcBorders>
              <w:top w:val="single" w:sz="4" w:space="0" w:color="auto"/>
              <w:left w:val="single" w:sz="4" w:space="0" w:color="auto"/>
              <w:bottom w:val="single" w:sz="4" w:space="0" w:color="auto"/>
              <w:right w:val="single" w:sz="4" w:space="0" w:color="auto"/>
            </w:tcBorders>
            <w:hideMark/>
          </w:tcPr>
          <w:p w14:paraId="5382E435" w14:textId="77777777" w:rsidR="00726C45"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Membership*Freedom House</w:t>
            </w:r>
          </w:p>
        </w:tc>
      </w:tr>
      <w:tr w:rsidR="00726C45" w14:paraId="436A34D3"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5AF84970" w14:textId="77777777" w:rsidR="00726C45" w:rsidRDefault="00726C45" w:rsidP="00A37677">
            <w:pPr>
              <w:widowControl w:val="0"/>
              <w:autoSpaceDE w:val="0"/>
              <w:autoSpaceDN w:val="0"/>
              <w:adjustRightInd w:val="0"/>
              <w:spacing w:line="240" w:lineRule="auto"/>
              <w:rPr>
                <w:rFonts w:cs="Segoe UI"/>
                <w:b/>
                <w:i/>
                <w:sz w:val="20"/>
                <w:szCs w:val="20"/>
                <w:lang w:val="en-US"/>
              </w:rPr>
            </w:pPr>
            <w:r>
              <w:rPr>
                <w:rFonts w:cs="Segoe UI"/>
                <w:b/>
                <w:i/>
                <w:sz w:val="20"/>
                <w:szCs w:val="20"/>
                <w:lang w:val="en-US"/>
              </w:rPr>
              <w:t>Individual Level</w:t>
            </w:r>
          </w:p>
        </w:tc>
        <w:tc>
          <w:tcPr>
            <w:tcW w:w="1417" w:type="dxa"/>
            <w:tcBorders>
              <w:top w:val="single" w:sz="4" w:space="0" w:color="auto"/>
              <w:left w:val="single" w:sz="4" w:space="0" w:color="auto"/>
              <w:bottom w:val="single" w:sz="4" w:space="0" w:color="auto"/>
              <w:right w:val="single" w:sz="4" w:space="0" w:color="auto"/>
            </w:tcBorders>
            <w:hideMark/>
          </w:tcPr>
          <w:p w14:paraId="02262C53" w14:textId="77777777" w:rsidR="00726C45"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C</w:t>
            </w:r>
          </w:p>
        </w:tc>
        <w:tc>
          <w:tcPr>
            <w:tcW w:w="1276" w:type="dxa"/>
            <w:tcBorders>
              <w:top w:val="single" w:sz="4" w:space="0" w:color="auto"/>
              <w:left w:val="single" w:sz="4" w:space="0" w:color="auto"/>
              <w:bottom w:val="single" w:sz="4" w:space="0" w:color="auto"/>
              <w:right w:val="single" w:sz="4" w:space="0" w:color="auto"/>
            </w:tcBorders>
            <w:hideMark/>
          </w:tcPr>
          <w:p w14:paraId="0D7F2F71" w14:textId="77777777" w:rsidR="00726C45"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A</w:t>
            </w:r>
          </w:p>
        </w:tc>
        <w:tc>
          <w:tcPr>
            <w:tcW w:w="1417" w:type="dxa"/>
            <w:tcBorders>
              <w:top w:val="single" w:sz="4" w:space="0" w:color="auto"/>
              <w:left w:val="single" w:sz="4" w:space="0" w:color="auto"/>
              <w:bottom w:val="single" w:sz="4" w:space="0" w:color="auto"/>
              <w:right w:val="single" w:sz="4" w:space="0" w:color="auto"/>
            </w:tcBorders>
            <w:hideMark/>
          </w:tcPr>
          <w:p w14:paraId="634BB9DF" w14:textId="77777777" w:rsidR="00726C45"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C</w:t>
            </w:r>
          </w:p>
        </w:tc>
        <w:tc>
          <w:tcPr>
            <w:tcW w:w="1417" w:type="dxa"/>
            <w:tcBorders>
              <w:top w:val="single" w:sz="4" w:space="0" w:color="auto"/>
              <w:left w:val="single" w:sz="4" w:space="0" w:color="auto"/>
              <w:bottom w:val="single" w:sz="4" w:space="0" w:color="auto"/>
              <w:right w:val="single" w:sz="4" w:space="0" w:color="auto"/>
            </w:tcBorders>
            <w:hideMark/>
          </w:tcPr>
          <w:p w14:paraId="6B269D37" w14:textId="77777777" w:rsidR="00726C45" w:rsidRDefault="00726C45" w:rsidP="00A37677">
            <w:pPr>
              <w:widowControl w:val="0"/>
              <w:autoSpaceDE w:val="0"/>
              <w:autoSpaceDN w:val="0"/>
              <w:adjustRightInd w:val="0"/>
              <w:spacing w:line="240" w:lineRule="auto"/>
              <w:jc w:val="center"/>
              <w:rPr>
                <w:rFonts w:cs="Segoe UI"/>
                <w:b/>
                <w:sz w:val="20"/>
                <w:szCs w:val="20"/>
                <w:lang w:val="en-US"/>
              </w:rPr>
            </w:pPr>
            <w:r>
              <w:rPr>
                <w:rFonts w:cs="Segoe UI"/>
                <w:b/>
                <w:sz w:val="20"/>
                <w:szCs w:val="20"/>
                <w:lang w:val="en-US"/>
              </w:rPr>
              <w:t>A</w:t>
            </w:r>
          </w:p>
        </w:tc>
      </w:tr>
      <w:tr w:rsidR="00726C45" w14:paraId="7DE65373"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79679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Age</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878C4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431E699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C6D81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675C062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65CBC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6C4892D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376A9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6400631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r>
      <w:tr w:rsidR="00726C45" w14:paraId="0870A87B"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1C6AC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Age-squared</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38FB7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3614777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37417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44D7E93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19F10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403FF5B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C2C12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7A78D42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r>
      <w:tr w:rsidR="00726C45" w14:paraId="7DC6DF2E"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FC19F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Gender (Ref=</w:t>
            </w:r>
            <w:r>
              <w:rPr>
                <w:rFonts w:cs="Segoe UI"/>
                <w:i/>
                <w:sz w:val="20"/>
                <w:szCs w:val="20"/>
                <w:lang w:val="en-US"/>
              </w:rPr>
              <w:t>Female</w:t>
            </w:r>
            <w:r>
              <w:rPr>
                <w:rFonts w:cs="Segoe UI"/>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7D548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011F93B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716A9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2113817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5AB0A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2638910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20E09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7F55130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r>
      <w:tr w:rsidR="00726C45" w14:paraId="3312632B"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516CF566" w14:textId="77777777" w:rsidR="00726C45" w:rsidRDefault="00726C45" w:rsidP="00A37677">
            <w:pPr>
              <w:widowControl w:val="0"/>
              <w:autoSpaceDE w:val="0"/>
              <w:autoSpaceDN w:val="0"/>
              <w:adjustRightInd w:val="0"/>
              <w:spacing w:line="240" w:lineRule="auto"/>
              <w:rPr>
                <w:rFonts w:cs="Segoe UI"/>
                <w:b/>
                <w:sz w:val="20"/>
                <w:szCs w:val="20"/>
                <w:lang w:val="en-US"/>
              </w:rPr>
            </w:pPr>
            <w:r>
              <w:rPr>
                <w:rFonts w:cs="Segoe UI"/>
                <w:b/>
                <w:sz w:val="20"/>
                <w:szCs w:val="20"/>
                <w:lang w:val="en-US"/>
              </w:rPr>
              <w:t>Modernization</w:t>
            </w:r>
          </w:p>
        </w:tc>
        <w:tc>
          <w:tcPr>
            <w:tcW w:w="1417" w:type="dxa"/>
            <w:tcBorders>
              <w:top w:val="single" w:sz="4" w:space="0" w:color="auto"/>
              <w:left w:val="single" w:sz="4" w:space="0" w:color="auto"/>
              <w:bottom w:val="single" w:sz="4" w:space="0" w:color="auto"/>
              <w:right w:val="single" w:sz="4" w:space="0" w:color="auto"/>
            </w:tcBorders>
          </w:tcPr>
          <w:p w14:paraId="5C0F3679"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EA9B9CA"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049618F"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A30895B"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4307DF44"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63732CE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Education (Ref=</w:t>
            </w:r>
            <w:r>
              <w:rPr>
                <w:rFonts w:cs="Segoe UI"/>
                <w:i/>
                <w:sz w:val="20"/>
                <w:szCs w:val="20"/>
                <w:lang w:val="en-US"/>
              </w:rPr>
              <w:t>Lower</w:t>
            </w:r>
            <w:r>
              <w:rPr>
                <w:rFonts w:cs="Segoe UI"/>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548D9FC9"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837B903"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CC17D81"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5F8C0C3"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7D2DE1E3"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200D1929"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Middle</w:t>
            </w:r>
          </w:p>
        </w:tc>
        <w:tc>
          <w:tcPr>
            <w:tcW w:w="1417" w:type="dxa"/>
            <w:tcBorders>
              <w:top w:val="single" w:sz="4" w:space="0" w:color="auto"/>
              <w:left w:val="single" w:sz="4" w:space="0" w:color="auto"/>
              <w:bottom w:val="single" w:sz="4" w:space="0" w:color="auto"/>
              <w:right w:val="single" w:sz="4" w:space="0" w:color="auto"/>
            </w:tcBorders>
            <w:hideMark/>
          </w:tcPr>
          <w:p w14:paraId="318AEB2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396AEB1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 xml:space="preserve"> (0.03)</w:t>
            </w:r>
          </w:p>
        </w:tc>
        <w:tc>
          <w:tcPr>
            <w:tcW w:w="1276" w:type="dxa"/>
            <w:tcBorders>
              <w:top w:val="single" w:sz="4" w:space="0" w:color="auto"/>
              <w:left w:val="single" w:sz="4" w:space="0" w:color="auto"/>
              <w:bottom w:val="single" w:sz="4" w:space="0" w:color="auto"/>
              <w:right w:val="single" w:sz="4" w:space="0" w:color="auto"/>
            </w:tcBorders>
            <w:hideMark/>
          </w:tcPr>
          <w:p w14:paraId="55C8A6B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-0.25*** (0.03)</w:t>
            </w:r>
          </w:p>
        </w:tc>
        <w:tc>
          <w:tcPr>
            <w:tcW w:w="1417" w:type="dxa"/>
            <w:tcBorders>
              <w:top w:val="single" w:sz="4" w:space="0" w:color="auto"/>
              <w:left w:val="single" w:sz="4" w:space="0" w:color="auto"/>
              <w:bottom w:val="single" w:sz="4" w:space="0" w:color="auto"/>
              <w:right w:val="single" w:sz="4" w:space="0" w:color="auto"/>
            </w:tcBorders>
            <w:hideMark/>
          </w:tcPr>
          <w:p w14:paraId="0DB1B06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74C8152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 xml:space="preserve"> (0.03)</w:t>
            </w:r>
          </w:p>
        </w:tc>
        <w:tc>
          <w:tcPr>
            <w:tcW w:w="1417" w:type="dxa"/>
            <w:tcBorders>
              <w:top w:val="single" w:sz="4" w:space="0" w:color="auto"/>
              <w:left w:val="single" w:sz="4" w:space="0" w:color="auto"/>
              <w:bottom w:val="single" w:sz="4" w:space="0" w:color="auto"/>
              <w:right w:val="single" w:sz="4" w:space="0" w:color="auto"/>
            </w:tcBorders>
            <w:hideMark/>
          </w:tcPr>
          <w:p w14:paraId="3AE1A2C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-0.25*** (0.03)</w:t>
            </w:r>
          </w:p>
        </w:tc>
      </w:tr>
      <w:tr w:rsidR="00726C45" w14:paraId="52E63B85"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643FB381"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Higher</w:t>
            </w:r>
          </w:p>
        </w:tc>
        <w:tc>
          <w:tcPr>
            <w:tcW w:w="1417" w:type="dxa"/>
            <w:tcBorders>
              <w:top w:val="single" w:sz="4" w:space="0" w:color="auto"/>
              <w:left w:val="single" w:sz="4" w:space="0" w:color="auto"/>
              <w:bottom w:val="single" w:sz="4" w:space="0" w:color="auto"/>
              <w:right w:val="single" w:sz="4" w:space="0" w:color="auto"/>
            </w:tcBorders>
            <w:hideMark/>
          </w:tcPr>
          <w:p w14:paraId="7AD6476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0.22***</w:t>
            </w:r>
          </w:p>
          <w:p w14:paraId="097D6D8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276" w:type="dxa"/>
            <w:tcBorders>
              <w:top w:val="single" w:sz="4" w:space="0" w:color="auto"/>
              <w:left w:val="single" w:sz="4" w:space="0" w:color="auto"/>
              <w:bottom w:val="single" w:sz="4" w:space="0" w:color="auto"/>
              <w:right w:val="single" w:sz="4" w:space="0" w:color="auto"/>
            </w:tcBorders>
            <w:hideMark/>
          </w:tcPr>
          <w:p w14:paraId="2BE0398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-0.61***</w:t>
            </w:r>
          </w:p>
          <w:p w14:paraId="540C97B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c>
          <w:tcPr>
            <w:tcW w:w="1417" w:type="dxa"/>
            <w:tcBorders>
              <w:top w:val="single" w:sz="4" w:space="0" w:color="auto"/>
              <w:left w:val="single" w:sz="4" w:space="0" w:color="auto"/>
              <w:bottom w:val="single" w:sz="4" w:space="0" w:color="auto"/>
              <w:right w:val="single" w:sz="4" w:space="0" w:color="auto"/>
            </w:tcBorders>
            <w:hideMark/>
          </w:tcPr>
          <w:p w14:paraId="0224F18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0.22***</w:t>
            </w:r>
          </w:p>
          <w:p w14:paraId="5E522AF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417" w:type="dxa"/>
            <w:tcBorders>
              <w:top w:val="single" w:sz="4" w:space="0" w:color="auto"/>
              <w:left w:val="single" w:sz="4" w:space="0" w:color="auto"/>
              <w:bottom w:val="single" w:sz="4" w:space="0" w:color="auto"/>
              <w:right w:val="single" w:sz="4" w:space="0" w:color="auto"/>
            </w:tcBorders>
            <w:hideMark/>
          </w:tcPr>
          <w:p w14:paraId="11475A0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-0.61***</w:t>
            </w:r>
          </w:p>
          <w:p w14:paraId="795527D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r>
      <w:tr w:rsidR="00726C45" w14:paraId="2349C2D6"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6586440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Income (1-10)</w:t>
            </w:r>
          </w:p>
        </w:tc>
        <w:tc>
          <w:tcPr>
            <w:tcW w:w="1417" w:type="dxa"/>
            <w:tcBorders>
              <w:top w:val="single" w:sz="4" w:space="0" w:color="auto"/>
              <w:left w:val="single" w:sz="4" w:space="0" w:color="auto"/>
              <w:bottom w:val="single" w:sz="4" w:space="0" w:color="auto"/>
              <w:right w:val="single" w:sz="4" w:space="0" w:color="auto"/>
            </w:tcBorders>
            <w:hideMark/>
          </w:tcPr>
          <w:p w14:paraId="6AED34F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(0.00)</w:t>
            </w:r>
          </w:p>
        </w:tc>
        <w:tc>
          <w:tcPr>
            <w:tcW w:w="1276" w:type="dxa"/>
            <w:tcBorders>
              <w:top w:val="single" w:sz="4" w:space="0" w:color="auto"/>
              <w:left w:val="single" w:sz="4" w:space="0" w:color="auto"/>
              <w:bottom w:val="single" w:sz="4" w:space="0" w:color="auto"/>
              <w:right w:val="single" w:sz="4" w:space="0" w:color="auto"/>
            </w:tcBorders>
            <w:hideMark/>
          </w:tcPr>
          <w:p w14:paraId="2915887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  (0.00)</w:t>
            </w:r>
          </w:p>
        </w:tc>
        <w:tc>
          <w:tcPr>
            <w:tcW w:w="1417" w:type="dxa"/>
            <w:tcBorders>
              <w:top w:val="single" w:sz="4" w:space="0" w:color="auto"/>
              <w:left w:val="single" w:sz="4" w:space="0" w:color="auto"/>
              <w:bottom w:val="single" w:sz="4" w:space="0" w:color="auto"/>
              <w:right w:val="single" w:sz="4" w:space="0" w:color="auto"/>
            </w:tcBorders>
            <w:hideMark/>
          </w:tcPr>
          <w:p w14:paraId="3A21725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(0.00)</w:t>
            </w:r>
          </w:p>
        </w:tc>
        <w:tc>
          <w:tcPr>
            <w:tcW w:w="1417" w:type="dxa"/>
            <w:tcBorders>
              <w:top w:val="single" w:sz="4" w:space="0" w:color="auto"/>
              <w:left w:val="single" w:sz="4" w:space="0" w:color="auto"/>
              <w:bottom w:val="single" w:sz="4" w:space="0" w:color="auto"/>
              <w:right w:val="single" w:sz="4" w:space="0" w:color="auto"/>
            </w:tcBorders>
            <w:hideMark/>
          </w:tcPr>
          <w:p w14:paraId="302C01B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     (0.00)</w:t>
            </w:r>
          </w:p>
        </w:tc>
      </w:tr>
      <w:tr w:rsidR="00726C45" w14:paraId="0590CC81"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C455EB" w14:textId="77777777" w:rsidR="00726C45" w:rsidRDefault="00726C45" w:rsidP="00A37677">
            <w:pPr>
              <w:widowControl w:val="0"/>
              <w:autoSpaceDE w:val="0"/>
              <w:autoSpaceDN w:val="0"/>
              <w:adjustRightInd w:val="0"/>
              <w:spacing w:line="240" w:lineRule="auto"/>
              <w:rPr>
                <w:rFonts w:cs="Segoe UI"/>
                <w:b/>
                <w:sz w:val="20"/>
                <w:szCs w:val="20"/>
                <w:lang w:val="en-US"/>
              </w:rPr>
            </w:pPr>
            <w:r>
              <w:rPr>
                <w:rFonts w:cs="Segoe UI"/>
                <w:b/>
                <w:sz w:val="20"/>
                <w:szCs w:val="20"/>
                <w:lang w:val="en-US"/>
              </w:rPr>
              <w:t>Cog. Engagement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2111D5" w14:textId="77777777" w:rsidR="00726C45" w:rsidRDefault="00726C45" w:rsidP="00A37677">
            <w:pPr>
              <w:widowControl w:val="0"/>
              <w:autoSpaceDE w:val="0"/>
              <w:autoSpaceDN w:val="0"/>
              <w:adjustRightInd w:val="0"/>
              <w:spacing w:line="240" w:lineRule="auto"/>
              <w:rPr>
                <w:rFonts w:cs="Segoe UI"/>
                <w:b/>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B5DCB7" w14:textId="77777777" w:rsidR="00726C45" w:rsidRDefault="00726C45" w:rsidP="00A37677">
            <w:pPr>
              <w:widowControl w:val="0"/>
              <w:autoSpaceDE w:val="0"/>
              <w:autoSpaceDN w:val="0"/>
              <w:adjustRightInd w:val="0"/>
              <w:spacing w:line="240" w:lineRule="auto"/>
              <w:rPr>
                <w:rFonts w:cs="Segoe UI"/>
                <w:b/>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12522" w14:textId="77777777" w:rsidR="00726C45" w:rsidRDefault="00726C45" w:rsidP="00A37677">
            <w:pPr>
              <w:widowControl w:val="0"/>
              <w:autoSpaceDE w:val="0"/>
              <w:autoSpaceDN w:val="0"/>
              <w:adjustRightInd w:val="0"/>
              <w:spacing w:line="240" w:lineRule="auto"/>
              <w:rPr>
                <w:rFonts w:cs="Segoe UI"/>
                <w:b/>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5A5C38" w14:textId="77777777" w:rsidR="00726C45" w:rsidRDefault="00726C45" w:rsidP="00A37677">
            <w:pPr>
              <w:widowControl w:val="0"/>
              <w:autoSpaceDE w:val="0"/>
              <w:autoSpaceDN w:val="0"/>
              <w:adjustRightInd w:val="0"/>
              <w:spacing w:line="240" w:lineRule="auto"/>
              <w:rPr>
                <w:rFonts w:cs="Segoe UI"/>
                <w:b/>
                <w:sz w:val="20"/>
                <w:szCs w:val="20"/>
                <w:lang w:val="en-US"/>
              </w:rPr>
            </w:pPr>
          </w:p>
        </w:tc>
      </w:tr>
      <w:tr w:rsidR="00726C45" w14:paraId="52C49D94"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02238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Political Interest (1-10)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1950B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(0.01)</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39C36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09771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29B9A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      (0.01)</w:t>
            </w:r>
          </w:p>
        </w:tc>
      </w:tr>
      <w:tr w:rsidR="00726C45" w14:paraId="25944103"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DE0E8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Media Use (Ref=</w:t>
            </w:r>
            <w:r>
              <w:rPr>
                <w:rFonts w:cs="Segoe UI"/>
                <w:i/>
                <w:sz w:val="20"/>
                <w:szCs w:val="20"/>
                <w:lang w:val="en-US"/>
              </w:rPr>
              <w:t>None</w:t>
            </w:r>
            <w:r>
              <w:rPr>
                <w:rFonts w:cs="Segoe UI"/>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DF5F99"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6370A2"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E4E107"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998BC8"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0F6817DB"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8EE343"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1-4 Sources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B14CA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0.19</w:t>
            </w:r>
          </w:p>
          <w:p w14:paraId="3BD61E7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5BDB3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0.38*</w:t>
            </w:r>
          </w:p>
          <w:p w14:paraId="7EF52C2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AC0BA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0.43***</w:t>
            </w:r>
          </w:p>
          <w:p w14:paraId="494872D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6991A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0.38*</w:t>
            </w:r>
          </w:p>
          <w:p w14:paraId="1C0538F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r>
      <w:tr w:rsidR="00726C45" w14:paraId="478C2878"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67ED26"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 xml:space="preserve">5+ Sources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01944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w:t>
            </w:r>
          </w:p>
          <w:p w14:paraId="2CA37BC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D1774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0.48***</w:t>
            </w:r>
          </w:p>
          <w:p w14:paraId="7CD90E9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12B5F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0.55***</w:t>
            </w:r>
          </w:p>
          <w:p w14:paraId="1EDB943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D26A8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0.48***</w:t>
            </w:r>
          </w:p>
          <w:p w14:paraId="6B4EC29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r>
      <w:tr w:rsidR="00726C45" w14:paraId="2197BE2C"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66F9691F" w14:textId="77777777" w:rsidR="00726C45" w:rsidRDefault="00726C45" w:rsidP="00A37677">
            <w:pPr>
              <w:widowControl w:val="0"/>
              <w:autoSpaceDE w:val="0"/>
              <w:autoSpaceDN w:val="0"/>
              <w:adjustRightInd w:val="0"/>
              <w:spacing w:line="240" w:lineRule="auto"/>
              <w:rPr>
                <w:rFonts w:cs="Segoe UI"/>
                <w:b/>
                <w:sz w:val="20"/>
                <w:szCs w:val="20"/>
                <w:lang w:val="en-US"/>
              </w:rPr>
            </w:pPr>
            <w:r>
              <w:rPr>
                <w:rFonts w:cs="Segoe UI"/>
                <w:b/>
                <w:sz w:val="20"/>
                <w:szCs w:val="20"/>
                <w:lang w:val="en-US"/>
              </w:rPr>
              <w:t>Social Capital</w:t>
            </w:r>
          </w:p>
        </w:tc>
        <w:tc>
          <w:tcPr>
            <w:tcW w:w="1417" w:type="dxa"/>
            <w:tcBorders>
              <w:top w:val="single" w:sz="4" w:space="0" w:color="auto"/>
              <w:left w:val="single" w:sz="4" w:space="0" w:color="auto"/>
              <w:bottom w:val="single" w:sz="4" w:space="0" w:color="auto"/>
              <w:right w:val="single" w:sz="4" w:space="0" w:color="auto"/>
            </w:tcBorders>
          </w:tcPr>
          <w:p w14:paraId="0942A8D3"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D5362F8"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308A666"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DE47CE1"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041698C8"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5567702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 xml:space="preserve">Trust (Ref = </w:t>
            </w:r>
            <w:r>
              <w:rPr>
                <w:rFonts w:cs="Segoe UI"/>
                <w:i/>
                <w:sz w:val="20"/>
                <w:szCs w:val="20"/>
                <w:lang w:val="en-US"/>
              </w:rPr>
              <w:t>can’t be trusted</w:t>
            </w:r>
            <w:r>
              <w:rPr>
                <w:rFonts w:cs="Segoe UI"/>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hideMark/>
          </w:tcPr>
          <w:p w14:paraId="7C47788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         (0.02)</w:t>
            </w:r>
          </w:p>
        </w:tc>
        <w:tc>
          <w:tcPr>
            <w:tcW w:w="1276" w:type="dxa"/>
            <w:tcBorders>
              <w:top w:val="single" w:sz="4" w:space="0" w:color="auto"/>
              <w:left w:val="single" w:sz="4" w:space="0" w:color="auto"/>
              <w:bottom w:val="single" w:sz="4" w:space="0" w:color="auto"/>
              <w:right w:val="single" w:sz="4" w:space="0" w:color="auto"/>
            </w:tcBorders>
            <w:hideMark/>
          </w:tcPr>
          <w:p w14:paraId="5CE737B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-0.14*** (0.02)</w:t>
            </w:r>
          </w:p>
        </w:tc>
        <w:tc>
          <w:tcPr>
            <w:tcW w:w="1417" w:type="dxa"/>
            <w:tcBorders>
              <w:top w:val="single" w:sz="4" w:space="0" w:color="auto"/>
              <w:left w:val="single" w:sz="4" w:space="0" w:color="auto"/>
              <w:bottom w:val="single" w:sz="4" w:space="0" w:color="auto"/>
              <w:right w:val="single" w:sz="4" w:space="0" w:color="auto"/>
            </w:tcBorders>
            <w:hideMark/>
          </w:tcPr>
          <w:p w14:paraId="2D50761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         (0.02)</w:t>
            </w:r>
          </w:p>
        </w:tc>
        <w:tc>
          <w:tcPr>
            <w:tcW w:w="1417" w:type="dxa"/>
            <w:tcBorders>
              <w:top w:val="single" w:sz="4" w:space="0" w:color="auto"/>
              <w:left w:val="single" w:sz="4" w:space="0" w:color="auto"/>
              <w:bottom w:val="single" w:sz="4" w:space="0" w:color="auto"/>
              <w:right w:val="single" w:sz="4" w:space="0" w:color="auto"/>
            </w:tcBorders>
            <w:hideMark/>
          </w:tcPr>
          <w:p w14:paraId="02D0173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-0.14*** (0.02)</w:t>
            </w:r>
          </w:p>
        </w:tc>
      </w:tr>
      <w:tr w:rsidR="00726C45" w14:paraId="3B96694E"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71EFEC4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Institutional Trust (1-10)</w:t>
            </w:r>
          </w:p>
        </w:tc>
        <w:tc>
          <w:tcPr>
            <w:tcW w:w="1417" w:type="dxa"/>
            <w:tcBorders>
              <w:top w:val="single" w:sz="4" w:space="0" w:color="auto"/>
              <w:left w:val="single" w:sz="4" w:space="0" w:color="auto"/>
              <w:bottom w:val="single" w:sz="4" w:space="0" w:color="auto"/>
              <w:right w:val="single" w:sz="4" w:space="0" w:color="auto"/>
            </w:tcBorders>
            <w:hideMark/>
          </w:tcPr>
          <w:p w14:paraId="1C4926E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3D66F81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276" w:type="dxa"/>
            <w:tcBorders>
              <w:top w:val="single" w:sz="4" w:space="0" w:color="auto"/>
              <w:left w:val="single" w:sz="4" w:space="0" w:color="auto"/>
              <w:bottom w:val="single" w:sz="4" w:space="0" w:color="auto"/>
              <w:right w:val="single" w:sz="4" w:space="0" w:color="auto"/>
            </w:tcBorders>
            <w:hideMark/>
          </w:tcPr>
          <w:p w14:paraId="3248415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18FFFFF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417" w:type="dxa"/>
            <w:tcBorders>
              <w:top w:val="single" w:sz="4" w:space="0" w:color="auto"/>
              <w:left w:val="single" w:sz="4" w:space="0" w:color="auto"/>
              <w:bottom w:val="single" w:sz="4" w:space="0" w:color="auto"/>
              <w:right w:val="single" w:sz="4" w:space="0" w:color="auto"/>
            </w:tcBorders>
            <w:hideMark/>
          </w:tcPr>
          <w:p w14:paraId="300BCAF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4F76924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tc>
        <w:tc>
          <w:tcPr>
            <w:tcW w:w="1417" w:type="dxa"/>
            <w:tcBorders>
              <w:top w:val="single" w:sz="4" w:space="0" w:color="auto"/>
              <w:left w:val="single" w:sz="4" w:space="0" w:color="auto"/>
              <w:bottom w:val="single" w:sz="4" w:space="0" w:color="auto"/>
              <w:right w:val="single" w:sz="4" w:space="0" w:color="auto"/>
            </w:tcBorders>
            <w:hideMark/>
          </w:tcPr>
          <w:p w14:paraId="12D706F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5E31E7C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r>
      <w:tr w:rsidR="00726C45" w14:paraId="3F41DBD2"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1452BA4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 xml:space="preserve">Group Membership (ref = </w:t>
            </w:r>
            <w:r>
              <w:rPr>
                <w:rFonts w:cs="Segoe UI"/>
                <w:i/>
                <w:sz w:val="20"/>
                <w:szCs w:val="20"/>
                <w:lang w:val="en-US"/>
              </w:rPr>
              <w:t>None</w:t>
            </w:r>
            <w:r>
              <w:rPr>
                <w:rFonts w:cs="Segoe UI"/>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tcPr>
          <w:p w14:paraId="44C08FE1"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A5C8807"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ADB2D7D"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56CF00D"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6C49A236"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5C9ACA80"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One</w:t>
            </w:r>
          </w:p>
        </w:tc>
        <w:tc>
          <w:tcPr>
            <w:tcW w:w="1417" w:type="dxa"/>
            <w:tcBorders>
              <w:top w:val="single" w:sz="4" w:space="0" w:color="auto"/>
              <w:left w:val="single" w:sz="4" w:space="0" w:color="auto"/>
              <w:bottom w:val="single" w:sz="4" w:space="0" w:color="auto"/>
              <w:right w:val="single" w:sz="4" w:space="0" w:color="auto"/>
            </w:tcBorders>
            <w:hideMark/>
          </w:tcPr>
          <w:p w14:paraId="395767B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6932C1C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hideMark/>
          </w:tcPr>
          <w:p w14:paraId="5B41CC0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063C503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417" w:type="dxa"/>
            <w:tcBorders>
              <w:top w:val="single" w:sz="4" w:space="0" w:color="auto"/>
              <w:left w:val="single" w:sz="4" w:space="0" w:color="auto"/>
              <w:bottom w:val="single" w:sz="4" w:space="0" w:color="auto"/>
              <w:right w:val="single" w:sz="4" w:space="0" w:color="auto"/>
            </w:tcBorders>
            <w:hideMark/>
          </w:tcPr>
          <w:p w14:paraId="52DDAEC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1D8825D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417" w:type="dxa"/>
            <w:tcBorders>
              <w:top w:val="single" w:sz="4" w:space="0" w:color="auto"/>
              <w:left w:val="single" w:sz="4" w:space="0" w:color="auto"/>
              <w:bottom w:val="single" w:sz="4" w:space="0" w:color="auto"/>
              <w:right w:val="single" w:sz="4" w:space="0" w:color="auto"/>
            </w:tcBorders>
            <w:hideMark/>
          </w:tcPr>
          <w:p w14:paraId="0B1FD55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5F481B3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r>
      <w:tr w:rsidR="00726C45" w14:paraId="3554BF21"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5FE0F484"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Two or more</w:t>
            </w:r>
          </w:p>
        </w:tc>
        <w:tc>
          <w:tcPr>
            <w:tcW w:w="1417" w:type="dxa"/>
            <w:tcBorders>
              <w:top w:val="single" w:sz="4" w:space="0" w:color="auto"/>
              <w:left w:val="single" w:sz="4" w:space="0" w:color="auto"/>
              <w:bottom w:val="single" w:sz="4" w:space="0" w:color="auto"/>
              <w:right w:val="single" w:sz="4" w:space="0" w:color="auto"/>
            </w:tcBorders>
            <w:hideMark/>
          </w:tcPr>
          <w:p w14:paraId="5411526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379238B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hideMark/>
          </w:tcPr>
          <w:p w14:paraId="7F95B5E3"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2D6FD2A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c>
          <w:tcPr>
            <w:tcW w:w="1417" w:type="dxa"/>
            <w:tcBorders>
              <w:top w:val="single" w:sz="4" w:space="0" w:color="auto"/>
              <w:left w:val="single" w:sz="4" w:space="0" w:color="auto"/>
              <w:bottom w:val="single" w:sz="4" w:space="0" w:color="auto"/>
              <w:right w:val="single" w:sz="4" w:space="0" w:color="auto"/>
            </w:tcBorders>
            <w:hideMark/>
          </w:tcPr>
          <w:p w14:paraId="35F04C6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p w14:paraId="5EB08E3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417" w:type="dxa"/>
            <w:tcBorders>
              <w:top w:val="single" w:sz="4" w:space="0" w:color="auto"/>
              <w:left w:val="single" w:sz="4" w:space="0" w:color="auto"/>
              <w:bottom w:val="single" w:sz="4" w:space="0" w:color="auto"/>
              <w:right w:val="single" w:sz="4" w:space="0" w:color="auto"/>
            </w:tcBorders>
            <w:hideMark/>
          </w:tcPr>
          <w:p w14:paraId="364CE30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3EAE072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tc>
      </w:tr>
      <w:tr w:rsidR="00726C45" w14:paraId="349499F4"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3520AB" w14:textId="77777777" w:rsidR="00726C45" w:rsidRDefault="00726C45" w:rsidP="00A37677">
            <w:pPr>
              <w:widowControl w:val="0"/>
              <w:autoSpaceDE w:val="0"/>
              <w:autoSpaceDN w:val="0"/>
              <w:adjustRightInd w:val="0"/>
              <w:spacing w:line="240" w:lineRule="auto"/>
              <w:rPr>
                <w:rFonts w:cs="Segoe UI"/>
                <w:b/>
                <w:sz w:val="20"/>
                <w:szCs w:val="20"/>
                <w:lang w:val="en-US"/>
              </w:rPr>
            </w:pPr>
            <w:r>
              <w:rPr>
                <w:rFonts w:cs="Segoe UI"/>
                <w:b/>
                <w:sz w:val="20"/>
                <w:szCs w:val="20"/>
                <w:lang w:val="en-US"/>
              </w:rPr>
              <w:t>Religion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330522"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58A7FE"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318F6B"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57D509"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55E58D50"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E2FDC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 xml:space="preserve">Religiosity (1-10)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2DC65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551E6FF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BA1C7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7DE3C55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179ED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7334482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C21CE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2CDA832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(0.01)</w:t>
            </w:r>
          </w:p>
        </w:tc>
      </w:tr>
      <w:tr w:rsidR="00726C45" w14:paraId="52A54644"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6B075C" w14:textId="77777777" w:rsidR="00726C45" w:rsidRDefault="00726C45" w:rsidP="00A37677">
            <w:pPr>
              <w:spacing w:line="240" w:lineRule="auto"/>
              <w:rPr>
                <w:rFonts w:cs="Segoe UI"/>
                <w:sz w:val="20"/>
                <w:szCs w:val="20"/>
              </w:rPr>
            </w:pPr>
            <w:r>
              <w:rPr>
                <w:rFonts w:cs="Segoe UI"/>
                <w:sz w:val="20"/>
                <w:szCs w:val="20"/>
              </w:rPr>
              <w:t xml:space="preserve">Religion (Ref = </w:t>
            </w:r>
            <w:r>
              <w:rPr>
                <w:rFonts w:cs="Segoe UI"/>
                <w:i/>
                <w:sz w:val="20"/>
                <w:szCs w:val="20"/>
              </w:rPr>
              <w:t>None</w:t>
            </w:r>
            <w:r>
              <w:rPr>
                <w:rFonts w:cs="Segoe UI"/>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063155"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9F6CB5"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A4BFF" w14:textId="77777777" w:rsidR="00726C45" w:rsidRDefault="00726C45" w:rsidP="00A37677">
            <w:pPr>
              <w:widowControl w:val="0"/>
              <w:autoSpaceDE w:val="0"/>
              <w:autoSpaceDN w:val="0"/>
              <w:adjustRightInd w:val="0"/>
              <w:spacing w:line="240" w:lineRule="auto"/>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E25360"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6DE2CEF6"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8587FB" w14:textId="77777777" w:rsidR="00726C45" w:rsidRDefault="00726C45" w:rsidP="00A37677">
            <w:pPr>
              <w:spacing w:line="240" w:lineRule="auto"/>
              <w:rPr>
                <w:rFonts w:cs="Segoe UI"/>
                <w:i/>
                <w:sz w:val="20"/>
                <w:szCs w:val="20"/>
              </w:rPr>
            </w:pPr>
            <w:r>
              <w:rPr>
                <w:rFonts w:cs="Segoe UI"/>
                <w:i/>
                <w:sz w:val="20"/>
                <w:szCs w:val="20"/>
              </w:rPr>
              <w:t>Catholic</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BE638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5CFD067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EEB81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p w14:paraId="6E190A3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A8F0B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-0.07</w:t>
            </w:r>
          </w:p>
          <w:p w14:paraId="59275A2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BA2A1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0.03</w:t>
            </w:r>
          </w:p>
          <w:p w14:paraId="61ED765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r>
      <w:tr w:rsidR="00726C45" w14:paraId="3FC79C64"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2A92E7" w14:textId="77777777" w:rsidR="00726C45" w:rsidRDefault="00726C45" w:rsidP="00A37677">
            <w:pPr>
              <w:spacing w:line="240" w:lineRule="auto"/>
              <w:rPr>
                <w:rFonts w:cs="Segoe UI"/>
                <w:i/>
                <w:sz w:val="20"/>
                <w:szCs w:val="20"/>
              </w:rPr>
            </w:pPr>
            <w:r>
              <w:rPr>
                <w:rFonts w:cs="Segoe UI"/>
                <w:i/>
                <w:sz w:val="20"/>
                <w:szCs w:val="20"/>
              </w:rPr>
              <w:t>Protestant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52722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7AF2DC0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F09EE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170E2A4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792F3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0.00</w:t>
            </w:r>
          </w:p>
          <w:p w14:paraId="65149AF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89844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50A407A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tc>
      </w:tr>
      <w:tr w:rsidR="00726C45" w14:paraId="31CE4F3F"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C77DAB" w14:textId="77777777" w:rsidR="00726C45" w:rsidRDefault="00726C45" w:rsidP="00A37677">
            <w:pPr>
              <w:spacing w:line="240" w:lineRule="auto"/>
              <w:rPr>
                <w:rFonts w:cs="Segoe UI"/>
                <w:i/>
                <w:sz w:val="20"/>
                <w:szCs w:val="20"/>
              </w:rPr>
            </w:pPr>
            <w:r>
              <w:rPr>
                <w:rFonts w:cs="Segoe UI"/>
                <w:i/>
                <w:sz w:val="20"/>
                <w:szCs w:val="20"/>
              </w:rPr>
              <w:t>Muslim</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2D050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-0.04</w:t>
            </w:r>
          </w:p>
          <w:p w14:paraId="3927AE3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52925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74C5468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FC65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p w14:paraId="76D7F574"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F04FC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0.26***</w:t>
            </w:r>
          </w:p>
          <w:p w14:paraId="7F31BA8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p>
        </w:tc>
      </w:tr>
      <w:tr w:rsidR="00726C45" w14:paraId="7EFF1948"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C2FB54" w14:textId="77777777" w:rsidR="00726C45" w:rsidRDefault="00726C45" w:rsidP="00A37677">
            <w:pPr>
              <w:spacing w:line="240" w:lineRule="auto"/>
              <w:rPr>
                <w:rFonts w:cs="Segoe UI"/>
                <w:i/>
                <w:sz w:val="20"/>
                <w:szCs w:val="20"/>
              </w:rPr>
            </w:pPr>
            <w:r>
              <w:rPr>
                <w:rFonts w:cs="Segoe UI"/>
                <w:i/>
                <w:sz w:val="20"/>
                <w:szCs w:val="20"/>
              </w:rPr>
              <w:t>Orthodox</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309E62"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p w14:paraId="6D38D969"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979B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w:t>
            </w:r>
          </w:p>
          <w:p w14:paraId="55C05DB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D9153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p w14:paraId="560EEA7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45C62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0.13*</w:t>
            </w:r>
          </w:p>
          <w:p w14:paraId="30CE8CDF"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tc>
      </w:tr>
      <w:tr w:rsidR="00726C45" w14:paraId="1B4DE1A3"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79C9EE" w14:textId="77777777" w:rsidR="00726C45" w:rsidRDefault="00726C45" w:rsidP="00A37677">
            <w:pPr>
              <w:spacing w:line="240" w:lineRule="auto"/>
              <w:rPr>
                <w:rFonts w:cs="Segoe UI"/>
                <w:i/>
                <w:sz w:val="20"/>
                <w:szCs w:val="20"/>
              </w:rPr>
            </w:pPr>
            <w:r>
              <w:rPr>
                <w:rFonts w:cs="Segoe UI"/>
                <w:i/>
                <w:sz w:val="20"/>
                <w:szCs w:val="20"/>
              </w:rPr>
              <w:t>Buddhist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44832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-0.16**</w:t>
            </w:r>
          </w:p>
          <w:p w14:paraId="21686B4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E7484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p w14:paraId="6CCD617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21654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-0.15</w:t>
            </w:r>
          </w:p>
          <w:p w14:paraId="02382F0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7153F8"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-0.06</w:t>
            </w:r>
          </w:p>
          <w:p w14:paraId="56AF39EB"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(0.07)</w:t>
            </w:r>
          </w:p>
        </w:tc>
      </w:tr>
      <w:tr w:rsidR="00726C45" w14:paraId="39E15562"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D5E7F5" w14:textId="77777777" w:rsidR="00726C45" w:rsidRDefault="00726C45" w:rsidP="00A37677">
            <w:pPr>
              <w:spacing w:line="240" w:lineRule="auto"/>
              <w:rPr>
                <w:rFonts w:cs="Segoe UI"/>
                <w:i/>
                <w:sz w:val="20"/>
                <w:szCs w:val="20"/>
              </w:rPr>
            </w:pPr>
            <w:r>
              <w:rPr>
                <w:rFonts w:cs="Segoe UI"/>
                <w:i/>
                <w:sz w:val="20"/>
                <w:szCs w:val="20"/>
              </w:rPr>
              <w:t>Hindu</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306F4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3F28F4D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46C3D7"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32D3C4C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2FFC0E"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-0.05</w:t>
            </w:r>
          </w:p>
          <w:p w14:paraId="28E553B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C88665"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-0.09</w:t>
            </w:r>
          </w:p>
          <w:p w14:paraId="27D88E8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(0.10)</w:t>
            </w:r>
          </w:p>
        </w:tc>
      </w:tr>
      <w:tr w:rsidR="00726C45" w14:paraId="2D4875EC"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9566FF" w14:textId="77777777" w:rsidR="00726C45" w:rsidRDefault="00726C45" w:rsidP="00A37677">
            <w:pPr>
              <w:spacing w:line="240" w:lineRule="auto"/>
              <w:rPr>
                <w:rFonts w:cs="Segoe UI"/>
                <w:i/>
                <w:sz w:val="20"/>
                <w:szCs w:val="20"/>
              </w:rPr>
            </w:pPr>
            <w:r>
              <w:rPr>
                <w:rFonts w:cs="Segoe UI"/>
                <w:i/>
                <w:sz w:val="20"/>
                <w:szCs w:val="20"/>
              </w:rPr>
              <w:t>Other</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9D08AC"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w:t>
            </w:r>
            <w:r>
              <w:rPr>
                <w:rFonts w:cs="Segoe UI"/>
                <w:sz w:val="20"/>
                <w:szCs w:val="20"/>
                <w:lang w:val="en-US"/>
              </w:rPr>
              <w:br/>
              <w:t>(0.05)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6285A1"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Pr>
                <w:rFonts w:cs="Segoe UI"/>
                <w:sz w:val="20"/>
                <w:szCs w:val="20"/>
                <w:lang w:val="en-US"/>
              </w:rPr>
              <w:br/>
              <w:t>(0.04)</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AD2E7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-0.11*</w:t>
            </w:r>
            <w:r>
              <w:rPr>
                <w:rFonts w:cs="Segoe UI"/>
                <w:sz w:val="20"/>
                <w:szCs w:val="20"/>
                <w:lang w:val="en-US"/>
              </w:rPr>
              <w:br/>
              <w:t>(0.05)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DCF8FA"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-0.02</w:t>
            </w:r>
            <w:r>
              <w:rPr>
                <w:rFonts w:cs="Segoe UI"/>
                <w:sz w:val="20"/>
                <w:szCs w:val="20"/>
                <w:lang w:val="en-US"/>
              </w:rPr>
              <w:br/>
              <w:t>(0.04)</w:t>
            </w:r>
          </w:p>
        </w:tc>
      </w:tr>
      <w:tr w:rsidR="00726C45" w14:paraId="005AD5FC"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4FE0B62D" w14:textId="77777777" w:rsidR="00726C45" w:rsidRDefault="00726C45" w:rsidP="00A37677">
            <w:pPr>
              <w:widowControl w:val="0"/>
              <w:autoSpaceDE w:val="0"/>
              <w:autoSpaceDN w:val="0"/>
              <w:adjustRightInd w:val="0"/>
              <w:spacing w:line="240" w:lineRule="auto"/>
              <w:rPr>
                <w:rFonts w:cs="Segoe UI"/>
                <w:b/>
                <w:i/>
                <w:sz w:val="20"/>
                <w:szCs w:val="20"/>
                <w:lang w:val="en-US"/>
              </w:rPr>
            </w:pPr>
            <w:r>
              <w:rPr>
                <w:rFonts w:cs="Segoe UI"/>
                <w:b/>
                <w:i/>
                <w:sz w:val="20"/>
                <w:szCs w:val="20"/>
                <w:lang w:val="en-US"/>
              </w:rPr>
              <w:t>Country Level</w:t>
            </w:r>
          </w:p>
        </w:tc>
        <w:tc>
          <w:tcPr>
            <w:tcW w:w="1417" w:type="dxa"/>
            <w:tcBorders>
              <w:top w:val="single" w:sz="4" w:space="0" w:color="auto"/>
              <w:left w:val="single" w:sz="4" w:space="0" w:color="auto"/>
              <w:bottom w:val="single" w:sz="4" w:space="0" w:color="auto"/>
              <w:right w:val="single" w:sz="4" w:space="0" w:color="auto"/>
            </w:tcBorders>
          </w:tcPr>
          <w:p w14:paraId="7AB9B536"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169C2CA"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162A810"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0D617C7"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r>
      <w:tr w:rsidR="00726C45" w14:paraId="701293AB"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37CFC9DD"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Press Freedom (0-100)</w:t>
            </w:r>
          </w:p>
        </w:tc>
        <w:tc>
          <w:tcPr>
            <w:tcW w:w="1417" w:type="dxa"/>
            <w:tcBorders>
              <w:top w:val="single" w:sz="4" w:space="0" w:color="auto"/>
              <w:left w:val="single" w:sz="4" w:space="0" w:color="auto"/>
              <w:bottom w:val="single" w:sz="4" w:space="0" w:color="auto"/>
              <w:right w:val="single" w:sz="4" w:space="0" w:color="auto"/>
            </w:tcBorders>
            <w:hideMark/>
          </w:tcPr>
          <w:p w14:paraId="397FE84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p w14:paraId="7AFF78A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276" w:type="dxa"/>
            <w:tcBorders>
              <w:top w:val="single" w:sz="4" w:space="0" w:color="auto"/>
              <w:left w:val="single" w:sz="4" w:space="0" w:color="auto"/>
              <w:bottom w:val="single" w:sz="4" w:space="0" w:color="auto"/>
              <w:right w:val="single" w:sz="4" w:space="0" w:color="auto"/>
            </w:tcBorders>
            <w:hideMark/>
          </w:tcPr>
          <w:p w14:paraId="35C3D491"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p w14:paraId="34BE7FF0"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417" w:type="dxa"/>
            <w:tcBorders>
              <w:top w:val="single" w:sz="4" w:space="0" w:color="auto"/>
              <w:left w:val="single" w:sz="4" w:space="0" w:color="auto"/>
              <w:bottom w:val="single" w:sz="4" w:space="0" w:color="auto"/>
              <w:right w:val="single" w:sz="4" w:space="0" w:color="auto"/>
            </w:tcBorders>
          </w:tcPr>
          <w:p w14:paraId="0B3EFC0C"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A581461"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r>
      <w:tr w:rsidR="00726C45" w14:paraId="56EB18EE"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tcPr>
          <w:p w14:paraId="13B7FD70"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Freedom House (ref: Free)</w:t>
            </w:r>
          </w:p>
          <w:p w14:paraId="14825DF9"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Partly Free</w:t>
            </w:r>
          </w:p>
          <w:p w14:paraId="685BDA58" w14:textId="77777777" w:rsidR="00726C45" w:rsidRDefault="00726C45" w:rsidP="00A37677">
            <w:pPr>
              <w:widowControl w:val="0"/>
              <w:autoSpaceDE w:val="0"/>
              <w:autoSpaceDN w:val="0"/>
              <w:adjustRightInd w:val="0"/>
              <w:spacing w:line="240" w:lineRule="auto"/>
              <w:rPr>
                <w:rFonts w:cs="Segoe UI"/>
                <w:i/>
                <w:sz w:val="20"/>
                <w:szCs w:val="20"/>
                <w:lang w:val="en-US"/>
              </w:rPr>
            </w:pPr>
          </w:p>
          <w:p w14:paraId="26D44759"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Not Free</w:t>
            </w:r>
          </w:p>
        </w:tc>
        <w:tc>
          <w:tcPr>
            <w:tcW w:w="1417" w:type="dxa"/>
            <w:tcBorders>
              <w:top w:val="single" w:sz="4" w:space="0" w:color="auto"/>
              <w:left w:val="single" w:sz="4" w:space="0" w:color="auto"/>
              <w:bottom w:val="single" w:sz="4" w:space="0" w:color="auto"/>
              <w:right w:val="single" w:sz="4" w:space="0" w:color="auto"/>
            </w:tcBorders>
          </w:tcPr>
          <w:p w14:paraId="38C1F1F5"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36C0891"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2915DDE"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p w14:paraId="7DCAFA84"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-0.16</w:t>
            </w:r>
          </w:p>
          <w:p w14:paraId="6EF9973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(0.26)</w:t>
            </w:r>
          </w:p>
          <w:p w14:paraId="782BA73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0.72***</w:t>
            </w:r>
          </w:p>
          <w:p w14:paraId="3DBBFC9F"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(0.22)</w:t>
            </w:r>
          </w:p>
        </w:tc>
        <w:tc>
          <w:tcPr>
            <w:tcW w:w="1417" w:type="dxa"/>
            <w:tcBorders>
              <w:top w:val="single" w:sz="4" w:space="0" w:color="auto"/>
              <w:left w:val="single" w:sz="4" w:space="0" w:color="auto"/>
              <w:bottom w:val="single" w:sz="4" w:space="0" w:color="auto"/>
              <w:right w:val="single" w:sz="4" w:space="0" w:color="auto"/>
            </w:tcBorders>
          </w:tcPr>
          <w:p w14:paraId="6FD7266B"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p w14:paraId="2BE9BBBA"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1.04***</w:t>
            </w:r>
          </w:p>
          <w:p w14:paraId="40D394E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(0.35)</w:t>
            </w:r>
          </w:p>
          <w:p w14:paraId="1005377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1.89***</w:t>
            </w:r>
          </w:p>
          <w:p w14:paraId="332CC0B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(0.44)</w:t>
            </w:r>
          </w:p>
        </w:tc>
      </w:tr>
      <w:tr w:rsidR="00726C45" w14:paraId="027D3C58"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14284F7C" w14:textId="77777777" w:rsidR="00726C45" w:rsidRDefault="00726C45" w:rsidP="00A37677">
            <w:pPr>
              <w:widowControl w:val="0"/>
              <w:autoSpaceDE w:val="0"/>
              <w:autoSpaceDN w:val="0"/>
              <w:adjustRightInd w:val="0"/>
              <w:spacing w:line="240" w:lineRule="auto"/>
              <w:rPr>
                <w:rFonts w:cs="Segoe UI"/>
                <w:b/>
                <w:i/>
                <w:sz w:val="20"/>
                <w:szCs w:val="20"/>
                <w:lang w:val="en-US"/>
              </w:rPr>
            </w:pPr>
            <w:r>
              <w:rPr>
                <w:rFonts w:cs="Segoe UI"/>
                <w:b/>
                <w:i/>
                <w:sz w:val="20"/>
                <w:szCs w:val="20"/>
                <w:lang w:val="en-US"/>
              </w:rPr>
              <w:t>Interactions</w:t>
            </w:r>
          </w:p>
        </w:tc>
        <w:tc>
          <w:tcPr>
            <w:tcW w:w="1417" w:type="dxa"/>
            <w:tcBorders>
              <w:top w:val="single" w:sz="4" w:space="0" w:color="auto"/>
              <w:left w:val="single" w:sz="4" w:space="0" w:color="auto"/>
              <w:bottom w:val="single" w:sz="4" w:space="0" w:color="auto"/>
              <w:right w:val="single" w:sz="4" w:space="0" w:color="auto"/>
            </w:tcBorders>
          </w:tcPr>
          <w:p w14:paraId="697E0689"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2CDA258"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5D9C503"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E67E306"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r>
      <w:tr w:rsidR="00726C45" w14:paraId="6F9ABB71"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tcPr>
          <w:p w14:paraId="1980A34F"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Press Freedom*Media</w:t>
            </w:r>
          </w:p>
          <w:p w14:paraId="7705CF09"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1-4 sources</w:t>
            </w:r>
          </w:p>
          <w:p w14:paraId="34E48C19" w14:textId="77777777" w:rsidR="00726C45" w:rsidRDefault="00726C45" w:rsidP="00A37677">
            <w:pPr>
              <w:widowControl w:val="0"/>
              <w:autoSpaceDE w:val="0"/>
              <w:autoSpaceDN w:val="0"/>
              <w:adjustRightInd w:val="0"/>
              <w:spacing w:line="240" w:lineRule="auto"/>
              <w:rPr>
                <w:rFonts w:cs="Segoe UI"/>
                <w:i/>
                <w:sz w:val="20"/>
                <w:szCs w:val="20"/>
                <w:lang w:val="en-US"/>
              </w:rPr>
            </w:pPr>
          </w:p>
          <w:p w14:paraId="3EDF706D"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5+ sources</w:t>
            </w:r>
          </w:p>
        </w:tc>
        <w:tc>
          <w:tcPr>
            <w:tcW w:w="1417" w:type="dxa"/>
            <w:tcBorders>
              <w:top w:val="single" w:sz="4" w:space="0" w:color="auto"/>
              <w:left w:val="single" w:sz="4" w:space="0" w:color="auto"/>
              <w:bottom w:val="single" w:sz="4" w:space="0" w:color="auto"/>
              <w:right w:val="single" w:sz="4" w:space="0" w:color="auto"/>
            </w:tcBorders>
          </w:tcPr>
          <w:p w14:paraId="1CE8DB2B"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p w14:paraId="2C2CC4B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4C84180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029B3D3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p w14:paraId="1888D51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276" w:type="dxa"/>
            <w:tcBorders>
              <w:top w:val="single" w:sz="4" w:space="0" w:color="auto"/>
              <w:left w:val="single" w:sz="4" w:space="0" w:color="auto"/>
              <w:bottom w:val="single" w:sz="4" w:space="0" w:color="auto"/>
              <w:right w:val="single" w:sz="4" w:space="0" w:color="auto"/>
            </w:tcBorders>
          </w:tcPr>
          <w:p w14:paraId="54642A07"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p w14:paraId="21AD286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p w14:paraId="0AF30947"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p w14:paraId="28B79BD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-0.01***</w:t>
            </w:r>
          </w:p>
          <w:p w14:paraId="26E19584"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(0.00)</w:t>
            </w:r>
          </w:p>
        </w:tc>
        <w:tc>
          <w:tcPr>
            <w:tcW w:w="1417" w:type="dxa"/>
            <w:tcBorders>
              <w:top w:val="single" w:sz="4" w:space="0" w:color="auto"/>
              <w:left w:val="single" w:sz="4" w:space="0" w:color="auto"/>
              <w:bottom w:val="single" w:sz="4" w:space="0" w:color="auto"/>
              <w:right w:val="single" w:sz="4" w:space="0" w:color="auto"/>
            </w:tcBorders>
          </w:tcPr>
          <w:p w14:paraId="3731B4B5"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8EE4FBC"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p w14:paraId="397599D1"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r>
      <w:tr w:rsidR="00726C45" w14:paraId="0842A7CB" w14:textId="77777777" w:rsidTr="00A37677">
        <w:trPr>
          <w:trHeight w:val="321"/>
        </w:trPr>
        <w:tc>
          <w:tcPr>
            <w:tcW w:w="2689" w:type="dxa"/>
            <w:tcBorders>
              <w:top w:val="single" w:sz="4" w:space="0" w:color="auto"/>
              <w:left w:val="single" w:sz="4" w:space="0" w:color="auto"/>
              <w:bottom w:val="nil"/>
              <w:right w:val="single" w:sz="4" w:space="0" w:color="auto"/>
            </w:tcBorders>
            <w:hideMark/>
          </w:tcPr>
          <w:p w14:paraId="1E15DA0F"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Member*Freedom House</w:t>
            </w:r>
          </w:p>
        </w:tc>
        <w:tc>
          <w:tcPr>
            <w:tcW w:w="1417" w:type="dxa"/>
            <w:tcBorders>
              <w:top w:val="single" w:sz="4" w:space="0" w:color="auto"/>
              <w:left w:val="single" w:sz="4" w:space="0" w:color="auto"/>
              <w:bottom w:val="nil"/>
              <w:right w:val="single" w:sz="4" w:space="0" w:color="auto"/>
            </w:tcBorders>
          </w:tcPr>
          <w:p w14:paraId="475B3C9A"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276" w:type="dxa"/>
            <w:tcBorders>
              <w:top w:val="single" w:sz="4" w:space="0" w:color="auto"/>
              <w:left w:val="single" w:sz="4" w:space="0" w:color="auto"/>
              <w:bottom w:val="nil"/>
              <w:right w:val="single" w:sz="4" w:space="0" w:color="auto"/>
            </w:tcBorders>
          </w:tcPr>
          <w:p w14:paraId="1230C0E8"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nil"/>
              <w:right w:val="single" w:sz="4" w:space="0" w:color="auto"/>
            </w:tcBorders>
          </w:tcPr>
          <w:p w14:paraId="73653967"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nil"/>
              <w:right w:val="single" w:sz="4" w:space="0" w:color="auto"/>
            </w:tcBorders>
          </w:tcPr>
          <w:p w14:paraId="0D581C4F" w14:textId="77777777" w:rsidR="00726C45" w:rsidRDefault="00726C45" w:rsidP="00A37677">
            <w:pPr>
              <w:widowControl w:val="0"/>
              <w:autoSpaceDE w:val="0"/>
              <w:autoSpaceDN w:val="0"/>
              <w:adjustRightInd w:val="0"/>
              <w:spacing w:line="240" w:lineRule="auto"/>
              <w:rPr>
                <w:rFonts w:cs="Segoe UI"/>
                <w:sz w:val="20"/>
                <w:szCs w:val="20"/>
                <w:lang w:val="en-US"/>
              </w:rPr>
            </w:pPr>
          </w:p>
        </w:tc>
      </w:tr>
      <w:tr w:rsidR="00726C45" w14:paraId="670DC795" w14:textId="77777777" w:rsidTr="00A37677">
        <w:trPr>
          <w:trHeight w:val="321"/>
        </w:trPr>
        <w:tc>
          <w:tcPr>
            <w:tcW w:w="2689" w:type="dxa"/>
            <w:tcBorders>
              <w:top w:val="nil"/>
              <w:left w:val="single" w:sz="4" w:space="0" w:color="auto"/>
              <w:bottom w:val="single" w:sz="4" w:space="0" w:color="auto"/>
              <w:right w:val="single" w:sz="4" w:space="0" w:color="auto"/>
            </w:tcBorders>
          </w:tcPr>
          <w:p w14:paraId="002BC6DB"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One x Partly Free</w:t>
            </w:r>
          </w:p>
          <w:p w14:paraId="2A786433" w14:textId="77777777" w:rsidR="00726C45" w:rsidRDefault="00726C45" w:rsidP="00A37677">
            <w:pPr>
              <w:widowControl w:val="0"/>
              <w:autoSpaceDE w:val="0"/>
              <w:autoSpaceDN w:val="0"/>
              <w:adjustRightInd w:val="0"/>
              <w:spacing w:line="240" w:lineRule="auto"/>
              <w:rPr>
                <w:rFonts w:cs="Segoe UI"/>
                <w:i/>
                <w:sz w:val="20"/>
                <w:szCs w:val="20"/>
                <w:lang w:val="en-US"/>
              </w:rPr>
            </w:pPr>
          </w:p>
          <w:p w14:paraId="67A8CB8C"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One x Not Free</w:t>
            </w:r>
          </w:p>
          <w:p w14:paraId="5195ABF9" w14:textId="77777777" w:rsidR="00726C45" w:rsidRDefault="00726C45" w:rsidP="00A37677">
            <w:pPr>
              <w:widowControl w:val="0"/>
              <w:autoSpaceDE w:val="0"/>
              <w:autoSpaceDN w:val="0"/>
              <w:adjustRightInd w:val="0"/>
              <w:spacing w:line="240" w:lineRule="auto"/>
              <w:rPr>
                <w:rFonts w:cs="Segoe UI"/>
                <w:i/>
                <w:sz w:val="20"/>
                <w:szCs w:val="20"/>
                <w:lang w:val="en-US"/>
              </w:rPr>
            </w:pPr>
          </w:p>
          <w:p w14:paraId="75F361CB"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Two or More * Partly Free</w:t>
            </w:r>
          </w:p>
          <w:p w14:paraId="14FBAFFF" w14:textId="77777777" w:rsidR="00726C45" w:rsidRDefault="00726C45" w:rsidP="00A37677">
            <w:pPr>
              <w:widowControl w:val="0"/>
              <w:autoSpaceDE w:val="0"/>
              <w:autoSpaceDN w:val="0"/>
              <w:adjustRightInd w:val="0"/>
              <w:spacing w:line="240" w:lineRule="auto"/>
              <w:rPr>
                <w:rFonts w:cs="Segoe UI"/>
                <w:i/>
                <w:sz w:val="20"/>
                <w:szCs w:val="20"/>
                <w:lang w:val="en-US"/>
              </w:rPr>
            </w:pPr>
          </w:p>
          <w:p w14:paraId="169B77DF" w14:textId="77777777" w:rsidR="00726C45" w:rsidRDefault="00726C45" w:rsidP="00A37677">
            <w:pPr>
              <w:widowControl w:val="0"/>
              <w:autoSpaceDE w:val="0"/>
              <w:autoSpaceDN w:val="0"/>
              <w:adjustRightInd w:val="0"/>
              <w:spacing w:line="240" w:lineRule="auto"/>
              <w:rPr>
                <w:rFonts w:cs="Segoe UI"/>
                <w:i/>
                <w:sz w:val="20"/>
                <w:szCs w:val="20"/>
                <w:lang w:val="en-US"/>
              </w:rPr>
            </w:pPr>
            <w:r>
              <w:rPr>
                <w:rFonts w:cs="Segoe UI"/>
                <w:i/>
                <w:sz w:val="20"/>
                <w:szCs w:val="20"/>
                <w:lang w:val="en-US"/>
              </w:rPr>
              <w:t>Two or More*Not Free</w:t>
            </w:r>
          </w:p>
          <w:p w14:paraId="65525C42" w14:textId="77777777" w:rsidR="00726C45" w:rsidRDefault="00726C45" w:rsidP="00A37677">
            <w:pPr>
              <w:widowControl w:val="0"/>
              <w:autoSpaceDE w:val="0"/>
              <w:autoSpaceDN w:val="0"/>
              <w:adjustRightInd w:val="0"/>
              <w:spacing w:line="240" w:lineRule="auto"/>
              <w:rPr>
                <w:rFonts w:cs="Segoe UI"/>
                <w:i/>
                <w:sz w:val="20"/>
                <w:szCs w:val="20"/>
                <w:lang w:val="en-US"/>
              </w:rPr>
            </w:pPr>
          </w:p>
        </w:tc>
        <w:tc>
          <w:tcPr>
            <w:tcW w:w="1417" w:type="dxa"/>
            <w:tcBorders>
              <w:top w:val="nil"/>
              <w:left w:val="single" w:sz="4" w:space="0" w:color="auto"/>
              <w:bottom w:val="single" w:sz="4" w:space="0" w:color="auto"/>
              <w:right w:val="single" w:sz="4" w:space="0" w:color="auto"/>
            </w:tcBorders>
          </w:tcPr>
          <w:p w14:paraId="23AA3D4D"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276" w:type="dxa"/>
            <w:tcBorders>
              <w:top w:val="nil"/>
              <w:left w:val="single" w:sz="4" w:space="0" w:color="auto"/>
              <w:bottom w:val="single" w:sz="4" w:space="0" w:color="auto"/>
              <w:right w:val="single" w:sz="4" w:space="0" w:color="auto"/>
            </w:tcBorders>
          </w:tcPr>
          <w:p w14:paraId="54FE66F9"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nil"/>
              <w:left w:val="single" w:sz="4" w:space="0" w:color="auto"/>
              <w:bottom w:val="single" w:sz="4" w:space="0" w:color="auto"/>
              <w:right w:val="single" w:sz="4" w:space="0" w:color="auto"/>
            </w:tcBorders>
            <w:hideMark/>
          </w:tcPr>
          <w:p w14:paraId="3EC13A8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0.15***</w:t>
            </w:r>
          </w:p>
          <w:p w14:paraId="15EFC968"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(0.04)</w:t>
            </w:r>
          </w:p>
          <w:p w14:paraId="2B0E4544"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-0.06</w:t>
            </w:r>
          </w:p>
          <w:p w14:paraId="5D841B2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(0.04)</w:t>
            </w:r>
          </w:p>
          <w:p w14:paraId="301315D1"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0.28</w:t>
            </w:r>
          </w:p>
          <w:p w14:paraId="6738BA8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(0.19)</w:t>
            </w:r>
          </w:p>
          <w:p w14:paraId="0659CC4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-0.30*</w:t>
            </w:r>
          </w:p>
          <w:p w14:paraId="3DFF8355"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(0.12)</w:t>
            </w:r>
          </w:p>
        </w:tc>
        <w:tc>
          <w:tcPr>
            <w:tcW w:w="1417" w:type="dxa"/>
            <w:tcBorders>
              <w:top w:val="nil"/>
              <w:left w:val="single" w:sz="4" w:space="0" w:color="auto"/>
              <w:bottom w:val="single" w:sz="4" w:space="0" w:color="auto"/>
              <w:right w:val="single" w:sz="4" w:space="0" w:color="auto"/>
            </w:tcBorders>
            <w:hideMark/>
          </w:tcPr>
          <w:p w14:paraId="0E5E3A29"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-0.18*</w:t>
            </w:r>
          </w:p>
          <w:p w14:paraId="4FE9E80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(0.06)</w:t>
            </w:r>
          </w:p>
          <w:p w14:paraId="5B77F431"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-0.04</w:t>
            </w:r>
          </w:p>
          <w:p w14:paraId="23DFE1D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(0.07)</w:t>
            </w:r>
          </w:p>
          <w:p w14:paraId="5EE8512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-0.30***</w:t>
            </w:r>
          </w:p>
          <w:p w14:paraId="117ECAD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(0.07)</w:t>
            </w:r>
          </w:p>
          <w:p w14:paraId="483798DB"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0.06</w:t>
            </w:r>
          </w:p>
          <w:p w14:paraId="17EFD6BD"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(0.08)</w:t>
            </w:r>
          </w:p>
        </w:tc>
      </w:tr>
      <w:tr w:rsidR="00726C45" w14:paraId="537406A3"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16AE7E71" w14:textId="77777777" w:rsidR="00726C45" w:rsidRDefault="00726C45" w:rsidP="00A37677">
            <w:pPr>
              <w:widowControl w:val="0"/>
              <w:tabs>
                <w:tab w:val="right" w:pos="2046"/>
              </w:tabs>
              <w:autoSpaceDE w:val="0"/>
              <w:autoSpaceDN w:val="0"/>
              <w:adjustRightInd w:val="0"/>
              <w:spacing w:line="240" w:lineRule="auto"/>
              <w:rPr>
                <w:rFonts w:cs="Segoe UI"/>
                <w:sz w:val="20"/>
                <w:szCs w:val="20"/>
                <w:lang w:val="en-US"/>
              </w:rPr>
            </w:pPr>
            <w:r>
              <w:rPr>
                <w:rFonts w:cs="Segoe UI"/>
                <w:i/>
                <w:iCs/>
                <w:sz w:val="20"/>
                <w:szCs w:val="20"/>
                <w:lang w:val="en-US"/>
              </w:rPr>
              <w:t>N individual</w:t>
            </w:r>
            <w:r>
              <w:rPr>
                <w:rFonts w:cs="Segoe UI"/>
                <w:i/>
                <w:iCs/>
                <w:sz w:val="20"/>
                <w:szCs w:val="20"/>
                <w:lang w:val="en-US"/>
              </w:rPr>
              <w:tab/>
            </w:r>
          </w:p>
        </w:tc>
        <w:tc>
          <w:tcPr>
            <w:tcW w:w="1417" w:type="dxa"/>
            <w:tcBorders>
              <w:top w:val="single" w:sz="4" w:space="0" w:color="auto"/>
              <w:left w:val="single" w:sz="4" w:space="0" w:color="auto"/>
              <w:bottom w:val="single" w:sz="4" w:space="0" w:color="auto"/>
              <w:right w:val="single" w:sz="4" w:space="0" w:color="auto"/>
            </w:tcBorders>
            <w:hideMark/>
          </w:tcPr>
          <w:p w14:paraId="3F356A53"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276" w:type="dxa"/>
            <w:tcBorders>
              <w:top w:val="single" w:sz="4" w:space="0" w:color="auto"/>
              <w:left w:val="single" w:sz="4" w:space="0" w:color="auto"/>
              <w:bottom w:val="single" w:sz="4" w:space="0" w:color="auto"/>
              <w:right w:val="single" w:sz="4" w:space="0" w:color="auto"/>
            </w:tcBorders>
            <w:hideMark/>
          </w:tcPr>
          <w:p w14:paraId="7F3CD19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417" w:type="dxa"/>
            <w:tcBorders>
              <w:top w:val="single" w:sz="4" w:space="0" w:color="auto"/>
              <w:left w:val="single" w:sz="4" w:space="0" w:color="auto"/>
              <w:bottom w:val="single" w:sz="4" w:space="0" w:color="auto"/>
              <w:right w:val="single" w:sz="4" w:space="0" w:color="auto"/>
            </w:tcBorders>
            <w:hideMark/>
          </w:tcPr>
          <w:p w14:paraId="5B42373F"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c>
          <w:tcPr>
            <w:tcW w:w="1417" w:type="dxa"/>
            <w:tcBorders>
              <w:top w:val="single" w:sz="4" w:space="0" w:color="auto"/>
              <w:left w:val="single" w:sz="4" w:space="0" w:color="auto"/>
              <w:bottom w:val="single" w:sz="4" w:space="0" w:color="auto"/>
              <w:right w:val="single" w:sz="4" w:space="0" w:color="auto"/>
            </w:tcBorders>
            <w:hideMark/>
          </w:tcPr>
          <w:p w14:paraId="164E432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45,454</w:t>
            </w:r>
          </w:p>
        </w:tc>
      </w:tr>
      <w:tr w:rsidR="00726C45" w14:paraId="04CB545B"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252F8DA2" w14:textId="77777777" w:rsidR="00726C45"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N country</w:t>
            </w:r>
          </w:p>
        </w:tc>
        <w:tc>
          <w:tcPr>
            <w:tcW w:w="1417" w:type="dxa"/>
            <w:tcBorders>
              <w:top w:val="single" w:sz="4" w:space="0" w:color="auto"/>
              <w:left w:val="single" w:sz="4" w:space="0" w:color="auto"/>
              <w:bottom w:val="single" w:sz="4" w:space="0" w:color="auto"/>
              <w:right w:val="single" w:sz="4" w:space="0" w:color="auto"/>
            </w:tcBorders>
            <w:hideMark/>
          </w:tcPr>
          <w:p w14:paraId="2C594157"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276" w:type="dxa"/>
            <w:tcBorders>
              <w:top w:val="single" w:sz="4" w:space="0" w:color="auto"/>
              <w:left w:val="single" w:sz="4" w:space="0" w:color="auto"/>
              <w:bottom w:val="single" w:sz="4" w:space="0" w:color="auto"/>
              <w:right w:val="single" w:sz="4" w:space="0" w:color="auto"/>
            </w:tcBorders>
            <w:hideMark/>
          </w:tcPr>
          <w:p w14:paraId="772C7700"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417" w:type="dxa"/>
            <w:tcBorders>
              <w:top w:val="single" w:sz="4" w:space="0" w:color="auto"/>
              <w:left w:val="single" w:sz="4" w:space="0" w:color="auto"/>
              <w:bottom w:val="single" w:sz="4" w:space="0" w:color="auto"/>
              <w:right w:val="single" w:sz="4" w:space="0" w:color="auto"/>
            </w:tcBorders>
            <w:hideMark/>
          </w:tcPr>
          <w:p w14:paraId="7FDE3761"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c>
          <w:tcPr>
            <w:tcW w:w="1417" w:type="dxa"/>
            <w:tcBorders>
              <w:top w:val="single" w:sz="4" w:space="0" w:color="auto"/>
              <w:left w:val="single" w:sz="4" w:space="0" w:color="auto"/>
              <w:bottom w:val="single" w:sz="4" w:space="0" w:color="auto"/>
              <w:right w:val="single" w:sz="4" w:space="0" w:color="auto"/>
            </w:tcBorders>
            <w:hideMark/>
          </w:tcPr>
          <w:p w14:paraId="0AFF7229"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46</w:t>
            </w:r>
          </w:p>
        </w:tc>
      </w:tr>
      <w:tr w:rsidR="00726C45" w14:paraId="5C6BB889"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076FE92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i/>
                <w:iCs/>
                <w:sz w:val="20"/>
                <w:szCs w:val="20"/>
                <w:lang w:val="en-US"/>
              </w:rPr>
              <w:t>R</w:t>
            </w:r>
            <w:r>
              <w:rPr>
                <w:rFonts w:cs="Segoe UI"/>
                <w:sz w:val="20"/>
                <w:szCs w:val="20"/>
                <w:vertAlign w:val="superscript"/>
                <w:lang w:val="en-US"/>
              </w:rPr>
              <w:t>2</w:t>
            </w:r>
          </w:p>
        </w:tc>
        <w:tc>
          <w:tcPr>
            <w:tcW w:w="1417" w:type="dxa"/>
            <w:tcBorders>
              <w:top w:val="single" w:sz="4" w:space="0" w:color="auto"/>
              <w:left w:val="single" w:sz="4" w:space="0" w:color="auto"/>
              <w:bottom w:val="single" w:sz="4" w:space="0" w:color="auto"/>
              <w:right w:val="single" w:sz="4" w:space="0" w:color="auto"/>
            </w:tcBorders>
          </w:tcPr>
          <w:p w14:paraId="6B501238"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9D7F01E"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C239FD0"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DB6E493"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r>
      <w:tr w:rsidR="00726C45" w14:paraId="6E612218"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2B935782" w14:textId="77777777" w:rsidR="00726C45"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S&amp;B R</w:t>
            </w:r>
            <w:r>
              <w:rPr>
                <w:rFonts w:cs="Segoe UI"/>
                <w:i/>
                <w:iCs/>
                <w:sz w:val="20"/>
                <w:szCs w:val="20"/>
                <w:vertAlign w:val="superscript"/>
                <w:lang w:val="en-US"/>
              </w:rPr>
              <w:t xml:space="preserve">2 </w:t>
            </w:r>
            <w:r>
              <w:rPr>
                <w:rFonts w:cs="Segoe UI"/>
                <w:i/>
                <w:iCs/>
                <w:sz w:val="20"/>
                <w:szCs w:val="20"/>
                <w:lang w:val="en-US"/>
              </w:rPr>
              <w:t>(Individual)</w:t>
            </w:r>
          </w:p>
        </w:tc>
        <w:tc>
          <w:tcPr>
            <w:tcW w:w="1417" w:type="dxa"/>
            <w:tcBorders>
              <w:top w:val="single" w:sz="4" w:space="0" w:color="auto"/>
              <w:left w:val="single" w:sz="4" w:space="0" w:color="auto"/>
              <w:bottom w:val="single" w:sz="4" w:space="0" w:color="auto"/>
              <w:right w:val="single" w:sz="4" w:space="0" w:color="auto"/>
            </w:tcBorders>
            <w:hideMark/>
          </w:tcPr>
          <w:p w14:paraId="4E90D3B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0.02</w:t>
            </w:r>
          </w:p>
        </w:tc>
        <w:tc>
          <w:tcPr>
            <w:tcW w:w="1276" w:type="dxa"/>
            <w:tcBorders>
              <w:top w:val="single" w:sz="4" w:space="0" w:color="auto"/>
              <w:left w:val="single" w:sz="4" w:space="0" w:color="auto"/>
              <w:bottom w:val="single" w:sz="4" w:space="0" w:color="auto"/>
              <w:right w:val="single" w:sz="4" w:space="0" w:color="auto"/>
            </w:tcBorders>
            <w:hideMark/>
          </w:tcPr>
          <w:p w14:paraId="2517FEB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0.16</w:t>
            </w:r>
          </w:p>
        </w:tc>
        <w:tc>
          <w:tcPr>
            <w:tcW w:w="1417" w:type="dxa"/>
            <w:tcBorders>
              <w:top w:val="single" w:sz="4" w:space="0" w:color="auto"/>
              <w:left w:val="single" w:sz="4" w:space="0" w:color="auto"/>
              <w:bottom w:val="single" w:sz="4" w:space="0" w:color="auto"/>
              <w:right w:val="single" w:sz="4" w:space="0" w:color="auto"/>
            </w:tcBorders>
            <w:hideMark/>
          </w:tcPr>
          <w:p w14:paraId="24943C8E"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0.03</w:t>
            </w:r>
          </w:p>
        </w:tc>
        <w:tc>
          <w:tcPr>
            <w:tcW w:w="1417" w:type="dxa"/>
            <w:tcBorders>
              <w:top w:val="single" w:sz="4" w:space="0" w:color="auto"/>
              <w:left w:val="single" w:sz="4" w:space="0" w:color="auto"/>
              <w:bottom w:val="single" w:sz="4" w:space="0" w:color="auto"/>
              <w:right w:val="single" w:sz="4" w:space="0" w:color="auto"/>
            </w:tcBorders>
            <w:hideMark/>
          </w:tcPr>
          <w:p w14:paraId="65E3C749"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0.16</w:t>
            </w:r>
          </w:p>
        </w:tc>
      </w:tr>
      <w:tr w:rsidR="00726C45" w14:paraId="793F585B"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1F65E61C" w14:textId="77777777" w:rsidR="00726C45"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 xml:space="preserve">           (country)</w:t>
            </w:r>
          </w:p>
        </w:tc>
        <w:tc>
          <w:tcPr>
            <w:tcW w:w="1417" w:type="dxa"/>
            <w:tcBorders>
              <w:top w:val="single" w:sz="4" w:space="0" w:color="auto"/>
              <w:left w:val="single" w:sz="4" w:space="0" w:color="auto"/>
              <w:bottom w:val="single" w:sz="4" w:space="0" w:color="auto"/>
              <w:right w:val="single" w:sz="4" w:space="0" w:color="auto"/>
            </w:tcBorders>
            <w:hideMark/>
          </w:tcPr>
          <w:p w14:paraId="23398F86"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0.08</w:t>
            </w:r>
          </w:p>
        </w:tc>
        <w:tc>
          <w:tcPr>
            <w:tcW w:w="1276" w:type="dxa"/>
            <w:tcBorders>
              <w:top w:val="single" w:sz="4" w:space="0" w:color="auto"/>
              <w:left w:val="single" w:sz="4" w:space="0" w:color="auto"/>
              <w:bottom w:val="single" w:sz="4" w:space="0" w:color="auto"/>
              <w:right w:val="single" w:sz="4" w:space="0" w:color="auto"/>
            </w:tcBorders>
            <w:hideMark/>
          </w:tcPr>
          <w:p w14:paraId="7243C8DD"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0.53</w:t>
            </w:r>
          </w:p>
        </w:tc>
        <w:tc>
          <w:tcPr>
            <w:tcW w:w="1417" w:type="dxa"/>
            <w:tcBorders>
              <w:top w:val="single" w:sz="4" w:space="0" w:color="auto"/>
              <w:left w:val="single" w:sz="4" w:space="0" w:color="auto"/>
              <w:bottom w:val="single" w:sz="4" w:space="0" w:color="auto"/>
              <w:right w:val="single" w:sz="4" w:space="0" w:color="auto"/>
            </w:tcBorders>
            <w:hideMark/>
          </w:tcPr>
          <w:p w14:paraId="2D7DC78A"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0.20</w:t>
            </w:r>
          </w:p>
        </w:tc>
        <w:tc>
          <w:tcPr>
            <w:tcW w:w="1417" w:type="dxa"/>
            <w:tcBorders>
              <w:top w:val="single" w:sz="4" w:space="0" w:color="auto"/>
              <w:left w:val="single" w:sz="4" w:space="0" w:color="auto"/>
              <w:bottom w:val="single" w:sz="4" w:space="0" w:color="auto"/>
              <w:right w:val="single" w:sz="4" w:space="0" w:color="auto"/>
            </w:tcBorders>
            <w:hideMark/>
          </w:tcPr>
          <w:p w14:paraId="4D5CB959"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0.53</w:t>
            </w:r>
          </w:p>
        </w:tc>
      </w:tr>
      <w:tr w:rsidR="00726C45" w14:paraId="74DB0671"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0E2D90C6" w14:textId="77777777" w:rsidR="00726C45" w:rsidRDefault="00726C45" w:rsidP="00A37677">
            <w:pPr>
              <w:widowControl w:val="0"/>
              <w:autoSpaceDE w:val="0"/>
              <w:autoSpaceDN w:val="0"/>
              <w:adjustRightInd w:val="0"/>
              <w:spacing w:line="240" w:lineRule="auto"/>
              <w:rPr>
                <w:rFonts w:cs="Segoe UI"/>
                <w:i/>
                <w:iCs/>
                <w:sz w:val="20"/>
                <w:szCs w:val="20"/>
                <w:lang w:val="en-US"/>
              </w:rPr>
            </w:pPr>
            <w:r>
              <w:rPr>
                <w:rFonts w:cs="Segoe UI"/>
                <w:i/>
                <w:iCs/>
                <w:sz w:val="20"/>
                <w:szCs w:val="20"/>
                <w:lang w:val="en-US"/>
              </w:rPr>
              <w:t>Log-Likelihood</w:t>
            </w:r>
          </w:p>
        </w:tc>
        <w:tc>
          <w:tcPr>
            <w:tcW w:w="1417" w:type="dxa"/>
            <w:tcBorders>
              <w:top w:val="single" w:sz="4" w:space="0" w:color="auto"/>
              <w:left w:val="single" w:sz="4" w:space="0" w:color="auto"/>
              <w:bottom w:val="single" w:sz="4" w:space="0" w:color="auto"/>
              <w:right w:val="single" w:sz="4" w:space="0" w:color="auto"/>
            </w:tcBorders>
            <w:hideMark/>
          </w:tcPr>
          <w:p w14:paraId="0517BD32"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-82849</w:t>
            </w:r>
          </w:p>
        </w:tc>
        <w:tc>
          <w:tcPr>
            <w:tcW w:w="1276" w:type="dxa"/>
            <w:tcBorders>
              <w:top w:val="single" w:sz="4" w:space="0" w:color="auto"/>
              <w:left w:val="single" w:sz="4" w:space="0" w:color="auto"/>
              <w:bottom w:val="single" w:sz="4" w:space="0" w:color="auto"/>
              <w:right w:val="single" w:sz="4" w:space="0" w:color="auto"/>
            </w:tcBorders>
            <w:hideMark/>
          </w:tcPr>
          <w:p w14:paraId="7AC1E2A7"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--82849</w:t>
            </w:r>
          </w:p>
        </w:tc>
        <w:tc>
          <w:tcPr>
            <w:tcW w:w="1417" w:type="dxa"/>
            <w:tcBorders>
              <w:top w:val="single" w:sz="4" w:space="0" w:color="auto"/>
              <w:left w:val="single" w:sz="4" w:space="0" w:color="auto"/>
              <w:bottom w:val="single" w:sz="4" w:space="0" w:color="auto"/>
              <w:right w:val="single" w:sz="4" w:space="0" w:color="auto"/>
            </w:tcBorders>
            <w:hideMark/>
          </w:tcPr>
          <w:p w14:paraId="7B212969"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-82822</w:t>
            </w:r>
          </w:p>
        </w:tc>
        <w:tc>
          <w:tcPr>
            <w:tcW w:w="1417" w:type="dxa"/>
            <w:tcBorders>
              <w:top w:val="single" w:sz="4" w:space="0" w:color="auto"/>
              <w:left w:val="single" w:sz="4" w:space="0" w:color="auto"/>
              <w:bottom w:val="single" w:sz="4" w:space="0" w:color="auto"/>
              <w:right w:val="single" w:sz="4" w:space="0" w:color="auto"/>
            </w:tcBorders>
          </w:tcPr>
          <w:p w14:paraId="423E8E04"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r>
      <w:tr w:rsidR="00726C45" w14:paraId="5FA93A92" w14:textId="77777777" w:rsidTr="00A37677">
        <w:trPr>
          <w:trHeight w:val="321"/>
        </w:trPr>
        <w:tc>
          <w:tcPr>
            <w:tcW w:w="2689" w:type="dxa"/>
            <w:tcBorders>
              <w:top w:val="single" w:sz="4" w:space="0" w:color="auto"/>
              <w:left w:val="single" w:sz="4" w:space="0" w:color="auto"/>
              <w:bottom w:val="single" w:sz="4" w:space="0" w:color="auto"/>
              <w:right w:val="single" w:sz="4" w:space="0" w:color="auto"/>
            </w:tcBorders>
            <w:hideMark/>
          </w:tcPr>
          <w:p w14:paraId="119318D6" w14:textId="77777777" w:rsidR="00726C45" w:rsidRDefault="00726C45" w:rsidP="00A37677">
            <w:pPr>
              <w:widowControl w:val="0"/>
              <w:autoSpaceDE w:val="0"/>
              <w:autoSpaceDN w:val="0"/>
              <w:adjustRightInd w:val="0"/>
              <w:spacing w:line="240" w:lineRule="auto"/>
              <w:rPr>
                <w:rFonts w:cs="Segoe UI"/>
                <w:sz w:val="20"/>
                <w:szCs w:val="20"/>
                <w:lang w:val="en-US"/>
              </w:rPr>
            </w:pPr>
            <w:r>
              <w:rPr>
                <w:rFonts w:cs="Segoe UI"/>
                <w:sz w:val="20"/>
                <w:szCs w:val="20"/>
                <w:lang w:val="en-US"/>
              </w:rPr>
              <w:t>ICC</w:t>
            </w:r>
          </w:p>
        </w:tc>
        <w:tc>
          <w:tcPr>
            <w:tcW w:w="1417" w:type="dxa"/>
            <w:tcBorders>
              <w:top w:val="single" w:sz="4" w:space="0" w:color="auto"/>
              <w:left w:val="single" w:sz="4" w:space="0" w:color="auto"/>
              <w:bottom w:val="single" w:sz="4" w:space="0" w:color="auto"/>
              <w:right w:val="single" w:sz="4" w:space="0" w:color="auto"/>
            </w:tcBorders>
            <w:hideMark/>
          </w:tcPr>
          <w:p w14:paraId="532C7FEA"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 xml:space="preserve">.1036763  </w:t>
            </w:r>
          </w:p>
        </w:tc>
        <w:tc>
          <w:tcPr>
            <w:tcW w:w="1276" w:type="dxa"/>
            <w:tcBorders>
              <w:top w:val="single" w:sz="4" w:space="0" w:color="auto"/>
              <w:left w:val="single" w:sz="4" w:space="0" w:color="auto"/>
              <w:bottom w:val="single" w:sz="4" w:space="0" w:color="auto"/>
              <w:right w:val="single" w:sz="4" w:space="0" w:color="auto"/>
            </w:tcBorders>
            <w:hideMark/>
          </w:tcPr>
          <w:p w14:paraId="6D341A5C"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.147713</w:t>
            </w:r>
          </w:p>
        </w:tc>
        <w:tc>
          <w:tcPr>
            <w:tcW w:w="1417" w:type="dxa"/>
            <w:tcBorders>
              <w:top w:val="single" w:sz="4" w:space="0" w:color="auto"/>
              <w:left w:val="single" w:sz="4" w:space="0" w:color="auto"/>
              <w:bottom w:val="single" w:sz="4" w:space="0" w:color="auto"/>
              <w:right w:val="single" w:sz="4" w:space="0" w:color="auto"/>
            </w:tcBorders>
            <w:hideMark/>
          </w:tcPr>
          <w:p w14:paraId="02E419E9" w14:textId="77777777" w:rsidR="00726C45" w:rsidRDefault="00726C45" w:rsidP="00A37677">
            <w:pPr>
              <w:widowControl w:val="0"/>
              <w:autoSpaceDE w:val="0"/>
              <w:autoSpaceDN w:val="0"/>
              <w:adjustRightInd w:val="0"/>
              <w:spacing w:line="240" w:lineRule="auto"/>
              <w:jc w:val="center"/>
              <w:rPr>
                <w:rFonts w:cs="Segoe UI"/>
                <w:sz w:val="20"/>
                <w:szCs w:val="20"/>
                <w:lang w:val="en-US"/>
              </w:rPr>
            </w:pPr>
            <w:r>
              <w:rPr>
                <w:rFonts w:cs="Segoe UI"/>
                <w:sz w:val="20"/>
                <w:szCs w:val="20"/>
                <w:lang w:val="en-US"/>
              </w:rPr>
              <w:t>.0910869</w:t>
            </w:r>
          </w:p>
        </w:tc>
        <w:tc>
          <w:tcPr>
            <w:tcW w:w="1417" w:type="dxa"/>
            <w:tcBorders>
              <w:top w:val="single" w:sz="4" w:space="0" w:color="auto"/>
              <w:left w:val="single" w:sz="4" w:space="0" w:color="auto"/>
              <w:bottom w:val="single" w:sz="4" w:space="0" w:color="auto"/>
              <w:right w:val="single" w:sz="4" w:space="0" w:color="auto"/>
            </w:tcBorders>
          </w:tcPr>
          <w:p w14:paraId="03C2B513" w14:textId="77777777" w:rsidR="00726C45" w:rsidRDefault="00726C45" w:rsidP="00A37677">
            <w:pPr>
              <w:widowControl w:val="0"/>
              <w:autoSpaceDE w:val="0"/>
              <w:autoSpaceDN w:val="0"/>
              <w:adjustRightInd w:val="0"/>
              <w:spacing w:line="240" w:lineRule="auto"/>
              <w:jc w:val="center"/>
              <w:rPr>
                <w:rFonts w:cs="Segoe UI"/>
                <w:sz w:val="20"/>
                <w:szCs w:val="20"/>
                <w:lang w:val="en-US"/>
              </w:rPr>
            </w:pPr>
          </w:p>
        </w:tc>
      </w:tr>
    </w:tbl>
    <w:p w14:paraId="7A38EB5C" w14:textId="77777777" w:rsidR="00726C45" w:rsidRDefault="00726C45" w:rsidP="00726C45">
      <w:pPr>
        <w:rPr>
          <w:rFonts w:asciiTheme="minorHAnsi" w:hAnsiTheme="minorHAnsi"/>
        </w:rPr>
      </w:pPr>
    </w:p>
    <w:p w14:paraId="74AA34C2" w14:textId="77777777" w:rsidR="00726C45" w:rsidRDefault="00726C45" w:rsidP="00726C45"/>
    <w:p w14:paraId="40B6FEEC" w14:textId="77777777" w:rsidR="00726C45" w:rsidRDefault="00726C45" w:rsidP="00726C45"/>
    <w:p w14:paraId="6AC33414" w14:textId="134FBE85" w:rsidR="00726C45" w:rsidRDefault="00726C45" w:rsidP="00726C45"/>
    <w:p w14:paraId="754CA3E5" w14:textId="18E25786" w:rsidR="00726C45" w:rsidRDefault="00726C45" w:rsidP="00726C45"/>
    <w:p w14:paraId="3E445E49" w14:textId="77777777" w:rsidR="00726C45" w:rsidRPr="00726C45" w:rsidRDefault="00726C45" w:rsidP="00726C45"/>
    <w:p w14:paraId="4C07BCE4" w14:textId="77777777" w:rsidR="00726C45" w:rsidRDefault="00726C45" w:rsidP="00EB1D88">
      <w:pPr>
        <w:pStyle w:val="Heading2"/>
        <w:spacing w:line="480" w:lineRule="auto"/>
      </w:pPr>
      <w:bookmarkStart w:id="409" w:name="_Toc494034247"/>
      <w:r>
        <w:t>Section D</w:t>
      </w:r>
    </w:p>
    <w:p w14:paraId="421DBA3E" w14:textId="35E05128" w:rsidR="00EB1D88" w:rsidRPr="000135F0" w:rsidRDefault="00EB1D88" w:rsidP="00726C45">
      <w:r w:rsidRPr="00D54932">
        <w:t xml:space="preserve">Details on Variable Construction </w:t>
      </w:r>
      <w:r>
        <w:t>(Individual Level)</w:t>
      </w:r>
      <w:bookmarkEnd w:id="409"/>
    </w:p>
    <w:tbl>
      <w:tblPr>
        <w:tblW w:w="0" w:type="auto"/>
        <w:tblLook w:val="04A0" w:firstRow="1" w:lastRow="0" w:firstColumn="1" w:lastColumn="0" w:noHBand="0" w:noVBand="1"/>
      </w:tblPr>
      <w:tblGrid>
        <w:gridCol w:w="1749"/>
        <w:gridCol w:w="1902"/>
        <w:gridCol w:w="5018"/>
      </w:tblGrid>
      <w:tr w:rsidR="00EB1D88" w:rsidRPr="00157446" w14:paraId="6FA78051" w14:textId="77777777" w:rsidTr="0092475F">
        <w:tc>
          <w:tcPr>
            <w:tcW w:w="1809" w:type="dxa"/>
          </w:tcPr>
          <w:p w14:paraId="097EA37C" w14:textId="77777777" w:rsidR="00EB1D88" w:rsidRPr="00157446" w:rsidRDefault="00EB1D88" w:rsidP="0092475F">
            <w:pPr>
              <w:spacing w:before="0" w:line="240" w:lineRule="auto"/>
              <w:rPr>
                <w:b/>
                <w:sz w:val="20"/>
                <w:szCs w:val="20"/>
              </w:rPr>
            </w:pPr>
            <w:r w:rsidRPr="00157446">
              <w:rPr>
                <w:b/>
                <w:sz w:val="20"/>
                <w:szCs w:val="20"/>
              </w:rPr>
              <w:t>Name</w:t>
            </w:r>
          </w:p>
        </w:tc>
        <w:tc>
          <w:tcPr>
            <w:tcW w:w="1985" w:type="dxa"/>
          </w:tcPr>
          <w:p w14:paraId="5A52800C" w14:textId="77777777" w:rsidR="00EB1D88" w:rsidRPr="00157446" w:rsidRDefault="00EB1D88" w:rsidP="0092475F">
            <w:pPr>
              <w:spacing w:before="0" w:line="240" w:lineRule="auto"/>
              <w:rPr>
                <w:b/>
                <w:sz w:val="20"/>
                <w:szCs w:val="20"/>
              </w:rPr>
            </w:pPr>
            <w:r w:rsidRPr="00157446">
              <w:rPr>
                <w:b/>
                <w:sz w:val="20"/>
                <w:szCs w:val="20"/>
              </w:rPr>
              <w:t>WVS Variable(s)</w:t>
            </w:r>
          </w:p>
        </w:tc>
        <w:tc>
          <w:tcPr>
            <w:tcW w:w="5448" w:type="dxa"/>
          </w:tcPr>
          <w:p w14:paraId="2A072873" w14:textId="77777777" w:rsidR="00EB1D88" w:rsidRPr="00157446" w:rsidRDefault="00EB1D88" w:rsidP="0092475F">
            <w:pPr>
              <w:spacing w:before="0" w:line="240" w:lineRule="auto"/>
              <w:rPr>
                <w:b/>
                <w:sz w:val="20"/>
                <w:szCs w:val="20"/>
              </w:rPr>
            </w:pPr>
            <w:r w:rsidRPr="00157446">
              <w:rPr>
                <w:b/>
                <w:sz w:val="20"/>
                <w:szCs w:val="20"/>
              </w:rPr>
              <w:t>Coding Criteria</w:t>
            </w:r>
          </w:p>
        </w:tc>
      </w:tr>
      <w:tr w:rsidR="00EB1D88" w:rsidRPr="00157446" w14:paraId="59F4074E" w14:textId="77777777" w:rsidTr="0092475F">
        <w:tc>
          <w:tcPr>
            <w:tcW w:w="1809" w:type="dxa"/>
          </w:tcPr>
          <w:p w14:paraId="07F29AA4" w14:textId="77777777" w:rsidR="00EB1D88" w:rsidRPr="00157446" w:rsidRDefault="00EB1D88" w:rsidP="0092475F">
            <w:pPr>
              <w:spacing w:before="0" w:line="240" w:lineRule="auto"/>
              <w:rPr>
                <w:sz w:val="20"/>
                <w:szCs w:val="20"/>
              </w:rPr>
            </w:pPr>
            <w:r w:rsidRPr="00157446">
              <w:rPr>
                <w:sz w:val="20"/>
                <w:szCs w:val="20"/>
              </w:rPr>
              <w:t>Age</w:t>
            </w:r>
          </w:p>
        </w:tc>
        <w:tc>
          <w:tcPr>
            <w:tcW w:w="1985" w:type="dxa"/>
          </w:tcPr>
          <w:p w14:paraId="012338C2" w14:textId="77777777" w:rsidR="00EB1D88" w:rsidRPr="00157446" w:rsidRDefault="00EB1D88" w:rsidP="0092475F">
            <w:pPr>
              <w:spacing w:before="0" w:line="240" w:lineRule="auto"/>
              <w:rPr>
                <w:sz w:val="20"/>
                <w:szCs w:val="20"/>
              </w:rPr>
            </w:pPr>
            <w:r w:rsidRPr="00157446">
              <w:rPr>
                <w:sz w:val="20"/>
                <w:szCs w:val="20"/>
              </w:rPr>
              <w:t>X003</w:t>
            </w:r>
          </w:p>
        </w:tc>
        <w:tc>
          <w:tcPr>
            <w:tcW w:w="5448" w:type="dxa"/>
          </w:tcPr>
          <w:p w14:paraId="3F452047" w14:textId="77777777" w:rsidR="00EB1D88" w:rsidRPr="00157446" w:rsidRDefault="00EB1D88" w:rsidP="0092475F">
            <w:pPr>
              <w:spacing w:before="0" w:line="240" w:lineRule="auto"/>
              <w:rPr>
                <w:sz w:val="20"/>
                <w:szCs w:val="20"/>
              </w:rPr>
            </w:pPr>
          </w:p>
        </w:tc>
      </w:tr>
      <w:tr w:rsidR="00EB1D88" w:rsidRPr="00157446" w14:paraId="3F2E0006" w14:textId="77777777" w:rsidTr="0092475F">
        <w:tc>
          <w:tcPr>
            <w:tcW w:w="1809" w:type="dxa"/>
          </w:tcPr>
          <w:p w14:paraId="01C91388" w14:textId="77777777" w:rsidR="00EB1D88" w:rsidRPr="00157446" w:rsidRDefault="00EB1D88" w:rsidP="0092475F">
            <w:pPr>
              <w:spacing w:before="0" w:line="240" w:lineRule="auto"/>
              <w:rPr>
                <w:sz w:val="20"/>
                <w:szCs w:val="20"/>
              </w:rPr>
            </w:pPr>
            <w:r w:rsidRPr="00157446">
              <w:rPr>
                <w:sz w:val="20"/>
                <w:szCs w:val="20"/>
              </w:rPr>
              <w:t>Gender</w:t>
            </w:r>
          </w:p>
        </w:tc>
        <w:tc>
          <w:tcPr>
            <w:tcW w:w="1985" w:type="dxa"/>
          </w:tcPr>
          <w:p w14:paraId="19FEF3DE" w14:textId="77777777" w:rsidR="00EB1D88" w:rsidRPr="00157446" w:rsidRDefault="00EB1D88" w:rsidP="0092475F">
            <w:pPr>
              <w:spacing w:before="0" w:line="240" w:lineRule="auto"/>
              <w:rPr>
                <w:sz w:val="20"/>
                <w:szCs w:val="20"/>
              </w:rPr>
            </w:pPr>
            <w:r w:rsidRPr="00157446">
              <w:rPr>
                <w:sz w:val="20"/>
                <w:szCs w:val="20"/>
              </w:rPr>
              <w:t>X002</w:t>
            </w:r>
          </w:p>
        </w:tc>
        <w:tc>
          <w:tcPr>
            <w:tcW w:w="5448" w:type="dxa"/>
          </w:tcPr>
          <w:p w14:paraId="64DE4C9D" w14:textId="77777777" w:rsidR="00EB1D88" w:rsidRPr="00157446" w:rsidRDefault="00EB1D88" w:rsidP="0092475F">
            <w:pPr>
              <w:spacing w:before="0" w:line="240" w:lineRule="auto"/>
              <w:rPr>
                <w:sz w:val="20"/>
                <w:szCs w:val="20"/>
              </w:rPr>
            </w:pPr>
            <w:r w:rsidRPr="00157446">
              <w:rPr>
                <w:sz w:val="20"/>
                <w:szCs w:val="20"/>
              </w:rPr>
              <w:t>0 Male, 1 Female</w:t>
            </w:r>
          </w:p>
        </w:tc>
      </w:tr>
      <w:tr w:rsidR="00EB1D88" w:rsidRPr="00157446" w14:paraId="4691207A" w14:textId="77777777" w:rsidTr="0092475F">
        <w:tc>
          <w:tcPr>
            <w:tcW w:w="1809" w:type="dxa"/>
          </w:tcPr>
          <w:p w14:paraId="62C3A99D" w14:textId="77777777" w:rsidR="00EB1D88" w:rsidRPr="00157446" w:rsidRDefault="00EB1D88" w:rsidP="0092475F">
            <w:pPr>
              <w:spacing w:before="0" w:line="240" w:lineRule="auto"/>
              <w:rPr>
                <w:sz w:val="20"/>
                <w:szCs w:val="20"/>
              </w:rPr>
            </w:pPr>
            <w:r w:rsidRPr="00157446">
              <w:rPr>
                <w:sz w:val="20"/>
                <w:szCs w:val="20"/>
              </w:rPr>
              <w:t xml:space="preserve">Education </w:t>
            </w:r>
          </w:p>
        </w:tc>
        <w:tc>
          <w:tcPr>
            <w:tcW w:w="1985" w:type="dxa"/>
          </w:tcPr>
          <w:p w14:paraId="074ED829" w14:textId="77777777" w:rsidR="00EB1D88" w:rsidRPr="00157446" w:rsidRDefault="00EB1D88" w:rsidP="0092475F">
            <w:pPr>
              <w:spacing w:before="0" w:line="240" w:lineRule="auto"/>
              <w:rPr>
                <w:sz w:val="20"/>
                <w:szCs w:val="20"/>
              </w:rPr>
            </w:pPr>
            <w:r w:rsidRPr="00157446">
              <w:rPr>
                <w:sz w:val="20"/>
                <w:szCs w:val="20"/>
              </w:rPr>
              <w:t>X025</w:t>
            </w:r>
            <w:r>
              <w:rPr>
                <w:sz w:val="20"/>
                <w:szCs w:val="20"/>
              </w:rPr>
              <w:t>R</w:t>
            </w:r>
          </w:p>
        </w:tc>
        <w:tc>
          <w:tcPr>
            <w:tcW w:w="5448" w:type="dxa"/>
          </w:tcPr>
          <w:p w14:paraId="76C7547D" w14:textId="77777777" w:rsidR="00EB1D88" w:rsidRDefault="00EB1D88" w:rsidP="0092475F">
            <w:pPr>
              <w:spacing w:before="0" w:line="240" w:lineRule="auto"/>
              <w:rPr>
                <w:sz w:val="20"/>
                <w:szCs w:val="20"/>
              </w:rPr>
            </w:pPr>
            <w:r>
              <w:rPr>
                <w:sz w:val="20"/>
                <w:szCs w:val="20"/>
              </w:rPr>
              <w:t>0 Lower</w:t>
            </w:r>
          </w:p>
          <w:p w14:paraId="58013712" w14:textId="77777777" w:rsidR="00EB1D88" w:rsidRDefault="00EB1D88" w:rsidP="0092475F">
            <w:pPr>
              <w:spacing w:before="0" w:line="240" w:lineRule="auto"/>
              <w:rPr>
                <w:sz w:val="20"/>
                <w:szCs w:val="20"/>
              </w:rPr>
            </w:pPr>
            <w:r>
              <w:rPr>
                <w:sz w:val="20"/>
                <w:szCs w:val="20"/>
              </w:rPr>
              <w:t>1 Middle</w:t>
            </w:r>
          </w:p>
          <w:p w14:paraId="41AA8A86" w14:textId="77777777" w:rsidR="00EB1D88" w:rsidRPr="00157446" w:rsidRDefault="00EB1D88" w:rsidP="0092475F">
            <w:pPr>
              <w:spacing w:before="0" w:line="240" w:lineRule="auto"/>
              <w:rPr>
                <w:sz w:val="20"/>
                <w:szCs w:val="20"/>
              </w:rPr>
            </w:pPr>
            <w:r>
              <w:rPr>
                <w:sz w:val="20"/>
                <w:szCs w:val="20"/>
              </w:rPr>
              <w:t>2 Higher</w:t>
            </w:r>
          </w:p>
        </w:tc>
      </w:tr>
      <w:tr w:rsidR="00EB1D88" w:rsidRPr="00157446" w14:paraId="695B7FE0" w14:textId="77777777" w:rsidTr="0092475F">
        <w:tc>
          <w:tcPr>
            <w:tcW w:w="1809" w:type="dxa"/>
          </w:tcPr>
          <w:p w14:paraId="4897D471" w14:textId="77777777" w:rsidR="00EB1D88" w:rsidRPr="00157446" w:rsidRDefault="00EB1D88" w:rsidP="0092475F">
            <w:pPr>
              <w:spacing w:before="0" w:line="240" w:lineRule="auto"/>
              <w:rPr>
                <w:sz w:val="20"/>
                <w:szCs w:val="20"/>
              </w:rPr>
            </w:pPr>
            <w:r w:rsidRPr="00157446">
              <w:rPr>
                <w:sz w:val="20"/>
                <w:szCs w:val="20"/>
              </w:rPr>
              <w:t xml:space="preserve">Income </w:t>
            </w:r>
          </w:p>
        </w:tc>
        <w:tc>
          <w:tcPr>
            <w:tcW w:w="1985" w:type="dxa"/>
          </w:tcPr>
          <w:p w14:paraId="03BDD104" w14:textId="77777777" w:rsidR="00EB1D88" w:rsidRPr="00157446" w:rsidRDefault="00EB1D88" w:rsidP="0092475F">
            <w:pPr>
              <w:spacing w:before="0" w:line="240" w:lineRule="auto"/>
              <w:rPr>
                <w:sz w:val="20"/>
                <w:szCs w:val="20"/>
              </w:rPr>
            </w:pPr>
            <w:r w:rsidRPr="00157446">
              <w:rPr>
                <w:sz w:val="20"/>
                <w:szCs w:val="20"/>
              </w:rPr>
              <w:t>X047</w:t>
            </w:r>
          </w:p>
        </w:tc>
        <w:tc>
          <w:tcPr>
            <w:tcW w:w="5448" w:type="dxa"/>
          </w:tcPr>
          <w:p w14:paraId="24083164" w14:textId="77777777" w:rsidR="00EB1D88" w:rsidRPr="00157446" w:rsidRDefault="00EB1D88" w:rsidP="0092475F">
            <w:pPr>
              <w:spacing w:before="0" w:line="240" w:lineRule="auto"/>
              <w:rPr>
                <w:sz w:val="20"/>
                <w:szCs w:val="20"/>
              </w:rPr>
            </w:pPr>
          </w:p>
        </w:tc>
      </w:tr>
      <w:tr w:rsidR="00EB1D88" w:rsidRPr="00157446" w14:paraId="511A7EE1" w14:textId="77777777" w:rsidTr="0092475F">
        <w:tc>
          <w:tcPr>
            <w:tcW w:w="1809" w:type="dxa"/>
          </w:tcPr>
          <w:p w14:paraId="76459734" w14:textId="77777777" w:rsidR="00EB1D88" w:rsidRPr="00157446" w:rsidRDefault="00EB1D88" w:rsidP="0092475F">
            <w:pPr>
              <w:spacing w:before="0" w:line="240" w:lineRule="auto"/>
              <w:rPr>
                <w:sz w:val="20"/>
                <w:szCs w:val="20"/>
              </w:rPr>
            </w:pPr>
            <w:r w:rsidRPr="00157446">
              <w:rPr>
                <w:sz w:val="20"/>
                <w:szCs w:val="20"/>
              </w:rPr>
              <w:t>Trust</w:t>
            </w:r>
          </w:p>
        </w:tc>
        <w:tc>
          <w:tcPr>
            <w:tcW w:w="1985" w:type="dxa"/>
          </w:tcPr>
          <w:p w14:paraId="66C69622" w14:textId="77777777" w:rsidR="00EB1D88" w:rsidRPr="00157446" w:rsidRDefault="00EB1D88" w:rsidP="0092475F">
            <w:pPr>
              <w:spacing w:before="0" w:line="240" w:lineRule="auto"/>
              <w:rPr>
                <w:sz w:val="20"/>
                <w:szCs w:val="20"/>
              </w:rPr>
            </w:pPr>
            <w:r w:rsidRPr="00157446">
              <w:rPr>
                <w:sz w:val="20"/>
                <w:szCs w:val="20"/>
              </w:rPr>
              <w:t>A165</w:t>
            </w:r>
          </w:p>
        </w:tc>
        <w:tc>
          <w:tcPr>
            <w:tcW w:w="5448" w:type="dxa"/>
          </w:tcPr>
          <w:p w14:paraId="6B7A73EF" w14:textId="77777777" w:rsidR="00EB1D88" w:rsidRPr="00157446" w:rsidRDefault="00EB1D88" w:rsidP="0092475F">
            <w:pPr>
              <w:spacing w:before="0" w:line="240" w:lineRule="auto"/>
              <w:rPr>
                <w:sz w:val="20"/>
                <w:szCs w:val="20"/>
              </w:rPr>
            </w:pPr>
            <w:r w:rsidRPr="00157446">
              <w:rPr>
                <w:sz w:val="20"/>
                <w:szCs w:val="20"/>
              </w:rPr>
              <w:t>0 "You can't be too careful"</w:t>
            </w:r>
          </w:p>
          <w:p w14:paraId="53BE9301" w14:textId="77777777" w:rsidR="00EB1D88" w:rsidRPr="00157446" w:rsidRDefault="00EB1D88" w:rsidP="0092475F">
            <w:pPr>
              <w:spacing w:before="0" w:line="240" w:lineRule="auto"/>
              <w:rPr>
                <w:sz w:val="20"/>
                <w:szCs w:val="20"/>
              </w:rPr>
            </w:pPr>
            <w:r w:rsidRPr="00157446">
              <w:rPr>
                <w:sz w:val="20"/>
                <w:szCs w:val="20"/>
              </w:rPr>
              <w:t xml:space="preserve">1 "Most can be trusted" </w:t>
            </w:r>
          </w:p>
        </w:tc>
      </w:tr>
      <w:tr w:rsidR="00EB1D88" w:rsidRPr="00157446" w14:paraId="05726042" w14:textId="77777777" w:rsidTr="0092475F">
        <w:tc>
          <w:tcPr>
            <w:tcW w:w="1809" w:type="dxa"/>
          </w:tcPr>
          <w:p w14:paraId="00825EB3" w14:textId="77777777" w:rsidR="00EB1D88" w:rsidRPr="00157446" w:rsidRDefault="00EB1D88" w:rsidP="0092475F">
            <w:pPr>
              <w:spacing w:before="0" w:line="240" w:lineRule="auto"/>
              <w:rPr>
                <w:sz w:val="20"/>
                <w:szCs w:val="20"/>
              </w:rPr>
            </w:pPr>
            <w:r w:rsidRPr="00157446">
              <w:rPr>
                <w:sz w:val="20"/>
                <w:szCs w:val="20"/>
              </w:rPr>
              <w:t>Institutional Trust</w:t>
            </w:r>
          </w:p>
        </w:tc>
        <w:tc>
          <w:tcPr>
            <w:tcW w:w="1985" w:type="dxa"/>
          </w:tcPr>
          <w:p w14:paraId="2477AE27" w14:textId="77777777" w:rsidR="00EB1D88" w:rsidRPr="00157446" w:rsidRDefault="00EB1D88" w:rsidP="0092475F">
            <w:pPr>
              <w:spacing w:before="0" w:line="240" w:lineRule="auto"/>
              <w:rPr>
                <w:sz w:val="20"/>
                <w:szCs w:val="20"/>
              </w:rPr>
            </w:pPr>
            <w:r w:rsidRPr="00157446">
              <w:rPr>
                <w:sz w:val="20"/>
                <w:szCs w:val="20"/>
              </w:rPr>
              <w:t>E069_17, E069_11, E069_12, E069_07, E069_08</w:t>
            </w:r>
          </w:p>
        </w:tc>
        <w:tc>
          <w:tcPr>
            <w:tcW w:w="5448" w:type="dxa"/>
          </w:tcPr>
          <w:p w14:paraId="1E60DFB2" w14:textId="77777777" w:rsidR="00EB1D88" w:rsidRPr="00157446" w:rsidRDefault="00EB1D88" w:rsidP="0092475F">
            <w:pPr>
              <w:spacing w:before="0" w:line="240" w:lineRule="auto"/>
              <w:rPr>
                <w:sz w:val="20"/>
                <w:szCs w:val="20"/>
              </w:rPr>
            </w:pPr>
            <w:r w:rsidRPr="00157446">
              <w:rPr>
                <w:sz w:val="20"/>
                <w:szCs w:val="20"/>
              </w:rPr>
              <w:t>An index was generated using the Cronbach’s alpha criterion in Stata and then coded into a 1-10 scale</w:t>
            </w:r>
            <w:r>
              <w:rPr>
                <w:sz w:val="20"/>
                <w:szCs w:val="20"/>
              </w:rPr>
              <w:t>. The more trusting, the higher the individual scores</w:t>
            </w:r>
          </w:p>
        </w:tc>
      </w:tr>
      <w:tr w:rsidR="00EB1D88" w:rsidRPr="00157446" w14:paraId="6FEA5761" w14:textId="77777777" w:rsidTr="0092475F">
        <w:tc>
          <w:tcPr>
            <w:tcW w:w="1809" w:type="dxa"/>
          </w:tcPr>
          <w:p w14:paraId="0FE382BB" w14:textId="77777777" w:rsidR="00EB1D88" w:rsidRPr="00157446" w:rsidRDefault="00EB1D88" w:rsidP="0092475F">
            <w:pPr>
              <w:spacing w:before="0" w:line="240" w:lineRule="auto"/>
              <w:rPr>
                <w:sz w:val="20"/>
                <w:szCs w:val="20"/>
              </w:rPr>
            </w:pPr>
            <w:r w:rsidRPr="00157446">
              <w:rPr>
                <w:sz w:val="20"/>
                <w:szCs w:val="20"/>
              </w:rPr>
              <w:t>Political Interest</w:t>
            </w:r>
          </w:p>
        </w:tc>
        <w:tc>
          <w:tcPr>
            <w:tcW w:w="1985" w:type="dxa"/>
          </w:tcPr>
          <w:p w14:paraId="261B0B5A" w14:textId="77777777" w:rsidR="00EB1D88" w:rsidRPr="00157446" w:rsidRDefault="00EB1D88" w:rsidP="0092475F">
            <w:pPr>
              <w:spacing w:before="0" w:line="240" w:lineRule="auto"/>
              <w:rPr>
                <w:sz w:val="20"/>
                <w:szCs w:val="20"/>
              </w:rPr>
            </w:pPr>
            <w:r w:rsidRPr="00157446">
              <w:rPr>
                <w:sz w:val="20"/>
                <w:szCs w:val="20"/>
              </w:rPr>
              <w:t>A004, E023</w:t>
            </w:r>
          </w:p>
        </w:tc>
        <w:tc>
          <w:tcPr>
            <w:tcW w:w="5448" w:type="dxa"/>
          </w:tcPr>
          <w:p w14:paraId="768F3B7E" w14:textId="77777777" w:rsidR="00EB1D88" w:rsidRPr="00157446" w:rsidRDefault="00EB1D88" w:rsidP="0092475F">
            <w:pPr>
              <w:spacing w:before="0" w:line="240" w:lineRule="auto"/>
              <w:rPr>
                <w:sz w:val="20"/>
                <w:szCs w:val="20"/>
              </w:rPr>
            </w:pPr>
            <w:r w:rsidRPr="00157446">
              <w:rPr>
                <w:sz w:val="20"/>
                <w:szCs w:val="20"/>
              </w:rPr>
              <w:t>An index was generated using the Cronbach’s alpha criterion in Stata and then coded into a 1-10 scale</w:t>
            </w:r>
            <w:r>
              <w:rPr>
                <w:sz w:val="20"/>
                <w:szCs w:val="20"/>
              </w:rPr>
              <w:t>. The more politically interested, the more the individual scores</w:t>
            </w:r>
          </w:p>
        </w:tc>
      </w:tr>
      <w:tr w:rsidR="00EB1D88" w:rsidRPr="00157446" w14:paraId="34CD30A4" w14:textId="77777777" w:rsidTr="0092475F">
        <w:tc>
          <w:tcPr>
            <w:tcW w:w="1809" w:type="dxa"/>
          </w:tcPr>
          <w:p w14:paraId="0C271D67" w14:textId="77777777" w:rsidR="00EB1D88" w:rsidRPr="00157446" w:rsidRDefault="00EB1D88" w:rsidP="0092475F">
            <w:pPr>
              <w:spacing w:before="0" w:line="240" w:lineRule="auto"/>
              <w:rPr>
                <w:sz w:val="20"/>
                <w:szCs w:val="20"/>
              </w:rPr>
            </w:pPr>
            <w:r w:rsidRPr="00157446">
              <w:rPr>
                <w:sz w:val="20"/>
                <w:szCs w:val="20"/>
              </w:rPr>
              <w:t>Religiosity</w:t>
            </w:r>
          </w:p>
        </w:tc>
        <w:tc>
          <w:tcPr>
            <w:tcW w:w="1985" w:type="dxa"/>
          </w:tcPr>
          <w:p w14:paraId="539FA0F4" w14:textId="77777777" w:rsidR="00EB1D88" w:rsidRPr="00157446" w:rsidRDefault="00EB1D88" w:rsidP="0092475F">
            <w:pPr>
              <w:spacing w:before="0" w:line="240" w:lineRule="auto"/>
              <w:rPr>
                <w:sz w:val="20"/>
                <w:szCs w:val="20"/>
              </w:rPr>
            </w:pPr>
            <w:r w:rsidRPr="00157446">
              <w:rPr>
                <w:sz w:val="20"/>
                <w:szCs w:val="20"/>
              </w:rPr>
              <w:t>A006, F034</w:t>
            </w:r>
          </w:p>
        </w:tc>
        <w:tc>
          <w:tcPr>
            <w:tcW w:w="5448" w:type="dxa"/>
          </w:tcPr>
          <w:p w14:paraId="2DEE94BF" w14:textId="77777777" w:rsidR="00EB1D88" w:rsidRPr="00157446" w:rsidRDefault="00EB1D88" w:rsidP="0092475F">
            <w:pPr>
              <w:spacing w:before="0" w:line="240" w:lineRule="auto"/>
              <w:rPr>
                <w:rFonts w:cstheme="majorBidi"/>
                <w:sz w:val="20"/>
                <w:szCs w:val="20"/>
              </w:rPr>
            </w:pPr>
            <w:r w:rsidRPr="00157446">
              <w:rPr>
                <w:sz w:val="20"/>
                <w:szCs w:val="20"/>
              </w:rPr>
              <w:t>An index was generated using the Cronbach’s alpha criterion in Stata and then coded into a 1-10 scale</w:t>
            </w:r>
            <w:r>
              <w:rPr>
                <w:sz w:val="20"/>
                <w:szCs w:val="20"/>
              </w:rPr>
              <w:t>. Higher religiosity scores higher</w:t>
            </w:r>
          </w:p>
        </w:tc>
      </w:tr>
      <w:tr w:rsidR="00EB1D88" w:rsidRPr="00157446" w14:paraId="2A384B0F" w14:textId="77777777" w:rsidTr="0092475F">
        <w:tc>
          <w:tcPr>
            <w:tcW w:w="1809" w:type="dxa"/>
          </w:tcPr>
          <w:p w14:paraId="3ECFC178" w14:textId="77777777" w:rsidR="00EB1D88" w:rsidRPr="00157446" w:rsidRDefault="00EB1D88" w:rsidP="0092475F">
            <w:pPr>
              <w:spacing w:before="0" w:line="240" w:lineRule="auto"/>
              <w:rPr>
                <w:sz w:val="20"/>
                <w:szCs w:val="20"/>
              </w:rPr>
            </w:pPr>
            <w:r w:rsidRPr="00157446">
              <w:rPr>
                <w:sz w:val="20"/>
                <w:szCs w:val="20"/>
              </w:rPr>
              <w:t>Religion</w:t>
            </w:r>
          </w:p>
        </w:tc>
        <w:tc>
          <w:tcPr>
            <w:tcW w:w="1985" w:type="dxa"/>
          </w:tcPr>
          <w:p w14:paraId="433DF3C8" w14:textId="77777777" w:rsidR="00EB1D88" w:rsidRPr="00157446" w:rsidRDefault="00EB1D88" w:rsidP="0092475F">
            <w:pPr>
              <w:spacing w:before="0" w:line="240" w:lineRule="auto"/>
              <w:rPr>
                <w:sz w:val="20"/>
                <w:szCs w:val="20"/>
              </w:rPr>
            </w:pPr>
            <w:r w:rsidRPr="00157446">
              <w:rPr>
                <w:sz w:val="20"/>
                <w:szCs w:val="20"/>
              </w:rPr>
              <w:t>F025</w:t>
            </w:r>
          </w:p>
        </w:tc>
        <w:tc>
          <w:tcPr>
            <w:tcW w:w="5448" w:type="dxa"/>
          </w:tcPr>
          <w:p w14:paraId="3ABE1BAB" w14:textId="77777777" w:rsidR="00EB1D88" w:rsidRPr="00157446" w:rsidRDefault="00EB1D88" w:rsidP="0092475F">
            <w:pPr>
              <w:spacing w:before="0" w:line="240" w:lineRule="auto"/>
              <w:rPr>
                <w:sz w:val="20"/>
                <w:szCs w:val="20"/>
              </w:rPr>
            </w:pPr>
            <w:r w:rsidRPr="00157446">
              <w:rPr>
                <w:sz w:val="20"/>
                <w:szCs w:val="20"/>
              </w:rPr>
              <w:t>Those who are not affiliated with any religion are the reference group</w:t>
            </w:r>
          </w:p>
        </w:tc>
      </w:tr>
      <w:tr w:rsidR="00EB1D88" w:rsidRPr="00157446" w14:paraId="20FA67DE" w14:textId="77777777" w:rsidTr="0092475F">
        <w:tc>
          <w:tcPr>
            <w:tcW w:w="1809" w:type="dxa"/>
          </w:tcPr>
          <w:p w14:paraId="4CA4536B" w14:textId="77777777" w:rsidR="00EB1D88" w:rsidRPr="00157446" w:rsidRDefault="00EB1D88" w:rsidP="0092475F">
            <w:pPr>
              <w:spacing w:before="0" w:line="240" w:lineRule="auto"/>
              <w:rPr>
                <w:sz w:val="20"/>
                <w:szCs w:val="20"/>
              </w:rPr>
            </w:pPr>
            <w:r w:rsidRPr="00157446">
              <w:rPr>
                <w:sz w:val="20"/>
                <w:szCs w:val="20"/>
              </w:rPr>
              <w:t>Media Use</w:t>
            </w:r>
          </w:p>
        </w:tc>
        <w:tc>
          <w:tcPr>
            <w:tcW w:w="1985" w:type="dxa"/>
          </w:tcPr>
          <w:p w14:paraId="572108F6" w14:textId="77777777" w:rsidR="00EB1D88" w:rsidRPr="00157446" w:rsidRDefault="00EB1D88" w:rsidP="0092475F">
            <w:pPr>
              <w:spacing w:before="0" w:line="240" w:lineRule="auto"/>
              <w:rPr>
                <w:sz w:val="20"/>
                <w:szCs w:val="20"/>
              </w:rPr>
            </w:pPr>
            <w:r w:rsidRPr="00157446">
              <w:rPr>
                <w:sz w:val="20"/>
                <w:szCs w:val="20"/>
              </w:rPr>
              <w:t>E248 – E254</w:t>
            </w:r>
          </w:p>
        </w:tc>
        <w:tc>
          <w:tcPr>
            <w:tcW w:w="5448" w:type="dxa"/>
          </w:tcPr>
          <w:p w14:paraId="29619E16" w14:textId="77777777" w:rsidR="00EB1D88" w:rsidRPr="00157446" w:rsidRDefault="00EB1D88" w:rsidP="0092475F">
            <w:pPr>
              <w:spacing w:before="0" w:line="240" w:lineRule="auto"/>
              <w:rPr>
                <w:sz w:val="20"/>
                <w:szCs w:val="20"/>
              </w:rPr>
            </w:pPr>
            <w:r w:rsidRPr="00157446">
              <w:rPr>
                <w:sz w:val="20"/>
                <w:szCs w:val="20"/>
              </w:rPr>
              <w:t>Respondents are given the option of selecting up to 7 possible sources of information to learn what is going on the world. Variable is a categorical one, grouping respondents into those who use none (0), those who use between 1 and 4 (1), and those who use 5 or more (2). With non-users as the reference group.</w:t>
            </w:r>
          </w:p>
        </w:tc>
      </w:tr>
      <w:tr w:rsidR="00EB1D88" w:rsidRPr="00157446" w14:paraId="4AAF5979" w14:textId="77777777" w:rsidTr="0092475F">
        <w:tc>
          <w:tcPr>
            <w:tcW w:w="1809" w:type="dxa"/>
          </w:tcPr>
          <w:p w14:paraId="416F7A21" w14:textId="77777777" w:rsidR="00EB1D88" w:rsidRPr="00157446" w:rsidRDefault="00EB1D88" w:rsidP="0092475F">
            <w:pPr>
              <w:spacing w:before="0" w:line="240" w:lineRule="auto"/>
              <w:rPr>
                <w:sz w:val="20"/>
                <w:szCs w:val="20"/>
              </w:rPr>
            </w:pPr>
            <w:r w:rsidRPr="00157446">
              <w:rPr>
                <w:sz w:val="20"/>
                <w:szCs w:val="20"/>
              </w:rPr>
              <w:t>Active</w:t>
            </w:r>
          </w:p>
        </w:tc>
        <w:tc>
          <w:tcPr>
            <w:tcW w:w="1985" w:type="dxa"/>
          </w:tcPr>
          <w:p w14:paraId="6CAD0C97" w14:textId="77777777" w:rsidR="00EB1D88" w:rsidRPr="00157446" w:rsidRDefault="00EB1D88" w:rsidP="0092475F">
            <w:pPr>
              <w:spacing w:before="0" w:line="240" w:lineRule="auto"/>
              <w:rPr>
                <w:sz w:val="20"/>
                <w:szCs w:val="20"/>
              </w:rPr>
            </w:pPr>
            <w:r w:rsidRPr="00157446">
              <w:rPr>
                <w:sz w:val="20"/>
                <w:szCs w:val="20"/>
              </w:rPr>
              <w:t>A098 – A105</w:t>
            </w:r>
          </w:p>
        </w:tc>
        <w:tc>
          <w:tcPr>
            <w:tcW w:w="5448" w:type="dxa"/>
          </w:tcPr>
          <w:p w14:paraId="45C8FD6F" w14:textId="77777777" w:rsidR="00EB1D88" w:rsidRPr="00157446" w:rsidRDefault="00EB1D88" w:rsidP="0092475F">
            <w:pPr>
              <w:spacing w:before="0" w:line="240" w:lineRule="auto"/>
              <w:rPr>
                <w:sz w:val="20"/>
                <w:szCs w:val="20"/>
              </w:rPr>
            </w:pPr>
            <w:r w:rsidRPr="00157446">
              <w:rPr>
                <w:sz w:val="20"/>
                <w:szCs w:val="20"/>
              </w:rPr>
              <w:t xml:space="preserve">Respondents can choose if they are active/non-active members of a list of groups. A strict approach is taken in that anyone considered not in a group or inactive is coded as zero. Active membership is coded as 1. Across all the groups, a cumulative variable is then produced with 3 categories: those not in or active in any (0), those active in 1 (1), those active in 2 or more (2) </w:t>
            </w:r>
          </w:p>
        </w:tc>
      </w:tr>
      <w:tr w:rsidR="00EB1D88" w:rsidRPr="00157446" w14:paraId="4B768E6C" w14:textId="77777777" w:rsidTr="0092475F">
        <w:tc>
          <w:tcPr>
            <w:tcW w:w="1809" w:type="dxa"/>
          </w:tcPr>
          <w:p w14:paraId="4408621B" w14:textId="77777777" w:rsidR="00EB1D88" w:rsidRDefault="00EB1D88" w:rsidP="0092475F">
            <w:pPr>
              <w:spacing w:before="0" w:line="240" w:lineRule="auto"/>
              <w:rPr>
                <w:sz w:val="20"/>
                <w:szCs w:val="20"/>
              </w:rPr>
            </w:pPr>
            <w:r>
              <w:rPr>
                <w:sz w:val="20"/>
                <w:szCs w:val="20"/>
              </w:rPr>
              <w:t xml:space="preserve">Importance of democracy </w:t>
            </w:r>
          </w:p>
        </w:tc>
        <w:tc>
          <w:tcPr>
            <w:tcW w:w="1985" w:type="dxa"/>
          </w:tcPr>
          <w:p w14:paraId="10A875E9" w14:textId="77777777" w:rsidR="00EB1D88" w:rsidRDefault="00EB1D88" w:rsidP="0092475F">
            <w:pPr>
              <w:spacing w:before="0" w:line="240" w:lineRule="auto"/>
              <w:rPr>
                <w:sz w:val="20"/>
                <w:szCs w:val="20"/>
              </w:rPr>
            </w:pPr>
            <w:r>
              <w:rPr>
                <w:sz w:val="20"/>
                <w:szCs w:val="20"/>
              </w:rPr>
              <w:t>E235</w:t>
            </w:r>
          </w:p>
        </w:tc>
        <w:tc>
          <w:tcPr>
            <w:tcW w:w="5448" w:type="dxa"/>
          </w:tcPr>
          <w:p w14:paraId="29C025CA" w14:textId="77777777" w:rsidR="00EB1D88" w:rsidRDefault="00EB1D88" w:rsidP="0092475F">
            <w:pPr>
              <w:spacing w:before="0" w:line="240" w:lineRule="auto"/>
              <w:rPr>
                <w:sz w:val="20"/>
                <w:szCs w:val="20"/>
              </w:rPr>
            </w:pPr>
            <w:r>
              <w:rPr>
                <w:sz w:val="20"/>
                <w:szCs w:val="20"/>
              </w:rPr>
              <w:t>Scale 1-10 how important to live in country that is governed democratically, with 1 not at all, and 10 very important</w:t>
            </w:r>
          </w:p>
        </w:tc>
      </w:tr>
      <w:tr w:rsidR="00EB1D88" w:rsidRPr="00157446" w14:paraId="4CB2CB60" w14:textId="77777777" w:rsidTr="0092475F">
        <w:tc>
          <w:tcPr>
            <w:tcW w:w="1809" w:type="dxa"/>
          </w:tcPr>
          <w:p w14:paraId="1E42AF7C" w14:textId="77777777" w:rsidR="00EB1D88" w:rsidRPr="00157446" w:rsidRDefault="00EB1D88" w:rsidP="0092475F">
            <w:pPr>
              <w:spacing w:before="0" w:line="240" w:lineRule="auto"/>
              <w:rPr>
                <w:sz w:val="20"/>
                <w:szCs w:val="20"/>
              </w:rPr>
            </w:pPr>
            <w:r>
              <w:rPr>
                <w:sz w:val="20"/>
                <w:szCs w:val="20"/>
              </w:rPr>
              <w:t>System of democracy</w:t>
            </w:r>
          </w:p>
        </w:tc>
        <w:tc>
          <w:tcPr>
            <w:tcW w:w="1985" w:type="dxa"/>
          </w:tcPr>
          <w:p w14:paraId="7F52F140" w14:textId="77777777" w:rsidR="00EB1D88" w:rsidRPr="00157446" w:rsidRDefault="00EB1D88" w:rsidP="0092475F">
            <w:pPr>
              <w:spacing w:before="0" w:line="240" w:lineRule="auto"/>
              <w:rPr>
                <w:sz w:val="20"/>
                <w:szCs w:val="20"/>
              </w:rPr>
            </w:pPr>
            <w:r>
              <w:rPr>
                <w:sz w:val="20"/>
                <w:szCs w:val="20"/>
              </w:rPr>
              <w:t>E117</w:t>
            </w:r>
          </w:p>
        </w:tc>
        <w:tc>
          <w:tcPr>
            <w:tcW w:w="5448" w:type="dxa"/>
          </w:tcPr>
          <w:p w14:paraId="2BFE0FD9" w14:textId="77777777" w:rsidR="00EB1D88" w:rsidRPr="00157446" w:rsidRDefault="00EB1D88" w:rsidP="0092475F">
            <w:pPr>
              <w:spacing w:before="0" w:line="240" w:lineRule="auto"/>
              <w:rPr>
                <w:sz w:val="20"/>
                <w:szCs w:val="20"/>
              </w:rPr>
            </w:pPr>
            <w:r>
              <w:rPr>
                <w:sz w:val="20"/>
                <w:szCs w:val="20"/>
              </w:rPr>
              <w:t>Binary variable generated with Very Good and Good combined (1) and Very bad and Bad combined as the reference (0)</w:t>
            </w:r>
          </w:p>
        </w:tc>
      </w:tr>
      <w:tr w:rsidR="00EB1D88" w:rsidRPr="00157446" w14:paraId="2F671C21" w14:textId="77777777" w:rsidTr="0092475F">
        <w:tc>
          <w:tcPr>
            <w:tcW w:w="1809" w:type="dxa"/>
          </w:tcPr>
          <w:p w14:paraId="02311006" w14:textId="77777777" w:rsidR="00EB1D88" w:rsidRDefault="00EB1D88" w:rsidP="0092475F">
            <w:pPr>
              <w:spacing w:before="0" w:line="240" w:lineRule="auto"/>
              <w:rPr>
                <w:sz w:val="20"/>
                <w:szCs w:val="20"/>
              </w:rPr>
            </w:pPr>
            <w:r>
              <w:rPr>
                <w:sz w:val="20"/>
                <w:szCs w:val="20"/>
              </w:rPr>
              <w:t>Satisfaction household income</w:t>
            </w:r>
          </w:p>
        </w:tc>
        <w:tc>
          <w:tcPr>
            <w:tcW w:w="1985" w:type="dxa"/>
          </w:tcPr>
          <w:p w14:paraId="2F406A1B" w14:textId="77777777" w:rsidR="00EB1D88" w:rsidRDefault="00EB1D88" w:rsidP="0092475F">
            <w:pPr>
              <w:spacing w:before="0" w:line="240" w:lineRule="auto"/>
              <w:rPr>
                <w:sz w:val="20"/>
                <w:szCs w:val="20"/>
              </w:rPr>
            </w:pPr>
            <w:r>
              <w:rPr>
                <w:sz w:val="20"/>
                <w:szCs w:val="20"/>
              </w:rPr>
              <w:t>C006</w:t>
            </w:r>
          </w:p>
        </w:tc>
        <w:tc>
          <w:tcPr>
            <w:tcW w:w="5448" w:type="dxa"/>
          </w:tcPr>
          <w:p w14:paraId="553362EE" w14:textId="77777777" w:rsidR="00EB1D88" w:rsidRDefault="00EB1D88" w:rsidP="0092475F">
            <w:pPr>
              <w:spacing w:before="0" w:line="240" w:lineRule="auto"/>
              <w:rPr>
                <w:sz w:val="20"/>
                <w:szCs w:val="20"/>
              </w:rPr>
            </w:pPr>
            <w:r>
              <w:rPr>
                <w:sz w:val="20"/>
                <w:szCs w:val="20"/>
              </w:rPr>
              <w:t xml:space="preserve">Scale 1-10 how satisfied with financial situation of household with 1 dissatisfied and 10 satisfied </w:t>
            </w:r>
          </w:p>
        </w:tc>
      </w:tr>
    </w:tbl>
    <w:p w14:paraId="08AEE53A" w14:textId="77777777" w:rsidR="00EB1D88" w:rsidRDefault="00EB1D88" w:rsidP="00EB1D88"/>
    <w:p w14:paraId="389CA0DC" w14:textId="003DC3C6" w:rsidR="00EB1D88" w:rsidRDefault="00EB1D88" w:rsidP="00726C45">
      <w:bookmarkStart w:id="410" w:name="_Toc494034248"/>
      <w:r w:rsidRPr="00D54932">
        <w:t xml:space="preserve">Details on Variable Construction </w:t>
      </w:r>
      <w:r>
        <w:t>(National Level)</w:t>
      </w:r>
      <w:bookmarkEnd w:id="410"/>
    </w:p>
    <w:p w14:paraId="6BD3FA00" w14:textId="77777777" w:rsidR="00EB1D88" w:rsidRPr="007F6855" w:rsidRDefault="00EB1D88" w:rsidP="00EB1D88">
      <w:r>
        <w:t>National level data is taken from numerous sources, which can be found in the table below:</w:t>
      </w:r>
    </w:p>
    <w:tbl>
      <w:tblPr>
        <w:tblW w:w="0" w:type="auto"/>
        <w:tblLayout w:type="fixed"/>
        <w:tblLook w:val="04A0" w:firstRow="1" w:lastRow="0" w:firstColumn="1" w:lastColumn="0" w:noHBand="0" w:noVBand="1"/>
      </w:tblPr>
      <w:tblGrid>
        <w:gridCol w:w="1384"/>
        <w:gridCol w:w="5528"/>
        <w:gridCol w:w="2330"/>
      </w:tblGrid>
      <w:tr w:rsidR="00EB1D88" w:rsidRPr="00157446" w14:paraId="299EAE7D" w14:textId="77777777" w:rsidTr="0092475F">
        <w:tc>
          <w:tcPr>
            <w:tcW w:w="1384" w:type="dxa"/>
          </w:tcPr>
          <w:p w14:paraId="3E2AC949" w14:textId="77777777" w:rsidR="00EB1D88" w:rsidRPr="00157446" w:rsidRDefault="00EB1D88" w:rsidP="0092475F">
            <w:pPr>
              <w:spacing w:before="0" w:line="240" w:lineRule="auto"/>
              <w:rPr>
                <w:rFonts w:cs="Segoe UI"/>
                <w:b/>
                <w:sz w:val="20"/>
                <w:szCs w:val="20"/>
              </w:rPr>
            </w:pPr>
            <w:r w:rsidRPr="00157446">
              <w:rPr>
                <w:rFonts w:cs="Segoe UI"/>
                <w:b/>
                <w:sz w:val="20"/>
                <w:szCs w:val="20"/>
              </w:rPr>
              <w:t>Name</w:t>
            </w:r>
          </w:p>
        </w:tc>
        <w:tc>
          <w:tcPr>
            <w:tcW w:w="5528" w:type="dxa"/>
          </w:tcPr>
          <w:p w14:paraId="0A78D5F5" w14:textId="77777777" w:rsidR="00EB1D88" w:rsidRPr="00157446" w:rsidRDefault="00EB1D88" w:rsidP="0092475F">
            <w:pPr>
              <w:spacing w:before="0" w:line="240" w:lineRule="auto"/>
              <w:rPr>
                <w:rFonts w:cs="Segoe UI"/>
                <w:b/>
                <w:sz w:val="20"/>
                <w:szCs w:val="20"/>
              </w:rPr>
            </w:pPr>
            <w:r w:rsidRPr="00157446">
              <w:rPr>
                <w:rFonts w:cs="Segoe UI"/>
                <w:b/>
                <w:sz w:val="20"/>
                <w:szCs w:val="20"/>
              </w:rPr>
              <w:t>Data Location</w:t>
            </w:r>
          </w:p>
        </w:tc>
        <w:tc>
          <w:tcPr>
            <w:tcW w:w="2330" w:type="dxa"/>
          </w:tcPr>
          <w:p w14:paraId="58B4C2B6" w14:textId="77777777" w:rsidR="00EB1D88" w:rsidRPr="00157446" w:rsidRDefault="00EB1D88" w:rsidP="0092475F">
            <w:pPr>
              <w:spacing w:before="0" w:line="240" w:lineRule="auto"/>
              <w:rPr>
                <w:rFonts w:cs="Segoe UI"/>
                <w:b/>
                <w:sz w:val="20"/>
                <w:szCs w:val="20"/>
              </w:rPr>
            </w:pPr>
            <w:r w:rsidRPr="00157446">
              <w:rPr>
                <w:rFonts w:cs="Segoe UI"/>
                <w:b/>
                <w:sz w:val="20"/>
                <w:szCs w:val="20"/>
              </w:rPr>
              <w:t>Comments</w:t>
            </w:r>
          </w:p>
        </w:tc>
      </w:tr>
      <w:tr w:rsidR="00EB1D88" w:rsidRPr="00157446" w14:paraId="353A0543" w14:textId="77777777" w:rsidTr="0092475F">
        <w:tc>
          <w:tcPr>
            <w:tcW w:w="1384" w:type="dxa"/>
          </w:tcPr>
          <w:p w14:paraId="4798BA3E" w14:textId="77777777" w:rsidR="00EB1D88" w:rsidRPr="00157446" w:rsidRDefault="00EB1D88" w:rsidP="0092475F">
            <w:pPr>
              <w:spacing w:before="0" w:line="240" w:lineRule="auto"/>
              <w:rPr>
                <w:rFonts w:cs="Segoe UI"/>
                <w:sz w:val="20"/>
                <w:szCs w:val="20"/>
              </w:rPr>
            </w:pPr>
            <w:r w:rsidRPr="00157446">
              <w:rPr>
                <w:rFonts w:cs="Segoe UI"/>
                <w:sz w:val="20"/>
                <w:szCs w:val="20"/>
              </w:rPr>
              <w:t>HDI</w:t>
            </w:r>
          </w:p>
        </w:tc>
        <w:tc>
          <w:tcPr>
            <w:tcW w:w="5528" w:type="dxa"/>
          </w:tcPr>
          <w:p w14:paraId="492DA547" w14:textId="77777777" w:rsidR="00EB1D88" w:rsidRPr="00157446" w:rsidRDefault="00EB1D88" w:rsidP="0092475F">
            <w:pPr>
              <w:spacing w:before="0" w:line="240" w:lineRule="auto"/>
              <w:rPr>
                <w:rFonts w:cs="Segoe UI"/>
                <w:color w:val="000000"/>
                <w:sz w:val="20"/>
                <w:szCs w:val="20"/>
              </w:rPr>
            </w:pPr>
            <w:r w:rsidRPr="00157446">
              <w:rPr>
                <w:rFonts w:cs="Segoe UI"/>
                <w:color w:val="000000"/>
                <w:sz w:val="20"/>
                <w:szCs w:val="20"/>
              </w:rPr>
              <w:t xml:space="preserve">Accessed from: </w:t>
            </w:r>
            <w:hyperlink r:id="rId57" w:history="1">
              <w:r w:rsidRPr="00157446">
                <w:rPr>
                  <w:rStyle w:val="Hyperlink"/>
                  <w:rFonts w:cs="Segoe UI"/>
                  <w:sz w:val="20"/>
                  <w:szCs w:val="20"/>
                </w:rPr>
                <w:t>http://hdr.undp.org</w:t>
              </w:r>
            </w:hyperlink>
            <w:r w:rsidRPr="00157446">
              <w:rPr>
                <w:rFonts w:cs="Segoe UI"/>
                <w:color w:val="000000"/>
                <w:sz w:val="20"/>
                <w:szCs w:val="20"/>
              </w:rPr>
              <w:t xml:space="preserve"> </w:t>
            </w:r>
          </w:p>
          <w:p w14:paraId="772A7CF1" w14:textId="77777777" w:rsidR="00EB1D88" w:rsidRPr="00157446" w:rsidRDefault="00EB1D88" w:rsidP="0092475F">
            <w:pPr>
              <w:spacing w:before="0" w:line="240" w:lineRule="auto"/>
              <w:rPr>
                <w:rFonts w:cs="Segoe UI"/>
                <w:sz w:val="20"/>
                <w:szCs w:val="20"/>
              </w:rPr>
            </w:pPr>
          </w:p>
        </w:tc>
        <w:tc>
          <w:tcPr>
            <w:tcW w:w="2330" w:type="dxa"/>
          </w:tcPr>
          <w:p w14:paraId="340815D3" w14:textId="77777777" w:rsidR="00EB1D88" w:rsidRPr="00157446" w:rsidRDefault="00EB1D88" w:rsidP="0092475F">
            <w:pPr>
              <w:spacing w:before="0" w:line="240" w:lineRule="auto"/>
              <w:rPr>
                <w:rFonts w:cs="Segoe UI"/>
                <w:sz w:val="20"/>
                <w:szCs w:val="20"/>
              </w:rPr>
            </w:pPr>
          </w:p>
        </w:tc>
      </w:tr>
      <w:tr w:rsidR="00EB1D88" w:rsidRPr="00157446" w14:paraId="3621AAF0" w14:textId="77777777" w:rsidTr="0092475F">
        <w:tc>
          <w:tcPr>
            <w:tcW w:w="1384" w:type="dxa"/>
          </w:tcPr>
          <w:p w14:paraId="0DE8AB5E" w14:textId="77777777" w:rsidR="00EB1D88" w:rsidRPr="00157446" w:rsidRDefault="00EB1D88" w:rsidP="0092475F">
            <w:pPr>
              <w:spacing w:before="0" w:line="240" w:lineRule="auto"/>
              <w:rPr>
                <w:rFonts w:cs="Segoe UI"/>
                <w:sz w:val="20"/>
                <w:szCs w:val="20"/>
              </w:rPr>
            </w:pPr>
            <w:r w:rsidRPr="00157446">
              <w:rPr>
                <w:rFonts w:cs="Segoe UI"/>
                <w:sz w:val="20"/>
                <w:szCs w:val="20"/>
              </w:rPr>
              <w:t>Press Freedom</w:t>
            </w:r>
          </w:p>
        </w:tc>
        <w:tc>
          <w:tcPr>
            <w:tcW w:w="5528" w:type="dxa"/>
          </w:tcPr>
          <w:p w14:paraId="3202E853" w14:textId="77777777" w:rsidR="00EB1D88" w:rsidRPr="00157446" w:rsidRDefault="00F9347F" w:rsidP="0092475F">
            <w:pPr>
              <w:spacing w:before="0" w:line="240" w:lineRule="auto"/>
              <w:rPr>
                <w:rFonts w:cs="Segoe UI"/>
                <w:sz w:val="20"/>
                <w:szCs w:val="20"/>
              </w:rPr>
            </w:pPr>
            <w:hyperlink r:id="rId58" w:history="1">
              <w:r w:rsidR="00EB1D88" w:rsidRPr="00157446">
                <w:rPr>
                  <w:rStyle w:val="Hyperlink"/>
                  <w:rFonts w:cs="Segoe UI"/>
                  <w:sz w:val="20"/>
                  <w:szCs w:val="20"/>
                </w:rPr>
                <w:t>http://en.rsf.org/press-freedom-index-2008,33.html</w:t>
              </w:r>
            </w:hyperlink>
            <w:r w:rsidR="00EB1D88" w:rsidRPr="00157446">
              <w:rPr>
                <w:rFonts w:cs="Segoe UI"/>
                <w:sz w:val="20"/>
                <w:szCs w:val="20"/>
              </w:rPr>
              <w:t xml:space="preserve"> </w:t>
            </w:r>
          </w:p>
        </w:tc>
        <w:tc>
          <w:tcPr>
            <w:tcW w:w="2330" w:type="dxa"/>
          </w:tcPr>
          <w:p w14:paraId="34979451" w14:textId="77777777" w:rsidR="00EB1D88" w:rsidRPr="00157446" w:rsidRDefault="00EB1D88" w:rsidP="0092475F">
            <w:pPr>
              <w:spacing w:before="0" w:line="240" w:lineRule="auto"/>
              <w:rPr>
                <w:rFonts w:cs="Segoe UI"/>
                <w:sz w:val="20"/>
                <w:szCs w:val="20"/>
              </w:rPr>
            </w:pPr>
          </w:p>
        </w:tc>
      </w:tr>
      <w:tr w:rsidR="00EB1D88" w:rsidRPr="00157446" w14:paraId="59EABF40" w14:textId="77777777" w:rsidTr="0092475F">
        <w:tc>
          <w:tcPr>
            <w:tcW w:w="1384" w:type="dxa"/>
          </w:tcPr>
          <w:p w14:paraId="44A785EA" w14:textId="77777777" w:rsidR="00EB1D88" w:rsidRPr="00157446" w:rsidRDefault="00EB1D88" w:rsidP="0092475F">
            <w:pPr>
              <w:spacing w:before="0" w:line="240" w:lineRule="auto"/>
              <w:rPr>
                <w:rFonts w:cs="Segoe UI"/>
                <w:sz w:val="20"/>
                <w:szCs w:val="20"/>
              </w:rPr>
            </w:pPr>
            <w:r w:rsidRPr="00157446">
              <w:rPr>
                <w:rFonts w:cs="Segoe UI"/>
                <w:sz w:val="20"/>
                <w:szCs w:val="20"/>
              </w:rPr>
              <w:t>Communist</w:t>
            </w:r>
          </w:p>
        </w:tc>
        <w:tc>
          <w:tcPr>
            <w:tcW w:w="5528" w:type="dxa"/>
          </w:tcPr>
          <w:p w14:paraId="69C93BD8" w14:textId="77777777" w:rsidR="00EB1D88" w:rsidRPr="00157446" w:rsidRDefault="00EB1D88" w:rsidP="0092475F">
            <w:pPr>
              <w:spacing w:before="0" w:line="240" w:lineRule="auto"/>
              <w:rPr>
                <w:rFonts w:cs="Segoe UI"/>
                <w:sz w:val="20"/>
                <w:szCs w:val="20"/>
              </w:rPr>
            </w:pPr>
            <w:r w:rsidRPr="00157446">
              <w:rPr>
                <w:rFonts w:cs="Segoe UI"/>
                <w:sz w:val="20"/>
                <w:szCs w:val="20"/>
              </w:rPr>
              <w:t>The countries in this dataset to considered to have current or previous communist regimes are: Poland, Slovenia, Bulgaria, Romania, China, Ukraine, Russia, Moldova, Georgia, Vietnam and Serbia.</w:t>
            </w:r>
          </w:p>
        </w:tc>
        <w:tc>
          <w:tcPr>
            <w:tcW w:w="2330" w:type="dxa"/>
          </w:tcPr>
          <w:p w14:paraId="6809C580" w14:textId="77777777" w:rsidR="00EB1D88" w:rsidRPr="00157446" w:rsidRDefault="00EB1D88" w:rsidP="0092475F">
            <w:pPr>
              <w:spacing w:before="0" w:line="240" w:lineRule="auto"/>
              <w:rPr>
                <w:rFonts w:cs="Segoe UI"/>
                <w:sz w:val="20"/>
                <w:szCs w:val="20"/>
              </w:rPr>
            </w:pPr>
          </w:p>
        </w:tc>
      </w:tr>
      <w:tr w:rsidR="00EB1D88" w:rsidRPr="00157446" w14:paraId="04D73071" w14:textId="77777777" w:rsidTr="0092475F">
        <w:tc>
          <w:tcPr>
            <w:tcW w:w="1384" w:type="dxa"/>
          </w:tcPr>
          <w:p w14:paraId="1DB7EED7" w14:textId="77777777" w:rsidR="00EB1D88" w:rsidRPr="00157446" w:rsidRDefault="00EB1D88" w:rsidP="0092475F">
            <w:pPr>
              <w:spacing w:before="0" w:line="240" w:lineRule="auto"/>
              <w:rPr>
                <w:rFonts w:cs="Segoe UI"/>
                <w:sz w:val="20"/>
                <w:szCs w:val="20"/>
              </w:rPr>
            </w:pPr>
            <w:r w:rsidRPr="00157446">
              <w:rPr>
                <w:rFonts w:cs="Segoe UI"/>
                <w:sz w:val="20"/>
                <w:szCs w:val="20"/>
              </w:rPr>
              <w:t>Democratic History</w:t>
            </w:r>
          </w:p>
        </w:tc>
        <w:tc>
          <w:tcPr>
            <w:tcW w:w="5528" w:type="dxa"/>
          </w:tcPr>
          <w:p w14:paraId="345279DC" w14:textId="77777777" w:rsidR="00EB1D88" w:rsidRPr="00157446" w:rsidRDefault="00F9347F" w:rsidP="0092475F">
            <w:pPr>
              <w:spacing w:before="0" w:line="240" w:lineRule="auto"/>
              <w:rPr>
                <w:rFonts w:cs="Segoe UI"/>
                <w:sz w:val="20"/>
                <w:szCs w:val="20"/>
              </w:rPr>
            </w:pPr>
            <w:hyperlink r:id="rId59" w:history="1">
              <w:r w:rsidR="00EB1D88" w:rsidRPr="00157446">
                <w:rPr>
                  <w:rStyle w:val="Hyperlink"/>
                  <w:rFonts w:cs="Segoe UI"/>
                  <w:sz w:val="20"/>
                  <w:szCs w:val="20"/>
                </w:rPr>
                <w:t>http://www.hks.harvard.edu/fs/pnorris/Data/Data.htm</w:t>
              </w:r>
            </w:hyperlink>
            <w:r w:rsidR="00EB1D88" w:rsidRPr="00157446">
              <w:rPr>
                <w:rFonts w:cs="Segoe UI"/>
                <w:sz w:val="20"/>
                <w:szCs w:val="20"/>
              </w:rPr>
              <w:t xml:space="preserve"> </w:t>
            </w:r>
          </w:p>
        </w:tc>
        <w:tc>
          <w:tcPr>
            <w:tcW w:w="2330" w:type="dxa"/>
          </w:tcPr>
          <w:p w14:paraId="5B19B8E6" w14:textId="77777777" w:rsidR="00EB1D88" w:rsidRPr="00157446" w:rsidRDefault="00EB1D88" w:rsidP="0092475F">
            <w:pPr>
              <w:spacing w:before="0" w:line="240" w:lineRule="auto"/>
              <w:rPr>
                <w:rFonts w:cs="Segoe UI"/>
                <w:sz w:val="20"/>
                <w:szCs w:val="20"/>
              </w:rPr>
            </w:pPr>
          </w:p>
        </w:tc>
      </w:tr>
      <w:tr w:rsidR="00EB1D88" w:rsidRPr="00157446" w14:paraId="158265F1" w14:textId="77777777" w:rsidTr="0092475F">
        <w:tc>
          <w:tcPr>
            <w:tcW w:w="1384" w:type="dxa"/>
          </w:tcPr>
          <w:p w14:paraId="4E6A0D35" w14:textId="77777777" w:rsidR="00EB1D88" w:rsidRPr="00157446" w:rsidRDefault="00EB1D88" w:rsidP="0092475F">
            <w:pPr>
              <w:spacing w:before="0" w:line="240" w:lineRule="auto"/>
              <w:rPr>
                <w:rFonts w:cs="Segoe UI"/>
                <w:sz w:val="20"/>
                <w:szCs w:val="20"/>
              </w:rPr>
            </w:pPr>
            <w:r w:rsidRPr="00157446">
              <w:rPr>
                <w:rFonts w:cs="Segoe UI"/>
                <w:sz w:val="20"/>
                <w:szCs w:val="20"/>
              </w:rPr>
              <w:t>Inequality</w:t>
            </w:r>
          </w:p>
        </w:tc>
        <w:tc>
          <w:tcPr>
            <w:tcW w:w="5528" w:type="dxa"/>
          </w:tcPr>
          <w:p w14:paraId="55897FE5" w14:textId="77777777" w:rsidR="00EB1D88" w:rsidRPr="00157446" w:rsidRDefault="00EB1D88" w:rsidP="0092475F">
            <w:pPr>
              <w:spacing w:before="0" w:line="240" w:lineRule="auto"/>
              <w:rPr>
                <w:rFonts w:cs="Segoe UI"/>
                <w:sz w:val="20"/>
                <w:szCs w:val="20"/>
              </w:rPr>
            </w:pPr>
            <w:r w:rsidRPr="00157446">
              <w:rPr>
                <w:rFonts w:cs="Segoe UI"/>
                <w:sz w:val="20"/>
                <w:szCs w:val="20"/>
              </w:rPr>
              <w:t xml:space="preserve">OECD Dataset available at </w:t>
            </w:r>
            <w:hyperlink r:id="rId60" w:history="1">
              <w:r w:rsidRPr="00157446">
                <w:rPr>
                  <w:rStyle w:val="Hyperlink"/>
                  <w:rFonts w:cs="Segoe UI"/>
                  <w:sz w:val="20"/>
                  <w:szCs w:val="20"/>
                </w:rPr>
                <w:t>stats.oecd.org/Index.aspx?DataSetCode=IDD</w:t>
              </w:r>
            </w:hyperlink>
            <w:r w:rsidRPr="00157446">
              <w:rPr>
                <w:rFonts w:cs="Segoe UI"/>
                <w:sz w:val="20"/>
                <w:szCs w:val="20"/>
              </w:rPr>
              <w:t xml:space="preserve"> </w:t>
            </w:r>
          </w:p>
          <w:p w14:paraId="16FC65A3" w14:textId="77777777" w:rsidR="00EB1D88" w:rsidRPr="00157446" w:rsidRDefault="00EB1D88" w:rsidP="0092475F">
            <w:pPr>
              <w:spacing w:before="0" w:line="240" w:lineRule="auto"/>
              <w:rPr>
                <w:rFonts w:cs="Segoe UI"/>
                <w:sz w:val="20"/>
                <w:szCs w:val="20"/>
              </w:rPr>
            </w:pPr>
            <w:r w:rsidRPr="00157446">
              <w:rPr>
                <w:rFonts w:cs="Segoe UI"/>
                <w:sz w:val="20"/>
                <w:szCs w:val="20"/>
              </w:rPr>
              <w:t xml:space="preserve">UNDP Open Data available at </w:t>
            </w:r>
            <w:hyperlink r:id="rId61" w:history="1">
              <w:r w:rsidRPr="00157446">
                <w:rPr>
                  <w:rStyle w:val="Hyperlink"/>
                  <w:rFonts w:cs="Segoe UI"/>
                  <w:sz w:val="20"/>
                  <w:szCs w:val="20"/>
                </w:rPr>
                <w:t>data.undp.org/dataset/Income-Gini-coefficient/36ku-rvrj</w:t>
              </w:r>
            </w:hyperlink>
            <w:r w:rsidRPr="00157446">
              <w:rPr>
                <w:rFonts w:cs="Segoe UI"/>
                <w:sz w:val="20"/>
                <w:szCs w:val="20"/>
              </w:rPr>
              <w:t xml:space="preserve"> </w:t>
            </w:r>
          </w:p>
          <w:p w14:paraId="6BD3D1D7" w14:textId="77777777" w:rsidR="00EB1D88" w:rsidRPr="00157446" w:rsidRDefault="00EB1D88" w:rsidP="0092475F">
            <w:pPr>
              <w:spacing w:before="0" w:line="240" w:lineRule="auto"/>
              <w:rPr>
                <w:rFonts w:cs="Segoe UI"/>
                <w:sz w:val="20"/>
                <w:szCs w:val="20"/>
              </w:rPr>
            </w:pPr>
            <w:r w:rsidRPr="00157446">
              <w:rPr>
                <w:rFonts w:cs="Segoe UI"/>
                <w:sz w:val="20"/>
                <w:szCs w:val="20"/>
              </w:rPr>
              <w:t xml:space="preserve">Cyprus: CIA Factbook available at </w:t>
            </w:r>
            <w:hyperlink r:id="rId62" w:history="1">
              <w:r w:rsidRPr="00157446">
                <w:rPr>
                  <w:rStyle w:val="Hyperlink"/>
                  <w:rFonts w:cs="Segoe UI"/>
                  <w:sz w:val="20"/>
                  <w:szCs w:val="20"/>
                </w:rPr>
                <w:t>cia.gov/library/publications/the-world-factbook/geos/cy.html</w:t>
              </w:r>
            </w:hyperlink>
            <w:r w:rsidRPr="00157446">
              <w:rPr>
                <w:rFonts w:cs="Segoe UI"/>
                <w:sz w:val="20"/>
                <w:szCs w:val="20"/>
              </w:rPr>
              <w:t xml:space="preserve"> </w:t>
            </w:r>
          </w:p>
          <w:p w14:paraId="382604B7" w14:textId="77777777" w:rsidR="00EB1D88" w:rsidRPr="00157446" w:rsidRDefault="00EB1D88" w:rsidP="0092475F">
            <w:pPr>
              <w:spacing w:before="0" w:line="240" w:lineRule="auto"/>
              <w:rPr>
                <w:rFonts w:cs="Segoe UI"/>
                <w:sz w:val="20"/>
                <w:szCs w:val="20"/>
              </w:rPr>
            </w:pPr>
            <w:r w:rsidRPr="00157446">
              <w:rPr>
                <w:rFonts w:cs="Segoe UI"/>
                <w:sz w:val="20"/>
                <w:szCs w:val="20"/>
              </w:rPr>
              <w:t xml:space="preserve">Burkina Faso: World Bank available at </w:t>
            </w:r>
            <w:hyperlink r:id="rId63" w:history="1">
              <w:r w:rsidRPr="00157446">
                <w:rPr>
                  <w:rStyle w:val="Hyperlink"/>
                  <w:rFonts w:cs="Segoe UI"/>
                  <w:sz w:val="20"/>
                  <w:szCs w:val="20"/>
                </w:rPr>
                <w:t>data.worldbank.org/indicator/SI.POV.GINI/</w:t>
              </w:r>
            </w:hyperlink>
            <w:r w:rsidRPr="00157446">
              <w:rPr>
                <w:rFonts w:cs="Segoe UI"/>
                <w:sz w:val="20"/>
                <w:szCs w:val="20"/>
              </w:rPr>
              <w:t xml:space="preserve"> </w:t>
            </w:r>
          </w:p>
          <w:p w14:paraId="258FB1A1" w14:textId="77777777" w:rsidR="00EB1D88" w:rsidRPr="00157446" w:rsidRDefault="00EB1D88" w:rsidP="0092475F">
            <w:pPr>
              <w:spacing w:before="0" w:line="240" w:lineRule="auto"/>
              <w:rPr>
                <w:rFonts w:cs="Segoe UI"/>
                <w:sz w:val="20"/>
                <w:szCs w:val="20"/>
              </w:rPr>
            </w:pPr>
            <w:r w:rsidRPr="00157446">
              <w:rPr>
                <w:rFonts w:cs="Segoe UI"/>
                <w:sz w:val="20"/>
                <w:szCs w:val="20"/>
              </w:rPr>
              <w:t xml:space="preserve">Trinidad &amp; Tobago: Economic Commission for Latin America and the Caribbean (ECLAC) available at </w:t>
            </w:r>
            <w:hyperlink r:id="rId64" w:history="1">
              <w:r w:rsidRPr="00157446">
                <w:rPr>
                  <w:rStyle w:val="Hyperlink"/>
                  <w:rFonts w:cs="Segoe UI"/>
                  <w:sz w:val="20"/>
                  <w:szCs w:val="20"/>
                </w:rPr>
                <w:t>cepal.org/publicaciones/xml/4/49054/SPS_TrinidadAndTobago_ing.pdf</w:t>
              </w:r>
            </w:hyperlink>
            <w:r w:rsidRPr="00157446">
              <w:rPr>
                <w:rFonts w:cs="Segoe UI"/>
                <w:sz w:val="20"/>
                <w:szCs w:val="20"/>
              </w:rPr>
              <w:t xml:space="preserve"> </w:t>
            </w:r>
          </w:p>
        </w:tc>
        <w:tc>
          <w:tcPr>
            <w:tcW w:w="2330" w:type="dxa"/>
          </w:tcPr>
          <w:p w14:paraId="149E3C77" w14:textId="77777777" w:rsidR="00EB1D88" w:rsidRPr="00157446" w:rsidRDefault="00EB1D88" w:rsidP="0092475F">
            <w:pPr>
              <w:spacing w:before="0" w:line="240" w:lineRule="auto"/>
              <w:rPr>
                <w:rFonts w:cs="Segoe UI"/>
                <w:sz w:val="20"/>
                <w:szCs w:val="20"/>
              </w:rPr>
            </w:pPr>
            <w:r w:rsidRPr="00157446">
              <w:rPr>
                <w:rFonts w:cs="Segoe UI"/>
                <w:sz w:val="20"/>
                <w:szCs w:val="20"/>
              </w:rPr>
              <w:t>No single dataset was found with accurate or up-to-date gini scores, and so the results had to come from a combination of sources</w:t>
            </w:r>
          </w:p>
        </w:tc>
      </w:tr>
      <w:tr w:rsidR="00EB1D88" w:rsidRPr="00157446" w14:paraId="7D71C855" w14:textId="77777777" w:rsidTr="0092475F">
        <w:tc>
          <w:tcPr>
            <w:tcW w:w="1384" w:type="dxa"/>
          </w:tcPr>
          <w:p w14:paraId="468D97AE" w14:textId="77777777" w:rsidR="00EB1D88" w:rsidRPr="00157446" w:rsidRDefault="00EB1D88" w:rsidP="0092475F">
            <w:pPr>
              <w:spacing w:before="0" w:line="240" w:lineRule="auto"/>
              <w:rPr>
                <w:rFonts w:cs="Segoe UI"/>
                <w:sz w:val="20"/>
                <w:szCs w:val="20"/>
              </w:rPr>
            </w:pPr>
            <w:r w:rsidRPr="00157446">
              <w:rPr>
                <w:rFonts w:cs="Segoe UI"/>
                <w:sz w:val="20"/>
                <w:szCs w:val="20"/>
              </w:rPr>
              <w:t>Freedom House</w:t>
            </w:r>
          </w:p>
        </w:tc>
        <w:tc>
          <w:tcPr>
            <w:tcW w:w="5528" w:type="dxa"/>
          </w:tcPr>
          <w:p w14:paraId="4100D2D7" w14:textId="77777777" w:rsidR="00EB1D88" w:rsidRPr="00157446" w:rsidRDefault="00F9347F" w:rsidP="0092475F">
            <w:pPr>
              <w:spacing w:before="0" w:line="240" w:lineRule="auto"/>
              <w:rPr>
                <w:rFonts w:cs="Segoe UI"/>
                <w:sz w:val="20"/>
                <w:szCs w:val="20"/>
              </w:rPr>
            </w:pPr>
            <w:hyperlink r:id="rId65" w:history="1">
              <w:r w:rsidR="00EB1D88" w:rsidRPr="00157446">
                <w:rPr>
                  <w:rStyle w:val="Hyperlink"/>
                  <w:rFonts w:cs="Segoe UI"/>
                  <w:sz w:val="20"/>
                  <w:szCs w:val="20"/>
                </w:rPr>
                <w:t>https://freedomhouse.org/</w:t>
              </w:r>
            </w:hyperlink>
            <w:r w:rsidR="00EB1D88" w:rsidRPr="00157446">
              <w:rPr>
                <w:rFonts w:cs="Segoe UI"/>
                <w:sz w:val="20"/>
                <w:szCs w:val="20"/>
              </w:rPr>
              <w:t xml:space="preserve"> </w:t>
            </w:r>
          </w:p>
        </w:tc>
        <w:tc>
          <w:tcPr>
            <w:tcW w:w="2330" w:type="dxa"/>
          </w:tcPr>
          <w:p w14:paraId="57A559C5" w14:textId="77777777" w:rsidR="00EB1D88" w:rsidRPr="00157446" w:rsidRDefault="00EB1D88" w:rsidP="0092475F">
            <w:pPr>
              <w:spacing w:before="0" w:line="240" w:lineRule="auto"/>
              <w:rPr>
                <w:rFonts w:cs="Segoe UI"/>
                <w:sz w:val="20"/>
                <w:szCs w:val="20"/>
              </w:rPr>
            </w:pPr>
          </w:p>
        </w:tc>
      </w:tr>
      <w:tr w:rsidR="00EB1D88" w:rsidRPr="00157446" w14:paraId="2DDE37C2" w14:textId="77777777" w:rsidTr="0092475F">
        <w:tc>
          <w:tcPr>
            <w:tcW w:w="1384" w:type="dxa"/>
          </w:tcPr>
          <w:p w14:paraId="111F690E" w14:textId="4C1D68A6" w:rsidR="00EB1D88" w:rsidRPr="00157446" w:rsidRDefault="00EB1D88" w:rsidP="0092475F">
            <w:pPr>
              <w:spacing w:before="0" w:line="240" w:lineRule="auto"/>
              <w:rPr>
                <w:rFonts w:cs="Segoe UI"/>
                <w:sz w:val="20"/>
                <w:szCs w:val="20"/>
              </w:rPr>
            </w:pPr>
          </w:p>
        </w:tc>
        <w:tc>
          <w:tcPr>
            <w:tcW w:w="5528" w:type="dxa"/>
          </w:tcPr>
          <w:p w14:paraId="7D0E0171" w14:textId="22C71FD8" w:rsidR="00EB1D88" w:rsidRPr="00157446" w:rsidRDefault="00EB1D88" w:rsidP="0092475F">
            <w:pPr>
              <w:spacing w:before="0" w:line="240" w:lineRule="auto"/>
              <w:rPr>
                <w:rFonts w:cs="Segoe UI"/>
                <w:sz w:val="20"/>
                <w:szCs w:val="20"/>
              </w:rPr>
            </w:pPr>
          </w:p>
        </w:tc>
        <w:tc>
          <w:tcPr>
            <w:tcW w:w="2330" w:type="dxa"/>
          </w:tcPr>
          <w:p w14:paraId="1D5A5792" w14:textId="52A51944" w:rsidR="00EB1D88" w:rsidRPr="00157446" w:rsidRDefault="00EB1D88" w:rsidP="0092475F">
            <w:pPr>
              <w:spacing w:before="0" w:line="240" w:lineRule="auto"/>
              <w:rPr>
                <w:rFonts w:cs="Segoe UI"/>
                <w:sz w:val="20"/>
                <w:szCs w:val="20"/>
              </w:rPr>
            </w:pPr>
          </w:p>
        </w:tc>
      </w:tr>
    </w:tbl>
    <w:p w14:paraId="410DDE66" w14:textId="77777777" w:rsidR="00EB1D88" w:rsidRDefault="00EB1D88" w:rsidP="00EB1D88">
      <w:pPr>
        <w:sectPr w:rsidR="00EB1D88" w:rsidSect="0052597C">
          <w:pgSz w:w="11906" w:h="16838"/>
          <w:pgMar w:top="1440" w:right="1440" w:bottom="1440" w:left="1440" w:header="708" w:footer="708" w:gutter="357"/>
          <w:cols w:space="708"/>
          <w:docGrid w:linePitch="360"/>
        </w:sectPr>
      </w:pPr>
    </w:p>
    <w:p w14:paraId="34D91281" w14:textId="7865A70B" w:rsidR="0035721A" w:rsidRPr="0035721A" w:rsidRDefault="00EB1D88" w:rsidP="0035721A">
      <w:pPr>
        <w:pStyle w:val="Heading1"/>
        <w:numPr>
          <w:ilvl w:val="0"/>
          <w:numId w:val="0"/>
        </w:numPr>
      </w:pPr>
      <w:bookmarkStart w:id="411" w:name="_Toc494034249"/>
      <w:r>
        <w:t>References</w:t>
      </w:r>
      <w:bookmarkEnd w:id="411"/>
    </w:p>
    <w:p w14:paraId="57276E0D" w14:textId="09F8240C" w:rsidR="002804ED" w:rsidRPr="002804ED" w:rsidRDefault="003716A9" w:rsidP="00726C45">
      <w:pPr>
        <w:widowControl w:val="0"/>
        <w:autoSpaceDE w:val="0"/>
        <w:autoSpaceDN w:val="0"/>
        <w:adjustRightInd w:val="0"/>
        <w:spacing w:before="100" w:line="240" w:lineRule="auto"/>
        <w:ind w:hanging="720"/>
        <w:rPr>
          <w:rFonts w:cs="Segoe UI"/>
          <w:noProof/>
          <w:szCs w:val="24"/>
        </w:rPr>
      </w:pPr>
      <w:r w:rsidRPr="000222FB">
        <w:rPr>
          <w:rFonts w:cs="Segoe UI"/>
        </w:rPr>
        <w:fldChar w:fldCharType="begin" w:fldLock="1"/>
      </w:r>
      <w:r w:rsidRPr="000222FB">
        <w:rPr>
          <w:rFonts w:cs="Segoe UI"/>
        </w:rPr>
        <w:instrText xml:space="preserve">ADDIN Mendeley Bibliography CSL_BIBLIOGRAPHY </w:instrText>
      </w:r>
      <w:r w:rsidRPr="000222FB">
        <w:rPr>
          <w:rFonts w:cs="Segoe UI"/>
        </w:rPr>
        <w:fldChar w:fldCharType="separate"/>
      </w:r>
      <w:r w:rsidR="002804ED" w:rsidRPr="002804ED">
        <w:rPr>
          <w:rFonts w:cs="Segoe UI"/>
          <w:noProof/>
          <w:szCs w:val="24"/>
        </w:rPr>
        <w:t xml:space="preserve">Acemoglu, D. and Robinson, J. A. (2006) </w:t>
      </w:r>
      <w:r w:rsidR="002804ED" w:rsidRPr="002804ED">
        <w:rPr>
          <w:rFonts w:cs="Segoe UI"/>
          <w:i/>
          <w:iCs/>
          <w:noProof/>
          <w:szCs w:val="24"/>
        </w:rPr>
        <w:t>Economic Origins of Dictatorship and Democracy</w:t>
      </w:r>
      <w:r w:rsidR="002804ED" w:rsidRPr="002804ED">
        <w:rPr>
          <w:rFonts w:cs="Segoe UI"/>
          <w:noProof/>
          <w:szCs w:val="24"/>
        </w:rPr>
        <w:t>. Cambridge: Cambridge University Press.</w:t>
      </w:r>
    </w:p>
    <w:p w14:paraId="1EB5CF7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Ackerly, B. A. and Okin, S. M. (1999) ‘Feminist social criticism and the international movement for women’s rights as human rights’, in Shapiro, I. and Hacker-Cordon, C. (eds) </w:t>
      </w:r>
      <w:r w:rsidRPr="002804ED">
        <w:rPr>
          <w:rFonts w:cs="Segoe UI"/>
          <w:i/>
          <w:iCs/>
          <w:noProof/>
          <w:szCs w:val="24"/>
        </w:rPr>
        <w:t>Democracy’s Edges</w:t>
      </w:r>
      <w:r w:rsidRPr="002804ED">
        <w:rPr>
          <w:rFonts w:cs="Segoe UI"/>
          <w:noProof/>
          <w:szCs w:val="24"/>
        </w:rPr>
        <w:t>. Cambridge: Cambridge University Press, pp. 134–162.</w:t>
      </w:r>
    </w:p>
    <w:p w14:paraId="3FE449B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Aitkin, M. and Longford, N. (1986) ‘Statistical Modelling Issues in School Effectiveness Studies’, </w:t>
      </w:r>
      <w:r w:rsidRPr="002804ED">
        <w:rPr>
          <w:rFonts w:cs="Segoe UI"/>
          <w:i/>
          <w:iCs/>
          <w:noProof/>
          <w:szCs w:val="24"/>
        </w:rPr>
        <w:t>Journal of the Royal Statistical Society: Series A (General)</w:t>
      </w:r>
      <w:r w:rsidRPr="002804ED">
        <w:rPr>
          <w:rFonts w:cs="Segoe UI"/>
          <w:noProof/>
          <w:szCs w:val="24"/>
        </w:rPr>
        <w:t>, 149(1), pp. 1–43.</w:t>
      </w:r>
    </w:p>
    <w:p w14:paraId="33EDC52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Ake, C. (1997) ‘Dangerous liaisons: the interface of globalization and democracy’, in Hadenius, A. (ed.) </w:t>
      </w:r>
      <w:r w:rsidRPr="002804ED">
        <w:rPr>
          <w:rFonts w:cs="Segoe UI"/>
          <w:i/>
          <w:iCs/>
          <w:noProof/>
          <w:szCs w:val="24"/>
        </w:rPr>
        <w:t>Democracy’s Victory and Crisis</w:t>
      </w:r>
      <w:r w:rsidRPr="002804ED">
        <w:rPr>
          <w:rFonts w:cs="Segoe UI"/>
          <w:noProof/>
          <w:szCs w:val="24"/>
        </w:rPr>
        <w:t>. Cambridge: Cambridge University Press, pp. 282–297.</w:t>
      </w:r>
    </w:p>
    <w:p w14:paraId="43B06B4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Almond, G. A. (1980) ‘The Intellectual History of the Civic Culture Concept’, in Almond, G. A. and Verba, S. (eds) </w:t>
      </w:r>
      <w:r w:rsidRPr="002804ED">
        <w:rPr>
          <w:rFonts w:cs="Segoe UI"/>
          <w:i/>
          <w:iCs/>
          <w:noProof/>
          <w:szCs w:val="24"/>
        </w:rPr>
        <w:t>The Civic Culture Revisited</w:t>
      </w:r>
      <w:r w:rsidRPr="002804ED">
        <w:rPr>
          <w:rFonts w:cs="Segoe UI"/>
          <w:noProof/>
          <w:szCs w:val="24"/>
        </w:rPr>
        <w:t>. London: SAGE Publications, pp. 1–37.</w:t>
      </w:r>
    </w:p>
    <w:p w14:paraId="6210C9B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Almond, G. A. and Verba, S. (1963) </w:t>
      </w:r>
      <w:r w:rsidRPr="002804ED">
        <w:rPr>
          <w:rFonts w:cs="Segoe UI"/>
          <w:i/>
          <w:iCs/>
          <w:noProof/>
          <w:szCs w:val="24"/>
        </w:rPr>
        <w:t>The Civic Culture - Political Attitudes and Democracy in Five Nations</w:t>
      </w:r>
      <w:r w:rsidRPr="002804ED">
        <w:rPr>
          <w:rFonts w:cs="Segoe UI"/>
          <w:noProof/>
          <w:szCs w:val="24"/>
        </w:rPr>
        <w:t>. New Jersey: Princeton University Press.</w:t>
      </w:r>
    </w:p>
    <w:p w14:paraId="3917C83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Ansell, B. W. and Samuels, D. J. (2014) </w:t>
      </w:r>
      <w:r w:rsidRPr="002804ED">
        <w:rPr>
          <w:rFonts w:cs="Segoe UI"/>
          <w:i/>
          <w:iCs/>
          <w:noProof/>
          <w:szCs w:val="24"/>
        </w:rPr>
        <w:t>Inequality and Democratization: An Elite-Competition Approach</w:t>
      </w:r>
      <w:r w:rsidRPr="002804ED">
        <w:rPr>
          <w:rFonts w:cs="Segoe UI"/>
          <w:noProof/>
          <w:szCs w:val="24"/>
        </w:rPr>
        <w:t>. Cambridge: Cambridge University Press.</w:t>
      </w:r>
    </w:p>
    <w:p w14:paraId="606922D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Ansolabehere, S., Rodden, J. and Snyder, J. M. (2008) ‘The Strength of Issues: Using Multiple Measures to Gauge Preference Stability, Ideological Constraint, and Issue Voting’, </w:t>
      </w:r>
      <w:r w:rsidRPr="002804ED">
        <w:rPr>
          <w:rFonts w:cs="Segoe UI"/>
          <w:i/>
          <w:iCs/>
          <w:noProof/>
          <w:szCs w:val="24"/>
        </w:rPr>
        <w:t>American Political Science Review</w:t>
      </w:r>
      <w:r w:rsidRPr="002804ED">
        <w:rPr>
          <w:rFonts w:cs="Segoe UI"/>
          <w:noProof/>
          <w:szCs w:val="24"/>
        </w:rPr>
        <w:t>, 102(2), pp. 215–232. doi: 10.1017/S0003055408080210.</w:t>
      </w:r>
    </w:p>
    <w:p w14:paraId="3C6BC1F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Arat, Z. F. (1988) ‘Democracy and Economic Development : Modernization Theory Revisited’, </w:t>
      </w:r>
      <w:r w:rsidRPr="002804ED">
        <w:rPr>
          <w:rFonts w:cs="Segoe UI"/>
          <w:i/>
          <w:iCs/>
          <w:noProof/>
          <w:szCs w:val="24"/>
        </w:rPr>
        <w:t>Comparative Politics</w:t>
      </w:r>
      <w:r w:rsidRPr="002804ED">
        <w:rPr>
          <w:rFonts w:cs="Segoe UI"/>
          <w:noProof/>
          <w:szCs w:val="24"/>
        </w:rPr>
        <w:t>, 21(1), pp. 21–36.</w:t>
      </w:r>
    </w:p>
    <w:p w14:paraId="0CFE063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Ariely, G. (2012) ‘Globalisation and the decline of national identity? An exploration across sixty-three countries’, </w:t>
      </w:r>
      <w:r w:rsidRPr="002804ED">
        <w:rPr>
          <w:rFonts w:cs="Segoe UI"/>
          <w:i/>
          <w:iCs/>
          <w:noProof/>
          <w:szCs w:val="24"/>
        </w:rPr>
        <w:t>Nations and Nationalism</w:t>
      </w:r>
      <w:r w:rsidRPr="002804ED">
        <w:rPr>
          <w:rFonts w:cs="Segoe UI"/>
          <w:noProof/>
          <w:szCs w:val="24"/>
        </w:rPr>
        <w:t>, 18(3), pp. 461–482. doi: 10.1111/j.1469-8129.2011.00532.x.</w:t>
      </w:r>
    </w:p>
    <w:p w14:paraId="084136C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Ariely, G. and Davidov, E. (2010) ‘Can we Rate Public Support for Democracy in a Comparable Way? Cross-National Equivalence of Democratic Attitudes in the World Value Survey’, </w:t>
      </w:r>
      <w:r w:rsidRPr="002804ED">
        <w:rPr>
          <w:rFonts w:cs="Segoe UI"/>
          <w:i/>
          <w:iCs/>
          <w:noProof/>
          <w:szCs w:val="24"/>
        </w:rPr>
        <w:t>Social Indicators Research</w:t>
      </w:r>
      <w:r w:rsidRPr="002804ED">
        <w:rPr>
          <w:rFonts w:cs="Segoe UI"/>
          <w:noProof/>
          <w:szCs w:val="24"/>
        </w:rPr>
        <w:t>, 104(2), pp. 271–286. doi: 10.1007/s11205-010-9693-5.</w:t>
      </w:r>
    </w:p>
    <w:p w14:paraId="48DE94F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Armingeon, K. and Guthmann, K. (2014) ‘Democracy in crisis? The declining support for national democracy in European countries, 2007-2011’, </w:t>
      </w:r>
      <w:r w:rsidRPr="002804ED">
        <w:rPr>
          <w:rFonts w:cs="Segoe UI"/>
          <w:i/>
          <w:iCs/>
          <w:noProof/>
          <w:szCs w:val="24"/>
        </w:rPr>
        <w:t>European Journal of Political Research</w:t>
      </w:r>
      <w:r w:rsidRPr="002804ED">
        <w:rPr>
          <w:rFonts w:cs="Segoe UI"/>
          <w:noProof/>
          <w:szCs w:val="24"/>
        </w:rPr>
        <w:t>, p. n/a-n/a. doi: 10.1111/1475-6765.12046.</w:t>
      </w:r>
    </w:p>
    <w:p w14:paraId="1E0544B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Attar-Schwartz, S. and Ben-Arieh, A. (2012) ‘Political knowledge, attitudes and values among Palestinian and Jewish youth in Israel: The role of nationality, gender and religiosity’, </w:t>
      </w:r>
      <w:r w:rsidRPr="002804ED">
        <w:rPr>
          <w:rFonts w:cs="Segoe UI"/>
          <w:i/>
          <w:iCs/>
          <w:noProof/>
          <w:szCs w:val="24"/>
        </w:rPr>
        <w:t>Children and Youth Services Review</w:t>
      </w:r>
      <w:r w:rsidRPr="002804ED">
        <w:rPr>
          <w:rFonts w:cs="Segoe UI"/>
          <w:noProof/>
          <w:szCs w:val="24"/>
        </w:rPr>
        <w:t>. Elsevier Ltd, 34(4), pp. 704–712. doi: 10.1016/j.childyouth.2011.12.017.</w:t>
      </w:r>
    </w:p>
    <w:p w14:paraId="4B2AAFF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Bader, V. (2003) ‘Religious Diversity And Democratic Institutional Pluralism’, </w:t>
      </w:r>
      <w:r w:rsidRPr="002804ED">
        <w:rPr>
          <w:rFonts w:cs="Segoe UI"/>
          <w:i/>
          <w:iCs/>
          <w:noProof/>
          <w:szCs w:val="24"/>
        </w:rPr>
        <w:t>Political Theory</w:t>
      </w:r>
      <w:r w:rsidRPr="002804ED">
        <w:rPr>
          <w:rFonts w:cs="Segoe UI"/>
          <w:noProof/>
          <w:szCs w:val="24"/>
        </w:rPr>
        <w:t>, 31(2), pp. 265–294. doi: 10.1177/0090591702251012.</w:t>
      </w:r>
    </w:p>
    <w:p w14:paraId="3FACB3F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Barany, Z. (2011) ‘The Role of the Military’, </w:t>
      </w:r>
      <w:r w:rsidRPr="002804ED">
        <w:rPr>
          <w:rFonts w:cs="Segoe UI"/>
          <w:i/>
          <w:iCs/>
          <w:noProof/>
          <w:szCs w:val="24"/>
        </w:rPr>
        <w:t>Journal of Democracy</w:t>
      </w:r>
      <w:r w:rsidRPr="002804ED">
        <w:rPr>
          <w:rFonts w:cs="Segoe UI"/>
          <w:noProof/>
          <w:szCs w:val="24"/>
        </w:rPr>
        <w:t>. The Johns Hopkins University Press, 22(4), pp. 24–35. Available at: http://muse.jhu.edu/journals/journal_of_democracy/v022/22.4.barany.html.</w:t>
      </w:r>
    </w:p>
    <w:p w14:paraId="5F81483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Barnes, S. H., Kasse, M. and Allerbeck, K. (1979) </w:t>
      </w:r>
      <w:r w:rsidRPr="002804ED">
        <w:rPr>
          <w:rFonts w:cs="Segoe UI"/>
          <w:i/>
          <w:iCs/>
          <w:noProof/>
          <w:szCs w:val="24"/>
        </w:rPr>
        <w:t>Political Action: Mass Participation in Five Western Democracies</w:t>
      </w:r>
      <w:r w:rsidRPr="002804ED">
        <w:rPr>
          <w:rFonts w:cs="Segoe UI"/>
          <w:noProof/>
          <w:szCs w:val="24"/>
        </w:rPr>
        <w:t>. Beverly Hills: Sage.</w:t>
      </w:r>
    </w:p>
    <w:p w14:paraId="7DBC9AB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Barro, R. (1999) ‘Determinants of democracy’, </w:t>
      </w:r>
      <w:r w:rsidRPr="002804ED">
        <w:rPr>
          <w:rFonts w:cs="Segoe UI"/>
          <w:i/>
          <w:iCs/>
          <w:noProof/>
          <w:szCs w:val="24"/>
        </w:rPr>
        <w:t>Journal of Political Economy</w:t>
      </w:r>
      <w:r w:rsidRPr="002804ED">
        <w:rPr>
          <w:rFonts w:cs="Segoe UI"/>
          <w:noProof/>
          <w:szCs w:val="24"/>
        </w:rPr>
        <w:t>, 107(6), pp. 158–183. Available at: http://www.jstor.org/stable/10.1086/250107 (Accessed: 13 July 2012).</w:t>
      </w:r>
    </w:p>
    <w:p w14:paraId="4787F01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Barry, B. (1978) </w:t>
      </w:r>
      <w:r w:rsidRPr="002804ED">
        <w:rPr>
          <w:rFonts w:cs="Segoe UI"/>
          <w:i/>
          <w:iCs/>
          <w:noProof/>
          <w:szCs w:val="24"/>
        </w:rPr>
        <w:t>Sociologists, Economists, and Democracy</w:t>
      </w:r>
      <w:r w:rsidRPr="002804ED">
        <w:rPr>
          <w:rFonts w:cs="Segoe UI"/>
          <w:noProof/>
          <w:szCs w:val="24"/>
        </w:rPr>
        <w:t>. Chicago: University of Chicago Press.</w:t>
      </w:r>
    </w:p>
    <w:p w14:paraId="4512703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Bartels, L. M. (2008) </w:t>
      </w:r>
      <w:r w:rsidRPr="002804ED">
        <w:rPr>
          <w:rFonts w:cs="Segoe UI"/>
          <w:i/>
          <w:iCs/>
          <w:noProof/>
          <w:szCs w:val="24"/>
        </w:rPr>
        <w:t>Unequal Democracy: The Political Economy of the New Guilded Age</w:t>
      </w:r>
      <w:r w:rsidRPr="002804ED">
        <w:rPr>
          <w:rFonts w:cs="Segoe UI"/>
          <w:noProof/>
          <w:szCs w:val="24"/>
        </w:rPr>
        <w:t>. Princeton: Princeton University Press.</w:t>
      </w:r>
    </w:p>
    <w:p w14:paraId="6F67708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Bell, D. (1973) </w:t>
      </w:r>
      <w:r w:rsidRPr="002804ED">
        <w:rPr>
          <w:rFonts w:cs="Segoe UI"/>
          <w:i/>
          <w:iCs/>
          <w:noProof/>
          <w:szCs w:val="24"/>
        </w:rPr>
        <w:t>The Coming of Post-Industrial Society</w:t>
      </w:r>
      <w:r w:rsidRPr="002804ED">
        <w:rPr>
          <w:rFonts w:cs="Segoe UI"/>
          <w:noProof/>
          <w:szCs w:val="24"/>
        </w:rPr>
        <w:t>. New York: Basic Books.</w:t>
      </w:r>
    </w:p>
    <w:p w14:paraId="6E54CB9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Ben-Num Bloom, P. and Arikan, G. (2012) ‘A Two-edged Sword : The Differential Effect of Religious Belief and Religious Social Context on Attitudes towards Democracy’, pp. 249–276. doi: 10.1007/s11109-011-9157-x.</w:t>
      </w:r>
    </w:p>
    <w:p w14:paraId="4614983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Ben-Nun Bloom, P. and Arikan, G. (2013) ‘Religion and Support for Democracy: A Cross-National Test of the Mediating Mechanisms’, </w:t>
      </w:r>
      <w:r w:rsidRPr="002804ED">
        <w:rPr>
          <w:rFonts w:cs="Segoe UI"/>
          <w:i/>
          <w:iCs/>
          <w:noProof/>
          <w:szCs w:val="24"/>
        </w:rPr>
        <w:t>British Journal of Political Science</w:t>
      </w:r>
      <w:r w:rsidRPr="002804ED">
        <w:rPr>
          <w:rFonts w:cs="Segoe UI"/>
          <w:noProof/>
          <w:szCs w:val="24"/>
        </w:rPr>
        <w:t>, 43(2), pp. 375–397. doi: 10.1017/S0007123412000427.</w:t>
      </w:r>
    </w:p>
    <w:p w14:paraId="1F20166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Ben-Nun Bloom, P., Zemach, M. and Arian, A. (2011) ‘The religious experience as affecting ambivalence : the case of democratic performance evaluation in Israel’, </w:t>
      </w:r>
      <w:r w:rsidRPr="002804ED">
        <w:rPr>
          <w:rFonts w:cs="Segoe UI"/>
          <w:i/>
          <w:iCs/>
          <w:noProof/>
          <w:szCs w:val="24"/>
        </w:rPr>
        <w:t>Democratization</w:t>
      </w:r>
      <w:r w:rsidRPr="002804ED">
        <w:rPr>
          <w:rFonts w:cs="Segoe UI"/>
          <w:noProof/>
          <w:szCs w:val="24"/>
        </w:rPr>
        <w:t>, 18(1), pp. 25–51.</w:t>
      </w:r>
    </w:p>
    <w:p w14:paraId="2D09200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Bengtsson, Å. and Christensen, H. (2014) ‘Ideals and Actions: Do Citizens’ Patterns of Political Participation Correspond to their Conceptions of Democracy?’, </w:t>
      </w:r>
      <w:r w:rsidRPr="002804ED">
        <w:rPr>
          <w:rFonts w:cs="Segoe UI"/>
          <w:i/>
          <w:iCs/>
          <w:noProof/>
          <w:szCs w:val="24"/>
        </w:rPr>
        <w:t>Government and Opposition</w:t>
      </w:r>
      <w:r w:rsidRPr="002804ED">
        <w:rPr>
          <w:rFonts w:cs="Segoe UI"/>
          <w:noProof/>
          <w:szCs w:val="24"/>
        </w:rPr>
        <w:t>, 51(2), pp. 234–260. doi: 10.1017/gov.2014.29.</w:t>
      </w:r>
    </w:p>
    <w:p w14:paraId="521E6A8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Berlin, I. (1969) </w:t>
      </w:r>
      <w:r w:rsidRPr="002804ED">
        <w:rPr>
          <w:rFonts w:cs="Segoe UI"/>
          <w:i/>
          <w:iCs/>
          <w:noProof/>
          <w:szCs w:val="24"/>
        </w:rPr>
        <w:t>Four Essays on Liberty</w:t>
      </w:r>
      <w:r w:rsidRPr="002804ED">
        <w:rPr>
          <w:rFonts w:cs="Segoe UI"/>
          <w:noProof/>
          <w:szCs w:val="24"/>
        </w:rPr>
        <w:t>. Oxford: Oxford University Press.</w:t>
      </w:r>
    </w:p>
    <w:p w14:paraId="73E8DF6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Besley, T. and Kudamatsu, M. (2007) ‘Making Autocracy Work’, </w:t>
      </w:r>
      <w:r w:rsidRPr="002804ED">
        <w:rPr>
          <w:rFonts w:cs="Segoe UI"/>
          <w:i/>
          <w:iCs/>
          <w:noProof/>
          <w:szCs w:val="24"/>
        </w:rPr>
        <w:t>Development Economics Discussion Paper Series</w:t>
      </w:r>
      <w:r w:rsidRPr="002804ED">
        <w:rPr>
          <w:rFonts w:cs="Segoe UI"/>
          <w:noProof/>
          <w:szCs w:val="24"/>
        </w:rPr>
        <w:t>, 48(May), pp. 1–75.</w:t>
      </w:r>
    </w:p>
    <w:p w14:paraId="47CE8A7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Bickel, R. (2007) </w:t>
      </w:r>
      <w:r w:rsidRPr="002804ED">
        <w:rPr>
          <w:rFonts w:cs="Segoe UI"/>
          <w:i/>
          <w:iCs/>
          <w:noProof/>
          <w:szCs w:val="24"/>
        </w:rPr>
        <w:t>Multilevel Analysis for Applied Research: It’s Just Regression!</w:t>
      </w:r>
      <w:r w:rsidRPr="002804ED">
        <w:rPr>
          <w:rFonts w:cs="Segoe UI"/>
          <w:noProof/>
          <w:szCs w:val="24"/>
        </w:rPr>
        <w:t xml:space="preserve"> New York: The Guildford Press.</w:t>
      </w:r>
    </w:p>
    <w:p w14:paraId="59A3E02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Bjørnskov, C. (2006) ‘The multiple facets of social capital’, </w:t>
      </w:r>
      <w:r w:rsidRPr="002804ED">
        <w:rPr>
          <w:rFonts w:cs="Segoe UI"/>
          <w:i/>
          <w:iCs/>
          <w:noProof/>
          <w:szCs w:val="24"/>
        </w:rPr>
        <w:t>European Journal of Political Economy</w:t>
      </w:r>
      <w:r w:rsidRPr="002804ED">
        <w:rPr>
          <w:rFonts w:cs="Segoe UI"/>
          <w:noProof/>
          <w:szCs w:val="24"/>
        </w:rPr>
        <w:t>, 22(1), pp. 22–40. doi: 10.1016/j.ejpoleco.2005.05.006.</w:t>
      </w:r>
    </w:p>
    <w:p w14:paraId="7EDB5D4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Boix, C. (2003) </w:t>
      </w:r>
      <w:r w:rsidRPr="002804ED">
        <w:rPr>
          <w:rFonts w:cs="Segoe UI"/>
          <w:i/>
          <w:iCs/>
          <w:noProof/>
          <w:szCs w:val="24"/>
        </w:rPr>
        <w:t>Democracy and Redistribution</w:t>
      </w:r>
      <w:r w:rsidRPr="002804ED">
        <w:rPr>
          <w:rFonts w:cs="Segoe UI"/>
          <w:noProof/>
          <w:szCs w:val="24"/>
        </w:rPr>
        <w:t>. Cambridge: Cambridge University Press.</w:t>
      </w:r>
    </w:p>
    <w:p w14:paraId="4097866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Bollen, K. A. and Jackman, R. W. (1985) ‘Economic and noneconomic determinants of political democracy in the 1960s’, </w:t>
      </w:r>
      <w:r w:rsidRPr="002804ED">
        <w:rPr>
          <w:rFonts w:cs="Segoe UI"/>
          <w:i/>
          <w:iCs/>
          <w:noProof/>
          <w:szCs w:val="24"/>
        </w:rPr>
        <w:t>Research in Political Sociology</w:t>
      </w:r>
      <w:r w:rsidRPr="002804ED">
        <w:rPr>
          <w:rFonts w:cs="Segoe UI"/>
          <w:noProof/>
          <w:szCs w:val="24"/>
        </w:rPr>
        <w:t>, 1(1), pp. 27–48.</w:t>
      </w:r>
    </w:p>
    <w:p w14:paraId="100CDEA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Bollen, K. and Lennox, R. (1991) ‘Conventional Wisdom on Measurement: A Structural Equation Perspective’, </w:t>
      </w:r>
      <w:r w:rsidRPr="002804ED">
        <w:rPr>
          <w:rFonts w:cs="Segoe UI"/>
          <w:i/>
          <w:iCs/>
          <w:noProof/>
          <w:szCs w:val="24"/>
        </w:rPr>
        <w:t>Psychological Bulletin</w:t>
      </w:r>
      <w:r w:rsidRPr="002804ED">
        <w:rPr>
          <w:rFonts w:cs="Segoe UI"/>
          <w:noProof/>
          <w:szCs w:val="24"/>
        </w:rPr>
        <w:t>, 110(2), pp. 305–314. doi: 10.1037/0033-2909.110.2.305.</w:t>
      </w:r>
    </w:p>
    <w:p w14:paraId="58C5E14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Borck, R. (2007) ‘Voting, Inequality and Redistribution’, </w:t>
      </w:r>
      <w:r w:rsidRPr="002804ED">
        <w:rPr>
          <w:rFonts w:cs="Segoe UI"/>
          <w:i/>
          <w:iCs/>
          <w:noProof/>
          <w:szCs w:val="24"/>
        </w:rPr>
        <w:t>Journal of Economic Surveys</w:t>
      </w:r>
      <w:r w:rsidRPr="002804ED">
        <w:rPr>
          <w:rFonts w:cs="Segoe UI"/>
          <w:noProof/>
          <w:szCs w:val="24"/>
        </w:rPr>
        <w:t>, 21(1), pp. 90–109.</w:t>
      </w:r>
    </w:p>
    <w:p w14:paraId="3A60B81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Bourdieu, P. (1979) ‘Public Opinion Does Not Exist’, in Mattelart and Siegelaub, S. (eds) </w:t>
      </w:r>
      <w:r w:rsidRPr="002804ED">
        <w:rPr>
          <w:rFonts w:cs="Segoe UI"/>
          <w:i/>
          <w:iCs/>
          <w:noProof/>
          <w:szCs w:val="24"/>
        </w:rPr>
        <w:t>Communication and Class Struggle</w:t>
      </w:r>
      <w:r w:rsidRPr="002804ED">
        <w:rPr>
          <w:rFonts w:cs="Segoe UI"/>
          <w:noProof/>
          <w:szCs w:val="24"/>
        </w:rPr>
        <w:t>. New York: International General.</w:t>
      </w:r>
    </w:p>
    <w:p w14:paraId="2B82120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Bowler, S., Donovan, T. and Karp, J. A. (2007) ‘Enraged or Engaged? Preferences for Direct Citizen Participation in Affluent Democracies’, </w:t>
      </w:r>
      <w:r w:rsidRPr="002804ED">
        <w:rPr>
          <w:rFonts w:cs="Segoe UI"/>
          <w:i/>
          <w:iCs/>
          <w:noProof/>
          <w:szCs w:val="24"/>
        </w:rPr>
        <w:t>Political Research Quarterly</w:t>
      </w:r>
      <w:r w:rsidRPr="002804ED">
        <w:rPr>
          <w:rFonts w:cs="Segoe UI"/>
          <w:noProof/>
          <w:szCs w:val="24"/>
        </w:rPr>
        <w:t>, 60(3), pp. 351–362.</w:t>
      </w:r>
    </w:p>
    <w:p w14:paraId="37FA9D0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Brady, H. ., Verba, S. and Schlozman, K. L. (1995) </w:t>
      </w:r>
      <w:r w:rsidRPr="002804ED">
        <w:rPr>
          <w:rFonts w:cs="Segoe UI"/>
          <w:i/>
          <w:iCs/>
          <w:noProof/>
          <w:szCs w:val="24"/>
        </w:rPr>
        <w:t>Voice and Equality: Civic Voluntarism in American Politics</w:t>
      </w:r>
      <w:r w:rsidRPr="002804ED">
        <w:rPr>
          <w:rFonts w:cs="Segoe UI"/>
          <w:noProof/>
          <w:szCs w:val="24"/>
        </w:rPr>
        <w:t>. Cambridge: Havard University Press.</w:t>
      </w:r>
    </w:p>
    <w:p w14:paraId="2467643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Bratton, M. (2007) ‘Formal versus Informal Institutions in Africa’, </w:t>
      </w:r>
      <w:r w:rsidRPr="002804ED">
        <w:rPr>
          <w:rFonts w:cs="Segoe UI"/>
          <w:i/>
          <w:iCs/>
          <w:noProof/>
          <w:szCs w:val="24"/>
        </w:rPr>
        <w:t>Journal of Democracy</w:t>
      </w:r>
      <w:r w:rsidRPr="002804ED">
        <w:rPr>
          <w:rFonts w:cs="Segoe UI"/>
          <w:noProof/>
          <w:szCs w:val="24"/>
        </w:rPr>
        <w:t>, 18(3), pp. 96–110. doi: 10.1353/jod.2007.0041.</w:t>
      </w:r>
    </w:p>
    <w:p w14:paraId="2D7BAAA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Bratton, M. (2010) ‘Anchoring the “D-Word” in Africa’, </w:t>
      </w:r>
      <w:r w:rsidRPr="002804ED">
        <w:rPr>
          <w:rFonts w:cs="Segoe UI"/>
          <w:i/>
          <w:iCs/>
          <w:noProof/>
          <w:szCs w:val="24"/>
        </w:rPr>
        <w:t>Journal of Democracy</w:t>
      </w:r>
      <w:r w:rsidRPr="002804ED">
        <w:rPr>
          <w:rFonts w:cs="Segoe UI"/>
          <w:noProof/>
          <w:szCs w:val="24"/>
        </w:rPr>
        <w:t>, 21(4), pp. 106–113. doi: 10.1353/jod.2010.0006.</w:t>
      </w:r>
    </w:p>
    <w:p w14:paraId="7C4EB65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Brunsdon, C. (2016) ‘Quantitative methods I: Reproducible research and quantitative geography’, </w:t>
      </w:r>
      <w:r w:rsidRPr="002804ED">
        <w:rPr>
          <w:rFonts w:cs="Segoe UI"/>
          <w:i/>
          <w:iCs/>
          <w:noProof/>
          <w:szCs w:val="24"/>
        </w:rPr>
        <w:t>Progress in Human Geography</w:t>
      </w:r>
      <w:r w:rsidRPr="002804ED">
        <w:rPr>
          <w:rFonts w:cs="Segoe UI"/>
          <w:noProof/>
          <w:szCs w:val="24"/>
        </w:rPr>
        <w:t>, 40(5), pp. 687–696. doi: 10.1177/0309132515599625.</w:t>
      </w:r>
    </w:p>
    <w:p w14:paraId="72B6E4A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Bryan, M. L. and Jenkins, S. (2015) ‘Multilevel Modelling of Country Effects: A Cautionary Tale’, </w:t>
      </w:r>
      <w:r w:rsidRPr="002804ED">
        <w:rPr>
          <w:rFonts w:cs="Segoe UI"/>
          <w:i/>
          <w:iCs/>
          <w:noProof/>
          <w:szCs w:val="24"/>
        </w:rPr>
        <w:t>European Sociological Review</w:t>
      </w:r>
      <w:r w:rsidRPr="002804ED">
        <w:rPr>
          <w:rFonts w:cs="Segoe UI"/>
          <w:noProof/>
          <w:szCs w:val="24"/>
        </w:rPr>
        <w:t>, (May), pp. 1–20. doi: 10.1093/esr/jcv059.</w:t>
      </w:r>
    </w:p>
    <w:p w14:paraId="6D6DBC0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Bryk, A. S. and Raudenbush, S. . (1992) </w:t>
      </w:r>
      <w:r w:rsidRPr="002804ED">
        <w:rPr>
          <w:rFonts w:cs="Segoe UI"/>
          <w:i/>
          <w:iCs/>
          <w:noProof/>
          <w:szCs w:val="24"/>
        </w:rPr>
        <w:t>Hierarchical Linear Models: Applications and Data Analysis Methods</w:t>
      </w:r>
      <w:r w:rsidRPr="002804ED">
        <w:rPr>
          <w:rFonts w:cs="Segoe UI"/>
          <w:noProof/>
          <w:szCs w:val="24"/>
        </w:rPr>
        <w:t>. Newbury Park: SAGE Publications.</w:t>
      </w:r>
    </w:p>
    <w:p w14:paraId="25D3DDD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Bunce, V. (1995a) ‘Comparing East and South’, </w:t>
      </w:r>
      <w:r w:rsidRPr="002804ED">
        <w:rPr>
          <w:rFonts w:cs="Segoe UI"/>
          <w:i/>
          <w:iCs/>
          <w:noProof/>
          <w:szCs w:val="24"/>
        </w:rPr>
        <w:t>Journal of Democracy</w:t>
      </w:r>
      <w:r w:rsidRPr="002804ED">
        <w:rPr>
          <w:rFonts w:cs="Segoe UI"/>
          <w:noProof/>
          <w:szCs w:val="24"/>
        </w:rPr>
        <w:t>, 6(3), pp. 87–100.</w:t>
      </w:r>
    </w:p>
    <w:p w14:paraId="4BF1837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Bunce, V. (1995b) ‘Should Transitologists Be Grounded?’, </w:t>
      </w:r>
      <w:r w:rsidRPr="002804ED">
        <w:rPr>
          <w:rFonts w:cs="Segoe UI"/>
          <w:i/>
          <w:iCs/>
          <w:noProof/>
          <w:szCs w:val="24"/>
        </w:rPr>
        <w:t>Slavic Review</w:t>
      </w:r>
      <w:r w:rsidRPr="002804ED">
        <w:rPr>
          <w:rFonts w:cs="Segoe UI"/>
          <w:noProof/>
          <w:szCs w:val="24"/>
        </w:rPr>
        <w:t>, 54(1), pp. 111–127. doi: 10.2307/2501122.</w:t>
      </w:r>
    </w:p>
    <w:p w14:paraId="0B4CBB8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Burk, J. (2002) ‘Theories of Democratic Civil-Military Relations’, </w:t>
      </w:r>
      <w:r w:rsidRPr="002804ED">
        <w:rPr>
          <w:rFonts w:cs="Segoe UI"/>
          <w:i/>
          <w:iCs/>
          <w:noProof/>
          <w:szCs w:val="24"/>
        </w:rPr>
        <w:t>Armed Forces &amp; Society</w:t>
      </w:r>
      <w:r w:rsidRPr="002804ED">
        <w:rPr>
          <w:rFonts w:cs="Segoe UI"/>
          <w:noProof/>
          <w:szCs w:val="24"/>
        </w:rPr>
        <w:t>, 29(1), pp. 7–29. doi: 10.1177/0095327X0202900102.</w:t>
      </w:r>
    </w:p>
    <w:p w14:paraId="19C3015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Callahan, W. A. (2005) ‘Social Capital and Corruption: Vote Buying and the Politics of Reform in Thailand’, </w:t>
      </w:r>
      <w:r w:rsidRPr="002804ED">
        <w:rPr>
          <w:rFonts w:cs="Segoe UI"/>
          <w:i/>
          <w:iCs/>
          <w:noProof/>
          <w:szCs w:val="24"/>
        </w:rPr>
        <w:t>Perspectives on Politics</w:t>
      </w:r>
      <w:r w:rsidRPr="002804ED">
        <w:rPr>
          <w:rFonts w:cs="Segoe UI"/>
          <w:noProof/>
          <w:szCs w:val="24"/>
        </w:rPr>
        <w:t>, 3(3), pp. 495–508. doi: 10.1017/S1537592705050310.</w:t>
      </w:r>
    </w:p>
    <w:p w14:paraId="69170B2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Campbell, D. E. (2004) ‘Acts of Faith: Churches and Political Engagement’, </w:t>
      </w:r>
      <w:r w:rsidRPr="002804ED">
        <w:rPr>
          <w:rFonts w:cs="Segoe UI"/>
          <w:i/>
          <w:iCs/>
          <w:noProof/>
          <w:szCs w:val="24"/>
        </w:rPr>
        <w:t>Political Behavior</w:t>
      </w:r>
      <w:r w:rsidRPr="002804ED">
        <w:rPr>
          <w:rFonts w:cs="Segoe UI"/>
          <w:noProof/>
          <w:szCs w:val="24"/>
        </w:rPr>
        <w:t>, 26(2), pp. 155–180. doi: 10.1023/B:POBE.0000035961.78836.5f.</w:t>
      </w:r>
    </w:p>
    <w:p w14:paraId="3414630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Canache, D. (2012) ‘Citizens’ Conceptualizations of Democracy: Structural Complexity, Substantive Content, and Political Significance’, </w:t>
      </w:r>
      <w:r w:rsidRPr="002804ED">
        <w:rPr>
          <w:rFonts w:cs="Segoe UI"/>
          <w:i/>
          <w:iCs/>
          <w:noProof/>
          <w:szCs w:val="24"/>
        </w:rPr>
        <w:t>Comparative Political Studies</w:t>
      </w:r>
      <w:r w:rsidRPr="002804ED">
        <w:rPr>
          <w:rFonts w:cs="Segoe UI"/>
          <w:noProof/>
          <w:szCs w:val="24"/>
        </w:rPr>
        <w:t>, 45(9), pp. 1132–1158. doi: 10.1177/0010414011434009.</w:t>
      </w:r>
    </w:p>
    <w:p w14:paraId="0D28382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Canache, D. (2012) ‘The Meanings of Democracy in Venezuela: Citizen Perceptions and Structural Change’, </w:t>
      </w:r>
      <w:r w:rsidRPr="002804ED">
        <w:rPr>
          <w:rFonts w:cs="Segoe UI"/>
          <w:i/>
          <w:iCs/>
          <w:noProof/>
          <w:szCs w:val="24"/>
        </w:rPr>
        <w:t>Latin American Politics and Society</w:t>
      </w:r>
      <w:r w:rsidRPr="002804ED">
        <w:rPr>
          <w:rFonts w:cs="Segoe UI"/>
          <w:noProof/>
          <w:szCs w:val="24"/>
        </w:rPr>
        <w:t>, 54(3), pp. 95–122. doi: 10.1111/j.1548-2456.2012.00166.x.</w:t>
      </w:r>
    </w:p>
    <w:p w14:paraId="5AFDCDA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Canache, D., Mondak, J. J. and Seligson, M. A. (2001) ‘Meaning and Measurement in Cross-National Research on Satisfaction with Dremocracy’, </w:t>
      </w:r>
      <w:r w:rsidRPr="002804ED">
        <w:rPr>
          <w:rFonts w:cs="Segoe UI"/>
          <w:i/>
          <w:iCs/>
          <w:noProof/>
          <w:szCs w:val="24"/>
        </w:rPr>
        <w:t>Public Opinion Quarterly</w:t>
      </w:r>
      <w:r w:rsidRPr="002804ED">
        <w:rPr>
          <w:rFonts w:cs="Segoe UI"/>
          <w:noProof/>
          <w:szCs w:val="24"/>
        </w:rPr>
        <w:t>, 65, pp. 506–528.</w:t>
      </w:r>
    </w:p>
    <w:p w14:paraId="55C7A26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Canetti-Nisim, D. (2004) ‘The Effect of Religiosity on Endorsement of Democratic Values: The Mediating Influence of Authoritarianism’, </w:t>
      </w:r>
      <w:r w:rsidRPr="002804ED">
        <w:rPr>
          <w:rFonts w:cs="Segoe UI"/>
          <w:i/>
          <w:iCs/>
          <w:noProof/>
          <w:szCs w:val="24"/>
        </w:rPr>
        <w:t>Political Behavior</w:t>
      </w:r>
      <w:r w:rsidRPr="002804ED">
        <w:rPr>
          <w:rFonts w:cs="Segoe UI"/>
          <w:noProof/>
          <w:szCs w:val="24"/>
        </w:rPr>
        <w:t>, 26(4), pp. 377–398. doi: 10.1007/s11109-004-0901-3.</w:t>
      </w:r>
    </w:p>
    <w:p w14:paraId="66AE841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Carlin, R. E. (2011) ‘Distrusting Democrats and Political Participation in New Democracies: Lessons from Chile’, </w:t>
      </w:r>
      <w:r w:rsidRPr="002804ED">
        <w:rPr>
          <w:rFonts w:cs="Segoe UI"/>
          <w:i/>
          <w:iCs/>
          <w:noProof/>
          <w:szCs w:val="24"/>
        </w:rPr>
        <w:t>Political Research Quarterly</w:t>
      </w:r>
      <w:r w:rsidRPr="002804ED">
        <w:rPr>
          <w:rFonts w:cs="Segoe UI"/>
          <w:noProof/>
          <w:szCs w:val="24"/>
        </w:rPr>
        <w:t>, 64(3), pp. 668–687. doi: 10.1177/1065912910370692.</w:t>
      </w:r>
    </w:p>
    <w:p w14:paraId="500D458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Carlin, R. E. and Singer, M. M. (2011) ‘Support for Polyarchy in the Americas’, </w:t>
      </w:r>
      <w:r w:rsidRPr="002804ED">
        <w:rPr>
          <w:rFonts w:cs="Segoe UI"/>
          <w:i/>
          <w:iCs/>
          <w:noProof/>
          <w:szCs w:val="24"/>
        </w:rPr>
        <w:t>Comparative Political Studies</w:t>
      </w:r>
      <w:r w:rsidRPr="002804ED">
        <w:rPr>
          <w:rFonts w:cs="Segoe UI"/>
          <w:noProof/>
          <w:szCs w:val="24"/>
        </w:rPr>
        <w:t>, 44(11), pp. 1500–1526. doi: 10.1177/0010414011407471.</w:t>
      </w:r>
    </w:p>
    <w:p w14:paraId="2832606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Carmines, E. G. and Zellera, R. A. (1979) </w:t>
      </w:r>
      <w:r w:rsidRPr="002804ED">
        <w:rPr>
          <w:rFonts w:cs="Segoe UI"/>
          <w:i/>
          <w:iCs/>
          <w:noProof/>
          <w:szCs w:val="24"/>
        </w:rPr>
        <w:t>Reliability and Validity Assessment</w:t>
      </w:r>
      <w:r w:rsidRPr="002804ED">
        <w:rPr>
          <w:rFonts w:cs="Segoe UI"/>
          <w:noProof/>
          <w:szCs w:val="24"/>
        </w:rPr>
        <w:t>. Beverly Hills: Sage.</w:t>
      </w:r>
    </w:p>
    <w:p w14:paraId="2FAA41D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Carnaghan, E. (2011) ‘The difficulty of measuring support for democracy in a changing society: evidence from Russia’, </w:t>
      </w:r>
      <w:r w:rsidRPr="002804ED">
        <w:rPr>
          <w:rFonts w:cs="Segoe UI"/>
          <w:i/>
          <w:iCs/>
          <w:noProof/>
          <w:szCs w:val="24"/>
        </w:rPr>
        <w:t>Democratization</w:t>
      </w:r>
      <w:r w:rsidRPr="002804ED">
        <w:rPr>
          <w:rFonts w:cs="Segoe UI"/>
          <w:noProof/>
          <w:szCs w:val="24"/>
        </w:rPr>
        <w:t>, 18(3), pp. 682–706. doi: 10.1080/13510347.2011.563113.</w:t>
      </w:r>
    </w:p>
    <w:p w14:paraId="31AD965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Celestino, M. R. and Gleditsch, K. S. (2013) ‘Fresh carnations or all thorn, no rose? Nonviolent campaigns and transitions in autocracies’, </w:t>
      </w:r>
      <w:r w:rsidRPr="002804ED">
        <w:rPr>
          <w:rFonts w:cs="Segoe UI"/>
          <w:i/>
          <w:iCs/>
          <w:noProof/>
          <w:szCs w:val="24"/>
        </w:rPr>
        <w:t>Journal of Peace Research</w:t>
      </w:r>
      <w:r w:rsidRPr="002804ED">
        <w:rPr>
          <w:rFonts w:cs="Segoe UI"/>
          <w:noProof/>
          <w:szCs w:val="24"/>
        </w:rPr>
        <w:t>, 50(3), pp. 385–400. doi: 10.1177/0022343312469979.</w:t>
      </w:r>
    </w:p>
    <w:p w14:paraId="6B6CBC3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Chaibong, H. (2004) ‘The Ironies of Confucianism’, </w:t>
      </w:r>
      <w:r w:rsidRPr="002804ED">
        <w:rPr>
          <w:rFonts w:cs="Segoe UI"/>
          <w:i/>
          <w:iCs/>
          <w:noProof/>
          <w:szCs w:val="24"/>
        </w:rPr>
        <w:t>Journal of Democracy</w:t>
      </w:r>
      <w:r w:rsidRPr="002804ED">
        <w:rPr>
          <w:rFonts w:cs="Segoe UI"/>
          <w:noProof/>
          <w:szCs w:val="24"/>
        </w:rPr>
        <w:t>, 15(3), pp. 93–107. doi: 10.1353/jod.2004.0046.</w:t>
      </w:r>
    </w:p>
    <w:p w14:paraId="457DE14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Chang, Y., Zhu, Y. and Pak, C. (2007) ‘Authoritarian nostalgia in Asia’, </w:t>
      </w:r>
      <w:r w:rsidRPr="002804ED">
        <w:rPr>
          <w:rFonts w:cs="Segoe UI"/>
          <w:i/>
          <w:iCs/>
          <w:noProof/>
          <w:szCs w:val="24"/>
        </w:rPr>
        <w:t>Journal of Democracy</w:t>
      </w:r>
      <w:r w:rsidRPr="002804ED">
        <w:rPr>
          <w:rFonts w:cs="Segoe UI"/>
          <w:noProof/>
          <w:szCs w:val="24"/>
        </w:rPr>
        <w:t>, 18(3), pp. 66–80. doi: 10.1353/jod.2007.0043.</w:t>
      </w:r>
    </w:p>
    <w:p w14:paraId="0937288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Cho, Y. (2014) ‘How well ordinary citizens understand democracy: the case of the South Korean electorate’, </w:t>
      </w:r>
      <w:r w:rsidRPr="002804ED">
        <w:rPr>
          <w:rFonts w:cs="Segoe UI"/>
          <w:i/>
          <w:iCs/>
          <w:noProof/>
          <w:szCs w:val="24"/>
        </w:rPr>
        <w:t>Democratization</w:t>
      </w:r>
      <w:r w:rsidRPr="002804ED">
        <w:rPr>
          <w:rFonts w:cs="Segoe UI"/>
          <w:noProof/>
          <w:szCs w:val="24"/>
        </w:rPr>
        <w:t>, 21(2), pp. 195–219. doi: 10.1080/13510347.2012.734808.</w:t>
      </w:r>
    </w:p>
    <w:p w14:paraId="241B439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Cho, Y. (2015) ‘How Well are Global Citizenries Informed about Democracy? Ascertaining the Breadth and Distribution of Their Democratic Enlightenment and Its Sources’, </w:t>
      </w:r>
      <w:r w:rsidRPr="002804ED">
        <w:rPr>
          <w:rFonts w:cs="Segoe UI"/>
          <w:i/>
          <w:iCs/>
          <w:noProof/>
          <w:szCs w:val="24"/>
        </w:rPr>
        <w:t>Political Studies</w:t>
      </w:r>
      <w:r w:rsidRPr="002804ED">
        <w:rPr>
          <w:rFonts w:cs="Segoe UI"/>
          <w:noProof/>
          <w:szCs w:val="24"/>
        </w:rPr>
        <w:t>, 63(1), pp. 240–258. doi: 10.1111/1467-9248.12088.</w:t>
      </w:r>
    </w:p>
    <w:p w14:paraId="44FD1C0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Citrin, J. (1974) ‘Comment : The Political Relevance of Trust in Government’, </w:t>
      </w:r>
      <w:r w:rsidRPr="002804ED">
        <w:rPr>
          <w:rFonts w:cs="Segoe UI"/>
          <w:i/>
          <w:iCs/>
          <w:noProof/>
          <w:szCs w:val="24"/>
        </w:rPr>
        <w:t>The American Political Science Review</w:t>
      </w:r>
      <w:r w:rsidRPr="002804ED">
        <w:rPr>
          <w:rFonts w:cs="Segoe UI"/>
          <w:noProof/>
          <w:szCs w:val="24"/>
        </w:rPr>
        <w:t>, 68(3), pp. 973–988.</w:t>
      </w:r>
    </w:p>
    <w:p w14:paraId="3D28EB0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Cohen, J. (1989) ‘Deliberation and Democratic Legitimacy’, in Hamlin, A. and Pettit, P. (eds) </w:t>
      </w:r>
      <w:r w:rsidRPr="002804ED">
        <w:rPr>
          <w:rFonts w:cs="Segoe UI"/>
          <w:i/>
          <w:iCs/>
          <w:noProof/>
          <w:szCs w:val="24"/>
        </w:rPr>
        <w:t>The Good Polity</w:t>
      </w:r>
      <w:r w:rsidRPr="002804ED">
        <w:rPr>
          <w:rFonts w:cs="Segoe UI"/>
          <w:noProof/>
          <w:szCs w:val="24"/>
        </w:rPr>
        <w:t>. Oxford: Blackwell Publishing, pp. 17–34.</w:t>
      </w:r>
    </w:p>
    <w:p w14:paraId="65CDEF2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Collins, K. and Owen, E. (2012) ‘Islamic Religiosity and Regime Preferences: Explaining Support for Democracy and Political Islam in Central Asia and the Caucasus’, </w:t>
      </w:r>
      <w:r w:rsidRPr="002804ED">
        <w:rPr>
          <w:rFonts w:cs="Segoe UI"/>
          <w:i/>
          <w:iCs/>
          <w:noProof/>
          <w:szCs w:val="24"/>
        </w:rPr>
        <w:t>Political Research Quarterly</w:t>
      </w:r>
      <w:r w:rsidRPr="002804ED">
        <w:rPr>
          <w:rFonts w:cs="Segoe UI"/>
          <w:noProof/>
          <w:szCs w:val="24"/>
        </w:rPr>
        <w:t>, 65(3), pp. 499–515. doi: 10.1177/1065912912450554.</w:t>
      </w:r>
    </w:p>
    <w:p w14:paraId="285D2D3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Comrey, A. and Lee, H. (1992) </w:t>
      </w:r>
      <w:r w:rsidRPr="002804ED">
        <w:rPr>
          <w:rFonts w:cs="Segoe UI"/>
          <w:i/>
          <w:iCs/>
          <w:noProof/>
          <w:szCs w:val="24"/>
        </w:rPr>
        <w:t>A first course in factor analysis</w:t>
      </w:r>
      <w:r w:rsidRPr="002804ED">
        <w:rPr>
          <w:rFonts w:cs="Segoe UI"/>
          <w:noProof/>
          <w:szCs w:val="24"/>
        </w:rPr>
        <w:t>. New Jersey: Erlbaum.</w:t>
      </w:r>
    </w:p>
    <w:p w14:paraId="199CAD1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Connolly, W. E. (1987) </w:t>
      </w:r>
      <w:r w:rsidRPr="002804ED">
        <w:rPr>
          <w:rFonts w:cs="Segoe UI"/>
          <w:i/>
          <w:iCs/>
          <w:noProof/>
          <w:szCs w:val="24"/>
        </w:rPr>
        <w:t>Politics and Ambiguity</w:t>
      </w:r>
      <w:r w:rsidRPr="002804ED">
        <w:rPr>
          <w:rFonts w:cs="Segoe UI"/>
          <w:noProof/>
          <w:szCs w:val="24"/>
        </w:rPr>
        <w:t>. Wisconsin: The University of Wisonsin Press.</w:t>
      </w:r>
    </w:p>
    <w:p w14:paraId="2AA811F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Conway, J. M. and Huffcutt,  a. I. (2003) ‘A Review and Evaluation of Exploratory Factor Analysis Practices in Organizational Research’, </w:t>
      </w:r>
      <w:r w:rsidRPr="002804ED">
        <w:rPr>
          <w:rFonts w:cs="Segoe UI"/>
          <w:i/>
          <w:iCs/>
          <w:noProof/>
          <w:szCs w:val="24"/>
        </w:rPr>
        <w:t>Organizational Research Methods</w:t>
      </w:r>
      <w:r w:rsidRPr="002804ED">
        <w:rPr>
          <w:rFonts w:cs="Segoe UI"/>
          <w:noProof/>
          <w:szCs w:val="24"/>
        </w:rPr>
        <w:t>, 6(2), pp. 147–168. doi: 10.1177/1094428103251541.</w:t>
      </w:r>
    </w:p>
    <w:p w14:paraId="0CC6BBD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Coovert, M. D. and McNelis, K. (1988) ‘Determining the Number of Common Factors in Factor Analysis: A Review and Program’, </w:t>
      </w:r>
      <w:r w:rsidRPr="002804ED">
        <w:rPr>
          <w:rFonts w:cs="Segoe UI"/>
          <w:i/>
          <w:iCs/>
          <w:noProof/>
          <w:szCs w:val="24"/>
        </w:rPr>
        <w:t>Educational and Psychological Measurement</w:t>
      </w:r>
      <w:r w:rsidRPr="002804ED">
        <w:rPr>
          <w:rFonts w:cs="Segoe UI"/>
          <w:noProof/>
          <w:szCs w:val="24"/>
        </w:rPr>
        <w:t>, 48(3), pp. 687–692. doi: 10.1177/0013164488483012.</w:t>
      </w:r>
    </w:p>
    <w:p w14:paraId="3F2162B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Costello, A. and Osborne, J. (2005) ‘Best practices in exploratory factor analysis: Four recommendations for getting the most from your analysis’, </w:t>
      </w:r>
      <w:r w:rsidRPr="002804ED">
        <w:rPr>
          <w:rFonts w:cs="Segoe UI"/>
          <w:i/>
          <w:iCs/>
          <w:noProof/>
          <w:szCs w:val="24"/>
        </w:rPr>
        <w:t>Practical Assessment, Research &amp; Evaluation</w:t>
      </w:r>
      <w:r w:rsidRPr="002804ED">
        <w:rPr>
          <w:rFonts w:cs="Segoe UI"/>
          <w:noProof/>
          <w:szCs w:val="24"/>
        </w:rPr>
        <w:t>, 10(7), pp. 1–9. Available at: http://www.pareonline.net/pdf/v10n7.pdf (Accessed: 6 June 2013).</w:t>
      </w:r>
    </w:p>
    <w:p w14:paraId="7ED54CD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Croissant, A. and Merkel, W. (2004) ‘Introduction: democratization in the early twenty-first century’, </w:t>
      </w:r>
      <w:r w:rsidRPr="002804ED">
        <w:rPr>
          <w:rFonts w:cs="Segoe UI"/>
          <w:i/>
          <w:iCs/>
          <w:noProof/>
          <w:szCs w:val="24"/>
        </w:rPr>
        <w:t>Democratization</w:t>
      </w:r>
      <w:r w:rsidRPr="002804ED">
        <w:rPr>
          <w:rFonts w:cs="Segoe UI"/>
          <w:noProof/>
          <w:szCs w:val="24"/>
        </w:rPr>
        <w:t>, 11(5), pp. 1–9. doi: 10.1080/13510340412331304570.</w:t>
      </w:r>
    </w:p>
    <w:p w14:paraId="57F0C03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Crow, D. (2010) ‘The Party’s Over : Citizen Conceptions of Democracy and Political Dissatisfaction in Mexico’, </w:t>
      </w:r>
      <w:r w:rsidRPr="002804ED">
        <w:rPr>
          <w:rFonts w:cs="Segoe UI"/>
          <w:i/>
          <w:iCs/>
          <w:noProof/>
          <w:szCs w:val="24"/>
        </w:rPr>
        <w:t>Comparative Politics</w:t>
      </w:r>
      <w:r w:rsidRPr="002804ED">
        <w:rPr>
          <w:rFonts w:cs="Segoe UI"/>
          <w:noProof/>
          <w:szCs w:val="24"/>
        </w:rPr>
        <w:t>, 43(1), pp. 41–61.</w:t>
      </w:r>
    </w:p>
    <w:p w14:paraId="4A0A291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Crozier, M., Huntington, S. P. and Watanuki, J. (1975) </w:t>
      </w:r>
      <w:r w:rsidRPr="002804ED">
        <w:rPr>
          <w:rFonts w:cs="Segoe UI"/>
          <w:i/>
          <w:iCs/>
          <w:noProof/>
          <w:szCs w:val="24"/>
        </w:rPr>
        <w:t>The Crisis of Democracy</w:t>
      </w:r>
      <w:r w:rsidRPr="002804ED">
        <w:rPr>
          <w:rFonts w:cs="Segoe UI"/>
          <w:noProof/>
          <w:szCs w:val="24"/>
        </w:rPr>
        <w:t>. New York: New York University Press.</w:t>
      </w:r>
    </w:p>
    <w:p w14:paraId="02D7128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Cuesta, J. (2013) ‘Theory and Empirics of Democracy and Crime Revisited: How Much Further Can We Go with Existing Data and Methodologies?’, </w:t>
      </w:r>
      <w:r w:rsidRPr="002804ED">
        <w:rPr>
          <w:rFonts w:cs="Segoe UI"/>
          <w:i/>
          <w:iCs/>
          <w:noProof/>
          <w:szCs w:val="24"/>
        </w:rPr>
        <w:t>American Journal of Economics and Sociology</w:t>
      </w:r>
      <w:r w:rsidRPr="002804ED">
        <w:rPr>
          <w:rFonts w:cs="Segoe UI"/>
          <w:noProof/>
          <w:szCs w:val="24"/>
        </w:rPr>
        <w:t>, 72(3), pp. 645–674. doi: 10.1111/ajes.12025.</w:t>
      </w:r>
    </w:p>
    <w:p w14:paraId="0FEF71B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Dahl, E. and van der Wel, K. a (2013) ‘Educational inequalities in health in European welfare states: a social expenditure approach.’, </w:t>
      </w:r>
      <w:r w:rsidRPr="002804ED">
        <w:rPr>
          <w:rFonts w:cs="Segoe UI"/>
          <w:i/>
          <w:iCs/>
          <w:noProof/>
          <w:szCs w:val="24"/>
        </w:rPr>
        <w:t>Social science &amp; medicine</w:t>
      </w:r>
      <w:r w:rsidRPr="002804ED">
        <w:rPr>
          <w:rFonts w:cs="Segoe UI"/>
          <w:noProof/>
          <w:szCs w:val="24"/>
        </w:rPr>
        <w:t>. Elsevier Ltd, 81(1), pp. 60–9. doi: 10.1016/j.socscimed.2012.12.010.</w:t>
      </w:r>
    </w:p>
    <w:p w14:paraId="6FEAE9D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Dahl, R. (1956) </w:t>
      </w:r>
      <w:r w:rsidRPr="002804ED">
        <w:rPr>
          <w:rFonts w:cs="Segoe UI"/>
          <w:i/>
          <w:iCs/>
          <w:noProof/>
          <w:szCs w:val="24"/>
        </w:rPr>
        <w:t>A Preface to Democratic Theory</w:t>
      </w:r>
      <w:r w:rsidRPr="002804ED">
        <w:rPr>
          <w:rFonts w:cs="Segoe UI"/>
          <w:noProof/>
          <w:szCs w:val="24"/>
        </w:rPr>
        <w:t>. Chicago: University of Chicago Press.</w:t>
      </w:r>
    </w:p>
    <w:p w14:paraId="221A35A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Dahl, R. (1961) </w:t>
      </w:r>
      <w:r w:rsidRPr="002804ED">
        <w:rPr>
          <w:rFonts w:cs="Segoe UI"/>
          <w:i/>
          <w:iCs/>
          <w:noProof/>
          <w:szCs w:val="24"/>
        </w:rPr>
        <w:t>Who Governs?: Democracy and Power in An American City</w:t>
      </w:r>
      <w:r w:rsidRPr="002804ED">
        <w:rPr>
          <w:rFonts w:cs="Segoe UI"/>
          <w:noProof/>
          <w:szCs w:val="24"/>
        </w:rPr>
        <w:t>. Connecticut: Yale University Press.</w:t>
      </w:r>
    </w:p>
    <w:p w14:paraId="6288F90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Dahl, R. (1989) </w:t>
      </w:r>
      <w:r w:rsidRPr="002804ED">
        <w:rPr>
          <w:rFonts w:cs="Segoe UI"/>
          <w:i/>
          <w:iCs/>
          <w:noProof/>
          <w:szCs w:val="24"/>
        </w:rPr>
        <w:t>Democracy and Its Critics</w:t>
      </w:r>
      <w:r w:rsidRPr="002804ED">
        <w:rPr>
          <w:rFonts w:cs="Segoe UI"/>
          <w:noProof/>
          <w:szCs w:val="24"/>
        </w:rPr>
        <w:t>. Connecticut: Yale University Press.</w:t>
      </w:r>
    </w:p>
    <w:p w14:paraId="3BC70FB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(1999) ‘Political Support in Advanced Industrial Nations’, in Norris, P. (ed.) </w:t>
      </w:r>
      <w:r w:rsidRPr="002804ED">
        <w:rPr>
          <w:rFonts w:cs="Segoe UI"/>
          <w:i/>
          <w:iCs/>
          <w:noProof/>
          <w:szCs w:val="24"/>
        </w:rPr>
        <w:t>Critical Citizens - Global Support for Democratic Governance</w:t>
      </w:r>
      <w:r w:rsidRPr="002804ED">
        <w:rPr>
          <w:rFonts w:cs="Segoe UI"/>
          <w:noProof/>
          <w:szCs w:val="24"/>
        </w:rPr>
        <w:t>. Oxford: Oxford University Press, pp. 57–78.</w:t>
      </w:r>
    </w:p>
    <w:p w14:paraId="5EB378F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(2004) </w:t>
      </w:r>
      <w:r w:rsidRPr="002804ED">
        <w:rPr>
          <w:rFonts w:cs="Segoe UI"/>
          <w:i/>
          <w:iCs/>
          <w:noProof/>
          <w:szCs w:val="24"/>
        </w:rPr>
        <w:t>Democratic Challenges, Democratic Choics: The Erosion of Poltical Support in Advanced Industrial Democracies</w:t>
      </w:r>
      <w:r w:rsidRPr="002804ED">
        <w:rPr>
          <w:rFonts w:cs="Segoe UI"/>
          <w:noProof/>
          <w:szCs w:val="24"/>
        </w:rPr>
        <w:t>. Oxford: Oxford University Press.</w:t>
      </w:r>
    </w:p>
    <w:p w14:paraId="263545A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(2008) </w:t>
      </w:r>
      <w:r w:rsidRPr="002804ED">
        <w:rPr>
          <w:rFonts w:cs="Segoe UI"/>
          <w:i/>
          <w:iCs/>
          <w:noProof/>
          <w:szCs w:val="24"/>
        </w:rPr>
        <w:t>Citizen Politics: Public Opinion and Political Parties in Advanced Industrial Societies</w:t>
      </w:r>
      <w:r w:rsidRPr="002804ED">
        <w:rPr>
          <w:rFonts w:cs="Segoe UI"/>
          <w:noProof/>
          <w:szCs w:val="24"/>
        </w:rPr>
        <w:t>. 5th edn. Washington: Congressional Quarterly Press.</w:t>
      </w:r>
    </w:p>
    <w:p w14:paraId="64BDAC9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(2008) ‘Citizenship Norms and the Expansion of Political Participation’, </w:t>
      </w:r>
      <w:r w:rsidRPr="002804ED">
        <w:rPr>
          <w:rFonts w:cs="Segoe UI"/>
          <w:i/>
          <w:iCs/>
          <w:noProof/>
          <w:szCs w:val="24"/>
        </w:rPr>
        <w:t>Political Studies</w:t>
      </w:r>
      <w:r w:rsidRPr="002804ED">
        <w:rPr>
          <w:rFonts w:cs="Segoe UI"/>
          <w:noProof/>
          <w:szCs w:val="24"/>
        </w:rPr>
        <w:t>, 56(1), pp. 76–98. doi: 10.1111/j.1467-9248.2007.00718.x.</w:t>
      </w:r>
    </w:p>
    <w:p w14:paraId="5B9250E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and Ong, N.-N. T. (2005) ‘Authority Orientations and Democratic Attitudes: A Test of the “Asian Values” Hypothesis’, </w:t>
      </w:r>
      <w:r w:rsidRPr="002804ED">
        <w:rPr>
          <w:rFonts w:cs="Segoe UI"/>
          <w:i/>
          <w:iCs/>
          <w:noProof/>
          <w:szCs w:val="24"/>
        </w:rPr>
        <w:t>Japanese Journal of Political Science</w:t>
      </w:r>
      <w:r w:rsidRPr="002804ED">
        <w:rPr>
          <w:rFonts w:cs="Segoe UI"/>
          <w:noProof/>
          <w:szCs w:val="24"/>
        </w:rPr>
        <w:t>, 6(2), pp. 211–231. doi: 10.1017/S1468109905001842.</w:t>
      </w:r>
    </w:p>
    <w:p w14:paraId="17359A8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Shin, D. C. and Jou, W. (2008) ‘How People Understand Democracy’, in Diamond, L. and Plattner, M. (eds) </w:t>
      </w:r>
      <w:r w:rsidRPr="002804ED">
        <w:rPr>
          <w:rFonts w:cs="Segoe UI"/>
          <w:i/>
          <w:iCs/>
          <w:noProof/>
          <w:szCs w:val="24"/>
        </w:rPr>
        <w:t>How People View Democracy</w:t>
      </w:r>
      <w:r w:rsidRPr="002804ED">
        <w:rPr>
          <w:rFonts w:cs="Segoe UI"/>
          <w:noProof/>
          <w:szCs w:val="24"/>
        </w:rPr>
        <w:t>. Baltimore: The Johns Hopkins University Press, pp. 1–15.</w:t>
      </w:r>
    </w:p>
    <w:p w14:paraId="7E76489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and van Sickle, A. (2005) ‘The Resource, Structural, and Cultural Bases of Protest’, </w:t>
      </w:r>
      <w:r w:rsidRPr="002804ED">
        <w:rPr>
          <w:rFonts w:cs="Segoe UI"/>
          <w:i/>
          <w:iCs/>
          <w:noProof/>
          <w:szCs w:val="24"/>
        </w:rPr>
        <w:t>Centre for Study of Democracy: Working Papers</w:t>
      </w:r>
      <w:r w:rsidRPr="002804ED">
        <w:rPr>
          <w:rFonts w:cs="Segoe UI"/>
          <w:noProof/>
          <w:szCs w:val="24"/>
        </w:rPr>
        <w:t>.</w:t>
      </w:r>
    </w:p>
    <w:p w14:paraId="1ACBCC5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van Sickle, A. and Weldon, S. (2009) ‘The Individual–Institutional Nexus of Protest Behaviour’, </w:t>
      </w:r>
      <w:r w:rsidRPr="002804ED">
        <w:rPr>
          <w:rFonts w:cs="Segoe UI"/>
          <w:i/>
          <w:iCs/>
          <w:noProof/>
          <w:szCs w:val="24"/>
        </w:rPr>
        <w:t>British Journal of Political Science</w:t>
      </w:r>
      <w:r w:rsidRPr="002804ED">
        <w:rPr>
          <w:rFonts w:cs="Segoe UI"/>
          <w:noProof/>
          <w:szCs w:val="24"/>
        </w:rPr>
        <w:t>, 40(1), pp. 51–73. doi: 10.1017/S000712340999038X.</w:t>
      </w:r>
    </w:p>
    <w:p w14:paraId="176B908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Dalton, R., Sin, T. and Jou, W. (2007) ‘Understanding democracy: Data from unlikely places’, </w:t>
      </w:r>
      <w:r w:rsidRPr="002804ED">
        <w:rPr>
          <w:rFonts w:cs="Segoe UI"/>
          <w:i/>
          <w:iCs/>
          <w:noProof/>
          <w:szCs w:val="24"/>
        </w:rPr>
        <w:t>Journal of Democracy</w:t>
      </w:r>
      <w:r w:rsidRPr="002804ED">
        <w:rPr>
          <w:rFonts w:cs="Segoe UI"/>
          <w:noProof/>
          <w:szCs w:val="24"/>
        </w:rPr>
        <w:t>, 18(4), pp. 142–156. Available at: http://www.socsci.uci.edu/~rdalton/archive/jod07.pdf (Accessed: 17 July 2012).</w:t>
      </w:r>
    </w:p>
    <w:p w14:paraId="14938FB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Dana, K., Barreto, M. A. and Oskooii, K. A. R. (2011) ‘Mosques as American Institutions: Mosque Attendance, Religiosity and Integration into the Political System among American Muslims’, </w:t>
      </w:r>
      <w:r w:rsidRPr="002804ED">
        <w:rPr>
          <w:rFonts w:cs="Segoe UI"/>
          <w:i/>
          <w:iCs/>
          <w:noProof/>
          <w:szCs w:val="24"/>
        </w:rPr>
        <w:t>Religions</w:t>
      </w:r>
      <w:r w:rsidRPr="002804ED">
        <w:rPr>
          <w:rFonts w:cs="Segoe UI"/>
          <w:noProof/>
          <w:szCs w:val="24"/>
        </w:rPr>
        <w:t>, 2(4), pp. 504–524. doi: 10.3390/rel2040504.</w:t>
      </w:r>
    </w:p>
    <w:p w14:paraId="7BFD13B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Van Deth, J. W. (2003) ‘Measuring social capital: Orthodoxies and continuing controversies’, </w:t>
      </w:r>
      <w:r w:rsidRPr="002804ED">
        <w:rPr>
          <w:rFonts w:cs="Segoe UI"/>
          <w:i/>
          <w:iCs/>
          <w:noProof/>
          <w:szCs w:val="24"/>
        </w:rPr>
        <w:t>International Journal of Social Research Methodology</w:t>
      </w:r>
      <w:r w:rsidRPr="002804ED">
        <w:rPr>
          <w:rFonts w:cs="Segoe UI"/>
          <w:noProof/>
          <w:szCs w:val="24"/>
        </w:rPr>
        <w:t>, 6(1), pp. 79–92. doi: 10.1080/13645570305057.</w:t>
      </w:r>
    </w:p>
    <w:p w14:paraId="36E9D16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van Deth, J. W. and Zmerli, S. (2010) ‘Introduction: Civicness, Equality, and Democracy--A “Dark Side” of Social Capital?’, </w:t>
      </w:r>
      <w:r w:rsidRPr="002804ED">
        <w:rPr>
          <w:rFonts w:cs="Segoe UI"/>
          <w:i/>
          <w:iCs/>
          <w:noProof/>
          <w:szCs w:val="24"/>
        </w:rPr>
        <w:t>American Behavioral Scientist</w:t>
      </w:r>
      <w:r w:rsidRPr="002804ED">
        <w:rPr>
          <w:rFonts w:cs="Segoe UI"/>
          <w:noProof/>
          <w:szCs w:val="24"/>
        </w:rPr>
        <w:t>, 53(5), pp. 631–639. doi: 10.1177/0002764209350827.</w:t>
      </w:r>
    </w:p>
    <w:p w14:paraId="4312732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Devos, T., Spini, D. and Schwartz, S. H. (2002) ‘Conflicts among human values and trust in institutions’, </w:t>
      </w:r>
      <w:r w:rsidRPr="002804ED">
        <w:rPr>
          <w:rFonts w:cs="Segoe UI"/>
          <w:i/>
          <w:iCs/>
          <w:noProof/>
          <w:szCs w:val="24"/>
        </w:rPr>
        <w:t>British Journal of Social Psychology</w:t>
      </w:r>
      <w:r w:rsidRPr="002804ED">
        <w:rPr>
          <w:rFonts w:cs="Segoe UI"/>
          <w:noProof/>
          <w:szCs w:val="24"/>
        </w:rPr>
        <w:t>. Blackwell Publishing Ltd, 41(4), pp. 481–494. doi: 10.1348/014466602321149849.</w:t>
      </w:r>
    </w:p>
    <w:p w14:paraId="35D8246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Diamond, L. (1997) ‘Is the Third Wave of Democratization Over?’, </w:t>
      </w:r>
      <w:r w:rsidRPr="002804ED">
        <w:rPr>
          <w:rFonts w:cs="Segoe UI"/>
          <w:i/>
          <w:iCs/>
          <w:noProof/>
          <w:szCs w:val="24"/>
        </w:rPr>
        <w:t>The Kellog Institute for International Studies</w:t>
      </w:r>
      <w:r w:rsidRPr="002804ED">
        <w:rPr>
          <w:rFonts w:cs="Segoe UI"/>
          <w:noProof/>
          <w:szCs w:val="24"/>
        </w:rPr>
        <w:t>, Paper #237(March).</w:t>
      </w:r>
    </w:p>
    <w:p w14:paraId="3FF9C56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Diamond, L. (1999) </w:t>
      </w:r>
      <w:r w:rsidRPr="002804ED">
        <w:rPr>
          <w:rFonts w:cs="Segoe UI"/>
          <w:i/>
          <w:iCs/>
          <w:noProof/>
          <w:szCs w:val="24"/>
        </w:rPr>
        <w:t>Developing Democracy: Toward Consolidation</w:t>
      </w:r>
      <w:r w:rsidRPr="002804ED">
        <w:rPr>
          <w:rFonts w:cs="Segoe UI"/>
          <w:noProof/>
          <w:szCs w:val="24"/>
        </w:rPr>
        <w:t>. Baltimore: John Hopkins University Press.</w:t>
      </w:r>
    </w:p>
    <w:p w14:paraId="6C170AE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Diamond, L. (2008a) ‘Introduction’, in Diamond, L. and Plattner, M. F. (eds) </w:t>
      </w:r>
      <w:r w:rsidRPr="002804ED">
        <w:rPr>
          <w:rFonts w:cs="Segoe UI"/>
          <w:i/>
          <w:iCs/>
          <w:noProof/>
          <w:szCs w:val="24"/>
        </w:rPr>
        <w:t>How People View Democracy</w:t>
      </w:r>
      <w:r w:rsidRPr="002804ED">
        <w:rPr>
          <w:rFonts w:cs="Segoe UI"/>
          <w:noProof/>
          <w:szCs w:val="24"/>
        </w:rPr>
        <w:t>. Baltimore: John Hopkins University Press.</w:t>
      </w:r>
    </w:p>
    <w:p w14:paraId="4B0973B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Diamond, L. (2008b) ‘The Democratic Rollback’, </w:t>
      </w:r>
      <w:r w:rsidRPr="002804ED">
        <w:rPr>
          <w:rFonts w:cs="Segoe UI"/>
          <w:i/>
          <w:iCs/>
          <w:noProof/>
          <w:szCs w:val="24"/>
        </w:rPr>
        <w:t>Foreign Affairs</w:t>
      </w:r>
      <w:r w:rsidRPr="002804ED">
        <w:rPr>
          <w:rFonts w:cs="Segoe UI"/>
          <w:noProof/>
          <w:szCs w:val="24"/>
        </w:rPr>
        <w:t>, 87(2), pp. 36–48.</w:t>
      </w:r>
    </w:p>
    <w:p w14:paraId="44A917C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Diamond, L. (2011) ‘A Fourth Wave or False Start?’, </w:t>
      </w:r>
      <w:r w:rsidRPr="002804ED">
        <w:rPr>
          <w:rFonts w:cs="Segoe UI"/>
          <w:i/>
          <w:iCs/>
          <w:noProof/>
          <w:szCs w:val="24"/>
        </w:rPr>
        <w:t>Foreign Affairs</w:t>
      </w:r>
      <w:r w:rsidRPr="002804ED">
        <w:rPr>
          <w:rFonts w:cs="Segoe UI"/>
          <w:noProof/>
          <w:szCs w:val="24"/>
        </w:rPr>
        <w:t>, May.</w:t>
      </w:r>
    </w:p>
    <w:p w14:paraId="2603425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Doorenspleet, R. (2012) ‘Critical Citizens, democratic support and satisfaction in African democracies’, </w:t>
      </w:r>
      <w:r w:rsidRPr="002804ED">
        <w:rPr>
          <w:rFonts w:cs="Segoe UI"/>
          <w:i/>
          <w:iCs/>
          <w:noProof/>
          <w:szCs w:val="24"/>
        </w:rPr>
        <w:t>International Political Science Review</w:t>
      </w:r>
      <w:r w:rsidRPr="002804ED">
        <w:rPr>
          <w:rFonts w:cs="Segoe UI"/>
          <w:noProof/>
          <w:szCs w:val="24"/>
        </w:rPr>
        <w:t>, 33(3), pp. 279–300. doi: 10.1177/0192512111431906.</w:t>
      </w:r>
    </w:p>
    <w:p w14:paraId="661574F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Doucouliagos, H. and Ulubaşoǧlu, M. A. (2008) ‘Democracy and economic growth: A meta-analysis’, </w:t>
      </w:r>
      <w:r w:rsidRPr="002804ED">
        <w:rPr>
          <w:rFonts w:cs="Segoe UI"/>
          <w:i/>
          <w:iCs/>
          <w:noProof/>
          <w:szCs w:val="24"/>
        </w:rPr>
        <w:t>American Journal of Political Science</w:t>
      </w:r>
      <w:r w:rsidRPr="002804ED">
        <w:rPr>
          <w:rFonts w:cs="Segoe UI"/>
          <w:noProof/>
          <w:szCs w:val="24"/>
        </w:rPr>
        <w:t>, 52(1), pp. 61–83. doi: 10.1111/j.1540-5907.2007.00299.x.</w:t>
      </w:r>
    </w:p>
    <w:p w14:paraId="60346A9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Dryzek, J. S. (2002) </w:t>
      </w:r>
      <w:r w:rsidRPr="002804ED">
        <w:rPr>
          <w:rFonts w:cs="Segoe UI"/>
          <w:i/>
          <w:iCs/>
          <w:noProof/>
          <w:szCs w:val="24"/>
        </w:rPr>
        <w:t>Deliberative Democracy and Beyond: Liberals, Critics, Contestations</w:t>
      </w:r>
      <w:r w:rsidRPr="002804ED">
        <w:rPr>
          <w:rFonts w:cs="Segoe UI"/>
          <w:noProof/>
          <w:szCs w:val="24"/>
        </w:rPr>
        <w:t>. Oxford University Press.</w:t>
      </w:r>
    </w:p>
    <w:p w14:paraId="55E9F44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Dryzek, J. S. (2010) </w:t>
      </w:r>
      <w:r w:rsidRPr="002804ED">
        <w:rPr>
          <w:rFonts w:cs="Segoe UI"/>
          <w:i/>
          <w:iCs/>
          <w:noProof/>
          <w:szCs w:val="24"/>
        </w:rPr>
        <w:t>Foundations and Frontiers of Deoliberative Governance</w:t>
      </w:r>
      <w:r w:rsidRPr="002804ED">
        <w:rPr>
          <w:rFonts w:cs="Segoe UI"/>
          <w:noProof/>
          <w:szCs w:val="24"/>
        </w:rPr>
        <w:t>. Oxford: Oxford University Press.</w:t>
      </w:r>
    </w:p>
    <w:p w14:paraId="0B4E18D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Easton, D. (1957) ‘An Approach to the Analysis of Political Systems’, </w:t>
      </w:r>
      <w:r w:rsidRPr="002804ED">
        <w:rPr>
          <w:rFonts w:cs="Segoe UI"/>
          <w:i/>
          <w:iCs/>
          <w:noProof/>
          <w:szCs w:val="24"/>
        </w:rPr>
        <w:t>World Politics</w:t>
      </w:r>
      <w:r w:rsidRPr="002804ED">
        <w:rPr>
          <w:rFonts w:cs="Segoe UI"/>
          <w:noProof/>
          <w:szCs w:val="24"/>
        </w:rPr>
        <w:t>, 9(3), pp. 383–400.</w:t>
      </w:r>
    </w:p>
    <w:p w14:paraId="4E1B0AE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Easton, D. (1965) </w:t>
      </w:r>
      <w:r w:rsidRPr="002804ED">
        <w:rPr>
          <w:rFonts w:cs="Segoe UI"/>
          <w:i/>
          <w:iCs/>
          <w:noProof/>
          <w:szCs w:val="24"/>
        </w:rPr>
        <w:t>A Systems Analysis of Political Life</w:t>
      </w:r>
      <w:r w:rsidRPr="002804ED">
        <w:rPr>
          <w:rFonts w:cs="Segoe UI"/>
          <w:noProof/>
          <w:szCs w:val="24"/>
        </w:rPr>
        <w:t>. New York: Wiley.</w:t>
      </w:r>
    </w:p>
    <w:p w14:paraId="7E7D245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Easton, D. (1975) ‘A Re-assessment of the Concept of Political Support’, </w:t>
      </w:r>
      <w:r w:rsidRPr="002804ED">
        <w:rPr>
          <w:rFonts w:cs="Segoe UI"/>
          <w:i/>
          <w:iCs/>
          <w:noProof/>
          <w:szCs w:val="24"/>
        </w:rPr>
        <w:t>British Journal of Political Science</w:t>
      </w:r>
      <w:r w:rsidRPr="002804ED">
        <w:rPr>
          <w:rFonts w:cs="Segoe UI"/>
          <w:noProof/>
          <w:szCs w:val="24"/>
        </w:rPr>
        <w:t>, 5(4), pp. 435–457. doi: 10.1017/S0007123400008309.</w:t>
      </w:r>
    </w:p>
    <w:p w14:paraId="21E900B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El-Mahdi, R. (2009) ‘Enough!: Egypt’s Quest for Democracy’, </w:t>
      </w:r>
      <w:r w:rsidRPr="002804ED">
        <w:rPr>
          <w:rFonts w:cs="Segoe UI"/>
          <w:i/>
          <w:iCs/>
          <w:noProof/>
          <w:szCs w:val="24"/>
        </w:rPr>
        <w:t>Comparative Political Studies</w:t>
      </w:r>
      <w:r w:rsidRPr="002804ED">
        <w:rPr>
          <w:rFonts w:cs="Segoe UI"/>
          <w:noProof/>
          <w:szCs w:val="24"/>
        </w:rPr>
        <w:t>, 42(8), pp. 1011–1039. doi: 10.1177/0010414009331719.</w:t>
      </w:r>
    </w:p>
    <w:p w14:paraId="02CC585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Elshtain, J. B. (2009) ‘Religion and Democracy’, </w:t>
      </w:r>
      <w:r w:rsidRPr="002804ED">
        <w:rPr>
          <w:rFonts w:cs="Segoe UI"/>
          <w:i/>
          <w:iCs/>
          <w:noProof/>
          <w:szCs w:val="24"/>
        </w:rPr>
        <w:t>Journal of Democracy</w:t>
      </w:r>
      <w:r w:rsidRPr="002804ED">
        <w:rPr>
          <w:rFonts w:cs="Segoe UI"/>
          <w:noProof/>
          <w:szCs w:val="24"/>
        </w:rPr>
        <w:t>. The Johns Hopkins University Press, 20(2), pp. 5–17. Available at: http://muse.jhu.edu/journals/journal_of_democracy/v020/20.2.elshtain.html.</w:t>
      </w:r>
    </w:p>
    <w:p w14:paraId="7466243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Esping-Anderson, G. (1990) </w:t>
      </w:r>
      <w:r w:rsidRPr="002804ED">
        <w:rPr>
          <w:rFonts w:cs="Segoe UI"/>
          <w:i/>
          <w:iCs/>
          <w:noProof/>
          <w:szCs w:val="24"/>
        </w:rPr>
        <w:t>The three worlds of welfare capitalism</w:t>
      </w:r>
      <w:r w:rsidRPr="002804ED">
        <w:rPr>
          <w:rFonts w:cs="Segoe UI"/>
          <w:noProof/>
          <w:szCs w:val="24"/>
        </w:rPr>
        <w:t>. New Jersey: Princeton University Press.</w:t>
      </w:r>
    </w:p>
    <w:p w14:paraId="0D87988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Evans, G., Heath, A. and Lalljee, M. (1996) ‘Measuring Left-Right and Libertarian-Authoritarian Values in the British Electorate’, </w:t>
      </w:r>
      <w:r w:rsidRPr="002804ED">
        <w:rPr>
          <w:rFonts w:cs="Segoe UI"/>
          <w:i/>
          <w:iCs/>
          <w:noProof/>
          <w:szCs w:val="24"/>
        </w:rPr>
        <w:t>The British Journal of Sociology</w:t>
      </w:r>
      <w:r w:rsidRPr="002804ED">
        <w:rPr>
          <w:rFonts w:cs="Segoe UI"/>
          <w:noProof/>
          <w:szCs w:val="24"/>
        </w:rPr>
        <w:t>, 47(1), pp. 93–112.</w:t>
      </w:r>
    </w:p>
    <w:p w14:paraId="25F2BE3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Fabbrini, S. (2003) ‘A Single Western State Model?: Differential Development and Constrained Convergence of Public Authority Organization in Europe and America’, </w:t>
      </w:r>
      <w:r w:rsidRPr="002804ED">
        <w:rPr>
          <w:rFonts w:cs="Segoe UI"/>
          <w:i/>
          <w:iCs/>
          <w:noProof/>
          <w:szCs w:val="24"/>
        </w:rPr>
        <w:t>Comparative Political Studies</w:t>
      </w:r>
      <w:r w:rsidRPr="002804ED">
        <w:rPr>
          <w:rFonts w:cs="Segoe UI"/>
          <w:noProof/>
          <w:szCs w:val="24"/>
        </w:rPr>
        <w:t>, 36(6), pp. 653–678. doi: 10.1177/0010414003254181.</w:t>
      </w:r>
    </w:p>
    <w:p w14:paraId="6C78420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Fabbrini, S. (2010) </w:t>
      </w:r>
      <w:r w:rsidRPr="002804ED">
        <w:rPr>
          <w:rFonts w:cs="Segoe UI"/>
          <w:i/>
          <w:iCs/>
          <w:noProof/>
          <w:szCs w:val="24"/>
        </w:rPr>
        <w:t>Compound democracies: why the United States and Europe are becoming similar</w:t>
      </w:r>
      <w:r w:rsidRPr="002804ED">
        <w:rPr>
          <w:rFonts w:cs="Segoe UI"/>
          <w:noProof/>
          <w:szCs w:val="24"/>
        </w:rPr>
        <w:t>. Oxford Scholarship Online.</w:t>
      </w:r>
    </w:p>
    <w:p w14:paraId="5C89347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Fabre, C. (2003) ‘To Deliberate or to Discourse: Is That the Question?’, </w:t>
      </w:r>
      <w:r w:rsidRPr="002804ED">
        <w:rPr>
          <w:rFonts w:cs="Segoe UI"/>
          <w:i/>
          <w:iCs/>
          <w:noProof/>
          <w:szCs w:val="24"/>
        </w:rPr>
        <w:t>European Journal of Political Theory</w:t>
      </w:r>
      <w:r w:rsidRPr="002804ED">
        <w:rPr>
          <w:rFonts w:cs="Segoe UI"/>
          <w:noProof/>
          <w:szCs w:val="24"/>
        </w:rPr>
        <w:t>, 2(1), pp. 107–115. doi: 10.1177/1474885103002001284.</w:t>
      </w:r>
    </w:p>
    <w:p w14:paraId="16AFCA0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Fabrigar, L. R. </w:t>
      </w:r>
      <w:r w:rsidRPr="002804ED">
        <w:rPr>
          <w:rFonts w:cs="Segoe UI"/>
          <w:i/>
          <w:iCs/>
          <w:noProof/>
          <w:szCs w:val="24"/>
        </w:rPr>
        <w:t>et al.</w:t>
      </w:r>
      <w:r w:rsidRPr="002804ED">
        <w:rPr>
          <w:rFonts w:cs="Segoe UI"/>
          <w:noProof/>
          <w:szCs w:val="24"/>
        </w:rPr>
        <w:t xml:space="preserve"> (1999) ‘Evaluating the use of exploratory factor analysis in psychological research.’, </w:t>
      </w:r>
      <w:r w:rsidRPr="002804ED">
        <w:rPr>
          <w:rFonts w:cs="Segoe UI"/>
          <w:i/>
          <w:iCs/>
          <w:noProof/>
          <w:szCs w:val="24"/>
        </w:rPr>
        <w:t>Psychological Methods</w:t>
      </w:r>
      <w:r w:rsidRPr="002804ED">
        <w:rPr>
          <w:rFonts w:cs="Segoe UI"/>
          <w:noProof/>
          <w:szCs w:val="24"/>
        </w:rPr>
        <w:t>, 4(3), pp. 272–299. doi: 10.1037//1082-989X.4.3.272.</w:t>
      </w:r>
    </w:p>
    <w:p w14:paraId="70E6128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Feaver, P. (1997) ‘Civil-military relations’, </w:t>
      </w:r>
      <w:r w:rsidRPr="002804ED">
        <w:rPr>
          <w:rFonts w:cs="Segoe UI"/>
          <w:i/>
          <w:iCs/>
          <w:noProof/>
          <w:szCs w:val="24"/>
        </w:rPr>
        <w:t>Annual Review of Political Science</w:t>
      </w:r>
      <w:r w:rsidRPr="002804ED">
        <w:rPr>
          <w:rFonts w:cs="Segoe UI"/>
          <w:noProof/>
          <w:szCs w:val="24"/>
        </w:rPr>
        <w:t>, 2, pp. 211–241. Available at: http://www.sciencedirect.com/science/article/pii/S0030438797900612 (Accessed: 13 July 2012).</w:t>
      </w:r>
    </w:p>
    <w:p w14:paraId="4560E64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Feng, Y. (1997) ‘Democracy, Political Stability and Economic Growth’, </w:t>
      </w:r>
      <w:r w:rsidRPr="002804ED">
        <w:rPr>
          <w:rFonts w:cs="Segoe UI"/>
          <w:i/>
          <w:iCs/>
          <w:noProof/>
          <w:szCs w:val="24"/>
        </w:rPr>
        <w:t>British Journal of Political Science</w:t>
      </w:r>
      <w:r w:rsidRPr="002804ED">
        <w:rPr>
          <w:rFonts w:cs="Segoe UI"/>
          <w:noProof/>
          <w:szCs w:val="24"/>
        </w:rPr>
        <w:t>, 27(3), pp. 391–418. doi: 10.1017/S0007123497000197.</w:t>
      </w:r>
    </w:p>
    <w:p w14:paraId="316E548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Field, A. (2011) </w:t>
      </w:r>
      <w:r w:rsidRPr="002804ED">
        <w:rPr>
          <w:rFonts w:cs="Segoe UI"/>
          <w:i/>
          <w:iCs/>
          <w:noProof/>
          <w:szCs w:val="24"/>
        </w:rPr>
        <w:t>Discovering Statistics Using SPSS</w:t>
      </w:r>
      <w:r w:rsidRPr="002804ED">
        <w:rPr>
          <w:rFonts w:cs="Segoe UI"/>
          <w:noProof/>
          <w:szCs w:val="24"/>
        </w:rPr>
        <w:t>. 3rd Edtn. London: SAGE Publications.</w:t>
      </w:r>
    </w:p>
    <w:p w14:paraId="70ACD39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Fieldhouse, E. (1995) ‘Thatcherism and the changing geography of political attitudes, 1964–1987’, </w:t>
      </w:r>
      <w:r w:rsidRPr="002804ED">
        <w:rPr>
          <w:rFonts w:cs="Segoe UI"/>
          <w:i/>
          <w:iCs/>
          <w:noProof/>
          <w:szCs w:val="24"/>
        </w:rPr>
        <w:t>Political Geography</w:t>
      </w:r>
      <w:r w:rsidRPr="002804ED">
        <w:rPr>
          <w:rFonts w:cs="Segoe UI"/>
          <w:noProof/>
          <w:szCs w:val="24"/>
        </w:rPr>
        <w:t>, 14(1), pp. 3–30. doi: 10.1016/0962-6298(94)P4049-D.</w:t>
      </w:r>
    </w:p>
    <w:p w14:paraId="313E5C4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Finer, S. (1962) </w:t>
      </w:r>
      <w:r w:rsidRPr="002804ED">
        <w:rPr>
          <w:rFonts w:cs="Segoe UI"/>
          <w:i/>
          <w:iCs/>
          <w:noProof/>
          <w:szCs w:val="24"/>
        </w:rPr>
        <w:t>The Man on Horseback</w:t>
      </w:r>
      <w:r w:rsidRPr="002804ED">
        <w:rPr>
          <w:rFonts w:cs="Segoe UI"/>
          <w:noProof/>
          <w:szCs w:val="24"/>
        </w:rPr>
        <w:t>. London: Pall Mall.</w:t>
      </w:r>
    </w:p>
    <w:p w14:paraId="4067564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Finkel, E. and Brudny, Y. (2012) ‘Russia and the colour revolutions’, </w:t>
      </w:r>
      <w:r w:rsidRPr="002804ED">
        <w:rPr>
          <w:rFonts w:cs="Segoe UI"/>
          <w:i/>
          <w:iCs/>
          <w:noProof/>
          <w:szCs w:val="24"/>
        </w:rPr>
        <w:t>Democratization</w:t>
      </w:r>
      <w:r w:rsidRPr="002804ED">
        <w:rPr>
          <w:rFonts w:cs="Segoe UI"/>
          <w:noProof/>
          <w:szCs w:val="24"/>
        </w:rPr>
        <w:t>, 19(1), pp. 15–36.</w:t>
      </w:r>
    </w:p>
    <w:p w14:paraId="5765C20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Finkel, S. E., Muller, E. and Opp, K.-D. (1989) ‘Personal Influence , Collective Rationality , and Mass Political Action’, </w:t>
      </w:r>
      <w:r w:rsidRPr="002804ED">
        <w:rPr>
          <w:rFonts w:cs="Segoe UI"/>
          <w:i/>
          <w:iCs/>
          <w:noProof/>
          <w:szCs w:val="24"/>
        </w:rPr>
        <w:t>The American Political Science Review</w:t>
      </w:r>
      <w:r w:rsidRPr="002804ED">
        <w:rPr>
          <w:rFonts w:cs="Segoe UI"/>
          <w:noProof/>
          <w:szCs w:val="24"/>
        </w:rPr>
        <w:t>, 83(3), pp. 885–903.</w:t>
      </w:r>
    </w:p>
    <w:p w14:paraId="75D05C8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Fishkin, J. (1991) </w:t>
      </w:r>
      <w:r w:rsidRPr="002804ED">
        <w:rPr>
          <w:rFonts w:cs="Segoe UI"/>
          <w:i/>
          <w:iCs/>
          <w:noProof/>
          <w:szCs w:val="24"/>
        </w:rPr>
        <w:t>Democracy and Deliberation: New Directions for Democratic Reform</w:t>
      </w:r>
      <w:r w:rsidRPr="002804ED">
        <w:rPr>
          <w:rFonts w:cs="Segoe UI"/>
          <w:noProof/>
          <w:szCs w:val="24"/>
        </w:rPr>
        <w:t>. New Haven: Yale University Press.</w:t>
      </w:r>
    </w:p>
    <w:p w14:paraId="557AA1C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Foa, R. and Mounk, Y. (2017) ‘The Signs of Deconsolidation’, </w:t>
      </w:r>
      <w:r w:rsidRPr="002804ED">
        <w:rPr>
          <w:rFonts w:cs="Segoe UI"/>
          <w:i/>
          <w:iCs/>
          <w:noProof/>
          <w:szCs w:val="24"/>
        </w:rPr>
        <w:t>Journal of Democracy</w:t>
      </w:r>
      <w:r w:rsidRPr="002804ED">
        <w:rPr>
          <w:rFonts w:cs="Segoe UI"/>
          <w:noProof/>
          <w:szCs w:val="24"/>
        </w:rPr>
        <w:t>, 28(1), pp. 5–15.</w:t>
      </w:r>
    </w:p>
    <w:p w14:paraId="5C9D172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Fox, J. (2006) ‘World Separation of Religion and State Into the 21st Century’, </w:t>
      </w:r>
      <w:r w:rsidRPr="002804ED">
        <w:rPr>
          <w:rFonts w:cs="Segoe UI"/>
          <w:i/>
          <w:iCs/>
          <w:noProof/>
          <w:szCs w:val="24"/>
        </w:rPr>
        <w:t>Comparative Political Studies</w:t>
      </w:r>
      <w:r w:rsidRPr="002804ED">
        <w:rPr>
          <w:rFonts w:cs="Segoe UI"/>
          <w:noProof/>
          <w:szCs w:val="24"/>
        </w:rPr>
        <w:t>, 39(5), pp. 537–569. doi: 10.1177/0010414005276310.</w:t>
      </w:r>
    </w:p>
    <w:p w14:paraId="118DEE1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Fox, J. (2011) ‘Separation of Religion and State and Secularism in Theory and in Practice’, </w:t>
      </w:r>
      <w:r w:rsidRPr="002804ED">
        <w:rPr>
          <w:rFonts w:cs="Segoe UI"/>
          <w:i/>
          <w:iCs/>
          <w:noProof/>
          <w:szCs w:val="24"/>
        </w:rPr>
        <w:t>Religion, State and Society</w:t>
      </w:r>
      <w:r w:rsidRPr="002804ED">
        <w:rPr>
          <w:rFonts w:cs="Segoe UI"/>
          <w:noProof/>
          <w:szCs w:val="24"/>
        </w:rPr>
        <w:t>. Routledge, 39(4), pp. 384–401. Available at: http://www.tandfonline.com/doi/abs/10.1080/09637494.2011.621675 (Accessed: 21 August 2012).</w:t>
      </w:r>
    </w:p>
    <w:p w14:paraId="0CF2ACD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Fukuyama, F. (1992) </w:t>
      </w:r>
      <w:r w:rsidRPr="002804ED">
        <w:rPr>
          <w:rFonts w:cs="Segoe UI"/>
          <w:i/>
          <w:iCs/>
          <w:noProof/>
          <w:szCs w:val="24"/>
        </w:rPr>
        <w:t>The End of History and the Last Man</w:t>
      </w:r>
      <w:r w:rsidRPr="002804ED">
        <w:rPr>
          <w:rFonts w:cs="Segoe UI"/>
          <w:noProof/>
          <w:szCs w:val="24"/>
        </w:rPr>
        <w:t>. London: Hamish Hamilton.</w:t>
      </w:r>
    </w:p>
    <w:p w14:paraId="54DC689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Fukuyama, F. (2011) ‘Dealing with Inequality’, </w:t>
      </w:r>
      <w:r w:rsidRPr="002804ED">
        <w:rPr>
          <w:rFonts w:cs="Segoe UI"/>
          <w:i/>
          <w:iCs/>
          <w:noProof/>
          <w:szCs w:val="24"/>
        </w:rPr>
        <w:t>Journal of Democracy</w:t>
      </w:r>
      <w:r w:rsidRPr="002804ED">
        <w:rPr>
          <w:rFonts w:cs="Segoe UI"/>
          <w:noProof/>
          <w:szCs w:val="24"/>
        </w:rPr>
        <w:t>, 22(3), pp. 79–89. doi: 10.1353/jod.2011.0046.</w:t>
      </w:r>
    </w:p>
    <w:p w14:paraId="26A5A8E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Gallie, W. B. (1956) ‘Essentially Contested Concepts’, </w:t>
      </w:r>
      <w:r w:rsidRPr="002804ED">
        <w:rPr>
          <w:rFonts w:cs="Segoe UI"/>
          <w:i/>
          <w:iCs/>
          <w:noProof/>
          <w:szCs w:val="24"/>
        </w:rPr>
        <w:t>Proceedings of the Aristotelian Society</w:t>
      </w:r>
      <w:r w:rsidRPr="002804ED">
        <w:rPr>
          <w:rFonts w:cs="Segoe UI"/>
          <w:noProof/>
          <w:szCs w:val="24"/>
        </w:rPr>
        <w:t>, 56, pp. 167–198.</w:t>
      </w:r>
    </w:p>
    <w:p w14:paraId="3C4D47F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Garand, J. C. (2010) ‘Income Inequality, Party Polarization, and Roll-Call Voting in the U.S. Senate’, </w:t>
      </w:r>
      <w:r w:rsidRPr="002804ED">
        <w:rPr>
          <w:rFonts w:cs="Segoe UI"/>
          <w:i/>
          <w:iCs/>
          <w:noProof/>
          <w:szCs w:val="24"/>
        </w:rPr>
        <w:t>The Journal of Politics</w:t>
      </w:r>
      <w:r w:rsidRPr="002804ED">
        <w:rPr>
          <w:rFonts w:cs="Segoe UI"/>
          <w:noProof/>
          <w:szCs w:val="24"/>
        </w:rPr>
        <w:t>, 72(4), pp. 1109–1128. doi: 10.1017/S0022381610000563.</w:t>
      </w:r>
    </w:p>
    <w:p w14:paraId="7BCD877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Gelman, A. (2007) ‘Struggles with Survey Weighting and Regression Modeling’, </w:t>
      </w:r>
      <w:r w:rsidRPr="002804ED">
        <w:rPr>
          <w:rFonts w:cs="Segoe UI"/>
          <w:i/>
          <w:iCs/>
          <w:noProof/>
          <w:szCs w:val="24"/>
        </w:rPr>
        <w:t>Statistical Science</w:t>
      </w:r>
      <w:r w:rsidRPr="002804ED">
        <w:rPr>
          <w:rFonts w:cs="Segoe UI"/>
          <w:noProof/>
          <w:szCs w:val="24"/>
        </w:rPr>
        <w:t>, 22(2), pp. 153–164. doi: 10.1214/088342306000000691.</w:t>
      </w:r>
    </w:p>
    <w:p w14:paraId="16D3EDA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Gelman, A. and Hill, J. (2007) </w:t>
      </w:r>
      <w:r w:rsidRPr="002804ED">
        <w:rPr>
          <w:rFonts w:cs="Segoe UI"/>
          <w:i/>
          <w:iCs/>
          <w:noProof/>
          <w:szCs w:val="24"/>
        </w:rPr>
        <w:t>Data Analysis Using Regression and Multilevel/Hierarchical Models</w:t>
      </w:r>
      <w:r w:rsidRPr="002804ED">
        <w:rPr>
          <w:rFonts w:cs="Segoe UI"/>
          <w:noProof/>
          <w:szCs w:val="24"/>
        </w:rPr>
        <w:t>. Cambridge Books Online.</w:t>
      </w:r>
    </w:p>
    <w:p w14:paraId="5B50E35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Gelman, A., Kenworthy, L. and Su, Y.-S. (2010) ‘Income Inequality and Partisan Voting in the United States’, </w:t>
      </w:r>
      <w:r w:rsidRPr="002804ED">
        <w:rPr>
          <w:rFonts w:cs="Segoe UI"/>
          <w:i/>
          <w:iCs/>
          <w:noProof/>
          <w:szCs w:val="24"/>
        </w:rPr>
        <w:t>Social Science Quarterly</w:t>
      </w:r>
      <w:r w:rsidRPr="002804ED">
        <w:rPr>
          <w:rFonts w:cs="Segoe UI"/>
          <w:noProof/>
          <w:szCs w:val="24"/>
        </w:rPr>
        <w:t>, 91(5), pp. 1203–1219. doi: 10.1111/j.1540-6237.2010.00728.x.</w:t>
      </w:r>
    </w:p>
    <w:p w14:paraId="492DE82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Gerber, A., Gruber, J. and Hungerman, D. M. (2015) ‘Does Church Attendance Cause People to Vote? Using Blue Laws’ Repeal to Estimate the Effect of Religiosity on Voter Turnout’, </w:t>
      </w:r>
      <w:r w:rsidRPr="002804ED">
        <w:rPr>
          <w:rFonts w:cs="Segoe UI"/>
          <w:i/>
          <w:iCs/>
          <w:noProof/>
          <w:szCs w:val="24"/>
        </w:rPr>
        <w:t>British Journal of Political Science</w:t>
      </w:r>
      <w:r w:rsidRPr="002804ED">
        <w:rPr>
          <w:rFonts w:cs="Segoe UI"/>
          <w:noProof/>
          <w:szCs w:val="24"/>
        </w:rPr>
        <w:t>, No. 14303. doi: 10.1017/S0007123414000416.</w:t>
      </w:r>
    </w:p>
    <w:p w14:paraId="0130FE5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Gerring, J. </w:t>
      </w:r>
      <w:r w:rsidRPr="002804ED">
        <w:rPr>
          <w:rFonts w:cs="Segoe UI"/>
          <w:i/>
          <w:iCs/>
          <w:noProof/>
          <w:szCs w:val="24"/>
        </w:rPr>
        <w:t>et al.</w:t>
      </w:r>
      <w:r w:rsidRPr="002804ED">
        <w:rPr>
          <w:rFonts w:cs="Segoe UI"/>
          <w:noProof/>
          <w:szCs w:val="24"/>
        </w:rPr>
        <w:t xml:space="preserve"> (2005) ‘Democracy and Economic Growth: A Historical Perspective’, </w:t>
      </w:r>
      <w:r w:rsidRPr="002804ED">
        <w:rPr>
          <w:rFonts w:cs="Segoe UI"/>
          <w:i/>
          <w:iCs/>
          <w:noProof/>
          <w:szCs w:val="24"/>
        </w:rPr>
        <w:t>World Politics</w:t>
      </w:r>
      <w:r w:rsidRPr="002804ED">
        <w:rPr>
          <w:rFonts w:cs="Segoe UI"/>
          <w:noProof/>
          <w:szCs w:val="24"/>
        </w:rPr>
        <w:t>, 57(3), pp. 323–364. doi: 10.1353/wp.2006.0002.</w:t>
      </w:r>
    </w:p>
    <w:p w14:paraId="4F98EF1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Gerschewski, J. (2013) ‘The three pillars of stability : legitimation , repression , and co- optation in autocratic regimes’, </w:t>
      </w:r>
      <w:r w:rsidRPr="002804ED">
        <w:rPr>
          <w:rFonts w:cs="Segoe UI"/>
          <w:i/>
          <w:iCs/>
          <w:noProof/>
          <w:szCs w:val="24"/>
        </w:rPr>
        <w:t>Democratization</w:t>
      </w:r>
      <w:r w:rsidRPr="002804ED">
        <w:rPr>
          <w:rFonts w:cs="Segoe UI"/>
          <w:noProof/>
          <w:szCs w:val="24"/>
        </w:rPr>
        <w:t>, 20(1), pp. 13–38.</w:t>
      </w:r>
    </w:p>
    <w:p w14:paraId="391A4A9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Gill, A. (2001) ‘Religion and Comparative Politics’, </w:t>
      </w:r>
      <w:r w:rsidRPr="002804ED">
        <w:rPr>
          <w:rFonts w:cs="Segoe UI"/>
          <w:i/>
          <w:iCs/>
          <w:noProof/>
          <w:szCs w:val="24"/>
        </w:rPr>
        <w:t>Annual Review of Political Science</w:t>
      </w:r>
      <w:r w:rsidRPr="002804ED">
        <w:rPr>
          <w:rFonts w:cs="Segoe UI"/>
          <w:noProof/>
          <w:szCs w:val="24"/>
        </w:rPr>
        <w:t>, 4, pp. 117–138.</w:t>
      </w:r>
    </w:p>
    <w:p w14:paraId="40AD198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Giugni, M. and Grasso, M. T. (2016) ‘How Civil Society Actors Responded to the Economic Crisis: The Interaction of Material Deprivation and Perceptions of Political Opportunity Structures’, </w:t>
      </w:r>
      <w:r w:rsidRPr="002804ED">
        <w:rPr>
          <w:rFonts w:cs="Segoe UI"/>
          <w:i/>
          <w:iCs/>
          <w:noProof/>
          <w:szCs w:val="24"/>
        </w:rPr>
        <w:t>Politics and Policy</w:t>
      </w:r>
      <w:r w:rsidRPr="002804ED">
        <w:rPr>
          <w:rFonts w:cs="Segoe UI"/>
          <w:noProof/>
          <w:szCs w:val="24"/>
        </w:rPr>
        <w:t>, 44(3), pp. 447–472. doi: 10.1111/polp.12157.</w:t>
      </w:r>
    </w:p>
    <w:p w14:paraId="4BB8A46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Goldstein, H. </w:t>
      </w:r>
      <w:r w:rsidRPr="002804ED">
        <w:rPr>
          <w:rFonts w:cs="Segoe UI"/>
          <w:i/>
          <w:iCs/>
          <w:noProof/>
          <w:szCs w:val="24"/>
        </w:rPr>
        <w:t>et al.</w:t>
      </w:r>
      <w:r w:rsidRPr="002804ED">
        <w:rPr>
          <w:rFonts w:cs="Segoe UI"/>
          <w:noProof/>
          <w:szCs w:val="24"/>
        </w:rPr>
        <w:t xml:space="preserve"> (1993) ‘A Multilevel Analysis of School Examination Results’, </w:t>
      </w:r>
      <w:r w:rsidRPr="002804ED">
        <w:rPr>
          <w:rFonts w:cs="Segoe UI"/>
          <w:i/>
          <w:iCs/>
          <w:noProof/>
          <w:szCs w:val="24"/>
        </w:rPr>
        <w:t>Oxford Review of Education</w:t>
      </w:r>
      <w:r w:rsidRPr="002804ED">
        <w:rPr>
          <w:rFonts w:cs="Segoe UI"/>
          <w:noProof/>
          <w:szCs w:val="24"/>
        </w:rPr>
        <w:t>, 19(4), pp. 425–433. doi: 10.1080/0305498930190401.</w:t>
      </w:r>
    </w:p>
    <w:p w14:paraId="05891B1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Goldstein, H. and Paterson, L. (1991) ‘New Statistical Methods for Analysing Social Structures : An Introduction to Multilevel Models New Statistical Methods’, </w:t>
      </w:r>
      <w:r w:rsidRPr="002804ED">
        <w:rPr>
          <w:rFonts w:cs="Segoe UI"/>
          <w:i/>
          <w:iCs/>
          <w:noProof/>
          <w:szCs w:val="24"/>
        </w:rPr>
        <w:t>British Educational Research Journal</w:t>
      </w:r>
      <w:r w:rsidRPr="002804ED">
        <w:rPr>
          <w:rFonts w:cs="Segoe UI"/>
          <w:noProof/>
          <w:szCs w:val="24"/>
        </w:rPr>
        <w:t>, 17(4), pp. 387–393.</w:t>
      </w:r>
    </w:p>
    <w:p w14:paraId="77E19A0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Gorard, S. (2003) ‘What is Multi-Level Modelling for?’, </w:t>
      </w:r>
      <w:r w:rsidRPr="002804ED">
        <w:rPr>
          <w:rFonts w:cs="Segoe UI"/>
          <w:i/>
          <w:iCs/>
          <w:noProof/>
          <w:szCs w:val="24"/>
        </w:rPr>
        <w:t>british Journal of Educational S</w:t>
      </w:r>
      <w:r w:rsidRPr="002804ED">
        <w:rPr>
          <w:rFonts w:cs="Segoe UI"/>
          <w:noProof/>
          <w:szCs w:val="24"/>
        </w:rPr>
        <w:t>, 51(1), pp. 46–63.</w:t>
      </w:r>
    </w:p>
    <w:p w14:paraId="24DFA3E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Grasso, M. T. (2014) ‘Age, period and cohort analysis in a comparative context: Political generations and political participation repertoires in Western Europe’, </w:t>
      </w:r>
      <w:r w:rsidRPr="002804ED">
        <w:rPr>
          <w:rFonts w:cs="Segoe UI"/>
          <w:i/>
          <w:iCs/>
          <w:noProof/>
          <w:szCs w:val="24"/>
        </w:rPr>
        <w:t>Electoral Studies</w:t>
      </w:r>
      <w:r w:rsidRPr="002804ED">
        <w:rPr>
          <w:rFonts w:cs="Segoe UI"/>
          <w:noProof/>
          <w:szCs w:val="24"/>
        </w:rPr>
        <w:t>. Elsevier Ltd, 33, pp. 63–76. doi: 10.1016/j.electstud.2013.06.003.</w:t>
      </w:r>
    </w:p>
    <w:p w14:paraId="329F1A1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Grasso, M. T. (2016) </w:t>
      </w:r>
      <w:r w:rsidRPr="002804ED">
        <w:rPr>
          <w:rFonts w:cs="Segoe UI"/>
          <w:i/>
          <w:iCs/>
          <w:noProof/>
          <w:szCs w:val="24"/>
        </w:rPr>
        <w:t>Generations, Political Participation and Social Change in Western Europe</w:t>
      </w:r>
      <w:r w:rsidRPr="002804ED">
        <w:rPr>
          <w:rFonts w:cs="Segoe UI"/>
          <w:noProof/>
          <w:szCs w:val="24"/>
        </w:rPr>
        <w:t>. London: Routledge.</w:t>
      </w:r>
    </w:p>
    <w:p w14:paraId="1CB91AB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Grugel, J. (2002) </w:t>
      </w:r>
      <w:r w:rsidRPr="002804ED">
        <w:rPr>
          <w:rFonts w:cs="Segoe UI"/>
          <w:i/>
          <w:iCs/>
          <w:noProof/>
          <w:szCs w:val="24"/>
        </w:rPr>
        <w:t>Democratization</w:t>
      </w:r>
      <w:r w:rsidRPr="002804ED">
        <w:rPr>
          <w:rFonts w:cs="Segoe UI"/>
          <w:noProof/>
          <w:szCs w:val="24"/>
        </w:rPr>
        <w:t>. New York: Palgrave.</w:t>
      </w:r>
    </w:p>
    <w:p w14:paraId="0443561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Grugel, J. (2003) ‘Democratization Studies: Citizenship, Globalization and Governance’, </w:t>
      </w:r>
      <w:r w:rsidRPr="002804ED">
        <w:rPr>
          <w:rFonts w:cs="Segoe UI"/>
          <w:i/>
          <w:iCs/>
          <w:noProof/>
          <w:szCs w:val="24"/>
        </w:rPr>
        <w:t>Government and Opposition</w:t>
      </w:r>
      <w:r w:rsidRPr="002804ED">
        <w:rPr>
          <w:rFonts w:cs="Segoe UI"/>
          <w:noProof/>
          <w:szCs w:val="24"/>
        </w:rPr>
        <w:t>, 38(2), pp. 238–264.</w:t>
      </w:r>
    </w:p>
    <w:p w14:paraId="264BA31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Grzymala-Busse, A. (2012) ‘Why Comparative Politics Should Take Religion (More) Seriously’, </w:t>
      </w:r>
      <w:r w:rsidRPr="002804ED">
        <w:rPr>
          <w:rFonts w:cs="Segoe UI"/>
          <w:i/>
          <w:iCs/>
          <w:noProof/>
          <w:szCs w:val="24"/>
        </w:rPr>
        <w:t>Annual Review of Political Science</w:t>
      </w:r>
      <w:r w:rsidRPr="002804ED">
        <w:rPr>
          <w:rFonts w:cs="Segoe UI"/>
          <w:noProof/>
          <w:szCs w:val="24"/>
        </w:rPr>
        <w:t>, 15(1), pp. 421–442. doi: 10.1146/annurev-polisci-033110-130442.</w:t>
      </w:r>
    </w:p>
    <w:p w14:paraId="3EBCECF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Guadagnoli, E. and Velicer, W. F. (1988) ‘Relation of sample size to the stability of component patterns.’, </w:t>
      </w:r>
      <w:r w:rsidRPr="002804ED">
        <w:rPr>
          <w:rFonts w:cs="Segoe UI"/>
          <w:i/>
          <w:iCs/>
          <w:noProof/>
          <w:szCs w:val="24"/>
        </w:rPr>
        <w:t>Psychological bulletin</w:t>
      </w:r>
      <w:r w:rsidRPr="002804ED">
        <w:rPr>
          <w:rFonts w:cs="Segoe UI"/>
          <w:noProof/>
          <w:szCs w:val="24"/>
        </w:rPr>
        <w:t>, 103(2), pp. 265–75. Available at: http://www.ncbi.nlm.nih.gov/pubmed/3363047.</w:t>
      </w:r>
    </w:p>
    <w:p w14:paraId="70DCB03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Guo, Z. and Moy, P. (1998) ‘Medium or Message? Predicting Dimensions of Political Sophistication’, </w:t>
      </w:r>
      <w:r w:rsidRPr="002804ED">
        <w:rPr>
          <w:rFonts w:cs="Segoe UI"/>
          <w:i/>
          <w:iCs/>
          <w:noProof/>
          <w:szCs w:val="24"/>
        </w:rPr>
        <w:t>International Journal of Public Opinion Research</w:t>
      </w:r>
      <w:r w:rsidRPr="002804ED">
        <w:rPr>
          <w:rFonts w:cs="Segoe UI"/>
          <w:noProof/>
          <w:szCs w:val="24"/>
        </w:rPr>
        <w:t>, 10(1), pp. 25–50. doi: 10.1093/ijpor/10.1.25.</w:t>
      </w:r>
    </w:p>
    <w:p w14:paraId="5D6186B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Gurr, T. (1970) </w:t>
      </w:r>
      <w:r w:rsidRPr="002804ED">
        <w:rPr>
          <w:rFonts w:cs="Segoe UI"/>
          <w:i/>
          <w:iCs/>
          <w:noProof/>
          <w:szCs w:val="24"/>
        </w:rPr>
        <w:t>Why Men Rebel</w:t>
      </w:r>
      <w:r w:rsidRPr="002804ED">
        <w:rPr>
          <w:rFonts w:cs="Segoe UI"/>
          <w:noProof/>
          <w:szCs w:val="24"/>
        </w:rPr>
        <w:t>. Princeton: Princeton University Press.</w:t>
      </w:r>
    </w:p>
    <w:p w14:paraId="017B39F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Gurr, T. E. D. (1968) ‘A Causal Model of Civil Strife : A Comparative Analysis Using New Indices’, </w:t>
      </w:r>
      <w:r w:rsidRPr="002804ED">
        <w:rPr>
          <w:rFonts w:cs="Segoe UI"/>
          <w:i/>
          <w:iCs/>
          <w:noProof/>
          <w:szCs w:val="24"/>
        </w:rPr>
        <w:t>The American Political Science Review</w:t>
      </w:r>
      <w:r w:rsidRPr="002804ED">
        <w:rPr>
          <w:rFonts w:cs="Segoe UI"/>
          <w:noProof/>
          <w:szCs w:val="24"/>
        </w:rPr>
        <w:t>, 62(4), pp. 1104–1124.</w:t>
      </w:r>
    </w:p>
    <w:p w14:paraId="6F6B4D6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Harrington, D. (2008) </w:t>
      </w:r>
      <w:r w:rsidRPr="002804ED">
        <w:rPr>
          <w:rFonts w:cs="Segoe UI"/>
          <w:i/>
          <w:iCs/>
          <w:noProof/>
          <w:szCs w:val="24"/>
        </w:rPr>
        <w:t>Confirmatory Factor Analysis</w:t>
      </w:r>
      <w:r w:rsidRPr="002804ED">
        <w:rPr>
          <w:rFonts w:cs="Segoe UI"/>
          <w:noProof/>
          <w:szCs w:val="24"/>
        </w:rPr>
        <w:t>. Oxford Scholarship Online.</w:t>
      </w:r>
    </w:p>
    <w:p w14:paraId="0285941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Hayek, K. (1944) </w:t>
      </w:r>
      <w:r w:rsidRPr="002804ED">
        <w:rPr>
          <w:rFonts w:cs="Segoe UI"/>
          <w:i/>
          <w:iCs/>
          <w:noProof/>
          <w:szCs w:val="24"/>
        </w:rPr>
        <w:t>The Road to Serfdom</w:t>
      </w:r>
      <w:r w:rsidRPr="002804ED">
        <w:rPr>
          <w:rFonts w:cs="Segoe UI"/>
          <w:noProof/>
          <w:szCs w:val="24"/>
        </w:rPr>
        <w:t>. London: Routledge.</w:t>
      </w:r>
    </w:p>
    <w:p w14:paraId="598EAE0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Hayton, J. C., Allen, D. G. and Scarpello, V. (2004) ‘Factor Retention Decisions in Exploratory Factor Analysis: a Tutorial on Parallel Analysis’, </w:t>
      </w:r>
      <w:r w:rsidRPr="002804ED">
        <w:rPr>
          <w:rFonts w:cs="Segoe UI"/>
          <w:i/>
          <w:iCs/>
          <w:noProof/>
          <w:szCs w:val="24"/>
        </w:rPr>
        <w:t>Organizational Research Methods</w:t>
      </w:r>
      <w:r w:rsidRPr="002804ED">
        <w:rPr>
          <w:rFonts w:cs="Segoe UI"/>
          <w:noProof/>
          <w:szCs w:val="24"/>
        </w:rPr>
        <w:t>, 7(2), pp. 191–205. doi: 10.1177/1094428104263675.</w:t>
      </w:r>
    </w:p>
    <w:p w14:paraId="51B7894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Held, D. (1998) </w:t>
      </w:r>
      <w:r w:rsidRPr="002804ED">
        <w:rPr>
          <w:rFonts w:cs="Segoe UI"/>
          <w:i/>
          <w:iCs/>
          <w:noProof/>
          <w:szCs w:val="24"/>
        </w:rPr>
        <w:t>Models of Democracy</w:t>
      </w:r>
      <w:r w:rsidRPr="002804ED">
        <w:rPr>
          <w:rFonts w:cs="Segoe UI"/>
          <w:noProof/>
          <w:szCs w:val="24"/>
        </w:rPr>
        <w:t>. (2nd Ed.). Cambridge: Polity Press.</w:t>
      </w:r>
    </w:p>
    <w:p w14:paraId="0919685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Hibbing, J. R. (2001) ‘Process Preferences and American Politics: What the People Want Government to Be’, </w:t>
      </w:r>
      <w:r w:rsidRPr="002804ED">
        <w:rPr>
          <w:rFonts w:cs="Segoe UI"/>
          <w:i/>
          <w:iCs/>
          <w:noProof/>
          <w:szCs w:val="24"/>
        </w:rPr>
        <w:t>American Political Science Review</w:t>
      </w:r>
      <w:r w:rsidRPr="002804ED">
        <w:rPr>
          <w:rFonts w:cs="Segoe UI"/>
          <w:noProof/>
          <w:szCs w:val="24"/>
        </w:rPr>
        <w:t>, 95(1), pp. 145–153. Available at: http://journals.cambridge.org/article_S0003055401000107%5Cnhttp://journals.cambridge.org.pitt.idm.oclc.org/action/displayAbstract?fromPage=online&amp;aid=92179&amp;fulltextType=RA&amp;fileId=S0003055401000107%5Cnhttp://journals.cambridge.org.pitt.idm.oclc.org/action/disp.</w:t>
      </w:r>
    </w:p>
    <w:p w14:paraId="2EC5AB4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Hibbing, J. and Theiss-Morse, E. (2002) </w:t>
      </w:r>
      <w:r w:rsidRPr="002804ED">
        <w:rPr>
          <w:rFonts w:cs="Segoe UI"/>
          <w:i/>
          <w:iCs/>
          <w:noProof/>
          <w:szCs w:val="24"/>
        </w:rPr>
        <w:t>Stealth Democracy: Americans’ Beliefs about How Government Should Work</w:t>
      </w:r>
      <w:r w:rsidRPr="002804ED">
        <w:rPr>
          <w:rFonts w:cs="Segoe UI"/>
          <w:noProof/>
          <w:szCs w:val="24"/>
        </w:rPr>
        <w:t>. New York: Cambridge University Press.</w:t>
      </w:r>
    </w:p>
    <w:p w14:paraId="70478C9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Höchtl, W., Sausgruber, R. and Tyran, J.-R. (2012) ‘Inequality aversion and voting on redistribution.’, </w:t>
      </w:r>
      <w:r w:rsidRPr="002804ED">
        <w:rPr>
          <w:rFonts w:cs="Segoe UI"/>
          <w:i/>
          <w:iCs/>
          <w:noProof/>
          <w:szCs w:val="24"/>
        </w:rPr>
        <w:t>European economic review</w:t>
      </w:r>
      <w:r w:rsidRPr="002804ED">
        <w:rPr>
          <w:rFonts w:cs="Segoe UI"/>
          <w:noProof/>
          <w:szCs w:val="24"/>
        </w:rPr>
        <w:t>, 56(7), pp. 1406–1421. doi: 10.1016/j.euroecorev.2012.07.004.</w:t>
      </w:r>
    </w:p>
    <w:p w14:paraId="03E87A1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Holmberg, S. (1999) ‘Down and Down We Go: Political Trust in Sweden’, in Norris, P. (ed.) </w:t>
      </w:r>
      <w:r w:rsidRPr="002804ED">
        <w:rPr>
          <w:rFonts w:cs="Segoe UI"/>
          <w:i/>
          <w:iCs/>
          <w:noProof/>
          <w:szCs w:val="24"/>
        </w:rPr>
        <w:t>Critical Citizens - Global Support for Democratic Governance</w:t>
      </w:r>
      <w:r w:rsidRPr="002804ED">
        <w:rPr>
          <w:rFonts w:cs="Segoe UI"/>
          <w:noProof/>
          <w:szCs w:val="24"/>
        </w:rPr>
        <w:t>. Oxford: Oxford University Press, pp. 103–123.</w:t>
      </w:r>
    </w:p>
    <w:p w14:paraId="08A1392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Hopcroft, R. L. and McLaughlin, J. (2012) ‘Why is the sex gap in feelings of depression wider in high gender equity countries? The effect of children on the psychological well-being of men and women.’, </w:t>
      </w:r>
      <w:r w:rsidRPr="002804ED">
        <w:rPr>
          <w:rFonts w:cs="Segoe UI"/>
          <w:i/>
          <w:iCs/>
          <w:noProof/>
          <w:szCs w:val="24"/>
        </w:rPr>
        <w:t>Social science research</w:t>
      </w:r>
      <w:r w:rsidRPr="002804ED">
        <w:rPr>
          <w:rFonts w:cs="Segoe UI"/>
          <w:noProof/>
          <w:szCs w:val="24"/>
        </w:rPr>
        <w:t>. Elsevier Inc., 41(3), pp. 501–13. doi: 10.1016/j.ssresearch.2011.12.006.</w:t>
      </w:r>
    </w:p>
    <w:p w14:paraId="2C1A2A6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Hox, J. J. and Kreft, I. G. G. (1994) ‘Multilevel Analysis Methods’, </w:t>
      </w:r>
      <w:r w:rsidRPr="002804ED">
        <w:rPr>
          <w:rFonts w:cs="Segoe UI"/>
          <w:i/>
          <w:iCs/>
          <w:noProof/>
          <w:szCs w:val="24"/>
        </w:rPr>
        <w:t>Sociological Methods &amp; Research</w:t>
      </w:r>
      <w:r w:rsidRPr="002804ED">
        <w:rPr>
          <w:rFonts w:cs="Segoe UI"/>
          <w:noProof/>
          <w:szCs w:val="24"/>
        </w:rPr>
        <w:t>, 22(3), pp. 283–299. doi: 10.1177/0049124194022003001.</w:t>
      </w:r>
    </w:p>
    <w:p w14:paraId="02D9120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Huijts, T., Kraaykamp, G. and Subramanian, S. V. (2011) ‘Childlessness and Psychological Well-Being in Context: A Multilevel Study on 24 European Countries’, </w:t>
      </w:r>
      <w:r w:rsidRPr="002804ED">
        <w:rPr>
          <w:rFonts w:cs="Segoe UI"/>
          <w:i/>
          <w:iCs/>
          <w:noProof/>
          <w:szCs w:val="24"/>
        </w:rPr>
        <w:t>European Sociological Review</w:t>
      </w:r>
      <w:r w:rsidRPr="002804ED">
        <w:rPr>
          <w:rFonts w:cs="Segoe UI"/>
          <w:noProof/>
          <w:szCs w:val="24"/>
        </w:rPr>
        <w:t>, 29(1), pp. 32–47. doi: 10.1093/esr/jcr037.</w:t>
      </w:r>
    </w:p>
    <w:p w14:paraId="5C9545E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Huntington, S. P. (1957) </w:t>
      </w:r>
      <w:r w:rsidRPr="002804ED">
        <w:rPr>
          <w:rFonts w:cs="Segoe UI"/>
          <w:i/>
          <w:iCs/>
          <w:noProof/>
          <w:szCs w:val="24"/>
        </w:rPr>
        <w:t>The Soldier and the State</w:t>
      </w:r>
      <w:r w:rsidRPr="002804ED">
        <w:rPr>
          <w:rFonts w:cs="Segoe UI"/>
          <w:noProof/>
          <w:szCs w:val="24"/>
        </w:rPr>
        <w:t>. New York: Belknap Press.</w:t>
      </w:r>
    </w:p>
    <w:p w14:paraId="65A75A9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Huntington, S. P. (1991) </w:t>
      </w:r>
      <w:r w:rsidRPr="002804ED">
        <w:rPr>
          <w:rFonts w:cs="Segoe UI"/>
          <w:i/>
          <w:iCs/>
          <w:noProof/>
          <w:szCs w:val="24"/>
        </w:rPr>
        <w:t>The Third Wave: Democratization in the Late Twentieth Century</w:t>
      </w:r>
      <w:r w:rsidRPr="002804ED">
        <w:rPr>
          <w:rFonts w:cs="Segoe UI"/>
          <w:noProof/>
          <w:szCs w:val="24"/>
        </w:rPr>
        <w:t>. Oklahoma: University of Oklahoma Pres.</w:t>
      </w:r>
    </w:p>
    <w:p w14:paraId="604BB2D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Huntington, S. P. (1996) </w:t>
      </w:r>
      <w:r w:rsidRPr="002804ED">
        <w:rPr>
          <w:rFonts w:cs="Segoe UI"/>
          <w:i/>
          <w:iCs/>
          <w:noProof/>
          <w:szCs w:val="24"/>
        </w:rPr>
        <w:t>The Clash of Civilizations and the Remaking of the World Order</w:t>
      </w:r>
      <w:r w:rsidRPr="002804ED">
        <w:rPr>
          <w:rFonts w:cs="Segoe UI"/>
          <w:noProof/>
          <w:szCs w:val="24"/>
        </w:rPr>
        <w:t>. New York: Simon &amp; Schuster.</w:t>
      </w:r>
    </w:p>
    <w:p w14:paraId="5317D2D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Huntington, S. P. (1997) ‘After Twenty Years: The Future of the Third Wave’, </w:t>
      </w:r>
      <w:r w:rsidRPr="002804ED">
        <w:rPr>
          <w:rFonts w:cs="Segoe UI"/>
          <w:i/>
          <w:iCs/>
          <w:noProof/>
          <w:szCs w:val="24"/>
        </w:rPr>
        <w:t>Journal of Democracyracy</w:t>
      </w:r>
      <w:r w:rsidRPr="002804ED">
        <w:rPr>
          <w:rFonts w:cs="Segoe UI"/>
          <w:noProof/>
          <w:szCs w:val="24"/>
        </w:rPr>
        <w:t>, 8(4), pp. 3–12.</w:t>
      </w:r>
    </w:p>
    <w:p w14:paraId="540076E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Hydén, G. (1997) ‘Democracy and Administration’, in Hadenius, A. (ed.) </w:t>
      </w:r>
      <w:r w:rsidRPr="002804ED">
        <w:rPr>
          <w:rFonts w:cs="Segoe UI"/>
          <w:i/>
          <w:iCs/>
          <w:noProof/>
          <w:szCs w:val="24"/>
        </w:rPr>
        <w:t>Democracy’s Victory and Crisis</w:t>
      </w:r>
      <w:r w:rsidRPr="002804ED">
        <w:rPr>
          <w:rFonts w:cs="Segoe UI"/>
          <w:noProof/>
          <w:szCs w:val="24"/>
        </w:rPr>
        <w:t>. Cambridge: Cambridge University Press, pp. 242–262.</w:t>
      </w:r>
    </w:p>
    <w:p w14:paraId="30DEF60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Inglehart, R. (1977) </w:t>
      </w:r>
      <w:r w:rsidRPr="002804ED">
        <w:rPr>
          <w:rFonts w:cs="Segoe UI"/>
          <w:i/>
          <w:iCs/>
          <w:noProof/>
          <w:szCs w:val="24"/>
        </w:rPr>
        <w:t>The Silent Revolution</w:t>
      </w:r>
      <w:r w:rsidRPr="002804ED">
        <w:rPr>
          <w:rFonts w:cs="Segoe UI"/>
          <w:noProof/>
          <w:szCs w:val="24"/>
        </w:rPr>
        <w:t>. Princeton: Princeton University Press.</w:t>
      </w:r>
    </w:p>
    <w:p w14:paraId="7491508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Inglehart, R. (1997) </w:t>
      </w:r>
      <w:r w:rsidRPr="002804ED">
        <w:rPr>
          <w:rFonts w:cs="Segoe UI"/>
          <w:i/>
          <w:iCs/>
          <w:noProof/>
          <w:szCs w:val="24"/>
        </w:rPr>
        <w:t>Modernization and Post Modernization</w:t>
      </w:r>
      <w:r w:rsidRPr="002804ED">
        <w:rPr>
          <w:rFonts w:cs="Segoe UI"/>
          <w:noProof/>
          <w:szCs w:val="24"/>
        </w:rPr>
        <w:t>. New Jersey: Princeton University Press.</w:t>
      </w:r>
    </w:p>
    <w:p w14:paraId="05CAE05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Inglehart, R. (2002) ‘Trends in Political Action: The Developmental Trend and the Post-Honeymoon Decline’, </w:t>
      </w:r>
      <w:r w:rsidRPr="002804ED">
        <w:rPr>
          <w:rFonts w:cs="Segoe UI"/>
          <w:i/>
          <w:iCs/>
          <w:noProof/>
          <w:szCs w:val="24"/>
        </w:rPr>
        <w:t>International Journal of Comparative Sociology</w:t>
      </w:r>
      <w:r w:rsidRPr="002804ED">
        <w:rPr>
          <w:rFonts w:cs="Segoe UI"/>
          <w:noProof/>
          <w:szCs w:val="24"/>
        </w:rPr>
        <w:t>, 43(3–5), pp. 300–316. doi: 10.1177/002071520204300305.</w:t>
      </w:r>
    </w:p>
    <w:p w14:paraId="530C9A1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Inglehart, R. (2003) ‘How Solid is Mass Support for Democracy—And How Can We Measure It?’, </w:t>
      </w:r>
      <w:r w:rsidRPr="002804ED">
        <w:rPr>
          <w:rFonts w:cs="Segoe UI"/>
          <w:i/>
          <w:iCs/>
          <w:noProof/>
          <w:szCs w:val="24"/>
        </w:rPr>
        <w:t>PS: Political Science &amp; Politics</w:t>
      </w:r>
      <w:r w:rsidRPr="002804ED">
        <w:rPr>
          <w:rFonts w:cs="Segoe UI"/>
          <w:noProof/>
          <w:szCs w:val="24"/>
        </w:rPr>
        <w:t>, 36(1), pp. 51–58. doi: 10.1017/S1049096503001689.</w:t>
      </w:r>
    </w:p>
    <w:p w14:paraId="2580E25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Inglehart, R. F. (2008) ‘Changing Values among Western Publics from 1970 to 2006’, </w:t>
      </w:r>
      <w:r w:rsidRPr="002804ED">
        <w:rPr>
          <w:rFonts w:cs="Segoe UI"/>
          <w:i/>
          <w:iCs/>
          <w:noProof/>
          <w:szCs w:val="24"/>
        </w:rPr>
        <w:t>West European Politics</w:t>
      </w:r>
      <w:r w:rsidRPr="002804ED">
        <w:rPr>
          <w:rFonts w:cs="Segoe UI"/>
          <w:noProof/>
          <w:szCs w:val="24"/>
        </w:rPr>
        <w:t>. Routledge, 31(1–2), pp. 130–146. doi: 10.1080/01402380701834747.</w:t>
      </w:r>
    </w:p>
    <w:p w14:paraId="5C78DA7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Inglehart, R. and Welzel, C. (2003) ‘Political Culture and Democracy: Analyzing Cross-Level Linkages’, </w:t>
      </w:r>
      <w:r w:rsidRPr="002804ED">
        <w:rPr>
          <w:rFonts w:cs="Segoe UI"/>
          <w:i/>
          <w:iCs/>
          <w:noProof/>
          <w:szCs w:val="24"/>
        </w:rPr>
        <w:t>Comparative Politics</w:t>
      </w:r>
      <w:r w:rsidRPr="002804ED">
        <w:rPr>
          <w:rFonts w:cs="Segoe UI"/>
          <w:noProof/>
          <w:szCs w:val="24"/>
        </w:rPr>
        <w:t>. Ph.D. Program in Political Science of the City University of New York, 36(1), pp. 61–79. doi: 10.2307/4150160.</w:t>
      </w:r>
    </w:p>
    <w:p w14:paraId="2362929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Inglehart, R. and Welzel, C. (2010) ‘Changing Mass Priorities: The Link between Modernization and Democracy’, </w:t>
      </w:r>
      <w:r w:rsidRPr="002804ED">
        <w:rPr>
          <w:rFonts w:cs="Segoe UI"/>
          <w:i/>
          <w:iCs/>
          <w:noProof/>
          <w:szCs w:val="24"/>
        </w:rPr>
        <w:t>Perspectives on Politics</w:t>
      </w:r>
      <w:r w:rsidRPr="002804ED">
        <w:rPr>
          <w:rFonts w:cs="Segoe UI"/>
          <w:noProof/>
          <w:szCs w:val="24"/>
        </w:rPr>
        <w:t>, 8(2), pp. 551–567. doi: 10.1017/S1537592710001258.</w:t>
      </w:r>
    </w:p>
    <w:p w14:paraId="179DEED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Inkeles, A. and Smith, D., H. (1974) </w:t>
      </w:r>
      <w:r w:rsidRPr="002804ED">
        <w:rPr>
          <w:rFonts w:cs="Segoe UI"/>
          <w:i/>
          <w:iCs/>
          <w:noProof/>
          <w:szCs w:val="24"/>
        </w:rPr>
        <w:t>Becoming Modern: Individual Change in six Developing Countries</w:t>
      </w:r>
      <w:r w:rsidRPr="002804ED">
        <w:rPr>
          <w:rFonts w:cs="Segoe UI"/>
          <w:noProof/>
          <w:szCs w:val="24"/>
        </w:rPr>
        <w:t>. Cambridge: Havard University Press.</w:t>
      </w:r>
    </w:p>
    <w:p w14:paraId="20E074F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Jäger, K. (2012) ‘Why did Thailand’s middle class turn against a democratically elected government? The information-gap hypothesis’, </w:t>
      </w:r>
      <w:r w:rsidRPr="002804ED">
        <w:rPr>
          <w:rFonts w:cs="Segoe UI"/>
          <w:i/>
          <w:iCs/>
          <w:noProof/>
          <w:szCs w:val="24"/>
        </w:rPr>
        <w:t>Democratization</w:t>
      </w:r>
      <w:r w:rsidRPr="002804ED">
        <w:rPr>
          <w:rFonts w:cs="Segoe UI"/>
          <w:noProof/>
          <w:szCs w:val="24"/>
        </w:rPr>
        <w:t>, 19(6), pp. 1138–1165. doi: 10.1080/13510347.2011.623353.</w:t>
      </w:r>
    </w:p>
    <w:p w14:paraId="5DF4E14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Jerit, J., Barabas, J. and Bolsen, T. (2006) ‘Citizens, Knowledge, and the Information Environment’, </w:t>
      </w:r>
      <w:r w:rsidRPr="002804ED">
        <w:rPr>
          <w:rFonts w:cs="Segoe UI"/>
          <w:i/>
          <w:iCs/>
          <w:noProof/>
          <w:szCs w:val="24"/>
        </w:rPr>
        <w:t>American Journal of Political Science</w:t>
      </w:r>
      <w:r w:rsidRPr="002804ED">
        <w:rPr>
          <w:rFonts w:cs="Segoe UI"/>
          <w:noProof/>
          <w:szCs w:val="24"/>
        </w:rPr>
        <w:t>, 50(2), pp. 266–282.</w:t>
      </w:r>
    </w:p>
    <w:p w14:paraId="16744D8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Jolliffe, I. T. (2002) </w:t>
      </w:r>
      <w:r w:rsidRPr="002804ED">
        <w:rPr>
          <w:rFonts w:cs="Segoe UI"/>
          <w:i/>
          <w:iCs/>
          <w:noProof/>
          <w:szCs w:val="24"/>
        </w:rPr>
        <w:t>Principal Components Analysis</w:t>
      </w:r>
      <w:r w:rsidRPr="002804ED">
        <w:rPr>
          <w:rFonts w:cs="Segoe UI"/>
          <w:noProof/>
          <w:szCs w:val="24"/>
        </w:rPr>
        <w:t>. Second Ed. New York: Springer.</w:t>
      </w:r>
    </w:p>
    <w:p w14:paraId="06CFB00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Jones-Correa, M. A. and Leal, D. L. (2001) ‘Political Participation: Does Religion Matter?’, </w:t>
      </w:r>
      <w:r w:rsidRPr="002804ED">
        <w:rPr>
          <w:rFonts w:cs="Segoe UI"/>
          <w:i/>
          <w:iCs/>
          <w:noProof/>
          <w:szCs w:val="24"/>
        </w:rPr>
        <w:t>Political Research Quarterly</w:t>
      </w:r>
      <w:r w:rsidRPr="002804ED">
        <w:rPr>
          <w:rFonts w:cs="Segoe UI"/>
          <w:noProof/>
          <w:szCs w:val="24"/>
        </w:rPr>
        <w:t>, 54(4), pp. 751–770. doi: 10.1177/106591290105400404.</w:t>
      </w:r>
    </w:p>
    <w:p w14:paraId="68A0D0E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Jowett (trans.), B. (1999) </w:t>
      </w:r>
      <w:r w:rsidRPr="002804ED">
        <w:rPr>
          <w:rFonts w:cs="Segoe UI"/>
          <w:i/>
          <w:iCs/>
          <w:noProof/>
          <w:szCs w:val="24"/>
        </w:rPr>
        <w:t>Politics [Aristotle]</w:t>
      </w:r>
      <w:r w:rsidRPr="002804ED">
        <w:rPr>
          <w:rFonts w:cs="Segoe UI"/>
          <w:noProof/>
          <w:szCs w:val="24"/>
        </w:rPr>
        <w:t>. Online: Batoche Books.</w:t>
      </w:r>
    </w:p>
    <w:p w14:paraId="7C7B68B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Joya, A. (2011) ‘The Egyptian revolution: crisis of neoliberalism and the potential for democratic politics’, </w:t>
      </w:r>
      <w:r w:rsidRPr="002804ED">
        <w:rPr>
          <w:rFonts w:cs="Segoe UI"/>
          <w:i/>
          <w:iCs/>
          <w:noProof/>
          <w:szCs w:val="24"/>
        </w:rPr>
        <w:t>Review of African Political Economy</w:t>
      </w:r>
      <w:r w:rsidRPr="002804ED">
        <w:rPr>
          <w:rFonts w:cs="Segoe UI"/>
          <w:noProof/>
          <w:szCs w:val="24"/>
        </w:rPr>
        <w:t>, 38(129), pp. 367–386. doi: 10.1080/03056244.2011.602544.</w:t>
      </w:r>
    </w:p>
    <w:p w14:paraId="256D07C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Jusko, K. L. and Shively, W. P. (2005) ‘Applying a Two-Step Strategy to the Analysis of Cross-National Public Opinion Data’, </w:t>
      </w:r>
      <w:r w:rsidRPr="002804ED">
        <w:rPr>
          <w:rFonts w:cs="Segoe UI"/>
          <w:i/>
          <w:iCs/>
          <w:noProof/>
          <w:szCs w:val="24"/>
        </w:rPr>
        <w:t>Political Analysis</w:t>
      </w:r>
      <w:r w:rsidRPr="002804ED">
        <w:rPr>
          <w:rFonts w:cs="Segoe UI"/>
          <w:noProof/>
          <w:szCs w:val="24"/>
        </w:rPr>
        <w:t>, 13(4), pp. 327–344. doi: 10.1093/pan/mpi030.</w:t>
      </w:r>
    </w:p>
    <w:p w14:paraId="62D11CB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Kaiser, H. F. (1960) ‘The Application of Electronic Computers to Factor Analysis’, </w:t>
      </w:r>
      <w:r w:rsidRPr="002804ED">
        <w:rPr>
          <w:rFonts w:cs="Segoe UI"/>
          <w:i/>
          <w:iCs/>
          <w:noProof/>
          <w:szCs w:val="24"/>
        </w:rPr>
        <w:t>Education and Psychological Measurement</w:t>
      </w:r>
      <w:r w:rsidRPr="002804ED">
        <w:rPr>
          <w:rFonts w:cs="Segoe UI"/>
          <w:noProof/>
          <w:szCs w:val="24"/>
        </w:rPr>
        <w:t>, XX(1), pp. 141–151.</w:t>
      </w:r>
    </w:p>
    <w:p w14:paraId="0B4758C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Kalandadze, K. and Orenstein, M. a. (2009) ‘Electoral Protests and Democratization Beyond the Color Revolutions’, </w:t>
      </w:r>
      <w:r w:rsidRPr="002804ED">
        <w:rPr>
          <w:rFonts w:cs="Segoe UI"/>
          <w:i/>
          <w:iCs/>
          <w:noProof/>
          <w:szCs w:val="24"/>
        </w:rPr>
        <w:t>Comparative Political Studies</w:t>
      </w:r>
      <w:r w:rsidRPr="002804ED">
        <w:rPr>
          <w:rFonts w:cs="Segoe UI"/>
          <w:noProof/>
          <w:szCs w:val="24"/>
        </w:rPr>
        <w:t>, 42(11), pp. 1403–1425. doi: 10.1177/0010414009332131.</w:t>
      </w:r>
    </w:p>
    <w:p w14:paraId="4B25519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Kalenborn, C. and Lessman, C. (2012) ‘The Impact of Democracy and Press Freedom on Corruption : Conditionality Matters’, </w:t>
      </w:r>
      <w:r w:rsidRPr="002804ED">
        <w:rPr>
          <w:rFonts w:cs="Segoe UI"/>
          <w:i/>
          <w:iCs/>
          <w:noProof/>
          <w:szCs w:val="24"/>
        </w:rPr>
        <w:t>CESifo Working Paper</w:t>
      </w:r>
      <w:r w:rsidRPr="002804ED">
        <w:rPr>
          <w:rFonts w:cs="Segoe UI"/>
          <w:noProof/>
          <w:szCs w:val="24"/>
        </w:rPr>
        <w:t>, 3917, pp. 1–24.</w:t>
      </w:r>
    </w:p>
    <w:p w14:paraId="71B6CC8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Karstedt, S. (2006) ‘Democracy, Values, and Violence: Paradoxes, Tensions, and Comparative Advantages of Liberal Inclusion’, </w:t>
      </w:r>
      <w:r w:rsidRPr="002804ED">
        <w:rPr>
          <w:rFonts w:cs="Segoe UI"/>
          <w:i/>
          <w:iCs/>
          <w:noProof/>
          <w:szCs w:val="24"/>
        </w:rPr>
        <w:t>The Annals of the American Academy of Political and Social Science</w:t>
      </w:r>
      <w:r w:rsidRPr="002804ED">
        <w:rPr>
          <w:rFonts w:cs="Segoe UI"/>
          <w:noProof/>
          <w:szCs w:val="24"/>
        </w:rPr>
        <w:t>, 605(1), pp. 50–81. doi: 10.1177/0002716206288248.</w:t>
      </w:r>
    </w:p>
    <w:p w14:paraId="0CD1B21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Karstedt, S. and Lafree, G. (2006) ‘Democracy, Crime, and Justice’, </w:t>
      </w:r>
      <w:r w:rsidRPr="002804ED">
        <w:rPr>
          <w:rFonts w:cs="Segoe UI"/>
          <w:i/>
          <w:iCs/>
          <w:noProof/>
          <w:szCs w:val="24"/>
        </w:rPr>
        <w:t>The Annals of the American Academy of Political and Social Science</w:t>
      </w:r>
      <w:r w:rsidRPr="002804ED">
        <w:rPr>
          <w:rFonts w:cs="Segoe UI"/>
          <w:noProof/>
          <w:szCs w:val="24"/>
        </w:rPr>
        <w:t>, 605(1), pp. 6–23. doi: 10.1177/0002716206288230.</w:t>
      </w:r>
    </w:p>
    <w:p w14:paraId="63A8C0E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Karyotis, G. and Rudig, W. (2015) ‘Blame and Punishment? The Electoral Politics of Extreme Austerity in Greece’, </w:t>
      </w:r>
      <w:r w:rsidRPr="002804ED">
        <w:rPr>
          <w:rFonts w:cs="Segoe UI"/>
          <w:i/>
          <w:iCs/>
          <w:noProof/>
          <w:szCs w:val="24"/>
        </w:rPr>
        <w:t>Political Studies</w:t>
      </w:r>
      <w:r w:rsidRPr="002804ED">
        <w:rPr>
          <w:rFonts w:cs="Segoe UI"/>
          <w:noProof/>
          <w:szCs w:val="24"/>
        </w:rPr>
        <w:t>, 63(1), pp. 2–24. doi: 10.1111/1467-9248.12076.</w:t>
      </w:r>
    </w:p>
    <w:p w14:paraId="5BFCC3B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Keane, J. (2009) </w:t>
      </w:r>
      <w:r w:rsidRPr="002804ED">
        <w:rPr>
          <w:rFonts w:cs="Segoe UI"/>
          <w:i/>
          <w:iCs/>
          <w:noProof/>
          <w:szCs w:val="24"/>
        </w:rPr>
        <w:t>The Life and Death of Democracy</w:t>
      </w:r>
      <w:r w:rsidRPr="002804ED">
        <w:rPr>
          <w:rFonts w:cs="Segoe UI"/>
          <w:noProof/>
          <w:szCs w:val="24"/>
        </w:rPr>
        <w:t>. London: Simon &amp; Schuster.</w:t>
      </w:r>
    </w:p>
    <w:p w14:paraId="0AEC477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Keller, S. (2013) ‘Elite Attitudes, Mass Nationalism and European integration: A Multi-level Approach’, </w:t>
      </w:r>
      <w:r w:rsidRPr="002804ED">
        <w:rPr>
          <w:rFonts w:cs="Segoe UI"/>
          <w:i/>
          <w:iCs/>
          <w:noProof/>
          <w:szCs w:val="24"/>
        </w:rPr>
        <w:t>Studia UBB Sociologia</w:t>
      </w:r>
      <w:r w:rsidRPr="002804ED">
        <w:rPr>
          <w:rFonts w:cs="Segoe UI"/>
          <w:noProof/>
          <w:szCs w:val="24"/>
        </w:rPr>
        <w:t>, LVIII(1), pp. 55–68.</w:t>
      </w:r>
    </w:p>
    <w:p w14:paraId="257ED58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Kern, A., Marien, S. and Hooghe, M. (2015) ‘Economic Crisis and Levels of Political Participation in Europe (2002–2010): The Role of Resources and Grievances’, </w:t>
      </w:r>
      <w:r w:rsidRPr="002804ED">
        <w:rPr>
          <w:rFonts w:cs="Segoe UI"/>
          <w:i/>
          <w:iCs/>
          <w:noProof/>
          <w:szCs w:val="24"/>
        </w:rPr>
        <w:t>West European Politics</w:t>
      </w:r>
      <w:r w:rsidRPr="002804ED">
        <w:rPr>
          <w:rFonts w:cs="Segoe UI"/>
          <w:noProof/>
          <w:szCs w:val="24"/>
        </w:rPr>
        <w:t>, 2382(December). doi: 10.1080/01402382.2014.993152.</w:t>
      </w:r>
    </w:p>
    <w:p w14:paraId="0DD3984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Khrapavitski, A. </w:t>
      </w:r>
      <w:r w:rsidRPr="002804ED">
        <w:rPr>
          <w:rFonts w:cs="Segoe UI"/>
          <w:i/>
          <w:iCs/>
          <w:noProof/>
          <w:szCs w:val="24"/>
        </w:rPr>
        <w:t>et al.</w:t>
      </w:r>
      <w:r w:rsidRPr="002804ED">
        <w:rPr>
          <w:rFonts w:cs="Segoe UI"/>
          <w:noProof/>
          <w:szCs w:val="24"/>
        </w:rPr>
        <w:t xml:space="preserve"> (2011) ‘Linking Measures of Global Press Freedom to Development and Culture : Implications from a Comparative Analysis California State University , Fresno University of North Carolina at Chapel Hill’, </w:t>
      </w:r>
      <w:r w:rsidRPr="002804ED">
        <w:rPr>
          <w:rFonts w:cs="Segoe UI"/>
          <w:i/>
          <w:iCs/>
          <w:noProof/>
          <w:szCs w:val="24"/>
        </w:rPr>
        <w:t>International Journal of Communication</w:t>
      </w:r>
      <w:r w:rsidRPr="002804ED">
        <w:rPr>
          <w:rFonts w:cs="Segoe UI"/>
          <w:noProof/>
          <w:szCs w:val="24"/>
        </w:rPr>
        <w:t>, 5, pp. 170–191.</w:t>
      </w:r>
    </w:p>
    <w:p w14:paraId="0986BB8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Kim, O. and Mueller, C. (1978) </w:t>
      </w:r>
      <w:r w:rsidRPr="002804ED">
        <w:rPr>
          <w:rFonts w:cs="Segoe UI"/>
          <w:i/>
          <w:iCs/>
          <w:noProof/>
          <w:szCs w:val="24"/>
        </w:rPr>
        <w:t>Introduction to factor analysis: What it is and how to do it</w:t>
      </w:r>
      <w:r w:rsidRPr="002804ED">
        <w:rPr>
          <w:rFonts w:cs="Segoe UI"/>
          <w:noProof/>
          <w:szCs w:val="24"/>
        </w:rPr>
        <w:t>. Beverly Hills: Sage.</w:t>
      </w:r>
    </w:p>
    <w:p w14:paraId="10D4358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Kitschelt, H. (1986) ‘Political Opportunity Structures and Political Protest: Anti-Nuclear Movement in Four Democracies’, </w:t>
      </w:r>
      <w:r w:rsidRPr="002804ED">
        <w:rPr>
          <w:rFonts w:cs="Segoe UI"/>
          <w:i/>
          <w:iCs/>
          <w:noProof/>
          <w:szCs w:val="24"/>
        </w:rPr>
        <w:t>British Journal of Political Science</w:t>
      </w:r>
      <w:r w:rsidRPr="002804ED">
        <w:rPr>
          <w:rFonts w:cs="Segoe UI"/>
          <w:noProof/>
          <w:szCs w:val="24"/>
        </w:rPr>
        <w:t>, 16(1), pp. 57–85. doi: 10.1017/S000712340000380X.</w:t>
      </w:r>
    </w:p>
    <w:p w14:paraId="38166AF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Klingemann, H.-D. (1998) ‘Mapping Political Support in the 1990s: A Global Analysis’, in Norris, P. (ed.) </w:t>
      </w:r>
      <w:r w:rsidRPr="002804ED">
        <w:rPr>
          <w:rFonts w:cs="Segoe UI"/>
          <w:i/>
          <w:iCs/>
          <w:noProof/>
          <w:szCs w:val="24"/>
        </w:rPr>
        <w:t>Critical Citizens - Global Support for Democratic Governance</w:t>
      </w:r>
      <w:r w:rsidRPr="002804ED">
        <w:rPr>
          <w:rFonts w:cs="Segoe UI"/>
          <w:noProof/>
          <w:szCs w:val="24"/>
        </w:rPr>
        <w:t>. Oxford: Oxford University Press, pp. 31–57.</w:t>
      </w:r>
    </w:p>
    <w:p w14:paraId="4F114C6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Klingemann, H.-D. (2009) ‘The Impact of Political Institutions: A Contribution of the “Comparative Study of Electoral Systems” (CSES) to Micro-Macro Theories of Political Attitude Formation and Voting Behaviour’, in Klingemann, H.-D. (ed.) </w:t>
      </w:r>
      <w:r w:rsidRPr="002804ED">
        <w:rPr>
          <w:rFonts w:cs="Segoe UI"/>
          <w:i/>
          <w:iCs/>
          <w:noProof/>
          <w:szCs w:val="24"/>
        </w:rPr>
        <w:t>The Comparative Study of Electoral Systems</w:t>
      </w:r>
      <w:r w:rsidRPr="002804ED">
        <w:rPr>
          <w:rFonts w:cs="Segoe UI"/>
          <w:noProof/>
          <w:szCs w:val="24"/>
        </w:rPr>
        <w:t>. Oxford: Oxford University Press.</w:t>
      </w:r>
    </w:p>
    <w:p w14:paraId="65AE109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Kopecký, P. and Mudde, C. (2000) ‘What has Eastern Europe taught us about the democratisation literature (and vice versa)?’, </w:t>
      </w:r>
      <w:r w:rsidRPr="002804ED">
        <w:rPr>
          <w:rFonts w:cs="Segoe UI"/>
          <w:i/>
          <w:iCs/>
          <w:noProof/>
          <w:szCs w:val="24"/>
        </w:rPr>
        <w:t>European Journal of Political Research</w:t>
      </w:r>
      <w:r w:rsidRPr="002804ED">
        <w:rPr>
          <w:rFonts w:cs="Segoe UI"/>
          <w:noProof/>
          <w:szCs w:val="24"/>
        </w:rPr>
        <w:t>, 37, pp. 517–539. Available at: http://www.springerlink.com/index/8HD4KTW7MDTEKTWY.pdf (Accessed: 17 July 2012).</w:t>
      </w:r>
    </w:p>
    <w:p w14:paraId="61BF81F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Kreft, G. G. and de Leeuw, E. D. (1988) ‘The See-Saw Effect: a multilevel problem?’, </w:t>
      </w:r>
      <w:r w:rsidRPr="002804ED">
        <w:rPr>
          <w:rFonts w:cs="Segoe UI"/>
          <w:i/>
          <w:iCs/>
          <w:noProof/>
          <w:szCs w:val="24"/>
        </w:rPr>
        <w:t>Quality and Quantity</w:t>
      </w:r>
      <w:r w:rsidRPr="002804ED">
        <w:rPr>
          <w:rFonts w:cs="Segoe UI"/>
          <w:noProof/>
          <w:szCs w:val="24"/>
        </w:rPr>
        <w:t>, 22(2), pp. 127–137. doi: 10.1007/BF00223037.</w:t>
      </w:r>
    </w:p>
    <w:p w14:paraId="0AEAC0E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Kreft, G. G. and de Leeuw, J. (1998) </w:t>
      </w:r>
      <w:r w:rsidRPr="002804ED">
        <w:rPr>
          <w:rFonts w:cs="Segoe UI"/>
          <w:i/>
          <w:iCs/>
          <w:noProof/>
          <w:szCs w:val="24"/>
        </w:rPr>
        <w:t>Introducing Multilevel Modelling</w:t>
      </w:r>
      <w:r w:rsidRPr="002804ED">
        <w:rPr>
          <w:rFonts w:cs="Segoe UI"/>
          <w:noProof/>
          <w:szCs w:val="24"/>
        </w:rPr>
        <w:t>. London: SAGE Publications.</w:t>
      </w:r>
    </w:p>
    <w:p w14:paraId="6AF6DFF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Kriesi, H. </w:t>
      </w:r>
      <w:r w:rsidRPr="002804ED">
        <w:rPr>
          <w:rFonts w:cs="Segoe UI"/>
          <w:i/>
          <w:iCs/>
          <w:noProof/>
          <w:szCs w:val="24"/>
        </w:rPr>
        <w:t>et al.</w:t>
      </w:r>
      <w:r w:rsidRPr="002804ED">
        <w:rPr>
          <w:rFonts w:cs="Segoe UI"/>
          <w:noProof/>
          <w:szCs w:val="24"/>
        </w:rPr>
        <w:t xml:space="preserve"> (1995) </w:t>
      </w:r>
      <w:r w:rsidRPr="002804ED">
        <w:rPr>
          <w:rFonts w:cs="Segoe UI"/>
          <w:i/>
          <w:iCs/>
          <w:noProof/>
          <w:szCs w:val="24"/>
        </w:rPr>
        <w:t>Th Politics of New Social Movements in Western Europe</w:t>
      </w:r>
      <w:r w:rsidRPr="002804ED">
        <w:rPr>
          <w:rFonts w:cs="Segoe UI"/>
          <w:noProof/>
          <w:szCs w:val="24"/>
        </w:rPr>
        <w:t>. London: University College of London Press.</w:t>
      </w:r>
    </w:p>
    <w:p w14:paraId="1BF9F6B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Kuru, A. T. (2011) ‘Passive and Assertive Secularism: Historical Conditions, Ideological Struggles, and State Policies toward Religion’, </w:t>
      </w:r>
      <w:r w:rsidRPr="002804ED">
        <w:rPr>
          <w:rFonts w:cs="Segoe UI"/>
          <w:i/>
          <w:iCs/>
          <w:noProof/>
          <w:szCs w:val="24"/>
        </w:rPr>
        <w:t>World Politics</w:t>
      </w:r>
      <w:r w:rsidRPr="002804ED">
        <w:rPr>
          <w:rFonts w:cs="Segoe UI"/>
          <w:noProof/>
          <w:szCs w:val="24"/>
        </w:rPr>
        <w:t>, 59(4), pp. 568–594. doi: 10.1353/wp.2008.0005.</w:t>
      </w:r>
    </w:p>
    <w:p w14:paraId="5F7AC67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Lafree, G. and Tseloni, A. (2006) ‘Democracy and Crime: A Multilevel Analysis of Homicide Trends in Forty-Four Countries, 1950-2000’, </w:t>
      </w:r>
      <w:r w:rsidRPr="002804ED">
        <w:rPr>
          <w:rFonts w:cs="Segoe UI"/>
          <w:i/>
          <w:iCs/>
          <w:noProof/>
          <w:szCs w:val="24"/>
        </w:rPr>
        <w:t>The ANNALS of the American Academy of Political and Social Science</w:t>
      </w:r>
      <w:r w:rsidRPr="002804ED">
        <w:rPr>
          <w:rFonts w:cs="Segoe UI"/>
          <w:noProof/>
          <w:szCs w:val="24"/>
        </w:rPr>
        <w:t>, 605(1), pp. 25–49. doi: 10.1177/0002716206287169.</w:t>
      </w:r>
    </w:p>
    <w:p w14:paraId="041D747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Lagos, M. (2003) ‘Support for and satisfaction with democracy’, </w:t>
      </w:r>
      <w:r w:rsidRPr="002804ED">
        <w:rPr>
          <w:rFonts w:cs="Segoe UI"/>
          <w:i/>
          <w:iCs/>
          <w:noProof/>
          <w:szCs w:val="24"/>
        </w:rPr>
        <w:t>International Journal of Public Opinion Research</w:t>
      </w:r>
      <w:r w:rsidRPr="002804ED">
        <w:rPr>
          <w:rFonts w:cs="Segoe UI"/>
          <w:noProof/>
          <w:szCs w:val="24"/>
        </w:rPr>
        <w:t>, 15(4), pp. 471–487.</w:t>
      </w:r>
    </w:p>
    <w:p w14:paraId="790AB96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Lagos, M. (2008) ‘Latin America’s Diversity of Views’, </w:t>
      </w:r>
      <w:r w:rsidRPr="002804ED">
        <w:rPr>
          <w:rFonts w:cs="Segoe UI"/>
          <w:i/>
          <w:iCs/>
          <w:noProof/>
          <w:szCs w:val="24"/>
        </w:rPr>
        <w:t>Journal of Democracy</w:t>
      </w:r>
      <w:r w:rsidRPr="002804ED">
        <w:rPr>
          <w:rFonts w:cs="Segoe UI"/>
          <w:noProof/>
          <w:szCs w:val="24"/>
        </w:rPr>
        <w:t>, 19(1), pp. 111–125. doi: 10.1353/jod.2008.0010.</w:t>
      </w:r>
    </w:p>
    <w:p w14:paraId="2B775DA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Landman, T. (1999) ‘Economic Development and Democracy : the View from Latin America’, </w:t>
      </w:r>
      <w:r w:rsidRPr="002804ED">
        <w:rPr>
          <w:rFonts w:cs="Segoe UI"/>
          <w:i/>
          <w:iCs/>
          <w:noProof/>
          <w:szCs w:val="24"/>
        </w:rPr>
        <w:t>Political Studies</w:t>
      </w:r>
      <w:r w:rsidRPr="002804ED">
        <w:rPr>
          <w:rFonts w:cs="Segoe UI"/>
          <w:noProof/>
          <w:szCs w:val="24"/>
        </w:rPr>
        <w:t>, 47(4), pp. 607–626.</w:t>
      </w:r>
    </w:p>
    <w:p w14:paraId="1D5113E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Landman, T. (2003) </w:t>
      </w:r>
      <w:r w:rsidRPr="002804ED">
        <w:rPr>
          <w:rFonts w:cs="Segoe UI"/>
          <w:i/>
          <w:iCs/>
          <w:noProof/>
          <w:szCs w:val="24"/>
        </w:rPr>
        <w:t>Issues and Methods in Comparative Politics : An Introduction</w:t>
      </w:r>
      <w:r w:rsidRPr="002804ED">
        <w:rPr>
          <w:rFonts w:cs="Segoe UI"/>
          <w:noProof/>
          <w:szCs w:val="24"/>
        </w:rPr>
        <w:t>. London: Routledge.</w:t>
      </w:r>
    </w:p>
    <w:p w14:paraId="4A757A4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Larsen, K. and Merlo, J. (2005) ‘Appropriate assessment of neighborhood effects on individual health: Integrating random and fixed effects in multilevel logistic regression’, </w:t>
      </w:r>
      <w:r w:rsidRPr="002804ED">
        <w:rPr>
          <w:rFonts w:cs="Segoe UI"/>
          <w:i/>
          <w:iCs/>
          <w:noProof/>
          <w:szCs w:val="24"/>
        </w:rPr>
        <w:t>American Journal of Epidemiology</w:t>
      </w:r>
      <w:r w:rsidRPr="002804ED">
        <w:rPr>
          <w:rFonts w:cs="Segoe UI"/>
          <w:noProof/>
          <w:szCs w:val="24"/>
        </w:rPr>
        <w:t>, 161(1), pp. 81–88. doi: 10.1093/aje/kwi017.</w:t>
      </w:r>
    </w:p>
    <w:p w14:paraId="17DFFAB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Lee, C.-S. (2012) ‘Welfare States and Social Trust’, </w:t>
      </w:r>
      <w:r w:rsidRPr="002804ED">
        <w:rPr>
          <w:rFonts w:cs="Segoe UI"/>
          <w:i/>
          <w:iCs/>
          <w:noProof/>
          <w:szCs w:val="24"/>
        </w:rPr>
        <w:t>Comparative Political Studies</w:t>
      </w:r>
      <w:r w:rsidRPr="002804ED">
        <w:rPr>
          <w:rFonts w:cs="Segoe UI"/>
          <w:noProof/>
          <w:szCs w:val="24"/>
        </w:rPr>
        <w:t>, 46(5), pp. 603–630. doi: 10.1177/0010414012463878.</w:t>
      </w:r>
    </w:p>
    <w:p w14:paraId="06A0FB1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Levine, D. H. (1988) ‘Review Articles Paradign Lost : Dependence to Democracy’, </w:t>
      </w:r>
      <w:r w:rsidRPr="002804ED">
        <w:rPr>
          <w:rFonts w:cs="Segoe UI"/>
          <w:i/>
          <w:iCs/>
          <w:noProof/>
          <w:szCs w:val="24"/>
        </w:rPr>
        <w:t>World Politics</w:t>
      </w:r>
      <w:r w:rsidRPr="002804ED">
        <w:rPr>
          <w:rFonts w:cs="Segoe UI"/>
          <w:noProof/>
          <w:szCs w:val="24"/>
        </w:rPr>
        <w:t>, 40(3), pp. 377–394.</w:t>
      </w:r>
    </w:p>
    <w:p w14:paraId="68CC9FC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Levitsky, S. and Way, L. (2002) ‘The Rise of Competitive Authoritarianism’, </w:t>
      </w:r>
      <w:r w:rsidRPr="002804ED">
        <w:rPr>
          <w:rFonts w:cs="Segoe UI"/>
          <w:i/>
          <w:iCs/>
          <w:noProof/>
          <w:szCs w:val="24"/>
        </w:rPr>
        <w:t>Journal of Democracy</w:t>
      </w:r>
      <w:r w:rsidRPr="002804ED">
        <w:rPr>
          <w:rFonts w:cs="Segoe UI"/>
          <w:noProof/>
          <w:szCs w:val="24"/>
        </w:rPr>
        <w:t>, 13(2), pp. 51–65. doi: 10.1353/jod.2002.0026.</w:t>
      </w:r>
    </w:p>
    <w:p w14:paraId="0D1B798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Lincoln, A. (1863) </w:t>
      </w:r>
      <w:r w:rsidRPr="002804ED">
        <w:rPr>
          <w:rFonts w:cs="Segoe UI"/>
          <w:i/>
          <w:iCs/>
          <w:noProof/>
          <w:szCs w:val="24"/>
        </w:rPr>
        <w:t>The Gettysburg Address</w:t>
      </w:r>
      <w:r w:rsidRPr="002804ED">
        <w:rPr>
          <w:rFonts w:cs="Segoe UI"/>
          <w:noProof/>
          <w:szCs w:val="24"/>
        </w:rPr>
        <w:t xml:space="preserve">, </w:t>
      </w:r>
      <w:r w:rsidRPr="002804ED">
        <w:rPr>
          <w:rFonts w:cs="Segoe UI"/>
          <w:i/>
          <w:iCs/>
          <w:noProof/>
          <w:szCs w:val="24"/>
        </w:rPr>
        <w:t>Abraham Lincoln Online</w:t>
      </w:r>
      <w:r w:rsidRPr="002804ED">
        <w:rPr>
          <w:rFonts w:cs="Segoe UI"/>
          <w:noProof/>
          <w:szCs w:val="24"/>
        </w:rPr>
        <w:t>. Available at: http://www.abrahamlincolnonline.org/lincoln/speeches/gettysburg.htm (Accessed: 2 June 2016).</w:t>
      </w:r>
    </w:p>
    <w:p w14:paraId="7211114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Linde, J. and Ekman, J. (2003) ‘Satisfaction with democracy : A note on a frequently used indicator in comparative politics’, </w:t>
      </w:r>
      <w:r w:rsidRPr="002804ED">
        <w:rPr>
          <w:rFonts w:cs="Segoe UI"/>
          <w:i/>
          <w:iCs/>
          <w:noProof/>
          <w:szCs w:val="24"/>
        </w:rPr>
        <w:t>European Journal of Political Research</w:t>
      </w:r>
      <w:r w:rsidRPr="002804ED">
        <w:rPr>
          <w:rFonts w:cs="Segoe UI"/>
          <w:noProof/>
          <w:szCs w:val="24"/>
        </w:rPr>
        <w:t>, 42(3), pp. 391–408.</w:t>
      </w:r>
    </w:p>
    <w:p w14:paraId="13D061E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Linz, J. and Stepan, A. (1996) ‘Towards Consolidated Democracies’, </w:t>
      </w:r>
      <w:r w:rsidRPr="002804ED">
        <w:rPr>
          <w:rFonts w:cs="Segoe UI"/>
          <w:i/>
          <w:iCs/>
          <w:noProof/>
          <w:szCs w:val="24"/>
        </w:rPr>
        <w:t>Journal of Democracy</w:t>
      </w:r>
      <w:r w:rsidRPr="002804ED">
        <w:rPr>
          <w:rFonts w:cs="Segoe UI"/>
          <w:noProof/>
          <w:szCs w:val="24"/>
        </w:rPr>
        <w:t>, 7(2), pp. 14–33.</w:t>
      </w:r>
    </w:p>
    <w:p w14:paraId="3C47B81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Lipset, S. M. (1959) ‘Some Social Requisites of Democracy: Economic Development and Political Legitimacy’, </w:t>
      </w:r>
      <w:r w:rsidRPr="002804ED">
        <w:rPr>
          <w:rFonts w:cs="Segoe UI"/>
          <w:i/>
          <w:iCs/>
          <w:noProof/>
          <w:szCs w:val="24"/>
        </w:rPr>
        <w:t>The American Political Science Review</w:t>
      </w:r>
      <w:r w:rsidRPr="002804ED">
        <w:rPr>
          <w:rFonts w:cs="Segoe UI"/>
          <w:noProof/>
          <w:szCs w:val="24"/>
        </w:rPr>
        <w:t>. American Political Science Association, 53(1), pp. 69–105. doi: 10.2307/1951731.</w:t>
      </w:r>
    </w:p>
    <w:p w14:paraId="266E7C3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Londregan, J. and Poole, K. T. (1990) ‘Poverty, The Coup Trap, and the Seizure of Executive Power’, </w:t>
      </w:r>
      <w:r w:rsidRPr="002804ED">
        <w:rPr>
          <w:rFonts w:cs="Segoe UI"/>
          <w:i/>
          <w:iCs/>
          <w:noProof/>
          <w:szCs w:val="24"/>
        </w:rPr>
        <w:t>World Politics</w:t>
      </w:r>
      <w:r w:rsidRPr="002804ED">
        <w:rPr>
          <w:rFonts w:cs="Segoe UI"/>
          <w:noProof/>
          <w:szCs w:val="24"/>
        </w:rPr>
        <w:t>, 42(2), pp. 151–183.</w:t>
      </w:r>
    </w:p>
    <w:p w14:paraId="77A0EBE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Lora, E. and Fajardo, J. (2013) ‘Latin American Middle Classes : The Distance between Perception and Reality’, </w:t>
      </w:r>
      <w:r w:rsidRPr="002804ED">
        <w:rPr>
          <w:rFonts w:cs="Segoe UI"/>
          <w:i/>
          <w:iCs/>
          <w:noProof/>
          <w:szCs w:val="24"/>
        </w:rPr>
        <w:t>Economia</w:t>
      </w:r>
      <w:r w:rsidRPr="002804ED">
        <w:rPr>
          <w:rFonts w:cs="Segoe UI"/>
          <w:noProof/>
          <w:szCs w:val="24"/>
        </w:rPr>
        <w:t>, 14(1), pp. 33–54. Available at: http://idbdocs.iadb.org/wsdocs/getdocument.aspx?docnum=36559121.</w:t>
      </w:r>
    </w:p>
    <w:p w14:paraId="7385E7A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Loughlin, J. O. </w:t>
      </w:r>
      <w:r w:rsidRPr="002804ED">
        <w:rPr>
          <w:rFonts w:cs="Segoe UI"/>
          <w:i/>
          <w:iCs/>
          <w:noProof/>
          <w:szCs w:val="24"/>
        </w:rPr>
        <w:t>et al.</w:t>
      </w:r>
      <w:r w:rsidRPr="002804ED">
        <w:rPr>
          <w:rFonts w:cs="Segoe UI"/>
          <w:noProof/>
          <w:szCs w:val="24"/>
        </w:rPr>
        <w:t xml:space="preserve"> (1998) ‘The Diffusion of Democracy , 1946-1994’, </w:t>
      </w:r>
      <w:r w:rsidRPr="002804ED">
        <w:rPr>
          <w:rFonts w:cs="Segoe UI"/>
          <w:i/>
          <w:iCs/>
          <w:noProof/>
          <w:szCs w:val="24"/>
        </w:rPr>
        <w:t>Annals of the Association of American Geographers</w:t>
      </w:r>
      <w:r w:rsidRPr="002804ED">
        <w:rPr>
          <w:rFonts w:cs="Segoe UI"/>
          <w:noProof/>
          <w:szCs w:val="24"/>
        </w:rPr>
        <w:t>, 88(4), pp. 545–574.</w:t>
      </w:r>
    </w:p>
    <w:p w14:paraId="73151ED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Maas, C. J. M. and Hox, J. J. (2004) ‘Robustness issues in multilevel regression analysis’, </w:t>
      </w:r>
      <w:r w:rsidRPr="002804ED">
        <w:rPr>
          <w:rFonts w:cs="Segoe UI"/>
          <w:i/>
          <w:iCs/>
          <w:noProof/>
          <w:szCs w:val="24"/>
        </w:rPr>
        <w:t>Statistica Neerlandica</w:t>
      </w:r>
      <w:r w:rsidRPr="002804ED">
        <w:rPr>
          <w:rFonts w:cs="Segoe UI"/>
          <w:noProof/>
          <w:szCs w:val="24"/>
        </w:rPr>
        <w:t>, 58(2), pp. 127–137. doi: 10.1046/j.0039-0402.2003.00252.x.</w:t>
      </w:r>
    </w:p>
    <w:p w14:paraId="0C4C7C2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Macpherson, C. . (1977) </w:t>
      </w:r>
      <w:r w:rsidRPr="002804ED">
        <w:rPr>
          <w:rFonts w:cs="Segoe UI"/>
          <w:i/>
          <w:iCs/>
          <w:noProof/>
          <w:szCs w:val="24"/>
        </w:rPr>
        <w:t>The life and times of liberal democracy</w:t>
      </w:r>
      <w:r w:rsidRPr="002804ED">
        <w:rPr>
          <w:rFonts w:cs="Segoe UI"/>
          <w:noProof/>
          <w:szCs w:val="24"/>
        </w:rPr>
        <w:t>. Oxford: Oxford University Press.</w:t>
      </w:r>
    </w:p>
    <w:p w14:paraId="6D44264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Magee, C. S. P. and Doces, J. a. (2015) ‘Reconsidering Regime Type and Growth: Lies, Dictatorships, and Statistics’, </w:t>
      </w:r>
      <w:r w:rsidRPr="002804ED">
        <w:rPr>
          <w:rFonts w:cs="Segoe UI"/>
          <w:i/>
          <w:iCs/>
          <w:noProof/>
          <w:szCs w:val="24"/>
        </w:rPr>
        <w:t>International Studies Quarterly</w:t>
      </w:r>
      <w:r w:rsidRPr="002804ED">
        <w:rPr>
          <w:rFonts w:cs="Segoe UI"/>
          <w:noProof/>
          <w:szCs w:val="24"/>
        </w:rPr>
        <w:t>, 59, pp. 223–237. doi: 10.1111/isqu.12143.</w:t>
      </w:r>
    </w:p>
    <w:p w14:paraId="6A7E706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Manly, B. (2005) </w:t>
      </w:r>
      <w:r w:rsidRPr="002804ED">
        <w:rPr>
          <w:rFonts w:cs="Segoe UI"/>
          <w:i/>
          <w:iCs/>
          <w:noProof/>
          <w:szCs w:val="24"/>
        </w:rPr>
        <w:t>Multivariate Statistical Methods: A Primer</w:t>
      </w:r>
      <w:r w:rsidRPr="002804ED">
        <w:rPr>
          <w:rFonts w:cs="Segoe UI"/>
          <w:noProof/>
          <w:szCs w:val="24"/>
        </w:rPr>
        <w:t>. Third Ed. New York: Chapman &amp; Hall/CRC.</w:t>
      </w:r>
    </w:p>
    <w:p w14:paraId="0FA9FE6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Mansbridge, J. (1993) ‘Feminism and Democratic Community’, in Chapman, J. and Shapiro, I. (eds) </w:t>
      </w:r>
      <w:r w:rsidRPr="002804ED">
        <w:rPr>
          <w:rFonts w:cs="Segoe UI"/>
          <w:i/>
          <w:iCs/>
          <w:noProof/>
          <w:szCs w:val="24"/>
        </w:rPr>
        <w:t>Democratic Community</w:t>
      </w:r>
      <w:r w:rsidRPr="002804ED">
        <w:rPr>
          <w:rFonts w:cs="Segoe UI"/>
          <w:noProof/>
          <w:szCs w:val="24"/>
        </w:rPr>
        <w:t>. London: New York University Press, pp. 339–395.</w:t>
      </w:r>
    </w:p>
    <w:p w14:paraId="07915BA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Marien, S. and Hooghe, M. (2011) ‘Does political trust matter? An empirical investigation into the relation between political trust and support for law compliance’, </w:t>
      </w:r>
      <w:r w:rsidRPr="002804ED">
        <w:rPr>
          <w:rFonts w:cs="Segoe UI"/>
          <w:i/>
          <w:iCs/>
          <w:noProof/>
          <w:szCs w:val="24"/>
        </w:rPr>
        <w:t>European Journal of Political Research</w:t>
      </w:r>
      <w:r w:rsidRPr="002804ED">
        <w:rPr>
          <w:rFonts w:cs="Segoe UI"/>
          <w:noProof/>
          <w:szCs w:val="24"/>
        </w:rPr>
        <w:t>. Blackwell Publishing Ltd, 50(2), pp. 267–291. doi: 10.1111/j.1475-6765.2010.01930.x.</w:t>
      </w:r>
    </w:p>
    <w:p w14:paraId="6E7521C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Marien, S., Hooghe, M. and Quintelier, E. (2010) ‘Inequalities in Non-institutionalised Forms of Political Participation: A Multi-level Analysis of 25 countries’, </w:t>
      </w:r>
      <w:r w:rsidRPr="002804ED">
        <w:rPr>
          <w:rFonts w:cs="Segoe UI"/>
          <w:i/>
          <w:iCs/>
          <w:noProof/>
          <w:szCs w:val="24"/>
        </w:rPr>
        <w:t>Political Studies</w:t>
      </w:r>
      <w:r w:rsidRPr="002804ED">
        <w:rPr>
          <w:rFonts w:cs="Segoe UI"/>
          <w:noProof/>
          <w:szCs w:val="24"/>
        </w:rPr>
        <w:t>, 58(1), pp. 187–213. doi: 10.1111/j.1467-9248.2009.00801.x.</w:t>
      </w:r>
    </w:p>
    <w:p w14:paraId="1E9CC30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Marples, D. R. (2006) ‘Color revolutions: The Belarus case’, </w:t>
      </w:r>
      <w:r w:rsidRPr="002804ED">
        <w:rPr>
          <w:rFonts w:cs="Segoe UI"/>
          <w:i/>
          <w:iCs/>
          <w:noProof/>
          <w:szCs w:val="24"/>
        </w:rPr>
        <w:t>Communist and Post-Communist Studies</w:t>
      </w:r>
      <w:r w:rsidRPr="002804ED">
        <w:rPr>
          <w:rFonts w:cs="Segoe UI"/>
          <w:noProof/>
          <w:szCs w:val="24"/>
        </w:rPr>
        <w:t>, 39(3), pp. 351–364. doi: 10.1016/j.postcomstud.2006.06.004.</w:t>
      </w:r>
    </w:p>
    <w:p w14:paraId="7EF2BC2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Marshall, T. H. (1950) </w:t>
      </w:r>
      <w:r w:rsidRPr="002804ED">
        <w:rPr>
          <w:rFonts w:cs="Segoe UI"/>
          <w:i/>
          <w:iCs/>
          <w:noProof/>
          <w:szCs w:val="24"/>
        </w:rPr>
        <w:t>Citizenshp and Social Class</w:t>
      </w:r>
      <w:r w:rsidRPr="002804ED">
        <w:rPr>
          <w:rFonts w:cs="Segoe UI"/>
          <w:noProof/>
          <w:szCs w:val="24"/>
        </w:rPr>
        <w:t>. London: Pluto Press.</w:t>
      </w:r>
    </w:p>
    <w:p w14:paraId="412A2C5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Maxwell, K. (1995) </w:t>
      </w:r>
      <w:r w:rsidRPr="002804ED">
        <w:rPr>
          <w:rFonts w:cs="Segoe UI"/>
          <w:i/>
          <w:iCs/>
          <w:noProof/>
          <w:szCs w:val="24"/>
        </w:rPr>
        <w:t>The Making of Portuguese Democracy</w:t>
      </w:r>
      <w:r w:rsidRPr="002804ED">
        <w:rPr>
          <w:rFonts w:cs="Segoe UI"/>
          <w:noProof/>
          <w:szCs w:val="24"/>
        </w:rPr>
        <w:t>. Cambridge: Cambridge University Press.</w:t>
      </w:r>
    </w:p>
    <w:p w14:paraId="09F3FAB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McCargo, D. (2004) ‘Buddhism, democracy and identity in Thailand’, </w:t>
      </w:r>
      <w:r w:rsidRPr="002804ED">
        <w:rPr>
          <w:rFonts w:cs="Segoe UI"/>
          <w:i/>
          <w:iCs/>
          <w:noProof/>
          <w:szCs w:val="24"/>
        </w:rPr>
        <w:t>Democratization</w:t>
      </w:r>
      <w:r w:rsidRPr="002804ED">
        <w:rPr>
          <w:rFonts w:cs="Segoe UI"/>
          <w:noProof/>
          <w:szCs w:val="24"/>
        </w:rPr>
        <w:t>. Routledge, 11(4), pp. 155–170. doi: 10.1080/1351034042000234576.</w:t>
      </w:r>
    </w:p>
    <w:p w14:paraId="6FE63B0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McCarty, D., Poole, K. T. and Rosenthal, H. (2006) </w:t>
      </w:r>
      <w:r w:rsidRPr="002804ED">
        <w:rPr>
          <w:rFonts w:cs="Segoe UI"/>
          <w:i/>
          <w:iCs/>
          <w:noProof/>
          <w:szCs w:val="24"/>
        </w:rPr>
        <w:t>Polarized America: The Dance of Ideology and Unequal Riches</w:t>
      </w:r>
      <w:r w:rsidRPr="002804ED">
        <w:rPr>
          <w:rFonts w:cs="Segoe UI"/>
          <w:noProof/>
          <w:szCs w:val="24"/>
        </w:rPr>
        <w:t>. Cambridge, MA: MIT.</w:t>
      </w:r>
    </w:p>
    <w:p w14:paraId="6E72B79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McDonough, P., Shin, D. C. and Moisés, J. Á. (1998) ‘Democratization and Participation: Comparing Spain, Brazil, and Korea’, </w:t>
      </w:r>
      <w:r w:rsidRPr="002804ED">
        <w:rPr>
          <w:rFonts w:cs="Segoe UI"/>
          <w:i/>
          <w:iCs/>
          <w:noProof/>
          <w:szCs w:val="24"/>
        </w:rPr>
        <w:t>The Journal of Politics</w:t>
      </w:r>
      <w:r w:rsidRPr="002804ED">
        <w:rPr>
          <w:rFonts w:cs="Segoe UI"/>
          <w:noProof/>
          <w:szCs w:val="24"/>
        </w:rPr>
        <w:t>, 60(4), p. 919. doi: 10.2307/2647725.</w:t>
      </w:r>
    </w:p>
    <w:p w14:paraId="41F9B2B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McPhail, C. (1971) ‘Civil disorder participation: a critical examination of recent research.’, </w:t>
      </w:r>
      <w:r w:rsidRPr="002804ED">
        <w:rPr>
          <w:rFonts w:cs="Segoe UI"/>
          <w:i/>
          <w:iCs/>
          <w:noProof/>
          <w:szCs w:val="24"/>
        </w:rPr>
        <w:t>American sociological review</w:t>
      </w:r>
      <w:r w:rsidRPr="002804ED">
        <w:rPr>
          <w:rFonts w:cs="Segoe UI"/>
          <w:noProof/>
          <w:szCs w:val="24"/>
        </w:rPr>
        <w:t>, 36(6), pp. 1058–73. Available at: http://www.ncbi.nlm.nih.gov/pubmed/5156268.</w:t>
      </w:r>
    </w:p>
    <w:p w14:paraId="2349B30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Meltzer, K. (2015) ‘A Review of Democracy’s Fourth Wave? Digital Media and the Arab Spring’, </w:t>
      </w:r>
      <w:r w:rsidRPr="002804ED">
        <w:rPr>
          <w:rFonts w:cs="Segoe UI"/>
          <w:i/>
          <w:iCs/>
          <w:noProof/>
          <w:szCs w:val="24"/>
        </w:rPr>
        <w:t>Journal of Media and Religion</w:t>
      </w:r>
      <w:r w:rsidRPr="002804ED">
        <w:rPr>
          <w:rFonts w:cs="Segoe UI"/>
          <w:noProof/>
          <w:szCs w:val="24"/>
        </w:rPr>
        <w:t>, 14(4), pp. 245–247. doi: 10.1080/15348423.2015.1116276.</w:t>
      </w:r>
    </w:p>
    <w:p w14:paraId="5D65F53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Menard, S. (2010) </w:t>
      </w:r>
      <w:r w:rsidRPr="002804ED">
        <w:rPr>
          <w:rFonts w:cs="Segoe UI"/>
          <w:i/>
          <w:iCs/>
          <w:noProof/>
          <w:szCs w:val="24"/>
        </w:rPr>
        <w:t>Logistic Regression: From Introductory to Advanced Concepts and Applications</w:t>
      </w:r>
      <w:r w:rsidRPr="002804ED">
        <w:rPr>
          <w:rFonts w:cs="Segoe UI"/>
          <w:noProof/>
          <w:szCs w:val="24"/>
        </w:rPr>
        <w:t>. SAGE Publications.</w:t>
      </w:r>
    </w:p>
    <w:p w14:paraId="2B7E6CB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Merkel, W. (2010) ‘Are dictatorships returning? Revisiting the “democratic rollback” hypothesis’, </w:t>
      </w:r>
      <w:r w:rsidRPr="002804ED">
        <w:rPr>
          <w:rFonts w:cs="Segoe UI"/>
          <w:i/>
          <w:iCs/>
          <w:noProof/>
          <w:szCs w:val="24"/>
        </w:rPr>
        <w:t>Contemporary Politics</w:t>
      </w:r>
      <w:r w:rsidRPr="002804ED">
        <w:rPr>
          <w:rFonts w:cs="Segoe UI"/>
          <w:noProof/>
          <w:szCs w:val="24"/>
        </w:rPr>
        <w:t>, 16(1), pp. 17–31. doi: 10.1080/13569771003593839.</w:t>
      </w:r>
    </w:p>
    <w:p w14:paraId="2C1CB75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Merlo, J. </w:t>
      </w:r>
      <w:r w:rsidRPr="002804ED">
        <w:rPr>
          <w:rFonts w:cs="Segoe UI"/>
          <w:i/>
          <w:iCs/>
          <w:noProof/>
          <w:szCs w:val="24"/>
        </w:rPr>
        <w:t>et al.</w:t>
      </w:r>
      <w:r w:rsidRPr="002804ED">
        <w:rPr>
          <w:rFonts w:cs="Segoe UI"/>
          <w:noProof/>
          <w:szCs w:val="24"/>
        </w:rPr>
        <w:t xml:space="preserve"> (2013) ‘Revisiting causal neighborhood effects on individual ischemic heart disease risk: a quasi-experimental multilevel analysis among Swedish siblings.’, </w:t>
      </w:r>
      <w:r w:rsidRPr="002804ED">
        <w:rPr>
          <w:rFonts w:cs="Segoe UI"/>
          <w:i/>
          <w:iCs/>
          <w:noProof/>
          <w:szCs w:val="24"/>
        </w:rPr>
        <w:t>Social science &amp; medicine</w:t>
      </w:r>
      <w:r w:rsidRPr="002804ED">
        <w:rPr>
          <w:rFonts w:cs="Segoe UI"/>
          <w:noProof/>
          <w:szCs w:val="24"/>
        </w:rPr>
        <w:t>. Elsevier Ltd, 76(1), pp. 39–46. doi: 10.1016/j.socscimed.2012.08.034.</w:t>
      </w:r>
    </w:p>
    <w:p w14:paraId="64B253C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Meyer, D. S. (2004) ‘Protest and Political Process’, </w:t>
      </w:r>
      <w:r w:rsidRPr="002804ED">
        <w:rPr>
          <w:rFonts w:cs="Segoe UI"/>
          <w:i/>
          <w:iCs/>
          <w:noProof/>
          <w:szCs w:val="24"/>
        </w:rPr>
        <w:t>Annual Review of Sociology</w:t>
      </w:r>
      <w:r w:rsidRPr="002804ED">
        <w:rPr>
          <w:rFonts w:cs="Segoe UI"/>
          <w:noProof/>
          <w:szCs w:val="24"/>
        </w:rPr>
        <w:t>, 30, pp. 125–145. doi: 10.1002/9781444355093.ch35.</w:t>
      </w:r>
    </w:p>
    <w:p w14:paraId="2845DF7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Midlarksy, M. (1998) ‘Democracy and Islam : Implications for Civilizational Conflict and the Democratic Peace’, </w:t>
      </w:r>
      <w:r w:rsidRPr="002804ED">
        <w:rPr>
          <w:rFonts w:cs="Segoe UI"/>
          <w:i/>
          <w:iCs/>
          <w:noProof/>
          <w:szCs w:val="24"/>
        </w:rPr>
        <w:t>International Studies Quarterly</w:t>
      </w:r>
      <w:r w:rsidRPr="002804ED">
        <w:rPr>
          <w:rFonts w:cs="Segoe UI"/>
          <w:noProof/>
          <w:szCs w:val="24"/>
        </w:rPr>
        <w:t>, 42(3), pp. 485–511.</w:t>
      </w:r>
    </w:p>
    <w:p w14:paraId="1B9A21E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Mill, J. S. (1861) </w:t>
      </w:r>
      <w:r w:rsidRPr="002804ED">
        <w:rPr>
          <w:rFonts w:cs="Segoe UI"/>
          <w:i/>
          <w:iCs/>
          <w:noProof/>
          <w:szCs w:val="24"/>
        </w:rPr>
        <w:t>Considerations On Representative Government</w:t>
      </w:r>
      <w:r w:rsidRPr="002804ED">
        <w:rPr>
          <w:rFonts w:cs="Segoe UI"/>
          <w:noProof/>
          <w:szCs w:val="24"/>
        </w:rPr>
        <w:t>. 2001st edn. London: Electric Book Company.</w:t>
      </w:r>
    </w:p>
    <w:p w14:paraId="0313A70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Mill, J. S. (1863) </w:t>
      </w:r>
      <w:r w:rsidRPr="002804ED">
        <w:rPr>
          <w:rFonts w:cs="Segoe UI"/>
          <w:i/>
          <w:iCs/>
          <w:noProof/>
          <w:szCs w:val="24"/>
        </w:rPr>
        <w:t>On Liberty</w:t>
      </w:r>
      <w:r w:rsidRPr="002804ED">
        <w:rPr>
          <w:rFonts w:cs="Segoe UI"/>
          <w:noProof/>
          <w:szCs w:val="24"/>
        </w:rPr>
        <w:t>. Second. Boston: Ticknor &amp; Fields.</w:t>
      </w:r>
    </w:p>
    <w:p w14:paraId="23FBD15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Mill, J. S. (1869) </w:t>
      </w:r>
      <w:r w:rsidRPr="002804ED">
        <w:rPr>
          <w:rFonts w:cs="Segoe UI"/>
          <w:i/>
          <w:iCs/>
          <w:noProof/>
          <w:szCs w:val="24"/>
        </w:rPr>
        <w:t>The Subjection of Women</w:t>
      </w:r>
      <w:r w:rsidRPr="002804ED">
        <w:rPr>
          <w:rFonts w:cs="Segoe UI"/>
          <w:noProof/>
          <w:szCs w:val="24"/>
        </w:rPr>
        <w:t>. London: Longmans, Green, Reader &amp; Dyer.</w:t>
      </w:r>
    </w:p>
    <w:p w14:paraId="0E9BFFD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Minkenberg, M. (2007) ‘Democracy and Religion: Theoretical and Empirical Observations on the Relationship between Christianity, Islam and Liberal Democracy’, </w:t>
      </w:r>
      <w:r w:rsidRPr="002804ED">
        <w:rPr>
          <w:rFonts w:cs="Segoe UI"/>
          <w:i/>
          <w:iCs/>
          <w:noProof/>
          <w:szCs w:val="24"/>
        </w:rPr>
        <w:t>Journal of Ethnic and Migration Studies</w:t>
      </w:r>
      <w:r w:rsidRPr="002804ED">
        <w:rPr>
          <w:rFonts w:cs="Segoe UI"/>
          <w:noProof/>
          <w:szCs w:val="24"/>
        </w:rPr>
        <w:t>, 33(6), pp. 887–909. doi: 10.1080/13691830701432731.</w:t>
      </w:r>
    </w:p>
    <w:p w14:paraId="11B2627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Mishler, W. and Rose, R. (1999) ‘Five Years After the Fall: Trajectories of Support for Democracy in Post-Communist Europe’, in Norris, P. (ed.) </w:t>
      </w:r>
      <w:r w:rsidRPr="002804ED">
        <w:rPr>
          <w:rFonts w:cs="Segoe UI"/>
          <w:i/>
          <w:iCs/>
          <w:noProof/>
          <w:szCs w:val="24"/>
        </w:rPr>
        <w:t>Critical Citizens - Global Support for Democratic Governance</w:t>
      </w:r>
      <w:r w:rsidRPr="002804ED">
        <w:rPr>
          <w:rFonts w:cs="Segoe UI"/>
          <w:noProof/>
          <w:szCs w:val="24"/>
        </w:rPr>
        <w:t>. Oxford University Press: Oxford University Press, pp. 78–102.</w:t>
      </w:r>
    </w:p>
    <w:p w14:paraId="0377A7F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Mishler, W. and Rose, R. (2002) ‘Learning and re-learning regime support: The dynamics of post-communist regimes’, </w:t>
      </w:r>
      <w:r w:rsidRPr="002804ED">
        <w:rPr>
          <w:rFonts w:cs="Segoe UI"/>
          <w:i/>
          <w:iCs/>
          <w:noProof/>
          <w:szCs w:val="24"/>
        </w:rPr>
        <w:t>European Journal of Political Research</w:t>
      </w:r>
      <w:r w:rsidRPr="002804ED">
        <w:rPr>
          <w:rFonts w:cs="Segoe UI"/>
          <w:noProof/>
          <w:szCs w:val="24"/>
        </w:rPr>
        <w:t>, 41(1), pp. 5–36. doi: 10.1111/1475-6765.00002.</w:t>
      </w:r>
    </w:p>
    <w:p w14:paraId="2073DF4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Moore, J. (1966) </w:t>
      </w:r>
      <w:r w:rsidRPr="002804ED">
        <w:rPr>
          <w:rFonts w:cs="Segoe UI"/>
          <w:i/>
          <w:iCs/>
          <w:noProof/>
          <w:szCs w:val="24"/>
        </w:rPr>
        <w:t>Social Origins of Dictatorship and Democracy - Lord and Peasant in the Making of the Modern World</w:t>
      </w:r>
      <w:r w:rsidRPr="002804ED">
        <w:rPr>
          <w:rFonts w:cs="Segoe UI"/>
          <w:noProof/>
          <w:szCs w:val="24"/>
        </w:rPr>
        <w:t>. Buckinghamshire: Penguin.</w:t>
      </w:r>
    </w:p>
    <w:p w14:paraId="1848E51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Mouffe, C. (1993) </w:t>
      </w:r>
      <w:r w:rsidRPr="002804ED">
        <w:rPr>
          <w:rFonts w:cs="Segoe UI"/>
          <w:i/>
          <w:iCs/>
          <w:noProof/>
          <w:szCs w:val="24"/>
        </w:rPr>
        <w:t>Return of the Political</w:t>
      </w:r>
      <w:r w:rsidRPr="002804ED">
        <w:rPr>
          <w:rFonts w:cs="Segoe UI"/>
          <w:noProof/>
          <w:szCs w:val="24"/>
        </w:rPr>
        <w:t>. London: Verso Books.</w:t>
      </w:r>
    </w:p>
    <w:p w14:paraId="3F89250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Mouffe, C. (2005) </w:t>
      </w:r>
      <w:r w:rsidRPr="002804ED">
        <w:rPr>
          <w:rFonts w:cs="Segoe UI"/>
          <w:i/>
          <w:iCs/>
          <w:noProof/>
          <w:szCs w:val="24"/>
        </w:rPr>
        <w:t>On the Political</w:t>
      </w:r>
      <w:r w:rsidRPr="002804ED">
        <w:rPr>
          <w:rFonts w:cs="Segoe UI"/>
          <w:noProof/>
          <w:szCs w:val="24"/>
        </w:rPr>
        <w:t>. Online: Taylor &amp; Francis.</w:t>
      </w:r>
    </w:p>
    <w:p w14:paraId="0B5D710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Mouffe, C. (2009) </w:t>
      </w:r>
      <w:r w:rsidRPr="002804ED">
        <w:rPr>
          <w:rFonts w:cs="Segoe UI"/>
          <w:i/>
          <w:iCs/>
          <w:noProof/>
          <w:szCs w:val="24"/>
        </w:rPr>
        <w:t>The Democratic Paradox</w:t>
      </w:r>
      <w:r w:rsidRPr="002804ED">
        <w:rPr>
          <w:rFonts w:cs="Segoe UI"/>
          <w:noProof/>
          <w:szCs w:val="24"/>
        </w:rPr>
        <w:t>. London: Verso Books.</w:t>
      </w:r>
    </w:p>
    <w:p w14:paraId="1AC6E9D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Munck, G. L. (2009) </w:t>
      </w:r>
      <w:r w:rsidRPr="002804ED">
        <w:rPr>
          <w:rFonts w:cs="Segoe UI"/>
          <w:i/>
          <w:iCs/>
          <w:noProof/>
          <w:szCs w:val="24"/>
        </w:rPr>
        <w:t>Measuring Democracy</w:t>
      </w:r>
      <w:r w:rsidRPr="002804ED">
        <w:rPr>
          <w:rFonts w:cs="Segoe UI"/>
          <w:noProof/>
          <w:szCs w:val="24"/>
        </w:rPr>
        <w:t>. Baltimore: John Hopkins University Press.</w:t>
      </w:r>
    </w:p>
    <w:p w14:paraId="5C04FEE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Munk, G. (2009) </w:t>
      </w:r>
      <w:r w:rsidRPr="002804ED">
        <w:rPr>
          <w:rFonts w:cs="Segoe UI"/>
          <w:i/>
          <w:iCs/>
          <w:noProof/>
          <w:szCs w:val="24"/>
        </w:rPr>
        <w:t>Measuring Democracy – A Bridge Between Scholarship &amp; Politics</w:t>
      </w:r>
      <w:r w:rsidRPr="002804ED">
        <w:rPr>
          <w:rFonts w:cs="Segoe UI"/>
          <w:noProof/>
          <w:szCs w:val="24"/>
        </w:rPr>
        <w:t>. Baltimore: Hopkins University Press.</w:t>
      </w:r>
    </w:p>
    <w:p w14:paraId="46B4713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NDI (2012) </w:t>
      </w:r>
      <w:r w:rsidRPr="002804ED">
        <w:rPr>
          <w:rFonts w:cs="Segoe UI"/>
          <w:i/>
          <w:iCs/>
          <w:noProof/>
          <w:szCs w:val="24"/>
        </w:rPr>
        <w:t>Citizen Monitors: Russian election ‘was not free and fair’</w:t>
      </w:r>
      <w:r w:rsidRPr="002804ED">
        <w:rPr>
          <w:rFonts w:cs="Segoe UI"/>
          <w:noProof/>
          <w:szCs w:val="24"/>
        </w:rPr>
        <w:t xml:space="preserve">, </w:t>
      </w:r>
      <w:r w:rsidRPr="002804ED">
        <w:rPr>
          <w:rFonts w:cs="Segoe UI"/>
          <w:i/>
          <w:iCs/>
          <w:noProof/>
          <w:szCs w:val="24"/>
        </w:rPr>
        <w:t>National Democratic Institute</w:t>
      </w:r>
      <w:r w:rsidRPr="002804ED">
        <w:rPr>
          <w:rFonts w:cs="Segoe UI"/>
          <w:noProof/>
          <w:szCs w:val="24"/>
        </w:rPr>
        <w:t>. Available at: https://www.ndi.org/golos-russia-elections (Accessed: 14 May 2016).</w:t>
      </w:r>
    </w:p>
    <w:p w14:paraId="1367F76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Neblo, M. . </w:t>
      </w:r>
      <w:r w:rsidRPr="002804ED">
        <w:rPr>
          <w:rFonts w:cs="Segoe UI"/>
          <w:i/>
          <w:iCs/>
          <w:noProof/>
          <w:szCs w:val="24"/>
        </w:rPr>
        <w:t>et al.</w:t>
      </w:r>
      <w:r w:rsidRPr="002804ED">
        <w:rPr>
          <w:rFonts w:cs="Segoe UI"/>
          <w:noProof/>
          <w:szCs w:val="24"/>
        </w:rPr>
        <w:t xml:space="preserve"> (2010) ‘Who Wants To Deliberate—And Why?’, </w:t>
      </w:r>
      <w:r w:rsidRPr="002804ED">
        <w:rPr>
          <w:rFonts w:cs="Segoe UI"/>
          <w:i/>
          <w:iCs/>
          <w:noProof/>
          <w:szCs w:val="24"/>
        </w:rPr>
        <w:t>American Political Science Review</w:t>
      </w:r>
      <w:r w:rsidRPr="002804ED">
        <w:rPr>
          <w:rFonts w:cs="Segoe UI"/>
          <w:noProof/>
          <w:szCs w:val="24"/>
        </w:rPr>
        <w:t>, 104(3), pp. 566–583. doi: 10.1017/S0003055410000298.</w:t>
      </w:r>
    </w:p>
    <w:p w14:paraId="168B6C5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Neundorf, A. (2010) ‘Democracy in Transition: A Micro perspective on System Change in Post-Socialist Societies’, </w:t>
      </w:r>
      <w:r w:rsidRPr="002804ED">
        <w:rPr>
          <w:rFonts w:cs="Segoe UI"/>
          <w:i/>
          <w:iCs/>
          <w:noProof/>
          <w:szCs w:val="24"/>
        </w:rPr>
        <w:t>The Journal of Politics</w:t>
      </w:r>
      <w:r w:rsidRPr="002804ED">
        <w:rPr>
          <w:rFonts w:cs="Segoe UI"/>
          <w:noProof/>
          <w:szCs w:val="24"/>
        </w:rPr>
        <w:t>, 72(4), pp. 1096–1108. doi: 10.1017/S0022381610000551.</w:t>
      </w:r>
    </w:p>
    <w:p w14:paraId="7DC7D60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Newman, E. and Rich, R. (2004) </w:t>
      </w:r>
      <w:r w:rsidRPr="002804ED">
        <w:rPr>
          <w:rFonts w:cs="Segoe UI"/>
          <w:i/>
          <w:iCs/>
          <w:noProof/>
          <w:szCs w:val="24"/>
        </w:rPr>
        <w:t>The UN Role in Promoting Democracy - Between ideas and reality</w:t>
      </w:r>
      <w:r w:rsidRPr="002804ED">
        <w:rPr>
          <w:rFonts w:cs="Segoe UI"/>
          <w:noProof/>
          <w:szCs w:val="24"/>
        </w:rPr>
        <w:t>. USA: United Nations University.</w:t>
      </w:r>
    </w:p>
    <w:p w14:paraId="766A28D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Newton, K. (1999) ‘Social and Political Trust in Established Democracries’, in Norris, P. (ed.) </w:t>
      </w:r>
      <w:r w:rsidRPr="002804ED">
        <w:rPr>
          <w:rFonts w:cs="Segoe UI"/>
          <w:i/>
          <w:iCs/>
          <w:noProof/>
          <w:szCs w:val="24"/>
        </w:rPr>
        <w:t>Critical Citizens - Global Support for Democratic Governance</w:t>
      </w:r>
      <w:r w:rsidRPr="002804ED">
        <w:rPr>
          <w:rFonts w:cs="Segoe UI"/>
          <w:noProof/>
          <w:szCs w:val="24"/>
        </w:rPr>
        <w:t>. Oxford University Press, pp. 169–187.</w:t>
      </w:r>
    </w:p>
    <w:p w14:paraId="61AD0AA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Nie, N. H., Junn, J. and Stehlik-Barry, K. (1996) </w:t>
      </w:r>
      <w:r w:rsidRPr="002804ED">
        <w:rPr>
          <w:rFonts w:cs="Segoe UI"/>
          <w:i/>
          <w:iCs/>
          <w:noProof/>
          <w:szCs w:val="24"/>
        </w:rPr>
        <w:t>Education and Democratic Citizenship in America</w:t>
      </w:r>
      <w:r w:rsidRPr="002804ED">
        <w:rPr>
          <w:rFonts w:cs="Segoe UI"/>
          <w:noProof/>
          <w:szCs w:val="24"/>
        </w:rPr>
        <w:t>. Chicago: University of Chicago Press.</w:t>
      </w:r>
    </w:p>
    <w:p w14:paraId="467FA1E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Norris, P. (1999) ‘Introduction: The growth of critical citizens?’, in Norris, P. (ed.) </w:t>
      </w:r>
      <w:r w:rsidRPr="002804ED">
        <w:rPr>
          <w:rFonts w:cs="Segoe UI"/>
          <w:i/>
          <w:iCs/>
          <w:noProof/>
          <w:szCs w:val="24"/>
        </w:rPr>
        <w:t>Critical Citizens - Global Support for Democratic Governance</w:t>
      </w:r>
      <w:r w:rsidRPr="002804ED">
        <w:rPr>
          <w:rFonts w:cs="Segoe UI"/>
          <w:noProof/>
          <w:szCs w:val="24"/>
        </w:rPr>
        <w:t>. Oxford: Oxford University Press, pp. 1–30.</w:t>
      </w:r>
    </w:p>
    <w:p w14:paraId="297416C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Norris, P. (2002) </w:t>
      </w:r>
      <w:r w:rsidRPr="002804ED">
        <w:rPr>
          <w:rFonts w:cs="Segoe UI"/>
          <w:i/>
          <w:iCs/>
          <w:noProof/>
          <w:szCs w:val="24"/>
        </w:rPr>
        <w:t>Democratic Phoenix - Reinventing Political Activism</w:t>
      </w:r>
      <w:r w:rsidRPr="002804ED">
        <w:rPr>
          <w:rFonts w:cs="Segoe UI"/>
          <w:noProof/>
          <w:szCs w:val="24"/>
        </w:rPr>
        <w:t>. Cambridge: Cambridge University Press.</w:t>
      </w:r>
    </w:p>
    <w:p w14:paraId="659BB38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Norris, P. (2011) </w:t>
      </w:r>
      <w:r w:rsidRPr="002804ED">
        <w:rPr>
          <w:rFonts w:cs="Segoe UI"/>
          <w:i/>
          <w:iCs/>
          <w:noProof/>
          <w:szCs w:val="24"/>
        </w:rPr>
        <w:t>Democratic Deficit - Critical Citizens Revisited</w:t>
      </w:r>
      <w:r w:rsidRPr="002804ED">
        <w:rPr>
          <w:rFonts w:cs="Segoe UI"/>
          <w:noProof/>
          <w:szCs w:val="24"/>
        </w:rPr>
        <w:t>. Cambridge: Cambridge University Press.</w:t>
      </w:r>
    </w:p>
    <w:p w14:paraId="214321F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Norris, P. </w:t>
      </w:r>
      <w:r w:rsidRPr="002804ED">
        <w:rPr>
          <w:rFonts w:cs="Segoe UI"/>
          <w:i/>
          <w:iCs/>
          <w:noProof/>
          <w:szCs w:val="24"/>
        </w:rPr>
        <w:t>et al.</w:t>
      </w:r>
      <w:r w:rsidRPr="002804ED">
        <w:rPr>
          <w:rFonts w:cs="Segoe UI"/>
          <w:noProof/>
          <w:szCs w:val="24"/>
        </w:rPr>
        <w:t xml:space="preserve"> (2016) </w:t>
      </w:r>
      <w:r w:rsidRPr="002804ED">
        <w:rPr>
          <w:rFonts w:cs="Segoe UI"/>
          <w:i/>
          <w:iCs/>
          <w:noProof/>
          <w:szCs w:val="24"/>
        </w:rPr>
        <w:t>The year in elections 2015</w:t>
      </w:r>
      <w:r w:rsidRPr="002804ED">
        <w:rPr>
          <w:rFonts w:cs="Segoe UI"/>
          <w:noProof/>
          <w:szCs w:val="24"/>
        </w:rPr>
        <w:t>. Available at: www.electoralintegrityproject.com.</w:t>
      </w:r>
    </w:p>
    <w:p w14:paraId="277A544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Norris, P. and Inglehart, R. F. (2002) ‘Islamic Culture and Democracy : Testing the “ Clash of Civilizations ” Thesis’, </w:t>
      </w:r>
      <w:r w:rsidRPr="002804ED">
        <w:rPr>
          <w:rFonts w:cs="Segoe UI"/>
          <w:i/>
          <w:iCs/>
          <w:noProof/>
          <w:szCs w:val="24"/>
        </w:rPr>
        <w:t>Comparative S</w:t>
      </w:r>
      <w:r w:rsidRPr="002804ED">
        <w:rPr>
          <w:rFonts w:cs="Segoe UI"/>
          <w:noProof/>
          <w:szCs w:val="24"/>
        </w:rPr>
        <w:t>, 1(3–4), pp. 235–263.</w:t>
      </w:r>
    </w:p>
    <w:p w14:paraId="1B00CC7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Nye, J. S. (1997) ‘Introduction’, in Nye, J. S. (ed.) </w:t>
      </w:r>
      <w:r w:rsidRPr="002804ED">
        <w:rPr>
          <w:rFonts w:cs="Segoe UI"/>
          <w:i/>
          <w:iCs/>
          <w:noProof/>
          <w:szCs w:val="24"/>
        </w:rPr>
        <w:t>Why People Don’t Trust Government</w:t>
      </w:r>
      <w:r w:rsidRPr="002804ED">
        <w:rPr>
          <w:rFonts w:cs="Segoe UI"/>
          <w:noProof/>
          <w:szCs w:val="24"/>
        </w:rPr>
        <w:t>. Havard: Havard University Press, pp. 1–18.</w:t>
      </w:r>
    </w:p>
    <w:p w14:paraId="08B0B77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O’Connor, B. P. (2000) ‘SPSS and SAS programs for determining the number of components using parallel analysis and velicer’s MAP test.’, </w:t>
      </w:r>
      <w:r w:rsidRPr="002804ED">
        <w:rPr>
          <w:rFonts w:cs="Segoe UI"/>
          <w:i/>
          <w:iCs/>
          <w:noProof/>
          <w:szCs w:val="24"/>
        </w:rPr>
        <w:t>Behavior research methods, instruments, &amp; computers : a journal of the Psychonomic Society, Inc</w:t>
      </w:r>
      <w:r w:rsidRPr="002804ED">
        <w:rPr>
          <w:rFonts w:cs="Segoe UI"/>
          <w:noProof/>
          <w:szCs w:val="24"/>
        </w:rPr>
        <w:t>, 32(3), pp. 396–402. Available at: http://www.ncbi.nlm.nih.gov/pubmed/11029811.</w:t>
      </w:r>
    </w:p>
    <w:p w14:paraId="7E7A251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O’Donnell, G. and Schmitter, P. . (1986) </w:t>
      </w:r>
      <w:r w:rsidRPr="002804ED">
        <w:rPr>
          <w:rFonts w:cs="Segoe UI"/>
          <w:i/>
          <w:iCs/>
          <w:noProof/>
          <w:szCs w:val="24"/>
        </w:rPr>
        <w:t>Transitions from authoritarian rule - Tentative conclusions about uncertain democracies</w:t>
      </w:r>
      <w:r w:rsidRPr="002804ED">
        <w:rPr>
          <w:rFonts w:cs="Segoe UI"/>
          <w:noProof/>
          <w:szCs w:val="24"/>
        </w:rPr>
        <w:t>. Baltimore: John Hopkins University Press.</w:t>
      </w:r>
    </w:p>
    <w:p w14:paraId="2EEDE8A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O’Loughlin, J. </w:t>
      </w:r>
      <w:r w:rsidRPr="002804ED">
        <w:rPr>
          <w:rFonts w:cs="Segoe UI"/>
          <w:i/>
          <w:iCs/>
          <w:noProof/>
          <w:szCs w:val="24"/>
        </w:rPr>
        <w:t>et al.</w:t>
      </w:r>
      <w:r w:rsidRPr="002804ED">
        <w:rPr>
          <w:rFonts w:cs="Segoe UI"/>
          <w:noProof/>
          <w:szCs w:val="24"/>
        </w:rPr>
        <w:t xml:space="preserve"> (1998) ‘The Diffusion of Democracy, 1946-–1994’, </w:t>
      </w:r>
      <w:r w:rsidRPr="002804ED">
        <w:rPr>
          <w:rFonts w:cs="Segoe UI"/>
          <w:i/>
          <w:iCs/>
          <w:noProof/>
          <w:szCs w:val="24"/>
        </w:rPr>
        <w:t>Annals of the Association of American Geographers</w:t>
      </w:r>
      <w:r w:rsidRPr="002804ED">
        <w:rPr>
          <w:rFonts w:cs="Segoe UI"/>
          <w:noProof/>
          <w:szCs w:val="24"/>
        </w:rPr>
        <w:t>. Routledge, 88(4), pp. 545–574. doi: 10.1111/0004-5608.00112.</w:t>
      </w:r>
    </w:p>
    <w:p w14:paraId="78032DE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O’Loughlin, J. </w:t>
      </w:r>
      <w:r w:rsidRPr="002804ED">
        <w:rPr>
          <w:rFonts w:cs="Segoe UI"/>
          <w:i/>
          <w:iCs/>
          <w:noProof/>
          <w:szCs w:val="24"/>
        </w:rPr>
        <w:t>et al.</w:t>
      </w:r>
      <w:r w:rsidRPr="002804ED">
        <w:rPr>
          <w:rFonts w:cs="Segoe UI"/>
          <w:noProof/>
          <w:szCs w:val="24"/>
        </w:rPr>
        <w:t xml:space="preserve"> (1998) ‘The Diffusion of Democracy, 1946 - 1994’, </w:t>
      </w:r>
      <w:r w:rsidRPr="002804ED">
        <w:rPr>
          <w:rFonts w:cs="Segoe UI"/>
          <w:i/>
          <w:iCs/>
          <w:noProof/>
          <w:szCs w:val="24"/>
        </w:rPr>
        <w:t>Annals of the Association of American Geographers</w:t>
      </w:r>
      <w:r w:rsidRPr="002804ED">
        <w:rPr>
          <w:rFonts w:cs="Segoe UI"/>
          <w:noProof/>
          <w:szCs w:val="24"/>
        </w:rPr>
        <w:t>, 88(4), pp. 545–574. Available at: http://onlinelibrary.wiley.com/doi/10.1111/0004-5608.00112/abstract (Accessed: 17 July 2012).</w:t>
      </w:r>
    </w:p>
    <w:p w14:paraId="2D04CB9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O’Rourke, N. and Hatcher, L. (2013) </w:t>
      </w:r>
      <w:r w:rsidRPr="002804ED">
        <w:rPr>
          <w:rFonts w:cs="Segoe UI"/>
          <w:i/>
          <w:iCs/>
          <w:noProof/>
          <w:szCs w:val="24"/>
        </w:rPr>
        <w:t>A Step-by-Step Approach to Using SAS for Factor Analysis and Structural Equation Modeling</w:t>
      </w:r>
      <w:r w:rsidRPr="002804ED">
        <w:rPr>
          <w:rFonts w:cs="Segoe UI"/>
          <w:noProof/>
          <w:szCs w:val="24"/>
        </w:rPr>
        <w:t>. Second Ed. Carey: SAS Institute.</w:t>
      </w:r>
    </w:p>
    <w:p w14:paraId="2C031D3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Oliver, J. E. (1999) ‘The Effects of Metropolitan Economic Segregation on Local Civic Participation’, </w:t>
      </w:r>
      <w:r w:rsidRPr="002804ED">
        <w:rPr>
          <w:rFonts w:cs="Segoe UI"/>
          <w:i/>
          <w:iCs/>
          <w:noProof/>
          <w:szCs w:val="24"/>
        </w:rPr>
        <w:t>American Journal of Political Science</w:t>
      </w:r>
      <w:r w:rsidRPr="002804ED">
        <w:rPr>
          <w:rFonts w:cs="Segoe UI"/>
          <w:noProof/>
          <w:szCs w:val="24"/>
        </w:rPr>
        <w:t>, 43(1), pp. 186–212.</w:t>
      </w:r>
    </w:p>
    <w:p w14:paraId="0E84E47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Osborne, J. and Costello, A. B. (2004) ‘Sample size and subject to item ratio in principal components analysis’, </w:t>
      </w:r>
      <w:r w:rsidRPr="002804ED">
        <w:rPr>
          <w:rFonts w:cs="Segoe UI"/>
          <w:i/>
          <w:iCs/>
          <w:noProof/>
          <w:szCs w:val="24"/>
        </w:rPr>
        <w:t>Practical Assessment, Research &amp; Evaluation</w:t>
      </w:r>
      <w:r w:rsidRPr="002804ED">
        <w:rPr>
          <w:rFonts w:cs="Segoe UI"/>
          <w:noProof/>
          <w:szCs w:val="24"/>
        </w:rPr>
        <w:t>, 9(11), p. electronic.</w:t>
      </w:r>
    </w:p>
    <w:p w14:paraId="1B3E152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Pampel, F. (2000) </w:t>
      </w:r>
      <w:r w:rsidRPr="002804ED">
        <w:rPr>
          <w:rFonts w:cs="Segoe UI"/>
          <w:i/>
          <w:iCs/>
          <w:noProof/>
          <w:szCs w:val="24"/>
        </w:rPr>
        <w:t>Logistical Regression: A Primer</w:t>
      </w:r>
      <w:r w:rsidRPr="002804ED">
        <w:rPr>
          <w:rFonts w:cs="Segoe UI"/>
          <w:noProof/>
          <w:szCs w:val="24"/>
        </w:rPr>
        <w:t>. London: SAGE Publications.</w:t>
      </w:r>
    </w:p>
    <w:p w14:paraId="37BF5F0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Parry, G., Moyser, G. and Day, N. (1992) </w:t>
      </w:r>
      <w:r w:rsidRPr="002804ED">
        <w:rPr>
          <w:rFonts w:cs="Segoe UI"/>
          <w:i/>
          <w:iCs/>
          <w:noProof/>
          <w:szCs w:val="24"/>
        </w:rPr>
        <w:t>Political Participation and Democracy in Britain</w:t>
      </w:r>
      <w:r w:rsidRPr="002804ED">
        <w:rPr>
          <w:rFonts w:cs="Segoe UI"/>
          <w:noProof/>
          <w:szCs w:val="24"/>
        </w:rPr>
        <w:t>. Cambridge: Cambridge University Press.</w:t>
      </w:r>
    </w:p>
    <w:p w14:paraId="43AD56C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Pateman, C. (1970) </w:t>
      </w:r>
      <w:r w:rsidRPr="002804ED">
        <w:rPr>
          <w:rFonts w:cs="Segoe UI"/>
          <w:i/>
          <w:iCs/>
          <w:noProof/>
          <w:szCs w:val="24"/>
        </w:rPr>
        <w:t>Participation and Democratic Theory</w:t>
      </w:r>
      <w:r w:rsidRPr="002804ED">
        <w:rPr>
          <w:rFonts w:cs="Segoe UI"/>
          <w:noProof/>
          <w:szCs w:val="24"/>
        </w:rPr>
        <w:t>. Cambridge: Cambridge University Press.</w:t>
      </w:r>
    </w:p>
    <w:p w14:paraId="6BE7C65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Pateman, C. (1988) </w:t>
      </w:r>
      <w:r w:rsidRPr="002804ED">
        <w:rPr>
          <w:rFonts w:cs="Segoe UI"/>
          <w:i/>
          <w:iCs/>
          <w:noProof/>
          <w:szCs w:val="24"/>
        </w:rPr>
        <w:t>The Sexual Contract</w:t>
      </w:r>
      <w:r w:rsidRPr="002804ED">
        <w:rPr>
          <w:rFonts w:cs="Segoe UI"/>
          <w:noProof/>
          <w:szCs w:val="24"/>
        </w:rPr>
        <w:t>. Cambridge: Polity Press.</w:t>
      </w:r>
    </w:p>
    <w:p w14:paraId="35B10FF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Pateman, C. (1989) </w:t>
      </w:r>
      <w:r w:rsidRPr="002804ED">
        <w:rPr>
          <w:rFonts w:cs="Segoe UI"/>
          <w:i/>
          <w:iCs/>
          <w:noProof/>
          <w:szCs w:val="24"/>
        </w:rPr>
        <w:t>The Disorder of Women - Democracy, Feminism and Political Theory</w:t>
      </w:r>
      <w:r w:rsidRPr="002804ED">
        <w:rPr>
          <w:rFonts w:cs="Segoe UI"/>
          <w:noProof/>
          <w:szCs w:val="24"/>
        </w:rPr>
        <w:t>. Cambridge: Polity Press.</w:t>
      </w:r>
    </w:p>
    <w:p w14:paraId="64BD284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Pattie, C. J. and Johnston, R. J. (2008) ‘It’s Good To Talk: Talk, Disagreement and Tolerance’, </w:t>
      </w:r>
      <w:r w:rsidRPr="002804ED">
        <w:rPr>
          <w:rFonts w:cs="Segoe UI"/>
          <w:i/>
          <w:iCs/>
          <w:noProof/>
          <w:szCs w:val="24"/>
        </w:rPr>
        <w:t>British Journal of Political Science</w:t>
      </w:r>
      <w:r w:rsidRPr="002804ED">
        <w:rPr>
          <w:rFonts w:cs="Segoe UI"/>
          <w:noProof/>
          <w:szCs w:val="24"/>
        </w:rPr>
        <w:t>, 38(4), pp. 677–698. doi: 10.1017/S0007123408000331.</w:t>
      </w:r>
    </w:p>
    <w:p w14:paraId="47C0021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Pattie, C. J. and Johnston, R. J. (2009) ‘Conversation, Disagreement and Political Participation’, </w:t>
      </w:r>
      <w:r w:rsidRPr="002804ED">
        <w:rPr>
          <w:rFonts w:cs="Segoe UI"/>
          <w:i/>
          <w:iCs/>
          <w:noProof/>
          <w:szCs w:val="24"/>
        </w:rPr>
        <w:t>Political Behavior</w:t>
      </w:r>
      <w:r w:rsidRPr="002804ED">
        <w:rPr>
          <w:rFonts w:cs="Segoe UI"/>
          <w:noProof/>
          <w:szCs w:val="24"/>
        </w:rPr>
        <w:t>, 31(2), pp. 261–285. doi: 10.1007/s11109-008-9071-z.</w:t>
      </w:r>
    </w:p>
    <w:p w14:paraId="2C1C15D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Pattie, C. J., Seyd, P. and Whiteley, P. (2004) </w:t>
      </w:r>
      <w:r w:rsidRPr="002804ED">
        <w:rPr>
          <w:rFonts w:cs="Segoe UI"/>
          <w:i/>
          <w:iCs/>
          <w:noProof/>
          <w:szCs w:val="24"/>
        </w:rPr>
        <w:t>Citizenship in Britain</w:t>
      </w:r>
      <w:r w:rsidRPr="002804ED">
        <w:rPr>
          <w:rFonts w:cs="Segoe UI"/>
          <w:noProof/>
          <w:szCs w:val="24"/>
        </w:rPr>
        <w:t>. Cambridge: Cambridge University Press.</w:t>
      </w:r>
    </w:p>
    <w:p w14:paraId="4C7E1CB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Pattie, C. and Johnston, R. (2013) ‘Personal mobilisation, civic norms and political participation’, </w:t>
      </w:r>
      <w:r w:rsidRPr="002804ED">
        <w:rPr>
          <w:rFonts w:cs="Segoe UI"/>
          <w:i/>
          <w:iCs/>
          <w:noProof/>
          <w:szCs w:val="24"/>
        </w:rPr>
        <w:t>Geoforum</w:t>
      </w:r>
      <w:r w:rsidRPr="002804ED">
        <w:rPr>
          <w:rFonts w:cs="Segoe UI"/>
          <w:noProof/>
          <w:szCs w:val="24"/>
        </w:rPr>
        <w:t>, 45, pp. 178–189. doi: 10.1016/j.geoforum.2012.11.002.</w:t>
      </w:r>
    </w:p>
    <w:p w14:paraId="1D2062E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Pattie, C., Seyd, P. and Whiteley, P. (2003) ‘Citizenship and Civic Engagement: Attitudes and Behaviour in Britain’, </w:t>
      </w:r>
      <w:r w:rsidRPr="002804ED">
        <w:rPr>
          <w:rFonts w:cs="Segoe UI"/>
          <w:i/>
          <w:iCs/>
          <w:noProof/>
          <w:szCs w:val="24"/>
        </w:rPr>
        <w:t>Political Studies</w:t>
      </w:r>
      <w:r w:rsidRPr="002804ED">
        <w:rPr>
          <w:rFonts w:cs="Segoe UI"/>
          <w:noProof/>
          <w:szCs w:val="24"/>
        </w:rPr>
        <w:t>, 51(3), pp. 443–468. doi: 10.1111/1467-9248.00435.</w:t>
      </w:r>
    </w:p>
    <w:p w14:paraId="7E7E601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Persson, M. (2012) ‘Journal of Elections , Public Opinion &amp; Parties Is the Effect of Education on Voter Turnout Absolute or Relative ? A Multi-level Analysis of 37 Countries’, </w:t>
      </w:r>
      <w:r w:rsidRPr="002804ED">
        <w:rPr>
          <w:rFonts w:cs="Segoe UI"/>
          <w:i/>
          <w:iCs/>
          <w:noProof/>
          <w:szCs w:val="24"/>
        </w:rPr>
        <w:t>Journal of Elections, Public Opinion &amp; Parties</w:t>
      </w:r>
      <w:r w:rsidRPr="002804ED">
        <w:rPr>
          <w:rFonts w:cs="Segoe UI"/>
          <w:noProof/>
          <w:szCs w:val="24"/>
        </w:rPr>
        <w:t>, 23(2), pp. 111–133.</w:t>
      </w:r>
    </w:p>
    <w:p w14:paraId="5139A3C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Petty, R. E. and Cacioppo, J. T. (1979) ‘Issue involvement can increase or decrease persuasion by enhancing message-relevant cognitive responses.’, </w:t>
      </w:r>
      <w:r w:rsidRPr="002804ED">
        <w:rPr>
          <w:rFonts w:cs="Segoe UI"/>
          <w:i/>
          <w:iCs/>
          <w:noProof/>
          <w:szCs w:val="24"/>
        </w:rPr>
        <w:t>Journal of Personality and Social Psychology</w:t>
      </w:r>
      <w:r w:rsidRPr="002804ED">
        <w:rPr>
          <w:rFonts w:cs="Segoe UI"/>
          <w:noProof/>
          <w:szCs w:val="24"/>
        </w:rPr>
        <w:t>, 37(10), pp. 1915–1926. doi: 10.1037/0022-3514.37.10.1915.</w:t>
      </w:r>
    </w:p>
    <w:p w14:paraId="2B4CFD8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Pfeffermann, D. (1993) ‘The Role of Sampling Weights When Modeling Survey Data’, </w:t>
      </w:r>
      <w:r w:rsidRPr="002804ED">
        <w:rPr>
          <w:rFonts w:cs="Segoe UI"/>
          <w:i/>
          <w:iCs/>
          <w:noProof/>
          <w:szCs w:val="24"/>
        </w:rPr>
        <w:t>International statistical review</w:t>
      </w:r>
      <w:r w:rsidRPr="002804ED">
        <w:rPr>
          <w:rFonts w:cs="Segoe UI"/>
          <w:noProof/>
          <w:szCs w:val="24"/>
        </w:rPr>
        <w:t>, 61(2), pp. 317–337. doi: 10.2307/1403631.</w:t>
      </w:r>
    </w:p>
    <w:p w14:paraId="43A6338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Pharr, S., Putnam, R. and Dalton, R. (2000) ‘A Quarter-Century of Declining Confidence’, </w:t>
      </w:r>
      <w:r w:rsidRPr="002804ED">
        <w:rPr>
          <w:rFonts w:cs="Segoe UI"/>
          <w:i/>
          <w:iCs/>
          <w:noProof/>
          <w:szCs w:val="24"/>
        </w:rPr>
        <w:t>Journal of Democracy</w:t>
      </w:r>
      <w:r w:rsidRPr="002804ED">
        <w:rPr>
          <w:rFonts w:cs="Segoe UI"/>
          <w:noProof/>
          <w:szCs w:val="24"/>
        </w:rPr>
        <w:t>, 11(2), pp. 5–25. Available at: http://doc.utwente.nl/60806/1/Pharr00quarter.pdf (Accessed: 17 July 2012).</w:t>
      </w:r>
    </w:p>
    <w:p w14:paraId="5A12961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Phillips, A. (1992a) ‘Democracy and Difference: Some Problems for Feminist Theory’, </w:t>
      </w:r>
      <w:r w:rsidRPr="002804ED">
        <w:rPr>
          <w:rFonts w:cs="Segoe UI"/>
          <w:i/>
          <w:iCs/>
          <w:noProof/>
          <w:szCs w:val="24"/>
        </w:rPr>
        <w:t>The Political Quarterly</w:t>
      </w:r>
      <w:r w:rsidRPr="002804ED">
        <w:rPr>
          <w:rFonts w:cs="Segoe UI"/>
          <w:noProof/>
          <w:szCs w:val="24"/>
        </w:rPr>
        <w:t>, 63(1), pp. 79–90.</w:t>
      </w:r>
    </w:p>
    <w:p w14:paraId="161482A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Phillips, A. (1992b) ‘Must Feminists Give Up on Liberal Democracy?’, </w:t>
      </w:r>
      <w:r w:rsidRPr="002804ED">
        <w:rPr>
          <w:rFonts w:cs="Segoe UI"/>
          <w:i/>
          <w:iCs/>
          <w:noProof/>
          <w:szCs w:val="24"/>
        </w:rPr>
        <w:t>Political Studies</w:t>
      </w:r>
      <w:r w:rsidRPr="002804ED">
        <w:rPr>
          <w:rFonts w:cs="Segoe UI"/>
          <w:noProof/>
          <w:szCs w:val="24"/>
        </w:rPr>
        <w:t>, 40, pp. 68–82. Available at: http://search.ebscohost.com/login.aspx?direct=true&amp;db=a9h&amp;AN=21483182&amp;site=ehost-live.</w:t>
      </w:r>
    </w:p>
    <w:p w14:paraId="2BE48D5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Phillips, A. (1992c) ‘Must Feminists Give Up on Liberal Democracy?’, </w:t>
      </w:r>
      <w:r w:rsidRPr="002804ED">
        <w:rPr>
          <w:rFonts w:cs="Segoe UI"/>
          <w:i/>
          <w:iCs/>
          <w:noProof/>
          <w:szCs w:val="24"/>
        </w:rPr>
        <w:t>Political Studies</w:t>
      </w:r>
      <w:r w:rsidRPr="002804ED">
        <w:rPr>
          <w:rFonts w:cs="Segoe UI"/>
          <w:noProof/>
          <w:szCs w:val="24"/>
        </w:rPr>
        <w:t>. Blackwell Publishing Ltd, 40, pp. 68–82. doi: 10.1111/j.1467-9248.1992.tb01813.x.</w:t>
      </w:r>
    </w:p>
    <w:p w14:paraId="7A0F328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Phillips, A. (2000) ‘Democracy’, in Jaggar, A. M. and Young, I. M. (eds) </w:t>
      </w:r>
      <w:r w:rsidRPr="002804ED">
        <w:rPr>
          <w:rFonts w:cs="Segoe UI"/>
          <w:i/>
          <w:iCs/>
          <w:noProof/>
          <w:szCs w:val="24"/>
        </w:rPr>
        <w:t>A Companion to Feminist Philosophy</w:t>
      </w:r>
      <w:r w:rsidRPr="002804ED">
        <w:rPr>
          <w:rFonts w:cs="Segoe UI"/>
          <w:noProof/>
          <w:szCs w:val="24"/>
        </w:rPr>
        <w:t>. Blackwell Reference Online, pp. 511–519.</w:t>
      </w:r>
    </w:p>
    <w:p w14:paraId="34130CF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Philpott, D. (2004) ‘The Catholic Wave’, </w:t>
      </w:r>
      <w:r w:rsidRPr="002804ED">
        <w:rPr>
          <w:rFonts w:cs="Segoe UI"/>
          <w:i/>
          <w:iCs/>
          <w:noProof/>
          <w:szCs w:val="24"/>
        </w:rPr>
        <w:t>Journal of Democracy</w:t>
      </w:r>
      <w:r w:rsidRPr="002804ED">
        <w:rPr>
          <w:rFonts w:cs="Segoe UI"/>
          <w:noProof/>
          <w:szCs w:val="24"/>
        </w:rPr>
        <w:t>, 15(2), pp. 32–46. doi: 10.1353/jod.2004.0034.</w:t>
      </w:r>
    </w:p>
    <w:p w14:paraId="59E4123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Pierce, R. (2008) </w:t>
      </w:r>
      <w:r w:rsidRPr="002804ED">
        <w:rPr>
          <w:rFonts w:cs="Segoe UI"/>
          <w:i/>
          <w:iCs/>
          <w:noProof/>
          <w:szCs w:val="24"/>
        </w:rPr>
        <w:t>Research Methods in Politics</w:t>
      </w:r>
      <w:r w:rsidRPr="002804ED">
        <w:rPr>
          <w:rFonts w:cs="Segoe UI"/>
          <w:noProof/>
          <w:szCs w:val="24"/>
        </w:rPr>
        <w:t>. London: SAGE Publications.</w:t>
      </w:r>
    </w:p>
    <w:p w14:paraId="1D9B258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Plato (1763) </w:t>
      </w:r>
      <w:r w:rsidRPr="002804ED">
        <w:rPr>
          <w:rFonts w:cs="Segoe UI"/>
          <w:i/>
          <w:iCs/>
          <w:noProof/>
          <w:szCs w:val="24"/>
        </w:rPr>
        <w:t>The Republic of Plato in Ten Books (translated by H. Spens, D.D.)</w:t>
      </w:r>
      <w:r w:rsidRPr="002804ED">
        <w:rPr>
          <w:rFonts w:cs="Segoe UI"/>
          <w:noProof/>
          <w:szCs w:val="24"/>
        </w:rPr>
        <w:t>. Glasgow: Glasgow University.</w:t>
      </w:r>
    </w:p>
    <w:p w14:paraId="63FAFD8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Popescu, C. (2012) ‘Is There a Fourth Wave of Democracy or Not? An Evaluation of the Latest Theories’, </w:t>
      </w:r>
      <w:r w:rsidRPr="002804ED">
        <w:rPr>
          <w:rFonts w:cs="Segoe UI"/>
          <w:i/>
          <w:iCs/>
          <w:noProof/>
          <w:szCs w:val="24"/>
        </w:rPr>
        <w:t>The USV Annals of Economics and Public Administration</w:t>
      </w:r>
      <w:r w:rsidRPr="002804ED">
        <w:rPr>
          <w:rFonts w:cs="Segoe UI"/>
          <w:noProof/>
          <w:szCs w:val="24"/>
        </w:rPr>
        <w:t>, 12(1), pp. 32–38.</w:t>
      </w:r>
    </w:p>
    <w:p w14:paraId="2EDC6C2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Pratt, J. (2008a) ‘Scandinavian Exceptionalism in an Era of Penal Excess: Part I: The Nature and Roots of Scandinavian Exceptionalism’, </w:t>
      </w:r>
      <w:r w:rsidRPr="002804ED">
        <w:rPr>
          <w:rFonts w:cs="Segoe UI"/>
          <w:i/>
          <w:iCs/>
          <w:noProof/>
          <w:szCs w:val="24"/>
        </w:rPr>
        <w:t>British Journal of Criminology</w:t>
      </w:r>
      <w:r w:rsidRPr="002804ED">
        <w:rPr>
          <w:rFonts w:cs="Segoe UI"/>
          <w:noProof/>
          <w:szCs w:val="24"/>
        </w:rPr>
        <w:t>, 48(2), pp. 119–137. doi: 10.1093/bjc/azm072.</w:t>
      </w:r>
    </w:p>
    <w:p w14:paraId="592DB45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Pratt, J. (2008b) ‘Scandinavian Exceptionalism in an Era of Penal Excess - Part II: The Nature and Roots of Scandinavian Exceptionalism’, </w:t>
      </w:r>
      <w:r w:rsidRPr="002804ED">
        <w:rPr>
          <w:rFonts w:cs="Segoe UI"/>
          <w:i/>
          <w:iCs/>
          <w:noProof/>
          <w:szCs w:val="24"/>
        </w:rPr>
        <w:t>British Journal of Criminology</w:t>
      </w:r>
      <w:r w:rsidRPr="002804ED">
        <w:rPr>
          <w:rFonts w:cs="Segoe UI"/>
          <w:noProof/>
          <w:szCs w:val="24"/>
        </w:rPr>
        <w:t>, 48(2), pp. 275–292. doi: 10.1093/bjc/azm072.</w:t>
      </w:r>
    </w:p>
    <w:p w14:paraId="496B37F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Prothro, J. W. and Grigg, C. M. (1960) ‘Fundamental Principles of Democracy : Bases of Agreement and Disagreement’, </w:t>
      </w:r>
      <w:r w:rsidRPr="002804ED">
        <w:rPr>
          <w:rFonts w:cs="Segoe UI"/>
          <w:i/>
          <w:iCs/>
          <w:noProof/>
          <w:szCs w:val="24"/>
        </w:rPr>
        <w:t>The Journal of Politics</w:t>
      </w:r>
      <w:r w:rsidRPr="002804ED">
        <w:rPr>
          <w:rFonts w:cs="Segoe UI"/>
          <w:noProof/>
          <w:szCs w:val="24"/>
        </w:rPr>
        <w:t>, 22(2), pp. 276–294.</w:t>
      </w:r>
    </w:p>
    <w:p w14:paraId="314F66A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Przeworski, A. (1986) ‘Some Problems in the Study of Transitions to Democracy’, in O’Donnell, G., Schmitter, P. C., and Whitehead, L. (eds) </w:t>
      </w:r>
      <w:r w:rsidRPr="002804ED">
        <w:rPr>
          <w:rFonts w:cs="Segoe UI"/>
          <w:i/>
          <w:iCs/>
          <w:noProof/>
          <w:szCs w:val="24"/>
        </w:rPr>
        <w:t>Transitions from Authoritarian Rule: Comparative Perspectives</w:t>
      </w:r>
      <w:r w:rsidRPr="002804ED">
        <w:rPr>
          <w:rFonts w:cs="Segoe UI"/>
          <w:noProof/>
          <w:szCs w:val="24"/>
        </w:rPr>
        <w:t>. London: John Hopkins University Press, pp. 47–63.</w:t>
      </w:r>
    </w:p>
    <w:p w14:paraId="4E21358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Przeworski, A. (1998) ‘Deliberation and ideological domination’, in Elster, J. (ed.) </w:t>
      </w:r>
      <w:r w:rsidRPr="002804ED">
        <w:rPr>
          <w:rFonts w:cs="Segoe UI"/>
          <w:i/>
          <w:iCs/>
          <w:noProof/>
          <w:szCs w:val="24"/>
        </w:rPr>
        <w:t>Deliberative Democracy</w:t>
      </w:r>
      <w:r w:rsidRPr="002804ED">
        <w:rPr>
          <w:rFonts w:cs="Segoe UI"/>
          <w:noProof/>
          <w:szCs w:val="24"/>
        </w:rPr>
        <w:t>. Cambridge: Cambridge University Press, pp. 140–160.</w:t>
      </w:r>
    </w:p>
    <w:p w14:paraId="6B0EA23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Przeworski, A. (2000) </w:t>
      </w:r>
      <w:r w:rsidRPr="002804ED">
        <w:rPr>
          <w:rFonts w:cs="Segoe UI"/>
          <w:i/>
          <w:iCs/>
          <w:noProof/>
          <w:szCs w:val="24"/>
        </w:rPr>
        <w:t>Democracy and Development</w:t>
      </w:r>
      <w:r w:rsidRPr="002804ED">
        <w:rPr>
          <w:rFonts w:cs="Segoe UI"/>
          <w:noProof/>
          <w:szCs w:val="24"/>
        </w:rPr>
        <w:t>. Cambridge: Cambridge University Press.</w:t>
      </w:r>
    </w:p>
    <w:p w14:paraId="2B7186E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Przeworski, A. (2003) ‘Why do parties obey results of elections?’, in Maravall, J. and Przeworski, A. (eds) </w:t>
      </w:r>
      <w:r w:rsidRPr="002804ED">
        <w:rPr>
          <w:rFonts w:cs="Segoe UI"/>
          <w:i/>
          <w:iCs/>
          <w:noProof/>
          <w:szCs w:val="24"/>
        </w:rPr>
        <w:t>Democracy and the rule of law</w:t>
      </w:r>
      <w:r w:rsidRPr="002804ED">
        <w:rPr>
          <w:rFonts w:cs="Segoe UI"/>
          <w:noProof/>
          <w:szCs w:val="24"/>
        </w:rPr>
        <w:t>. Cambridge: Cambridge University Press.</w:t>
      </w:r>
    </w:p>
    <w:p w14:paraId="3D50EF8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Przeworski, A. (2005) ‘Democracy as an equilibrium’, </w:t>
      </w:r>
      <w:r w:rsidRPr="002804ED">
        <w:rPr>
          <w:rFonts w:cs="Segoe UI"/>
          <w:i/>
          <w:iCs/>
          <w:noProof/>
          <w:szCs w:val="24"/>
        </w:rPr>
        <w:t>Public Choice</w:t>
      </w:r>
      <w:r w:rsidRPr="002804ED">
        <w:rPr>
          <w:rFonts w:cs="Segoe UI"/>
          <w:noProof/>
          <w:szCs w:val="24"/>
        </w:rPr>
        <w:t>, 123(3–4), pp. 253–273. doi: 10.1007/s11127-005-7163-4.</w:t>
      </w:r>
    </w:p>
    <w:p w14:paraId="650132C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Przeworski, A. and Limongi, F. (1997) ‘Development and Democracy’, in Hadenius, A. (ed.) </w:t>
      </w:r>
      <w:r w:rsidRPr="002804ED">
        <w:rPr>
          <w:rFonts w:cs="Segoe UI"/>
          <w:i/>
          <w:iCs/>
          <w:noProof/>
          <w:szCs w:val="24"/>
        </w:rPr>
        <w:t>Democracy’s Victory and Crisis</w:t>
      </w:r>
      <w:r w:rsidRPr="002804ED">
        <w:rPr>
          <w:rFonts w:cs="Segoe UI"/>
          <w:noProof/>
          <w:szCs w:val="24"/>
        </w:rPr>
        <w:t>. Cambridge: Cambridge University Press, pp. 163–194.</w:t>
      </w:r>
    </w:p>
    <w:p w14:paraId="7A05F35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Putnam, R. D. (1995) ‘Bowling Alone: America’s Declining Social Capital’, </w:t>
      </w:r>
      <w:r w:rsidRPr="002804ED">
        <w:rPr>
          <w:rFonts w:cs="Segoe UI"/>
          <w:i/>
          <w:iCs/>
          <w:noProof/>
          <w:szCs w:val="24"/>
        </w:rPr>
        <w:t>Journal of Democracy</w:t>
      </w:r>
      <w:r w:rsidRPr="002804ED">
        <w:rPr>
          <w:rFonts w:cs="Segoe UI"/>
          <w:noProof/>
          <w:szCs w:val="24"/>
        </w:rPr>
        <w:t>, 6(1), pp. 67–78.</w:t>
      </w:r>
    </w:p>
    <w:p w14:paraId="5155B59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Qi, L. and Shin, D. C. (2011) ‘How mass political attitudes affect democratization: Exploring the facilitating role critical democrats play in the process’, </w:t>
      </w:r>
      <w:r w:rsidRPr="002804ED">
        <w:rPr>
          <w:rFonts w:cs="Segoe UI"/>
          <w:i/>
          <w:iCs/>
          <w:noProof/>
          <w:szCs w:val="24"/>
        </w:rPr>
        <w:t>International Political Science Review</w:t>
      </w:r>
      <w:r w:rsidRPr="002804ED">
        <w:rPr>
          <w:rFonts w:cs="Segoe UI"/>
          <w:noProof/>
          <w:szCs w:val="24"/>
        </w:rPr>
        <w:t>, 32(3), pp. 245–262. doi: 10.1177/0192512110382029.</w:t>
      </w:r>
    </w:p>
    <w:p w14:paraId="602418E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Quintelier, E., Hooghe, M. and Marien, S. (2011) ‘The Effect of Compulsory Voting on Turnout Stratification Patterns: A Cross-national Analysis’, </w:t>
      </w:r>
      <w:r w:rsidRPr="002804ED">
        <w:rPr>
          <w:rFonts w:cs="Segoe UI"/>
          <w:i/>
          <w:iCs/>
          <w:noProof/>
          <w:szCs w:val="24"/>
        </w:rPr>
        <w:t>International Political Science Review</w:t>
      </w:r>
      <w:r w:rsidRPr="002804ED">
        <w:rPr>
          <w:rFonts w:cs="Segoe UI"/>
          <w:noProof/>
          <w:szCs w:val="24"/>
        </w:rPr>
        <w:t>, 32(4), pp. 396–416. doi: 10.1177/0192512110382016.</w:t>
      </w:r>
    </w:p>
    <w:p w14:paraId="63DD295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Rabe-Hesketh, S. and Skrondal, A. (2006) ‘Multilevel modelling of complex survey data’, </w:t>
      </w:r>
      <w:r w:rsidRPr="002804ED">
        <w:rPr>
          <w:rFonts w:cs="Segoe UI"/>
          <w:i/>
          <w:iCs/>
          <w:noProof/>
          <w:szCs w:val="24"/>
        </w:rPr>
        <w:t>Journal of the Royal Statistical Society: Series A (Statistics in Society)</w:t>
      </w:r>
      <w:r w:rsidRPr="002804ED">
        <w:rPr>
          <w:rFonts w:cs="Segoe UI"/>
          <w:noProof/>
          <w:szCs w:val="24"/>
        </w:rPr>
        <w:t>, 169(4), pp. 805–827. doi: 10.1111/j.1467-985X.2006.00426.x.</w:t>
      </w:r>
    </w:p>
    <w:p w14:paraId="3687E85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Raudenbusch, S. and Bryk, A. S. (1986) ‘A hierarchical model for studying school effects’, </w:t>
      </w:r>
      <w:r w:rsidRPr="002804ED">
        <w:rPr>
          <w:rFonts w:cs="Segoe UI"/>
          <w:i/>
          <w:iCs/>
          <w:noProof/>
          <w:szCs w:val="24"/>
        </w:rPr>
        <w:t>Sociology of Education</w:t>
      </w:r>
      <w:r w:rsidRPr="002804ED">
        <w:rPr>
          <w:rFonts w:cs="Segoe UI"/>
          <w:noProof/>
          <w:szCs w:val="24"/>
        </w:rPr>
        <w:t>, 59(1), pp. 1–17.</w:t>
      </w:r>
    </w:p>
    <w:p w14:paraId="16EA17F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Rawlins, F. I. G. (1949) ‘Proceedings of the Aristotelian Society’, </w:t>
      </w:r>
      <w:r w:rsidRPr="002804ED">
        <w:rPr>
          <w:rFonts w:cs="Segoe UI"/>
          <w:i/>
          <w:iCs/>
          <w:noProof/>
          <w:szCs w:val="24"/>
        </w:rPr>
        <w:t>Nature</w:t>
      </w:r>
      <w:r w:rsidRPr="002804ED">
        <w:rPr>
          <w:rFonts w:cs="Segoe UI"/>
          <w:noProof/>
          <w:szCs w:val="24"/>
        </w:rPr>
        <w:t>, 163(4140), pp. 346–346. doi: 10.1038/163346b0.</w:t>
      </w:r>
    </w:p>
    <w:p w14:paraId="2DA74DC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Recchia, A. (2010) ‘R-Squared Measures for Two-Level Hierarchical Linear Models Using SAS’, </w:t>
      </w:r>
      <w:r w:rsidRPr="002804ED">
        <w:rPr>
          <w:rFonts w:cs="Segoe UI"/>
          <w:i/>
          <w:iCs/>
          <w:noProof/>
          <w:szCs w:val="24"/>
        </w:rPr>
        <w:t>Journal Of Statistical Software</w:t>
      </w:r>
      <w:r w:rsidRPr="002804ED">
        <w:rPr>
          <w:rFonts w:cs="Segoe UI"/>
          <w:noProof/>
          <w:szCs w:val="24"/>
        </w:rPr>
        <w:t>, 32(January), pp. 1–9. Available at: http://www.jstatsoft.org/v32/c02/paper.</w:t>
      </w:r>
    </w:p>
    <w:p w14:paraId="0660AC3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Reeve, C. D. . (1988) </w:t>
      </w:r>
      <w:r w:rsidRPr="002804ED">
        <w:rPr>
          <w:rFonts w:cs="Segoe UI"/>
          <w:i/>
          <w:iCs/>
          <w:noProof/>
          <w:szCs w:val="24"/>
        </w:rPr>
        <w:t>Philosopher-Kings</w:t>
      </w:r>
      <w:r w:rsidRPr="002804ED">
        <w:rPr>
          <w:rFonts w:cs="Segoe UI"/>
          <w:noProof/>
          <w:szCs w:val="24"/>
        </w:rPr>
        <w:t>. Princeton: Princeton University Press.</w:t>
      </w:r>
    </w:p>
    <w:p w14:paraId="45BB34F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Remmer, K. L. (1991) ‘Review : New Wine or Old Bottlenecks ? The Study of Latin American Democracy’, </w:t>
      </w:r>
      <w:r w:rsidRPr="002804ED">
        <w:rPr>
          <w:rFonts w:cs="Segoe UI"/>
          <w:i/>
          <w:iCs/>
          <w:noProof/>
          <w:szCs w:val="24"/>
        </w:rPr>
        <w:t>Comparative Politics</w:t>
      </w:r>
      <w:r w:rsidRPr="002804ED">
        <w:rPr>
          <w:rFonts w:cs="Segoe UI"/>
          <w:noProof/>
          <w:szCs w:val="24"/>
        </w:rPr>
        <w:t>, 23(4), pp. 479–495.</w:t>
      </w:r>
    </w:p>
    <w:p w14:paraId="39EB94B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Rossteutscher, S. (2010) ‘Social Capital Worldwide: Potential for Democratization or Stabilizer of Authoritarian Rule?’, </w:t>
      </w:r>
      <w:r w:rsidRPr="002804ED">
        <w:rPr>
          <w:rFonts w:cs="Segoe UI"/>
          <w:i/>
          <w:iCs/>
          <w:noProof/>
          <w:szCs w:val="24"/>
        </w:rPr>
        <w:t>American Behavioral Scientist</w:t>
      </w:r>
      <w:r w:rsidRPr="002804ED">
        <w:rPr>
          <w:rFonts w:cs="Segoe UI"/>
          <w:noProof/>
          <w:szCs w:val="24"/>
        </w:rPr>
        <w:t>, 53(5), pp. 737–757. doi: 10.1177/0002764209350835.</w:t>
      </w:r>
    </w:p>
    <w:p w14:paraId="1DB3FD2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Rostow, W. (1960) </w:t>
      </w:r>
      <w:r w:rsidRPr="002804ED">
        <w:rPr>
          <w:rFonts w:cs="Segoe UI"/>
          <w:i/>
          <w:iCs/>
          <w:noProof/>
          <w:szCs w:val="24"/>
        </w:rPr>
        <w:t>The Stages of Economic Growth: A Noncommunist Manifesto</w:t>
      </w:r>
      <w:r w:rsidRPr="002804ED">
        <w:rPr>
          <w:rFonts w:cs="Segoe UI"/>
          <w:noProof/>
          <w:szCs w:val="24"/>
        </w:rPr>
        <w:t>. Cambridge: Cambridge University Press.</w:t>
      </w:r>
    </w:p>
    <w:p w14:paraId="1D048E0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Rousseau, J. J. (2010) </w:t>
      </w:r>
      <w:r w:rsidRPr="002804ED">
        <w:rPr>
          <w:rFonts w:cs="Segoe UI"/>
          <w:i/>
          <w:iCs/>
          <w:noProof/>
          <w:szCs w:val="24"/>
        </w:rPr>
        <w:t>The Social Contract (or) Principles of Political Right</w:t>
      </w:r>
      <w:r w:rsidRPr="002804ED">
        <w:rPr>
          <w:rFonts w:cs="Segoe UI"/>
          <w:noProof/>
          <w:szCs w:val="24"/>
        </w:rPr>
        <w:t>. New York: Bartleby.com. Available at: http://www.bartleby.com/168/.</w:t>
      </w:r>
    </w:p>
    <w:p w14:paraId="52C869F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Rowley, C. K. and Smith, N. (2009) ‘Islam’s democracy paradox: Muslims claim to like democracy, so why do they have so little?’, </w:t>
      </w:r>
      <w:r w:rsidRPr="002804ED">
        <w:rPr>
          <w:rFonts w:cs="Segoe UI"/>
          <w:i/>
          <w:iCs/>
          <w:noProof/>
          <w:szCs w:val="24"/>
        </w:rPr>
        <w:t>Public Choice</w:t>
      </w:r>
      <w:r w:rsidRPr="002804ED">
        <w:rPr>
          <w:rFonts w:cs="Segoe UI"/>
          <w:noProof/>
          <w:szCs w:val="24"/>
        </w:rPr>
        <w:t>, 139(3–4), pp. 273–299. doi: 10.1007/s11127-008-9393-8.</w:t>
      </w:r>
    </w:p>
    <w:p w14:paraId="6D9726D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Roxborough, I. (1979) </w:t>
      </w:r>
      <w:r w:rsidRPr="002804ED">
        <w:rPr>
          <w:rFonts w:cs="Segoe UI"/>
          <w:i/>
          <w:iCs/>
          <w:noProof/>
          <w:szCs w:val="24"/>
        </w:rPr>
        <w:t>Theories of Underdevelopment</w:t>
      </w:r>
      <w:r w:rsidRPr="002804ED">
        <w:rPr>
          <w:rFonts w:cs="Segoe UI"/>
          <w:noProof/>
          <w:szCs w:val="24"/>
        </w:rPr>
        <w:t>. London: MacMillan Press.</w:t>
      </w:r>
    </w:p>
    <w:p w14:paraId="5ABAD43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Runciman, W. (1966) </w:t>
      </w:r>
      <w:r w:rsidRPr="002804ED">
        <w:rPr>
          <w:rFonts w:cs="Segoe UI"/>
          <w:i/>
          <w:iCs/>
          <w:noProof/>
          <w:szCs w:val="24"/>
        </w:rPr>
        <w:t>Relative Deprivation and Social Justice</w:t>
      </w:r>
      <w:r w:rsidRPr="002804ED">
        <w:rPr>
          <w:rFonts w:cs="Segoe UI"/>
          <w:noProof/>
          <w:szCs w:val="24"/>
        </w:rPr>
        <w:t>. London: Routledge.</w:t>
      </w:r>
    </w:p>
    <w:p w14:paraId="4C6BF30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Russell, J. </w:t>
      </w:r>
      <w:r w:rsidRPr="002804ED">
        <w:rPr>
          <w:rFonts w:cs="Segoe UI"/>
          <w:i/>
          <w:iCs/>
          <w:noProof/>
          <w:szCs w:val="24"/>
        </w:rPr>
        <w:t>et al.</w:t>
      </w:r>
      <w:r w:rsidRPr="002804ED">
        <w:rPr>
          <w:rFonts w:cs="Segoe UI"/>
          <w:noProof/>
          <w:szCs w:val="24"/>
        </w:rPr>
        <w:t xml:space="preserve"> (2007) ‘Understanding Democracy : Data from Unlikely Places Understanding democracy : data from Unlikely Places’, 18(4), pp. 142–156.</w:t>
      </w:r>
    </w:p>
    <w:p w14:paraId="64585F5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Sallie, S. (2001) ‘Capitalist Globalization and Liberal Democratization in the Third World: A Cross-National Study’, </w:t>
      </w:r>
      <w:r w:rsidRPr="002804ED">
        <w:rPr>
          <w:rFonts w:cs="Segoe UI"/>
          <w:i/>
          <w:iCs/>
          <w:noProof/>
          <w:szCs w:val="24"/>
        </w:rPr>
        <w:t>International Third World Studies Journal and Review</w:t>
      </w:r>
      <w:r w:rsidRPr="002804ED">
        <w:rPr>
          <w:rFonts w:cs="Segoe UI"/>
          <w:noProof/>
          <w:szCs w:val="24"/>
        </w:rPr>
        <w:t>, 12, pp. 33–41.</w:t>
      </w:r>
    </w:p>
    <w:p w14:paraId="2D4D6A3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Sarkissian, A. (2012) ‘Religion and Civic Engagement in Muslim Countries’, </w:t>
      </w:r>
      <w:r w:rsidRPr="002804ED">
        <w:rPr>
          <w:rFonts w:cs="Segoe UI"/>
          <w:i/>
          <w:iCs/>
          <w:noProof/>
          <w:szCs w:val="24"/>
        </w:rPr>
        <w:t>Journal for the Scientific Study of Religion</w:t>
      </w:r>
      <w:r w:rsidRPr="002804ED">
        <w:rPr>
          <w:rFonts w:cs="Segoe UI"/>
          <w:noProof/>
          <w:szCs w:val="24"/>
        </w:rPr>
        <w:t>, 51(4), pp. 607–622.</w:t>
      </w:r>
    </w:p>
    <w:p w14:paraId="0DF1686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Satori, G. (1987a) </w:t>
      </w:r>
      <w:r w:rsidRPr="002804ED">
        <w:rPr>
          <w:rFonts w:cs="Segoe UI"/>
          <w:i/>
          <w:iCs/>
          <w:noProof/>
          <w:szCs w:val="24"/>
        </w:rPr>
        <w:t>Theory of Democracy Revisited (Part One)</w:t>
      </w:r>
      <w:r w:rsidRPr="002804ED">
        <w:rPr>
          <w:rFonts w:cs="Segoe UI"/>
          <w:noProof/>
          <w:szCs w:val="24"/>
        </w:rPr>
        <w:t>. New Jersey: Chatham House Publishers.</w:t>
      </w:r>
    </w:p>
    <w:p w14:paraId="013EDA6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Satori, G. (1987b) </w:t>
      </w:r>
      <w:r w:rsidRPr="002804ED">
        <w:rPr>
          <w:rFonts w:cs="Segoe UI"/>
          <w:i/>
          <w:iCs/>
          <w:noProof/>
          <w:szCs w:val="24"/>
        </w:rPr>
        <w:t>Theory of Democracy Revisited (Part Two)</w:t>
      </w:r>
      <w:r w:rsidRPr="002804ED">
        <w:rPr>
          <w:rFonts w:cs="Segoe UI"/>
          <w:noProof/>
          <w:szCs w:val="24"/>
        </w:rPr>
        <w:t>. New Jersey: Chatham House Publishers.</w:t>
      </w:r>
    </w:p>
    <w:p w14:paraId="634DC15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Saward, M. (2003) ‘Enacting Democracy’, </w:t>
      </w:r>
      <w:r w:rsidRPr="002804ED">
        <w:rPr>
          <w:rFonts w:cs="Segoe UI"/>
          <w:i/>
          <w:iCs/>
          <w:noProof/>
          <w:szCs w:val="24"/>
        </w:rPr>
        <w:t>Political Studies</w:t>
      </w:r>
      <w:r w:rsidRPr="002804ED">
        <w:rPr>
          <w:rFonts w:cs="Segoe UI"/>
          <w:noProof/>
          <w:szCs w:val="24"/>
        </w:rPr>
        <w:t>, 51(1), pp. 161–179. doi: 10.1111/1467-9248.00418.</w:t>
      </w:r>
    </w:p>
    <w:p w14:paraId="38FE0BB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Schedler, A. and Sarsfield, R. (2007) ‘Democrats with adjectives: Linking direct and indirect measures of democratic support’, </w:t>
      </w:r>
      <w:r w:rsidRPr="002804ED">
        <w:rPr>
          <w:rFonts w:cs="Segoe UI"/>
          <w:i/>
          <w:iCs/>
          <w:noProof/>
          <w:szCs w:val="24"/>
        </w:rPr>
        <w:t>European Journal of Political Research</w:t>
      </w:r>
      <w:r w:rsidRPr="002804ED">
        <w:rPr>
          <w:rFonts w:cs="Segoe UI"/>
          <w:noProof/>
          <w:szCs w:val="24"/>
        </w:rPr>
        <w:t>, 46(5), pp. 637–659. doi: 10.1111/j.1475-6765.2007.00708.x.</w:t>
      </w:r>
    </w:p>
    <w:p w14:paraId="0514D8E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Schmitter, P. C. and Karl, T. L. (1994) ‘The Conceptual Travels of Transitologists and Consolidologists: How Far to the East Should They Attempt to Go?’, </w:t>
      </w:r>
      <w:r w:rsidRPr="002804ED">
        <w:rPr>
          <w:rFonts w:cs="Segoe UI"/>
          <w:i/>
          <w:iCs/>
          <w:noProof/>
          <w:szCs w:val="24"/>
        </w:rPr>
        <w:t>Slavic Review</w:t>
      </w:r>
      <w:r w:rsidRPr="002804ED">
        <w:rPr>
          <w:rFonts w:cs="Segoe UI"/>
          <w:noProof/>
          <w:szCs w:val="24"/>
        </w:rPr>
        <w:t>, 53(1), pp. 173–185. doi: 10.2307/2500331.</w:t>
      </w:r>
    </w:p>
    <w:p w14:paraId="0BD2EDB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Schueth, S. and Loughlin, J. O. (2008) ‘Belonging to the world : Cosmopolitanism in geographic contexts’, </w:t>
      </w:r>
      <w:r w:rsidRPr="002804ED">
        <w:rPr>
          <w:rFonts w:cs="Segoe UI"/>
          <w:i/>
          <w:iCs/>
          <w:noProof/>
          <w:szCs w:val="24"/>
        </w:rPr>
        <w:t>Geoforum</w:t>
      </w:r>
      <w:r w:rsidRPr="002804ED">
        <w:rPr>
          <w:rFonts w:cs="Segoe UI"/>
          <w:noProof/>
          <w:szCs w:val="24"/>
        </w:rPr>
        <w:t>, 39, pp. 926–941. doi: 10.1016/j.geoforum.2007.10.002.</w:t>
      </w:r>
    </w:p>
    <w:p w14:paraId="35F560D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Schumpeter, J. (1942) </w:t>
      </w:r>
      <w:r w:rsidRPr="002804ED">
        <w:rPr>
          <w:rFonts w:cs="Segoe UI"/>
          <w:i/>
          <w:iCs/>
          <w:noProof/>
          <w:szCs w:val="24"/>
        </w:rPr>
        <w:t>Capitalism, Socialism and Democracy</w:t>
      </w:r>
      <w:r w:rsidRPr="002804ED">
        <w:rPr>
          <w:rFonts w:cs="Segoe UI"/>
          <w:noProof/>
          <w:szCs w:val="24"/>
        </w:rPr>
        <w:t>. New York: Harper.</w:t>
      </w:r>
    </w:p>
    <w:p w14:paraId="2191D5A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Scott Long, J. (1983) </w:t>
      </w:r>
      <w:r w:rsidRPr="002804ED">
        <w:rPr>
          <w:rFonts w:cs="Segoe UI"/>
          <w:i/>
          <w:iCs/>
          <w:noProof/>
          <w:szCs w:val="24"/>
        </w:rPr>
        <w:t>Confirmatory Factor Analysis</w:t>
      </w:r>
      <w:r w:rsidRPr="002804ED">
        <w:rPr>
          <w:rFonts w:cs="Segoe UI"/>
          <w:noProof/>
          <w:szCs w:val="24"/>
        </w:rPr>
        <w:t>. SAGE Publications.</w:t>
      </w:r>
    </w:p>
    <w:p w14:paraId="72BE399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Seligson, M. A. (2008) </w:t>
      </w:r>
      <w:r w:rsidRPr="002804ED">
        <w:rPr>
          <w:rFonts w:cs="Segoe UI"/>
          <w:i/>
          <w:iCs/>
          <w:noProof/>
          <w:szCs w:val="24"/>
        </w:rPr>
        <w:t>Challenges to Democracy in Latin America and the Caribbean: Evidence from the Americas Barometer 2006-2007</w:t>
      </w:r>
      <w:r w:rsidRPr="002804ED">
        <w:rPr>
          <w:rFonts w:cs="Segoe UI"/>
          <w:noProof/>
          <w:szCs w:val="24"/>
        </w:rPr>
        <w:t xml:space="preserve">, </w:t>
      </w:r>
      <w:r w:rsidRPr="002804ED">
        <w:rPr>
          <w:rFonts w:cs="Segoe UI"/>
          <w:i/>
          <w:iCs/>
          <w:noProof/>
          <w:szCs w:val="24"/>
        </w:rPr>
        <w:t>Latin American Public Opinion Project (LAPOP)</w:t>
      </w:r>
      <w:r w:rsidRPr="002804ED">
        <w:rPr>
          <w:rFonts w:cs="Segoe UI"/>
          <w:noProof/>
          <w:szCs w:val="24"/>
        </w:rPr>
        <w:t>.</w:t>
      </w:r>
    </w:p>
    <w:p w14:paraId="06B3379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Semyonov, M., Lewin-Epstein, N. and Maskileyson, D. (2013) ‘Where wealth matters more for health: the wealth-health gradient in 16 countries.’, </w:t>
      </w:r>
      <w:r w:rsidRPr="002804ED">
        <w:rPr>
          <w:rFonts w:cs="Segoe UI"/>
          <w:i/>
          <w:iCs/>
          <w:noProof/>
          <w:szCs w:val="24"/>
        </w:rPr>
        <w:t>Social science &amp; medicine</w:t>
      </w:r>
      <w:r w:rsidRPr="002804ED">
        <w:rPr>
          <w:rFonts w:cs="Segoe UI"/>
          <w:noProof/>
          <w:szCs w:val="24"/>
        </w:rPr>
        <w:t>. Elsevier Ltd, 81(1), pp. 10–7. doi: 10.1016/j.socscimed.2013.01.010.</w:t>
      </w:r>
    </w:p>
    <w:p w14:paraId="24691D8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Sen, A. (1999) ‘Democracy as universal value’, </w:t>
      </w:r>
      <w:r w:rsidRPr="002804ED">
        <w:rPr>
          <w:rFonts w:cs="Segoe UI"/>
          <w:i/>
          <w:iCs/>
          <w:noProof/>
          <w:szCs w:val="24"/>
        </w:rPr>
        <w:t>Journal of Democracy</w:t>
      </w:r>
      <w:r w:rsidRPr="002804ED">
        <w:rPr>
          <w:rFonts w:cs="Segoe UI"/>
          <w:noProof/>
          <w:szCs w:val="24"/>
        </w:rPr>
        <w:t>, 10(3), pp. 3–17. Available at: https://muse-jhu-edu.eresources.shef.ac.uk/journals/jod/v010/10.3sen.html.</w:t>
      </w:r>
    </w:p>
    <w:p w14:paraId="6F9EDDA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Shaykhutdinov, R. and Achilov, D. (2014) ‘Islam, Islamism, and Collective Action in Central Asia’, </w:t>
      </w:r>
      <w:r w:rsidRPr="002804ED">
        <w:rPr>
          <w:rFonts w:cs="Segoe UI"/>
          <w:i/>
          <w:iCs/>
          <w:noProof/>
          <w:szCs w:val="24"/>
        </w:rPr>
        <w:t>Trames. Journal of the Humanities and Social Sciences</w:t>
      </w:r>
      <w:r w:rsidRPr="002804ED">
        <w:rPr>
          <w:rFonts w:cs="Segoe UI"/>
          <w:noProof/>
          <w:szCs w:val="24"/>
        </w:rPr>
        <w:t>, 18(4), p. 383. doi: 10.3176/tr.2014.4.05.</w:t>
      </w:r>
    </w:p>
    <w:p w14:paraId="3CA9EAB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Shehata, A. (2013) ‘Active or Passive Learning From Television ? Political Information Opportunities and Knowledge Gaps During Election Campaigns’, </w:t>
      </w:r>
      <w:r w:rsidRPr="002804ED">
        <w:rPr>
          <w:rFonts w:cs="Segoe UI"/>
          <w:i/>
          <w:iCs/>
          <w:noProof/>
          <w:szCs w:val="24"/>
        </w:rPr>
        <w:t>Journal of Elections, Public Opinion &amp; Parties</w:t>
      </w:r>
      <w:r w:rsidRPr="002804ED">
        <w:rPr>
          <w:rFonts w:cs="Segoe UI"/>
          <w:noProof/>
          <w:szCs w:val="24"/>
        </w:rPr>
        <w:t>, 23(2), pp. 200–222.</w:t>
      </w:r>
    </w:p>
    <w:p w14:paraId="5D9E5E5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Simon, J. </w:t>
      </w:r>
      <w:r w:rsidRPr="002804ED">
        <w:rPr>
          <w:rFonts w:cs="Segoe UI"/>
          <w:i/>
          <w:iCs/>
          <w:noProof/>
          <w:szCs w:val="24"/>
        </w:rPr>
        <w:t>et al.</w:t>
      </w:r>
      <w:r w:rsidRPr="002804ED">
        <w:rPr>
          <w:rFonts w:cs="Segoe UI"/>
          <w:noProof/>
          <w:szCs w:val="24"/>
        </w:rPr>
        <w:t xml:space="preserve"> (2017) </w:t>
      </w:r>
      <w:r w:rsidRPr="002804ED">
        <w:rPr>
          <w:rFonts w:cs="Segoe UI"/>
          <w:i/>
          <w:iCs/>
          <w:noProof/>
          <w:szCs w:val="24"/>
        </w:rPr>
        <w:t>Digital Democracy</w:t>
      </w:r>
      <w:r w:rsidRPr="002804ED">
        <w:rPr>
          <w:rFonts w:cs="Segoe UI"/>
          <w:noProof/>
          <w:szCs w:val="24"/>
        </w:rPr>
        <w:t>. Available at: http://www.nesta.org.uk/sites/default/files/digital_democracy.pdf.</w:t>
      </w:r>
    </w:p>
    <w:p w14:paraId="1F965D7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Snijders, T. (2005) ‘Fixed and random effects’, in Everitt, B. S. and Howell, D. C. (eds) </w:t>
      </w:r>
      <w:r w:rsidRPr="002804ED">
        <w:rPr>
          <w:rFonts w:cs="Segoe UI"/>
          <w:i/>
          <w:iCs/>
          <w:noProof/>
          <w:szCs w:val="24"/>
        </w:rPr>
        <w:t>Encyclopedia of Statistics in Behavioral Science Vol.2</w:t>
      </w:r>
      <w:r w:rsidRPr="002804ED">
        <w:rPr>
          <w:rFonts w:cs="Segoe UI"/>
          <w:noProof/>
          <w:szCs w:val="24"/>
        </w:rPr>
        <w:t>. Chichester: Wiley, pp. 664–665.</w:t>
      </w:r>
    </w:p>
    <w:p w14:paraId="668B7B1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Snijders, T. and Bosker, R. (1999) </w:t>
      </w:r>
      <w:r w:rsidRPr="002804ED">
        <w:rPr>
          <w:rFonts w:cs="Segoe UI"/>
          <w:i/>
          <w:iCs/>
          <w:noProof/>
          <w:szCs w:val="24"/>
        </w:rPr>
        <w:t>Multilevel Analysis: An Introduction to basic and Advanced Multilevel Modelling</w:t>
      </w:r>
      <w:r w:rsidRPr="002804ED">
        <w:rPr>
          <w:rFonts w:cs="Segoe UI"/>
          <w:noProof/>
          <w:szCs w:val="24"/>
        </w:rPr>
        <w:t>. London: SAGE Publications.</w:t>
      </w:r>
    </w:p>
    <w:p w14:paraId="0FFED0D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Solt, F. (2008) ‘Economic Inequality and Democratic Political Engagement’, </w:t>
      </w:r>
      <w:r w:rsidRPr="002804ED">
        <w:rPr>
          <w:rFonts w:cs="Segoe UI"/>
          <w:i/>
          <w:iCs/>
          <w:noProof/>
          <w:szCs w:val="24"/>
        </w:rPr>
        <w:t>American Journal of Political Science</w:t>
      </w:r>
      <w:r w:rsidRPr="002804ED">
        <w:rPr>
          <w:rFonts w:cs="Segoe UI"/>
          <w:noProof/>
          <w:szCs w:val="24"/>
        </w:rPr>
        <w:t>, 52(1), pp. 48–60. doi: 10.1111/j.1540-5907.2007.00298.x.</w:t>
      </w:r>
    </w:p>
    <w:p w14:paraId="3D9DAE2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Spierenburg, P. (2006) ‘Democracy came too early: a tentative explanation for the problem of American homicide.’, </w:t>
      </w:r>
      <w:r w:rsidRPr="002804ED">
        <w:rPr>
          <w:rFonts w:cs="Segoe UI"/>
          <w:i/>
          <w:iCs/>
          <w:noProof/>
          <w:szCs w:val="24"/>
        </w:rPr>
        <w:t>The American historical review</w:t>
      </w:r>
      <w:r w:rsidRPr="002804ED">
        <w:rPr>
          <w:rFonts w:cs="Segoe UI"/>
          <w:noProof/>
          <w:szCs w:val="24"/>
        </w:rPr>
        <w:t>, 111(1), pp. 104–114. doi: 10.1086/ahr.111.1.104.</w:t>
      </w:r>
    </w:p>
    <w:p w14:paraId="652DF769"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Steenbergen, M. R. and Jones, B. (2002) ‘Modeling Multilevel Data Structures’, </w:t>
      </w:r>
      <w:r w:rsidRPr="002804ED">
        <w:rPr>
          <w:rFonts w:cs="Segoe UI"/>
          <w:i/>
          <w:iCs/>
          <w:noProof/>
          <w:szCs w:val="24"/>
        </w:rPr>
        <w:t>American Journal of Political Science</w:t>
      </w:r>
      <w:r w:rsidRPr="002804ED">
        <w:rPr>
          <w:rFonts w:cs="Segoe UI"/>
          <w:noProof/>
          <w:szCs w:val="24"/>
        </w:rPr>
        <w:t>, 46(1), pp. 218–237.</w:t>
      </w:r>
    </w:p>
    <w:p w14:paraId="2F7965A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Stenner, K. (2005) </w:t>
      </w:r>
      <w:r w:rsidRPr="002804ED">
        <w:rPr>
          <w:rFonts w:cs="Segoe UI"/>
          <w:i/>
          <w:iCs/>
          <w:noProof/>
          <w:szCs w:val="24"/>
        </w:rPr>
        <w:t>The Authoritarian Dynamic</w:t>
      </w:r>
      <w:r w:rsidRPr="002804ED">
        <w:rPr>
          <w:rFonts w:cs="Segoe UI"/>
          <w:noProof/>
          <w:szCs w:val="24"/>
        </w:rPr>
        <w:t>. Cambridge: Cambridge University Press.</w:t>
      </w:r>
    </w:p>
    <w:p w14:paraId="5F3E018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Stepan, A. C. (2000) ‘Religion, Democracy, and the “Twin Tolerations”’, </w:t>
      </w:r>
      <w:r w:rsidRPr="002804ED">
        <w:rPr>
          <w:rFonts w:cs="Segoe UI"/>
          <w:i/>
          <w:iCs/>
          <w:noProof/>
          <w:szCs w:val="24"/>
        </w:rPr>
        <w:t>Journal of Democracy</w:t>
      </w:r>
      <w:r w:rsidRPr="002804ED">
        <w:rPr>
          <w:rFonts w:cs="Segoe UI"/>
          <w:noProof/>
          <w:szCs w:val="24"/>
        </w:rPr>
        <w:t>, 11(4), pp. 37–57. doi: 10.1353/jod.2000.0088.</w:t>
      </w:r>
    </w:p>
    <w:p w14:paraId="68CD588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Stolle, D. (2003) ‘The sources of social capital’, in Hooghe, M. and Stolle, D. (eds) </w:t>
      </w:r>
      <w:r w:rsidRPr="002804ED">
        <w:rPr>
          <w:rFonts w:cs="Segoe UI"/>
          <w:i/>
          <w:iCs/>
          <w:noProof/>
          <w:szCs w:val="24"/>
        </w:rPr>
        <w:t>Generating Social Capital - Civil society and institutions in comparative perspective</w:t>
      </w:r>
      <w:r w:rsidRPr="002804ED">
        <w:rPr>
          <w:rFonts w:cs="Segoe UI"/>
          <w:noProof/>
          <w:szCs w:val="24"/>
        </w:rPr>
        <w:t>. New York: Palgrave Macmillan, pp. 19–42.</w:t>
      </w:r>
    </w:p>
    <w:p w14:paraId="28CB287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Strøm, K. (2000) ‘Delegation and accountability in parliamentary democracies’, </w:t>
      </w:r>
      <w:r w:rsidRPr="002804ED">
        <w:rPr>
          <w:rFonts w:cs="Segoe UI"/>
          <w:i/>
          <w:iCs/>
          <w:noProof/>
          <w:szCs w:val="24"/>
        </w:rPr>
        <w:t>European Journal of Political Research</w:t>
      </w:r>
      <w:r w:rsidRPr="002804ED">
        <w:rPr>
          <w:rFonts w:cs="Segoe UI"/>
          <w:noProof/>
          <w:szCs w:val="24"/>
        </w:rPr>
        <w:t>, 37, pp. 261–289. doi: 10.1111/1475-6765.00513.</w:t>
      </w:r>
    </w:p>
    <w:p w14:paraId="14DD024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Suhr, D. (1994) </w:t>
      </w:r>
      <w:r w:rsidRPr="002804ED">
        <w:rPr>
          <w:rFonts w:cs="Segoe UI"/>
          <w:i/>
          <w:iCs/>
          <w:noProof/>
          <w:szCs w:val="24"/>
        </w:rPr>
        <w:t>Principal Component Analysis vs. Exploratory Factor Analysis</w:t>
      </w:r>
      <w:r w:rsidRPr="002804ED">
        <w:rPr>
          <w:rFonts w:cs="Segoe UI"/>
          <w:noProof/>
          <w:szCs w:val="24"/>
        </w:rPr>
        <w:t xml:space="preserve">, </w:t>
      </w:r>
      <w:r w:rsidRPr="002804ED">
        <w:rPr>
          <w:rFonts w:cs="Segoe UI"/>
          <w:i/>
          <w:iCs/>
          <w:noProof/>
          <w:szCs w:val="24"/>
        </w:rPr>
        <w:t>SUGI 30 Statistics and Data Analysis Paper 203-30</w:t>
      </w:r>
      <w:r w:rsidRPr="002804ED">
        <w:rPr>
          <w:rFonts w:cs="Segoe UI"/>
          <w:noProof/>
          <w:szCs w:val="24"/>
        </w:rPr>
        <w:t>. Available at: http://www2.sas.com/proceedings/sugi30/203-30.pdf (Accessed: 22 June 2017).</w:t>
      </w:r>
    </w:p>
    <w:p w14:paraId="7DAD207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Sung, H.-E. (2006) ‘Democracy and Criminal Justice in Cross-National Perspective: From Crime Control to Due Process’, </w:t>
      </w:r>
      <w:r w:rsidRPr="002804ED">
        <w:rPr>
          <w:rFonts w:cs="Segoe UI"/>
          <w:i/>
          <w:iCs/>
          <w:noProof/>
          <w:szCs w:val="24"/>
        </w:rPr>
        <w:t>The Annals of the American Academy of Political and Social Science</w:t>
      </w:r>
      <w:r w:rsidRPr="002804ED">
        <w:rPr>
          <w:rFonts w:cs="Segoe UI"/>
          <w:noProof/>
          <w:szCs w:val="24"/>
        </w:rPr>
        <w:t>, 605(1), pp. 311–337. doi: 10.1177/0002716206287546.</w:t>
      </w:r>
    </w:p>
    <w:p w14:paraId="75C3DB7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Tabachnick, B. and Fidell, L. (2007) </w:t>
      </w:r>
      <w:r w:rsidRPr="002804ED">
        <w:rPr>
          <w:rFonts w:cs="Segoe UI"/>
          <w:i/>
          <w:iCs/>
          <w:noProof/>
          <w:szCs w:val="24"/>
        </w:rPr>
        <w:t>Using Multivariate Statistics</w:t>
      </w:r>
      <w:r w:rsidRPr="002804ED">
        <w:rPr>
          <w:rFonts w:cs="Segoe UI"/>
          <w:noProof/>
          <w:szCs w:val="24"/>
        </w:rPr>
        <w:t>. New Jersey: Pearson Allyn &amp; Bacon.</w:t>
      </w:r>
    </w:p>
    <w:p w14:paraId="75C804E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Tavares, J. and Wacziarg, R. (2001) ‘How democracy affects growth’, </w:t>
      </w:r>
      <w:r w:rsidRPr="002804ED">
        <w:rPr>
          <w:rFonts w:cs="Segoe UI"/>
          <w:i/>
          <w:iCs/>
          <w:noProof/>
          <w:szCs w:val="24"/>
        </w:rPr>
        <w:t>European Economic Review</w:t>
      </w:r>
      <w:r w:rsidRPr="002804ED">
        <w:rPr>
          <w:rFonts w:cs="Segoe UI"/>
          <w:noProof/>
          <w:szCs w:val="24"/>
        </w:rPr>
        <w:t>, 45(8), pp. 1341–1378. doi: 10.1016/S0014-2921(00)00093-3.</w:t>
      </w:r>
    </w:p>
    <w:p w14:paraId="1571F30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Taylor-Gooby, P. (2011) ‘Security, equality and opportunity: attitudes and the sustainability of social protection’, </w:t>
      </w:r>
      <w:r w:rsidRPr="002804ED">
        <w:rPr>
          <w:rFonts w:cs="Segoe UI"/>
          <w:i/>
          <w:iCs/>
          <w:noProof/>
          <w:szCs w:val="24"/>
        </w:rPr>
        <w:t>Journal of European Social Policy</w:t>
      </w:r>
      <w:r w:rsidRPr="002804ED">
        <w:rPr>
          <w:rFonts w:cs="Segoe UI"/>
          <w:noProof/>
          <w:szCs w:val="24"/>
        </w:rPr>
        <w:t>, 21(2), pp. 150–163. doi: 10.1177/0958928709XXXXXX.</w:t>
      </w:r>
    </w:p>
    <w:p w14:paraId="4F863CC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i/>
          <w:iCs/>
          <w:noProof/>
          <w:szCs w:val="24"/>
        </w:rPr>
        <w:t>The Telegraph</w:t>
      </w:r>
      <w:r w:rsidRPr="002804ED">
        <w:rPr>
          <w:rFonts w:cs="Segoe UI"/>
          <w:noProof/>
          <w:szCs w:val="24"/>
        </w:rPr>
        <w:t xml:space="preserve"> (2008) ‘Egyptians riot over bread crisis’, April. Available at: http://www.telegraph.co.uk/finance/economics/2787714/Egyptians-riot-over-bread-crisis.html.</w:t>
      </w:r>
    </w:p>
    <w:p w14:paraId="6BD645D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Thomassen, J. (1998) ‘Support for Democratic Values’, in Klingemann, H.-D. and Fuchs, D. (eds) </w:t>
      </w:r>
      <w:r w:rsidRPr="002804ED">
        <w:rPr>
          <w:rFonts w:cs="Segoe UI"/>
          <w:i/>
          <w:iCs/>
          <w:noProof/>
          <w:szCs w:val="24"/>
        </w:rPr>
        <w:t>Citizens and the State</w:t>
      </w:r>
      <w:r w:rsidRPr="002804ED">
        <w:rPr>
          <w:rFonts w:cs="Segoe UI"/>
          <w:noProof/>
          <w:szCs w:val="24"/>
        </w:rPr>
        <w:t>. Oxford: Oxford University Press, pp. 383–416.</w:t>
      </w:r>
    </w:p>
    <w:p w14:paraId="1642B8CE"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Thompson, B. and Vidal-Brown, S. (2001) ‘Principal Components versus Principle Axis Factors: When Will We Ever Learn?’, in </w:t>
      </w:r>
      <w:r w:rsidRPr="002804ED">
        <w:rPr>
          <w:rFonts w:cs="Segoe UI"/>
          <w:i/>
          <w:iCs/>
          <w:noProof/>
          <w:szCs w:val="24"/>
        </w:rPr>
        <w:t>Paper presented at the annual meeting of the Southwest Educational Research Association, New Orleans</w:t>
      </w:r>
      <w:r w:rsidRPr="002804ED">
        <w:rPr>
          <w:rFonts w:cs="Segoe UI"/>
          <w:noProof/>
          <w:szCs w:val="24"/>
        </w:rPr>
        <w:t>.</w:t>
      </w:r>
    </w:p>
    <w:p w14:paraId="18B86D0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Tinsley, H. E. A. and Tinsley, D. J. (1987) ‘Uses of Factor Analysis in Counseling Psychology Research’, </w:t>
      </w:r>
      <w:r w:rsidRPr="002804ED">
        <w:rPr>
          <w:rFonts w:cs="Segoe UI"/>
          <w:i/>
          <w:iCs/>
          <w:noProof/>
          <w:szCs w:val="24"/>
        </w:rPr>
        <w:t>Journal of Psychology</w:t>
      </w:r>
      <w:r w:rsidRPr="002804ED">
        <w:rPr>
          <w:rFonts w:cs="Segoe UI"/>
          <w:noProof/>
          <w:szCs w:val="24"/>
        </w:rPr>
        <w:t>, 34(4), pp. 414–424.</w:t>
      </w:r>
    </w:p>
    <w:p w14:paraId="763ACC13"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de Tocqueville, A. (1998) </w:t>
      </w:r>
      <w:r w:rsidRPr="002804ED">
        <w:rPr>
          <w:rFonts w:cs="Segoe UI"/>
          <w:i/>
          <w:iCs/>
          <w:noProof/>
          <w:szCs w:val="24"/>
        </w:rPr>
        <w:t>Democracy in America</w:t>
      </w:r>
      <w:r w:rsidRPr="002804ED">
        <w:rPr>
          <w:rFonts w:cs="Segoe UI"/>
          <w:noProof/>
          <w:szCs w:val="24"/>
        </w:rPr>
        <w:t>. Ware: Wordworth Editions.</w:t>
      </w:r>
    </w:p>
    <w:p w14:paraId="48B3F9C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Trägårdh, L. (2013) ‘Commentary : The Politics of Distrust Commentary : The Politics of Distrust’, </w:t>
      </w:r>
      <w:r w:rsidRPr="002804ED">
        <w:rPr>
          <w:rFonts w:cs="Segoe UI"/>
          <w:i/>
          <w:iCs/>
          <w:noProof/>
          <w:szCs w:val="24"/>
        </w:rPr>
        <w:t>Journal of Civil Society</w:t>
      </w:r>
      <w:r w:rsidRPr="002804ED">
        <w:rPr>
          <w:rFonts w:cs="Segoe UI"/>
          <w:noProof/>
          <w:szCs w:val="24"/>
        </w:rPr>
        <w:t>, 9(1), pp. 100–104.</w:t>
      </w:r>
    </w:p>
    <w:p w14:paraId="3B81168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Twisk, J. (2006) </w:t>
      </w:r>
      <w:r w:rsidRPr="002804ED">
        <w:rPr>
          <w:rFonts w:cs="Segoe UI"/>
          <w:i/>
          <w:iCs/>
          <w:noProof/>
          <w:szCs w:val="24"/>
        </w:rPr>
        <w:t>Applied Multilevel Analysis</w:t>
      </w:r>
      <w:r w:rsidRPr="002804ED">
        <w:rPr>
          <w:rFonts w:cs="Segoe UI"/>
          <w:noProof/>
          <w:szCs w:val="24"/>
        </w:rPr>
        <w:t>. Cambridge: Cambridge University Press.</w:t>
      </w:r>
    </w:p>
    <w:p w14:paraId="624A732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UNDP (2015a) </w:t>
      </w:r>
      <w:r w:rsidRPr="002804ED">
        <w:rPr>
          <w:rFonts w:cs="Segoe UI"/>
          <w:i/>
          <w:iCs/>
          <w:noProof/>
          <w:szCs w:val="24"/>
        </w:rPr>
        <w:t>Human Development Report: Technical Notes</w:t>
      </w:r>
      <w:r w:rsidRPr="002804ED">
        <w:rPr>
          <w:rFonts w:cs="Segoe UI"/>
          <w:noProof/>
          <w:szCs w:val="24"/>
        </w:rPr>
        <w:t>. New York. doi: 10.1016/j.rmr.2010.03.023.</w:t>
      </w:r>
    </w:p>
    <w:p w14:paraId="5D30F39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UNDP (2015b) </w:t>
      </w:r>
      <w:r w:rsidRPr="002804ED">
        <w:rPr>
          <w:rFonts w:cs="Segoe UI"/>
          <w:i/>
          <w:iCs/>
          <w:noProof/>
          <w:szCs w:val="24"/>
        </w:rPr>
        <w:t>Human Development Report 2015. Work for Human Development</w:t>
      </w:r>
      <w:r w:rsidRPr="002804ED">
        <w:rPr>
          <w:rFonts w:cs="Segoe UI"/>
          <w:noProof/>
          <w:szCs w:val="24"/>
        </w:rPr>
        <w:t>. New York. Available at: http://hdr.undp.org/sites/all/themes/hdr_theme/country-notes/MEX.pdf.</w:t>
      </w:r>
    </w:p>
    <w:p w14:paraId="39FDBFD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Verme, P. (2009) ‘Happiness, freedom and control’, </w:t>
      </w:r>
      <w:r w:rsidRPr="002804ED">
        <w:rPr>
          <w:rFonts w:cs="Segoe UI"/>
          <w:i/>
          <w:iCs/>
          <w:noProof/>
          <w:szCs w:val="24"/>
        </w:rPr>
        <w:t>Journal of Economic Behavior and Organization</w:t>
      </w:r>
      <w:r w:rsidRPr="002804ED">
        <w:rPr>
          <w:rFonts w:cs="Segoe UI"/>
          <w:noProof/>
          <w:szCs w:val="24"/>
        </w:rPr>
        <w:t>, 71(2), pp. 146–161. doi: 10.1016/j.jebo.2009.04.008.</w:t>
      </w:r>
    </w:p>
    <w:p w14:paraId="56B4BE9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Vlas, N. and Gherghina, S. (2012) ‘Where does religion meet democracy? A comparative analysis of attitudes in Europe’, </w:t>
      </w:r>
      <w:r w:rsidRPr="002804ED">
        <w:rPr>
          <w:rFonts w:cs="Segoe UI"/>
          <w:i/>
          <w:iCs/>
          <w:noProof/>
          <w:szCs w:val="24"/>
        </w:rPr>
        <w:t>International Political Science Review</w:t>
      </w:r>
      <w:r w:rsidRPr="002804ED">
        <w:rPr>
          <w:rFonts w:cs="Segoe UI"/>
          <w:noProof/>
          <w:szCs w:val="24"/>
        </w:rPr>
        <w:t>, 33(3), pp. 336–351. Available at: http://ips.sagepub.com/cgi/content/abstract/33/3/336 (Accessed: 3 August 2012).</w:t>
      </w:r>
    </w:p>
    <w:p w14:paraId="6EFFB45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Vogt, W. P. (2011) ‘Editor’s Introduction’, in Vogt, W. P. (ed.) </w:t>
      </w:r>
      <w:r w:rsidRPr="002804ED">
        <w:rPr>
          <w:rFonts w:cs="Segoe UI"/>
          <w:i/>
          <w:iCs/>
          <w:noProof/>
          <w:szCs w:val="24"/>
        </w:rPr>
        <w:t>SAGE Quantitative Research Methods</w:t>
      </w:r>
      <w:r w:rsidRPr="002804ED">
        <w:rPr>
          <w:rFonts w:cs="Segoe UI"/>
          <w:noProof/>
          <w:szCs w:val="24"/>
        </w:rPr>
        <w:t>. SAGE Publications.</w:t>
      </w:r>
    </w:p>
    <w:p w14:paraId="62B73F0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Vrablikova, K. (2013) ‘How Context Matters? Mobilization, Political Opportunity Structures, and Nonelectoral Political Participation in Old and New Democracies’, </w:t>
      </w:r>
      <w:r w:rsidRPr="002804ED">
        <w:rPr>
          <w:rFonts w:cs="Segoe UI"/>
          <w:i/>
          <w:iCs/>
          <w:noProof/>
          <w:szCs w:val="24"/>
        </w:rPr>
        <w:t>Comparative Political Studies</w:t>
      </w:r>
      <w:r w:rsidRPr="002804ED">
        <w:rPr>
          <w:rFonts w:cs="Segoe UI"/>
          <w:noProof/>
          <w:szCs w:val="24"/>
        </w:rPr>
        <w:t>, 47(2), pp. 203–229. doi: 10.1177/0010414013488538.</w:t>
      </w:r>
    </w:p>
    <w:p w14:paraId="2AF906D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Walker, I. and Smith, H. (2002) </w:t>
      </w:r>
      <w:r w:rsidRPr="002804ED">
        <w:rPr>
          <w:rFonts w:cs="Segoe UI"/>
          <w:i/>
          <w:iCs/>
          <w:noProof/>
          <w:szCs w:val="24"/>
        </w:rPr>
        <w:t>Relative Deprivation: Specification, Development and Integration</w:t>
      </w:r>
      <w:r w:rsidRPr="002804ED">
        <w:rPr>
          <w:rFonts w:cs="Segoe UI"/>
          <w:noProof/>
          <w:szCs w:val="24"/>
        </w:rPr>
        <w:t>. Cambridge: Cambridge University Press.</w:t>
      </w:r>
    </w:p>
    <w:p w14:paraId="2E89560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Wallace, J. (2013) ‘Cities, Redistribution, and Authoritarian Regime Survival’, </w:t>
      </w:r>
      <w:r w:rsidRPr="002804ED">
        <w:rPr>
          <w:rFonts w:cs="Segoe UI"/>
          <w:i/>
          <w:iCs/>
          <w:noProof/>
          <w:szCs w:val="24"/>
        </w:rPr>
        <w:t>The Journal of Politics</w:t>
      </w:r>
      <w:r w:rsidRPr="002804ED">
        <w:rPr>
          <w:rFonts w:cs="Segoe UI"/>
          <w:noProof/>
          <w:szCs w:val="24"/>
        </w:rPr>
        <w:t>, 75(3), pp. 632–645. doi: 10.1017/S0022381613000340.</w:t>
      </w:r>
    </w:p>
    <w:p w14:paraId="65B538A8"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Webb, P. (2013) ‘Who is willing to participate? Dissatisfied democrats, stealth democrats and populists in the United Kingdom’, </w:t>
      </w:r>
      <w:r w:rsidRPr="002804ED">
        <w:rPr>
          <w:rFonts w:cs="Segoe UI"/>
          <w:i/>
          <w:iCs/>
          <w:noProof/>
          <w:szCs w:val="24"/>
        </w:rPr>
        <w:t>European Journal of Political Research</w:t>
      </w:r>
      <w:r w:rsidRPr="002804ED">
        <w:rPr>
          <w:rFonts w:cs="Segoe UI"/>
          <w:noProof/>
          <w:szCs w:val="24"/>
        </w:rPr>
        <w:t>, 52(6), pp. 747–772. doi: 10.1111/1475-6765.12021.</w:t>
      </w:r>
    </w:p>
    <w:p w14:paraId="744B6C2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Wells, J. M. and Krieckhaus, J. (2006) ‘Does National Context Influence Democratic Satisfaction? A Multi-Level Analysis’, </w:t>
      </w:r>
      <w:r w:rsidRPr="002804ED">
        <w:rPr>
          <w:rFonts w:cs="Segoe UI"/>
          <w:i/>
          <w:iCs/>
          <w:noProof/>
          <w:szCs w:val="24"/>
        </w:rPr>
        <w:t>Political Research Quarterly</w:t>
      </w:r>
      <w:r w:rsidRPr="002804ED">
        <w:rPr>
          <w:rFonts w:cs="Segoe UI"/>
          <w:noProof/>
          <w:szCs w:val="24"/>
        </w:rPr>
        <w:t>. Sage Publications, Inc. on behalf of the University of Utah, 59(4), pp. 569–578. doi: 10.2307/4148059.</w:t>
      </w:r>
    </w:p>
    <w:p w14:paraId="0C802BCC"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Welzel, C. (2006) ‘Democratization as an emancipative process: The neglected role of mass motivations’, </w:t>
      </w:r>
      <w:r w:rsidRPr="002804ED">
        <w:rPr>
          <w:rFonts w:cs="Segoe UI"/>
          <w:i/>
          <w:iCs/>
          <w:noProof/>
          <w:szCs w:val="24"/>
        </w:rPr>
        <w:t>European Journal of Political Research</w:t>
      </w:r>
      <w:r w:rsidRPr="002804ED">
        <w:rPr>
          <w:rFonts w:cs="Segoe UI"/>
          <w:noProof/>
          <w:szCs w:val="24"/>
        </w:rPr>
        <w:t>. International University Bremen, Germany, 45(6), pp. 871–896. doi: 10.1111/j.1475-6765.2006.00637.x.</w:t>
      </w:r>
    </w:p>
    <w:p w14:paraId="2C1CE3B0"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Welzel, C. (2007) ‘Are Levels of Democracy Affected by Mass Attitudes? Testing Attainment and Sustainment Effects on Democracy’, </w:t>
      </w:r>
      <w:r w:rsidRPr="002804ED">
        <w:rPr>
          <w:rFonts w:cs="Segoe UI"/>
          <w:i/>
          <w:iCs/>
          <w:noProof/>
          <w:szCs w:val="24"/>
        </w:rPr>
        <w:t>International Political Science Review</w:t>
      </w:r>
      <w:r w:rsidRPr="002804ED">
        <w:rPr>
          <w:rFonts w:cs="Segoe UI"/>
          <w:noProof/>
          <w:szCs w:val="24"/>
        </w:rPr>
        <w:t>, 28(4), pp. 397–424. doi: 10.1177/0192512107079640.</w:t>
      </w:r>
    </w:p>
    <w:p w14:paraId="6B57A1B7"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Welzel, C. (2009) ‘Theories of Democratization’, in Haerpfer, C. W. et al. (eds) </w:t>
      </w:r>
      <w:r w:rsidRPr="002804ED">
        <w:rPr>
          <w:rFonts w:cs="Segoe UI"/>
          <w:i/>
          <w:iCs/>
          <w:noProof/>
          <w:szCs w:val="24"/>
        </w:rPr>
        <w:t>Democratization</w:t>
      </w:r>
      <w:r w:rsidRPr="002804ED">
        <w:rPr>
          <w:rFonts w:cs="Segoe UI"/>
          <w:noProof/>
          <w:szCs w:val="24"/>
        </w:rPr>
        <w:t>. Oxford: Oxford University Press.</w:t>
      </w:r>
    </w:p>
    <w:p w14:paraId="1BE3CDF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Welzel, C. (2011) ‘The Asian Values Thesis Revisited: Evidence from the World Values Surveys’, </w:t>
      </w:r>
      <w:r w:rsidRPr="002804ED">
        <w:rPr>
          <w:rFonts w:cs="Segoe UI"/>
          <w:i/>
          <w:iCs/>
          <w:noProof/>
          <w:szCs w:val="24"/>
        </w:rPr>
        <w:t>Japanese Journal of Political Science</w:t>
      </w:r>
      <w:r w:rsidRPr="002804ED">
        <w:rPr>
          <w:rFonts w:cs="Segoe UI"/>
          <w:noProof/>
          <w:szCs w:val="24"/>
        </w:rPr>
        <w:t>, 12(1), pp. 1–31. doi: 10.1017/S1468109910000277.</w:t>
      </w:r>
    </w:p>
    <w:p w14:paraId="0D61202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Welzel, C. (2013) </w:t>
      </w:r>
      <w:r w:rsidRPr="002804ED">
        <w:rPr>
          <w:rFonts w:cs="Segoe UI"/>
          <w:i/>
          <w:iCs/>
          <w:noProof/>
          <w:szCs w:val="24"/>
        </w:rPr>
        <w:t>Freedom Rising Human Empowerment and the Quest for Emancipation</w:t>
      </w:r>
      <w:r w:rsidRPr="002804ED">
        <w:rPr>
          <w:rFonts w:cs="Segoe UI"/>
          <w:noProof/>
          <w:szCs w:val="24"/>
        </w:rPr>
        <w:t>. Cambridge: Cambridge University Press.</w:t>
      </w:r>
    </w:p>
    <w:p w14:paraId="621C0E9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Welzel, C. and Deutsch, F. (2013) ‘Emancipative Values and Non ­ Violent Protest : The Importance of “ Ecological ” Effects Request Permissions : Click here Emancipative Values and Non-Violent Protest : The Importance of “ Ecological ” Effects’, (2012). doi: 10.1017/S0007123411000421.</w:t>
      </w:r>
    </w:p>
    <w:p w14:paraId="696902E2"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Welzel, C. and Inglehart, R. (2010) ‘Agency, Values, and Well-Being: A Human Development Model’, </w:t>
      </w:r>
      <w:r w:rsidRPr="002804ED">
        <w:rPr>
          <w:rFonts w:cs="Segoe UI"/>
          <w:i/>
          <w:iCs/>
          <w:noProof/>
          <w:szCs w:val="24"/>
        </w:rPr>
        <w:t>Social Indicators Research</w:t>
      </w:r>
      <w:r w:rsidRPr="002804ED">
        <w:rPr>
          <w:rFonts w:cs="Segoe UI"/>
          <w:noProof/>
          <w:szCs w:val="24"/>
        </w:rPr>
        <w:t>, 97(1), pp. 43–63. doi: 10.1007/s11205-009-9557-z.</w:t>
      </w:r>
    </w:p>
    <w:p w14:paraId="7CA0893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Welzel, C., Inglehart, R. F. and Klingemann, H.-D. (2003) ‘The theory of human development: A cross-cultural analysis’, </w:t>
      </w:r>
      <w:r w:rsidRPr="002804ED">
        <w:rPr>
          <w:rFonts w:cs="Segoe UI"/>
          <w:i/>
          <w:iCs/>
          <w:noProof/>
          <w:szCs w:val="24"/>
        </w:rPr>
        <w:t>European Journal of Political Research</w:t>
      </w:r>
      <w:r w:rsidRPr="002804ED">
        <w:rPr>
          <w:rFonts w:cs="Segoe UI"/>
          <w:noProof/>
          <w:szCs w:val="24"/>
        </w:rPr>
        <w:t>, 42(3), pp. 341–379. doi: 10.1111/1475-6765.00086.</w:t>
      </w:r>
    </w:p>
    <w:p w14:paraId="35BDF40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Whiteley, P. </w:t>
      </w:r>
      <w:r w:rsidRPr="002804ED">
        <w:rPr>
          <w:rFonts w:cs="Segoe UI"/>
          <w:i/>
          <w:iCs/>
          <w:noProof/>
          <w:szCs w:val="24"/>
        </w:rPr>
        <w:t>et al.</w:t>
      </w:r>
      <w:r w:rsidRPr="002804ED">
        <w:rPr>
          <w:rFonts w:cs="Segoe UI"/>
          <w:noProof/>
          <w:szCs w:val="24"/>
        </w:rPr>
        <w:t xml:space="preserve"> (2010) ‘Government Performance and Life Satisfaction in Contemporary Britain’, </w:t>
      </w:r>
      <w:r w:rsidRPr="002804ED">
        <w:rPr>
          <w:rFonts w:cs="Segoe UI"/>
          <w:i/>
          <w:iCs/>
          <w:noProof/>
          <w:szCs w:val="24"/>
        </w:rPr>
        <w:t>The Journal of Politics</w:t>
      </w:r>
      <w:r w:rsidRPr="002804ED">
        <w:rPr>
          <w:rFonts w:cs="Segoe UI"/>
          <w:noProof/>
          <w:szCs w:val="24"/>
        </w:rPr>
        <w:t>, 72(3), pp. 733–746. doi: 10.1017/S0022381610000137.</w:t>
      </w:r>
    </w:p>
    <w:p w14:paraId="5346942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Whiteley, P. </w:t>
      </w:r>
      <w:r w:rsidRPr="002804ED">
        <w:rPr>
          <w:rFonts w:cs="Segoe UI"/>
          <w:i/>
          <w:iCs/>
          <w:noProof/>
          <w:szCs w:val="24"/>
        </w:rPr>
        <w:t>et al.</w:t>
      </w:r>
      <w:r w:rsidRPr="002804ED">
        <w:rPr>
          <w:rFonts w:cs="Segoe UI"/>
          <w:noProof/>
          <w:szCs w:val="24"/>
        </w:rPr>
        <w:t xml:space="preserve"> (2013) </w:t>
      </w:r>
      <w:r w:rsidRPr="002804ED">
        <w:rPr>
          <w:rFonts w:cs="Segoe UI"/>
          <w:i/>
          <w:iCs/>
          <w:noProof/>
          <w:szCs w:val="24"/>
        </w:rPr>
        <w:t>Affluence, Austerty and Electoral Change in Britain</w:t>
      </w:r>
      <w:r w:rsidRPr="002804ED">
        <w:rPr>
          <w:rFonts w:cs="Segoe UI"/>
          <w:noProof/>
          <w:szCs w:val="24"/>
        </w:rPr>
        <w:t>. Cambridge: Cambridge University Press.</w:t>
      </w:r>
    </w:p>
    <w:p w14:paraId="55AF0C3D"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Wilkinson, R. and Pickett, K. (2009) </w:t>
      </w:r>
      <w:r w:rsidRPr="002804ED">
        <w:rPr>
          <w:rFonts w:cs="Segoe UI"/>
          <w:i/>
          <w:iCs/>
          <w:noProof/>
          <w:szCs w:val="24"/>
        </w:rPr>
        <w:t>The Spirit Level; Why More Equal Societies Almost Always Do Better</w:t>
      </w:r>
      <w:r w:rsidRPr="002804ED">
        <w:rPr>
          <w:rFonts w:cs="Segoe UI"/>
          <w:noProof/>
          <w:szCs w:val="24"/>
        </w:rPr>
        <w:t>. London: Penguin.</w:t>
      </w:r>
    </w:p>
    <w:p w14:paraId="3775591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Wollstonecraft, M. (1792) </w:t>
      </w:r>
      <w:r w:rsidRPr="002804ED">
        <w:rPr>
          <w:rFonts w:cs="Segoe UI"/>
          <w:i/>
          <w:iCs/>
          <w:noProof/>
          <w:szCs w:val="24"/>
        </w:rPr>
        <w:t>A Vindication of the Rights of Woman</w:t>
      </w:r>
      <w:r w:rsidRPr="002804ED">
        <w:rPr>
          <w:rFonts w:cs="Segoe UI"/>
          <w:noProof/>
          <w:szCs w:val="24"/>
        </w:rPr>
        <w:t>. Edited by D. S. Lynch. Harmondsworth: Penguin.</w:t>
      </w:r>
    </w:p>
    <w:p w14:paraId="2BE8053A"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Yang, H. and Bozdogan, H. (2011) ‘Model Selection with Information Complexity in Multiple Linear Regression Modeling’, </w:t>
      </w:r>
      <w:r w:rsidRPr="002804ED">
        <w:rPr>
          <w:rFonts w:cs="Segoe UI"/>
          <w:i/>
          <w:iCs/>
          <w:noProof/>
          <w:szCs w:val="24"/>
        </w:rPr>
        <w:t>Multiple Linear Regression Viewpoints</w:t>
      </w:r>
      <w:r w:rsidRPr="002804ED">
        <w:rPr>
          <w:rFonts w:cs="Segoe UI"/>
          <w:noProof/>
          <w:szCs w:val="24"/>
        </w:rPr>
        <w:t>, 37(2), pp. 1–13.</w:t>
      </w:r>
    </w:p>
    <w:p w14:paraId="7F1D402F"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Young, I. M. (1989) ‘Polity and Group Difference : A Critique of the Ideal of Universal Citizenship’, </w:t>
      </w:r>
      <w:r w:rsidRPr="002804ED">
        <w:rPr>
          <w:rFonts w:cs="Segoe UI"/>
          <w:i/>
          <w:iCs/>
          <w:noProof/>
          <w:szCs w:val="24"/>
        </w:rPr>
        <w:t>Ethics</w:t>
      </w:r>
      <w:r w:rsidRPr="002804ED">
        <w:rPr>
          <w:rFonts w:cs="Segoe UI"/>
          <w:noProof/>
          <w:szCs w:val="24"/>
        </w:rPr>
        <w:t>, 99(2), pp. 250–274. doi: 10.1017/CBO9781107415324.004.</w:t>
      </w:r>
    </w:p>
    <w:p w14:paraId="20343B2B"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Young, I. M. (1990) ‘The Ideal of Community and the Politics of Difference’, in Nicholson, L. J. (ed.) </w:t>
      </w:r>
      <w:r w:rsidRPr="002804ED">
        <w:rPr>
          <w:rFonts w:cs="Segoe UI"/>
          <w:i/>
          <w:iCs/>
          <w:noProof/>
          <w:szCs w:val="24"/>
        </w:rPr>
        <w:t>Feminism/Postmodernism</w:t>
      </w:r>
      <w:r w:rsidRPr="002804ED">
        <w:rPr>
          <w:rFonts w:cs="Segoe UI"/>
          <w:noProof/>
          <w:szCs w:val="24"/>
        </w:rPr>
        <w:t>. London: Routledge, pp. 300–323.</w:t>
      </w:r>
    </w:p>
    <w:p w14:paraId="0ECEB046"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Zaller, J. and Feldman, S. (1992) ‘A Simple Theory of the Survey Response : Answering Questions versus Revealing Preferences’, </w:t>
      </w:r>
      <w:r w:rsidRPr="002804ED">
        <w:rPr>
          <w:rFonts w:cs="Segoe UI"/>
          <w:i/>
          <w:iCs/>
          <w:noProof/>
          <w:szCs w:val="24"/>
        </w:rPr>
        <w:t>Journal of Political Science</w:t>
      </w:r>
      <w:r w:rsidRPr="002804ED">
        <w:rPr>
          <w:rFonts w:cs="Segoe UI"/>
          <w:noProof/>
          <w:szCs w:val="24"/>
        </w:rPr>
        <w:t>, 36(3), pp. 579–616.</w:t>
      </w:r>
    </w:p>
    <w:p w14:paraId="2A4D2421"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Zhaohui, B. (2007) ‘Income inequality , redistribution and democratization’, </w:t>
      </w:r>
      <w:r w:rsidRPr="002804ED">
        <w:rPr>
          <w:rFonts w:cs="Segoe UI"/>
          <w:i/>
          <w:iCs/>
          <w:noProof/>
          <w:szCs w:val="24"/>
        </w:rPr>
        <w:t>Economics Bulletin</w:t>
      </w:r>
      <w:r w:rsidRPr="002804ED">
        <w:rPr>
          <w:rFonts w:cs="Segoe UI"/>
          <w:noProof/>
          <w:szCs w:val="24"/>
        </w:rPr>
        <w:t>, 4(35), pp. 1–10.</w:t>
      </w:r>
    </w:p>
    <w:p w14:paraId="6C6FD064"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Zimring, F. E. and Johnson, D. T. (2006) ‘Public Opinion and the Governance of Punishment in Democratic Political Systems’, </w:t>
      </w:r>
      <w:r w:rsidRPr="002804ED">
        <w:rPr>
          <w:rFonts w:cs="Segoe UI"/>
          <w:i/>
          <w:iCs/>
          <w:noProof/>
          <w:szCs w:val="24"/>
        </w:rPr>
        <w:t>The ANNALS of the American Academy of Political and Social Science</w:t>
      </w:r>
      <w:r w:rsidRPr="002804ED">
        <w:rPr>
          <w:rFonts w:cs="Segoe UI"/>
          <w:noProof/>
          <w:szCs w:val="24"/>
        </w:rPr>
        <w:t>, 605(1), pp. 265–280. doi: 10.1177/0002716205285949.</w:t>
      </w:r>
    </w:p>
    <w:p w14:paraId="189A7455" w14:textId="77777777" w:rsidR="002804ED" w:rsidRPr="002804ED" w:rsidRDefault="002804ED" w:rsidP="00726C45">
      <w:pPr>
        <w:widowControl w:val="0"/>
        <w:autoSpaceDE w:val="0"/>
        <w:autoSpaceDN w:val="0"/>
        <w:adjustRightInd w:val="0"/>
        <w:spacing w:before="100" w:line="240" w:lineRule="auto"/>
        <w:ind w:hanging="720"/>
        <w:rPr>
          <w:rFonts w:cs="Segoe UI"/>
          <w:noProof/>
          <w:szCs w:val="24"/>
        </w:rPr>
      </w:pPr>
      <w:r w:rsidRPr="002804ED">
        <w:rPr>
          <w:rFonts w:cs="Segoe UI"/>
          <w:noProof/>
          <w:szCs w:val="24"/>
        </w:rPr>
        <w:t xml:space="preserve">Zmerli, S. (2010) ‘Social Capital and Norms of Citizenship: An Ambiguous Relationship?’, </w:t>
      </w:r>
      <w:r w:rsidRPr="002804ED">
        <w:rPr>
          <w:rFonts w:cs="Segoe UI"/>
          <w:i/>
          <w:iCs/>
          <w:noProof/>
          <w:szCs w:val="24"/>
        </w:rPr>
        <w:t>American Behavioral Scientist</w:t>
      </w:r>
      <w:r w:rsidRPr="002804ED">
        <w:rPr>
          <w:rFonts w:cs="Segoe UI"/>
          <w:noProof/>
          <w:szCs w:val="24"/>
        </w:rPr>
        <w:t>, 53(5), pp. 657–676. doi: 10.1177/0002764209350829.</w:t>
      </w:r>
    </w:p>
    <w:p w14:paraId="786D98D9" w14:textId="77777777" w:rsidR="002804ED" w:rsidRPr="002804ED" w:rsidRDefault="002804ED" w:rsidP="00726C45">
      <w:pPr>
        <w:widowControl w:val="0"/>
        <w:autoSpaceDE w:val="0"/>
        <w:autoSpaceDN w:val="0"/>
        <w:adjustRightInd w:val="0"/>
        <w:spacing w:before="100" w:line="240" w:lineRule="auto"/>
        <w:ind w:hanging="720"/>
        <w:rPr>
          <w:rFonts w:cs="Segoe UI"/>
          <w:noProof/>
        </w:rPr>
      </w:pPr>
      <w:r w:rsidRPr="002804ED">
        <w:rPr>
          <w:rFonts w:cs="Segoe UI"/>
          <w:noProof/>
          <w:szCs w:val="24"/>
        </w:rPr>
        <w:t xml:space="preserve">Zwick, W. R. and Velicer, W. F. (1986) ‘Comparison of five rules for determining the number of components to retain’, </w:t>
      </w:r>
      <w:r w:rsidRPr="002804ED">
        <w:rPr>
          <w:rFonts w:cs="Segoe UI"/>
          <w:i/>
          <w:iCs/>
          <w:noProof/>
          <w:szCs w:val="24"/>
        </w:rPr>
        <w:t>Psychological Bulletin</w:t>
      </w:r>
      <w:r w:rsidRPr="002804ED">
        <w:rPr>
          <w:rFonts w:cs="Segoe UI"/>
          <w:noProof/>
          <w:szCs w:val="24"/>
        </w:rPr>
        <w:t>, 99(3), pp. 432–442. doi: 10.1037//0033-2909.99.3.432.</w:t>
      </w:r>
    </w:p>
    <w:p w14:paraId="60B7FEF7" w14:textId="1B0B2750" w:rsidR="00FA4B69" w:rsidRPr="000222FB" w:rsidRDefault="003716A9" w:rsidP="00726C45">
      <w:pPr>
        <w:widowControl w:val="0"/>
        <w:autoSpaceDE w:val="0"/>
        <w:autoSpaceDN w:val="0"/>
        <w:adjustRightInd w:val="0"/>
        <w:spacing w:before="100" w:line="240" w:lineRule="auto"/>
        <w:ind w:left="480" w:hanging="720"/>
        <w:rPr>
          <w:rFonts w:cs="Segoe UI"/>
        </w:rPr>
      </w:pPr>
      <w:r w:rsidRPr="000222FB">
        <w:rPr>
          <w:rFonts w:cs="Segoe UI"/>
        </w:rPr>
        <w:fldChar w:fldCharType="end"/>
      </w:r>
    </w:p>
    <w:sectPr w:rsidR="00FA4B69" w:rsidRPr="000222FB" w:rsidSect="0052597C">
      <w:pgSz w:w="11906" w:h="16838"/>
      <w:pgMar w:top="1440" w:right="1440" w:bottom="1440" w:left="1440" w:header="720" w:footer="720" w:gutter="35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9BC54" w14:textId="77777777" w:rsidR="00C4455F" w:rsidRDefault="00C4455F" w:rsidP="00CF455B">
      <w:pPr>
        <w:spacing w:line="240" w:lineRule="auto"/>
      </w:pPr>
      <w:r>
        <w:separator/>
      </w:r>
    </w:p>
  </w:endnote>
  <w:endnote w:type="continuationSeparator" w:id="0">
    <w:p w14:paraId="6C020214" w14:textId="77777777" w:rsidR="00C4455F" w:rsidRDefault="00C4455F" w:rsidP="00CF45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84959"/>
      <w:docPartObj>
        <w:docPartGallery w:val="Page Numbers (Bottom of Page)"/>
        <w:docPartUnique/>
      </w:docPartObj>
    </w:sdtPr>
    <w:sdtEndPr>
      <w:rPr>
        <w:noProof/>
      </w:rPr>
    </w:sdtEndPr>
    <w:sdtContent>
      <w:p w14:paraId="6DBEFDA5" w14:textId="0BD54003" w:rsidR="00C65616" w:rsidRDefault="00C65616">
        <w:pPr>
          <w:pStyle w:val="Footer"/>
          <w:jc w:val="center"/>
        </w:pPr>
        <w:r>
          <w:fldChar w:fldCharType="begin"/>
        </w:r>
        <w:r>
          <w:instrText xml:space="preserve"> PAGE   \* MERGEFORMAT </w:instrText>
        </w:r>
        <w:r>
          <w:fldChar w:fldCharType="separate"/>
        </w:r>
        <w:r w:rsidR="00F9347F">
          <w:rPr>
            <w:noProof/>
          </w:rPr>
          <w:t>1</w:t>
        </w:r>
        <w:r>
          <w:rPr>
            <w:noProof/>
          </w:rPr>
          <w:fldChar w:fldCharType="end"/>
        </w:r>
      </w:p>
    </w:sdtContent>
  </w:sdt>
  <w:p w14:paraId="41582638" w14:textId="77777777" w:rsidR="00C65616" w:rsidRDefault="00C65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4008097"/>
      <w:docPartObj>
        <w:docPartGallery w:val="Page Numbers (Bottom of Page)"/>
        <w:docPartUnique/>
      </w:docPartObj>
    </w:sdtPr>
    <w:sdtEndPr>
      <w:rPr>
        <w:noProof/>
      </w:rPr>
    </w:sdtEndPr>
    <w:sdtContent>
      <w:p w14:paraId="706D2632" w14:textId="43A157B6" w:rsidR="00C65616" w:rsidRDefault="00C65616">
        <w:pPr>
          <w:pStyle w:val="Footer"/>
          <w:jc w:val="center"/>
        </w:pPr>
        <w:r>
          <w:fldChar w:fldCharType="begin"/>
        </w:r>
        <w:r>
          <w:instrText xml:space="preserve"> PAGE   \* MERGEFORMAT </w:instrText>
        </w:r>
        <w:r>
          <w:fldChar w:fldCharType="separate"/>
        </w:r>
        <w:r w:rsidR="00960006">
          <w:rPr>
            <w:noProof/>
          </w:rPr>
          <w:t>352</w:t>
        </w:r>
        <w:r>
          <w:rPr>
            <w:noProof/>
          </w:rPr>
          <w:fldChar w:fldCharType="end"/>
        </w:r>
      </w:p>
    </w:sdtContent>
  </w:sdt>
  <w:p w14:paraId="265F37B0" w14:textId="77777777" w:rsidR="00C65616" w:rsidRDefault="00C65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2A8BD" w14:textId="77777777" w:rsidR="00C4455F" w:rsidRDefault="00C4455F" w:rsidP="00CF455B">
      <w:pPr>
        <w:spacing w:line="240" w:lineRule="auto"/>
      </w:pPr>
      <w:r>
        <w:separator/>
      </w:r>
    </w:p>
  </w:footnote>
  <w:footnote w:type="continuationSeparator" w:id="0">
    <w:p w14:paraId="320AFAE1" w14:textId="77777777" w:rsidR="00C4455F" w:rsidRDefault="00C4455F" w:rsidP="00CF455B">
      <w:pPr>
        <w:spacing w:line="240" w:lineRule="auto"/>
      </w:pPr>
      <w:r>
        <w:continuationSeparator/>
      </w:r>
    </w:p>
  </w:footnote>
  <w:footnote w:id="1">
    <w:p w14:paraId="019A1968" w14:textId="4080892A" w:rsidR="00C65616" w:rsidRDefault="00C65616">
      <w:pPr>
        <w:pStyle w:val="FootnoteText"/>
      </w:pPr>
      <w:r w:rsidRPr="00CB0798">
        <w:rPr>
          <w:rStyle w:val="FootnoteReference"/>
          <w:highlight w:val="darkCyan"/>
        </w:rPr>
        <w:footnoteRef/>
      </w:r>
      <w:r w:rsidRPr="00CB0798">
        <w:rPr>
          <w:highlight w:val="darkCyan"/>
        </w:rPr>
        <w:t xml:space="preserve"> It is important to note here that the term ‘compound democracy’ has been used by Fabbrini </w:t>
      </w:r>
      <w:r w:rsidRPr="00CB0798">
        <w:rPr>
          <w:highlight w:val="darkCyan"/>
        </w:rPr>
        <w:fldChar w:fldCharType="begin" w:fldLock="1"/>
      </w:r>
      <w:r w:rsidRPr="00CB0798">
        <w:rPr>
          <w:highlight w:val="darkCyan"/>
        </w:rPr>
        <w:instrText>ADDIN CSL_CITATION { "citationItems" : [ { "id" : "ITEM-1", "itemData" : { "DOI" : "10.1177/0010414003254181", "ISBN" : "0010-4140", "ISSN" : "0010-4140", "abstract" : "The article discusses political development in the paradigmatic cases of Western Europe and the United States, arguing that the building and consolidation of their democratic nation states follow different paths. Nevertheless, after two centuries of differential political and institutional evolution, at the end of the 20th century, Western Europe, with the deepening of the integration process, has moved in the direction of a supranational organization that has many similarities to the American compound republic. However, the different institutional histories, with their attendant path- dependency effects, will continue to condition the developments of Europe and America, rendering convergence toward uniformity highly unlikely. Notwithstanding institutional transformation occurring in the Western political world, plurality will continue to mark its future. Reprinted by permission of Sage Publications, Inc.", "author" : [ { "dropping-particle" : "", "family" : "Fabbrini", "given" : "S.", "non-dropping-particle" : "", "parse-names" : false, "suffix" : "" } ], "container-title" : "Comparative Political Studies", "id" : "ITEM-1", "issue" : "6", "issued" : { "date-parts" : [ [ "2003" ] ] }, "page" : "653-678", "title" : "A Single Western State Model?: Differential Development and Constrained Convergence of Public Authority Organization in Europe and America", "type" : "article-journal", "volume" : "36" }, "uris" : [ "http://www.mendeley.com/documents/?uuid=b9b66432-e2ce-4e34-9acf-4ffa4fd5493d" ] }, { "id" : "ITEM-2", "itemData" : { "author" : [ { "dropping-particle" : "", "family" : "Fabbrini", "given" : "S.", "non-dropping-particle" : "", "parse-names" : false, "suffix" : "" } ], "id" : "ITEM-2", "issued" : { "date-parts" : [ [ "2010" ] ] }, "publisher" : "Oxford Scholarship Online", "title" : "Compound democracies: why the United States and Europe are becoming similar", "type" : "book" }, "uris" : [ "http://www.mendeley.com/documents/?uuid=855ba94b-8b6e-43ea-855d-933af166f432" ] } ], "mendeley" : { "formattedCitation" : "(Fabbrini, 2003, 2010)", "manualFormatting" : "(2003; 2010)", "plainTextFormattedCitation" : "(Fabbrini, 2003, 2010)", "previouslyFormattedCitation" : "(Fabbrini, 2003, 2010)" }, "properties" : { "noteIndex" : 0 }, "schema" : "https://github.com/citation-style-language/schema/raw/master/csl-citation.json" }</w:instrText>
      </w:r>
      <w:r w:rsidRPr="00CB0798">
        <w:rPr>
          <w:highlight w:val="darkCyan"/>
        </w:rPr>
        <w:fldChar w:fldCharType="separate"/>
      </w:r>
      <w:r w:rsidRPr="00CB0798">
        <w:rPr>
          <w:noProof/>
          <w:highlight w:val="darkCyan"/>
        </w:rPr>
        <w:t>(2003; 2010)</w:t>
      </w:r>
      <w:r w:rsidRPr="00CB0798">
        <w:rPr>
          <w:highlight w:val="darkCyan"/>
        </w:rPr>
        <w:fldChar w:fldCharType="end"/>
      </w:r>
      <w:r w:rsidRPr="00CB0798">
        <w:rPr>
          <w:highlight w:val="darkCyan"/>
        </w:rPr>
        <w:t xml:space="preserve"> to describe asymmetrical democratic systems operating in a nested formation, for instance the European Union or the federal-state system in the United States</w:t>
      </w:r>
      <w:r>
        <w:rPr>
          <w:highlight w:val="darkCyan"/>
        </w:rPr>
        <w:t>,</w:t>
      </w:r>
      <w:r w:rsidRPr="00CB0798">
        <w:rPr>
          <w:highlight w:val="darkCyan"/>
        </w:rPr>
        <w:t xml:space="preserve"> and how they have varying approaches to hierarchical legislatures. However, in this case I am taking from Sartori the compositional blending together of the philosophical liberal element with democratic principles, rather than in the sense used by Fabbrini, who focuses more specifically on the constitutional engineering of governance across scale. This scalar issue is not the focus of this literature review, however, and my usage of the term is discussed in further detail in Chapter 4, Section 4.</w:t>
      </w:r>
    </w:p>
  </w:footnote>
  <w:footnote w:id="2">
    <w:p w14:paraId="5DF0EAA3" w14:textId="3012630B" w:rsidR="00C65616" w:rsidRDefault="00C65616">
      <w:pPr>
        <w:pStyle w:val="FootnoteText"/>
      </w:pPr>
      <w:r w:rsidRPr="00AD1B56">
        <w:rPr>
          <w:rStyle w:val="FootnoteReference"/>
        </w:rPr>
        <w:footnoteRef/>
      </w:r>
      <w:r>
        <w:t xml:space="preserve"> This understanding of freedom echoes that of Isaiah’s Berlin’s </w:t>
      </w:r>
      <w:r>
        <w:fldChar w:fldCharType="begin" w:fldLock="1"/>
      </w:r>
      <w:r>
        <w:instrText>ADDIN CSL_CITATION { "citationItems" : [ { "id" : "ITEM-1", "itemData" : { "author" : [ { "dropping-particle" : "", "family" : "Berlin", "given" : "I", "non-dropping-particle" : "", "parse-names" : false, "suffix" : "" } ], "id" : "ITEM-1", "issued" : { "date-parts" : [ [ "1969" ] ] }, "publisher" : "Oxford University Press", "publisher-place" : "Oxford", "title" : "Four Essays on Liberty", "type" : "book" }, "uris" : [ "http://www.mendeley.com/documents/?uuid=6c4901eb-a826-4732-bafd-659a6aadd18b" ] } ], "mendeley" : { "formattedCitation" : "(Berlin, 1969)", "manualFormatting" : "(1969)", "plainTextFormattedCitation" : "(Berlin, 1969)", "previouslyFormattedCitation" : "(Berlin, 1969)" }, "properties" : { "noteIndex" : 0 }, "schema" : "https://github.com/citation-style-language/schema/raw/master/csl-citation.json" }</w:instrText>
      </w:r>
      <w:r>
        <w:fldChar w:fldCharType="separate"/>
      </w:r>
      <w:r>
        <w:rPr>
          <w:noProof/>
        </w:rPr>
        <w:t>(</w:t>
      </w:r>
      <w:r w:rsidRPr="000869EA">
        <w:rPr>
          <w:noProof/>
        </w:rPr>
        <w:t>1969)</w:t>
      </w:r>
      <w:r>
        <w:fldChar w:fldCharType="end"/>
      </w:r>
      <w:r>
        <w:t xml:space="preserve"> two concepts of liberty, looking at their positive and negative conceptions. </w:t>
      </w:r>
    </w:p>
  </w:footnote>
  <w:footnote w:id="3">
    <w:p w14:paraId="3C5AB60E" w14:textId="77777777" w:rsidR="00C65616" w:rsidRDefault="00C65616" w:rsidP="00737137">
      <w:pPr>
        <w:pStyle w:val="FootnoteText"/>
      </w:pPr>
      <w:r w:rsidRPr="00AD1B56">
        <w:rPr>
          <w:rStyle w:val="FootnoteReference"/>
        </w:rPr>
        <w:footnoteRef/>
      </w:r>
      <w:r>
        <w:t xml:space="preserve"> It is worth noting that this list of famous philosophers contains only white males.</w:t>
      </w:r>
    </w:p>
  </w:footnote>
  <w:footnote w:id="4">
    <w:p w14:paraId="323D7FB2" w14:textId="1AA366F3" w:rsidR="00C65616" w:rsidRDefault="00C65616">
      <w:pPr>
        <w:pStyle w:val="FootnoteText"/>
      </w:pPr>
      <w:r>
        <w:rPr>
          <w:rStyle w:val="FootnoteReference"/>
        </w:rPr>
        <w:footnoteRef/>
      </w:r>
      <w:r>
        <w:t xml:space="preserve"> This quote has become perhaps even more politically pertinent in light of the controversial victory of Donald Trump over Hilary Clinton in the US president election in November 2016</w:t>
      </w:r>
    </w:p>
  </w:footnote>
  <w:footnote w:id="5">
    <w:p w14:paraId="1DEF6539" w14:textId="4FC8D07E" w:rsidR="00C65616" w:rsidRPr="00633E28" w:rsidRDefault="00C65616" w:rsidP="00CF455B">
      <w:pPr>
        <w:pStyle w:val="FootnoteText"/>
        <w:spacing w:line="360" w:lineRule="auto"/>
        <w:rPr>
          <w:rFonts w:asciiTheme="majorBidi" w:hAnsiTheme="majorBidi" w:cstheme="majorBidi"/>
        </w:rPr>
      </w:pPr>
      <w:r w:rsidRPr="00AD1B56">
        <w:rPr>
          <w:rStyle w:val="FootnoteReference"/>
        </w:rPr>
        <w:footnoteRef/>
      </w:r>
      <w:r w:rsidRPr="00633E28">
        <w:rPr>
          <w:rFonts w:asciiTheme="majorBidi" w:hAnsiTheme="majorBidi" w:cstheme="majorBidi"/>
        </w:rPr>
        <w:t xml:space="preserve"> The exact question asked was “What do you think is better for the country: Democracy that respects the rights of all persons, or dictatorship that guarantees economic progress even without respecting the rights of all persons?” (Schelder &amp; Sarsfield</w:t>
      </w:r>
      <w:r>
        <w:rPr>
          <w:rFonts w:asciiTheme="majorBidi" w:hAnsiTheme="majorBidi" w:cstheme="majorBidi"/>
        </w:rPr>
        <w:t>, 2007, p.</w:t>
      </w:r>
      <w:r w:rsidRPr="00633E28">
        <w:rPr>
          <w:rFonts w:asciiTheme="majorBidi" w:hAnsiTheme="majorBidi" w:cstheme="majorBidi"/>
        </w:rPr>
        <w:t>645). Of those who answered, 86% chose democracy, 10% chose dictatorship, and 4% chose neither. Interestingly, over 20% of those asked failed to provide an answer.</w:t>
      </w:r>
    </w:p>
  </w:footnote>
  <w:footnote w:id="6">
    <w:p w14:paraId="462FE188" w14:textId="77777777" w:rsidR="00C65616" w:rsidRDefault="00C65616" w:rsidP="00BD6DBC">
      <w:pPr>
        <w:pStyle w:val="FootnoteText"/>
      </w:pPr>
      <w:r w:rsidRPr="00AD1B56">
        <w:rPr>
          <w:rStyle w:val="FootnoteReference"/>
        </w:rPr>
        <w:footnoteRef/>
      </w:r>
      <w:r>
        <w:t xml:space="preserve"> Root questionnaire for the WVS2005-2008 available at </w:t>
      </w:r>
      <w:hyperlink r:id="rId1" w:history="1">
        <w:r w:rsidRPr="0012360A">
          <w:rPr>
            <w:rStyle w:val="Hyperlink"/>
          </w:rPr>
          <w:t>worldvaluessurvey.org/WVSDocumentationWV5.jsp</w:t>
        </w:r>
      </w:hyperlink>
      <w:r>
        <w:t xml:space="preserve"> </w:t>
      </w:r>
    </w:p>
  </w:footnote>
  <w:footnote w:id="7">
    <w:p w14:paraId="3380C47F" w14:textId="77777777" w:rsidR="00C65616" w:rsidRPr="00FD3EE0" w:rsidRDefault="00C65616" w:rsidP="00B77E5A">
      <w:pPr>
        <w:spacing w:line="240" w:lineRule="auto"/>
        <w:jc w:val="both"/>
        <w:rPr>
          <w:sz w:val="20"/>
          <w:szCs w:val="20"/>
        </w:rPr>
      </w:pPr>
      <w:r w:rsidRPr="00AD1B56">
        <w:rPr>
          <w:rStyle w:val="FootnoteReference"/>
        </w:rPr>
        <w:t>1</w:t>
      </w:r>
      <w:r w:rsidRPr="00FD3EE0">
        <w:rPr>
          <w:color w:val="231F20"/>
          <w:sz w:val="20"/>
          <w:szCs w:val="20"/>
          <w:lang w:eastAsia="zh-CN"/>
        </w:rPr>
        <w:t>This problem is improving. For instance, the 2010 Qualitative Electoral Study of Britain represents a nota</w:t>
      </w:r>
      <w:r>
        <w:rPr>
          <w:color w:val="231F20"/>
          <w:sz w:val="20"/>
          <w:szCs w:val="20"/>
          <w:lang w:eastAsia="zh-CN"/>
        </w:rPr>
        <w:t xml:space="preserve">ble step in the right direction as they make all the transcripts from their group interviews available online (anonymised) for secondary data analysis. See here </w:t>
      </w:r>
      <w:hyperlink r:id="rId2" w:history="1">
        <w:r w:rsidRPr="0012360A">
          <w:rPr>
            <w:rStyle w:val="Hyperlink"/>
            <w:sz w:val="20"/>
            <w:szCs w:val="20"/>
            <w:lang w:eastAsia="zh-CN"/>
          </w:rPr>
          <w:t>wintersresearch.wordpress.com/2010-qesb/qes-britain/</w:t>
        </w:r>
      </w:hyperlink>
      <w:r>
        <w:rPr>
          <w:color w:val="231F20"/>
          <w:sz w:val="20"/>
          <w:szCs w:val="20"/>
          <w:lang w:eastAsia="zh-CN"/>
        </w:rPr>
        <w:t xml:space="preserve"> for more information.</w:t>
      </w:r>
    </w:p>
  </w:footnote>
  <w:footnote w:id="8">
    <w:p w14:paraId="6DFF0843" w14:textId="77777777" w:rsidR="00C65616" w:rsidRPr="00FD3EE0" w:rsidRDefault="00C65616" w:rsidP="00B77E5A">
      <w:pPr>
        <w:spacing w:line="240" w:lineRule="auto"/>
        <w:rPr>
          <w:sz w:val="20"/>
          <w:szCs w:val="20"/>
        </w:rPr>
      </w:pPr>
      <w:r w:rsidRPr="00AD1B56">
        <w:rPr>
          <w:rStyle w:val="FootnoteReference"/>
        </w:rPr>
        <w:footnoteRef/>
      </w:r>
      <w:r w:rsidRPr="00FD3EE0">
        <w:rPr>
          <w:sz w:val="20"/>
          <w:szCs w:val="20"/>
        </w:rPr>
        <w:t xml:space="preserve"> </w:t>
      </w:r>
      <w:r>
        <w:rPr>
          <w:sz w:val="20"/>
          <w:szCs w:val="20"/>
        </w:rPr>
        <w:t>Just as an example, a Google Scholar search for “World Values Survey”</w:t>
      </w:r>
      <w:r w:rsidRPr="00FD3EE0">
        <w:rPr>
          <w:sz w:val="20"/>
          <w:szCs w:val="20"/>
        </w:rPr>
        <w:t xml:space="preserve"> produces 17,900 results: this is a well-trusted and well-utilised resource. </w:t>
      </w:r>
    </w:p>
    <w:p w14:paraId="6BECE128" w14:textId="77777777" w:rsidR="00C65616" w:rsidRDefault="00C65616" w:rsidP="00B77E5A">
      <w:pPr>
        <w:pStyle w:val="FootnoteText"/>
      </w:pPr>
    </w:p>
  </w:footnote>
  <w:footnote w:id="9">
    <w:p w14:paraId="7986AE3E" w14:textId="77777777" w:rsidR="00C65616" w:rsidRDefault="00C65616" w:rsidP="00B77E5A">
      <w:pPr>
        <w:pStyle w:val="FootnoteText"/>
      </w:pPr>
      <w:r w:rsidRPr="00AD1B56">
        <w:rPr>
          <w:rStyle w:val="FootnoteReference"/>
        </w:rPr>
        <w:footnoteRef/>
      </w:r>
      <w:r>
        <w:t xml:space="preserve"> See </w:t>
      </w:r>
      <w:hyperlink r:id="rId3" w:history="1">
        <w:r w:rsidRPr="0012360A">
          <w:rPr>
            <w:rStyle w:val="Hyperlink"/>
          </w:rPr>
          <w:t>sos.ca.gov/elections/ballot-measures/referenda.htm</w:t>
        </w:r>
      </w:hyperlink>
      <w:r>
        <w:t xml:space="preserve"> </w:t>
      </w:r>
    </w:p>
  </w:footnote>
  <w:footnote w:id="10">
    <w:p w14:paraId="3ED78453" w14:textId="748A5955" w:rsidR="00C65616" w:rsidRDefault="00C65616" w:rsidP="00B77E5A">
      <w:pPr>
        <w:pStyle w:val="FootnoteText"/>
      </w:pPr>
      <w:r w:rsidRPr="00AD1B56">
        <w:rPr>
          <w:rStyle w:val="FootnoteReference"/>
        </w:rPr>
        <w:footnoteRef/>
      </w:r>
      <w:r>
        <w:t xml:space="preserve"> As opposed to the relationship between rates and nature of crime and democracy, which has received considerable attention (see </w:t>
      </w:r>
      <w:r>
        <w:fldChar w:fldCharType="begin" w:fldLock="1"/>
      </w:r>
      <w:r>
        <w:instrText>ADDIN CSL_CITATION { "citationItems" : [ { "id" : "ITEM-1", "itemData" : { "DOI" : "10.1111/ajes.12025", "ISSN" : "00029246", "author" : [ { "dropping-particle" : "", "family" : "Cuesta", "given" : "Jose", "non-dropping-particle" : "", "parse-names" : false, "suffix" : "" } ], "container-title" : "American Journal of Economics and Sociology", "id" : "ITEM-1", "issue" : "3", "issued" : { "date-parts" : [ [ "2013", "7", "1" ] ] }, "page" : "645-674", "title" : "Theory and Empirics of Democracy and Crime Revisited: How Much Further Can We Go with Existing Data and Methodologies?", "type" : "article-journal", "volume" : "72" }, "uris" : [ "http://www.mendeley.com/documents/?uuid=cae691d0-d93e-437f-982b-c2f1824b0a4d" ] } ], "mendeley" : { "formattedCitation" : "(Cuesta, 2013)", "manualFormatting" : "Cuesta 2013", "plainTextFormattedCitation" : "(Cuesta, 2013)", "previouslyFormattedCitation" : "(Cuesta, 2013)" }, "properties" : { "noteIndex" : 0 }, "schema" : "https://github.com/citation-style-language/schema/raw/master/csl-citation.json" }</w:instrText>
      </w:r>
      <w:r>
        <w:fldChar w:fldCharType="separate"/>
      </w:r>
      <w:r w:rsidRPr="00456503">
        <w:rPr>
          <w:noProof/>
        </w:rPr>
        <w:t>Cuesta 2013</w:t>
      </w:r>
      <w:r>
        <w:fldChar w:fldCharType="end"/>
      </w:r>
      <w:r>
        <w:t>).</w:t>
      </w:r>
    </w:p>
  </w:footnote>
  <w:footnote w:id="11">
    <w:p w14:paraId="210EAB8A" w14:textId="77777777" w:rsidR="00C65616" w:rsidRDefault="00C65616" w:rsidP="00B77E5A">
      <w:pPr>
        <w:pStyle w:val="FootnoteText"/>
      </w:pPr>
      <w:r w:rsidRPr="00AD1B56">
        <w:rPr>
          <w:rStyle w:val="FootnoteReference"/>
        </w:rPr>
        <w:footnoteRef/>
      </w:r>
      <w:r>
        <w:t xml:space="preserve"> Indeed, this ambiguity has clearly been noted as the next wave of World Values Survey questionnaires updates the question to “Religious authorities </w:t>
      </w:r>
      <w:r>
        <w:rPr>
          <w:i/>
        </w:rPr>
        <w:t>ultimately</w:t>
      </w:r>
      <w:r>
        <w:t xml:space="preserve"> interpret the laws”.</w:t>
      </w:r>
    </w:p>
  </w:footnote>
  <w:footnote w:id="12">
    <w:p w14:paraId="5628B3BE" w14:textId="77777777" w:rsidR="00C65616" w:rsidRDefault="00C65616" w:rsidP="003419C8">
      <w:pPr>
        <w:pStyle w:val="FootnoteText"/>
      </w:pPr>
      <w:r w:rsidRPr="00AD1B56">
        <w:rPr>
          <w:rStyle w:val="FootnoteReference"/>
        </w:rPr>
        <w:footnoteRef/>
      </w:r>
      <w:r>
        <w:t xml:space="preserve"> The database used for this study was PscyINFO, which describes itself as “an expansive abstracting and indexing database with more than 3 million records devoted to peer-reviewed literature in the behavioral sciences and mental health, making it an ideal discovery and linking tool for scholarly research in a host of disciplines”. See </w:t>
      </w:r>
      <w:hyperlink r:id="rId4" w:history="1">
        <w:r>
          <w:rPr>
            <w:rStyle w:val="Hyperlink"/>
          </w:rPr>
          <w:t>http://www.apa.org/pubs/databases/psycinfo/index.aspx</w:t>
        </w:r>
      </w:hyperlink>
      <w:r>
        <w:t xml:space="preserve"> for more information.</w:t>
      </w:r>
    </w:p>
  </w:footnote>
  <w:footnote w:id="13">
    <w:p w14:paraId="48C9AE34" w14:textId="4BEE3D47" w:rsidR="00C65616" w:rsidRDefault="00C65616" w:rsidP="00976DD5">
      <w:pPr>
        <w:pStyle w:val="FootnoteText"/>
      </w:pPr>
      <w:r w:rsidRPr="00AD1B56">
        <w:rPr>
          <w:rStyle w:val="FootnoteReference"/>
        </w:rPr>
        <w:footnoteRef/>
      </w:r>
      <w:r>
        <w:t xml:space="preserve"> This discussion is informed by a personal communication with Christian Welzel, and is much appreciated.</w:t>
      </w:r>
    </w:p>
  </w:footnote>
  <w:footnote w:id="14">
    <w:p w14:paraId="23A00238" w14:textId="6E29B316" w:rsidR="00C65616" w:rsidRPr="007A4C40" w:rsidRDefault="00C65616">
      <w:pPr>
        <w:pStyle w:val="FootnoteText"/>
        <w:rPr>
          <w:rFonts w:ascii="Times New Roman" w:hAnsi="Times New Roman" w:cs="Times New Roman"/>
        </w:rPr>
      </w:pPr>
      <w:r w:rsidRPr="007A4C40">
        <w:rPr>
          <w:rStyle w:val="FootnoteReference"/>
          <w:rFonts w:ascii="Times New Roman" w:hAnsi="Times New Roman" w:cs="Times New Roman"/>
        </w:rPr>
        <w:footnoteRef/>
      </w:r>
      <w:r w:rsidRPr="007A4C40">
        <w:rPr>
          <w:rFonts w:ascii="Times New Roman" w:hAnsi="Times New Roman" w:cs="Times New Roman"/>
        </w:rPr>
        <w:t xml:space="preserve"> The EFA specifically is common factor analysis, otherwise known as principle axis factoring.</w:t>
      </w:r>
    </w:p>
  </w:footnote>
  <w:footnote w:id="15">
    <w:p w14:paraId="7241D8BC" w14:textId="21C72155" w:rsidR="00C65616" w:rsidRDefault="00C65616" w:rsidP="004B5896">
      <w:pPr>
        <w:pStyle w:val="FootnoteText"/>
      </w:pPr>
      <w:r w:rsidRPr="001E48D1">
        <w:rPr>
          <w:rStyle w:val="FootnoteReference"/>
          <w:rFonts w:ascii="Times New Roman" w:hAnsi="Times New Roman" w:cs="Times New Roman"/>
        </w:rPr>
        <w:footnoteRef/>
      </w:r>
      <w:r w:rsidRPr="001E48D1">
        <w:rPr>
          <w:rFonts w:ascii="Times New Roman" w:hAnsi="Times New Roman" w:cs="Times New Roman"/>
        </w:rPr>
        <w:t xml:space="preserve">Bartlett’s test of sphericity is significant, meaning there is enough correlation within the matrices for a useful analysis. The </w:t>
      </w:r>
      <w:r w:rsidRPr="001E48D1">
        <w:rPr>
          <w:rFonts w:ascii="Times New Roman" w:hAnsi="Times New Roman" w:cs="Times New Roman"/>
          <w:color w:val="000000"/>
        </w:rPr>
        <w:t>Kaiser-Meyer-Olkin Measure of Sampling Adequacy is .816, suggesting there are very good and compact patterns of correlations. Loadings in bold are those close to or above .5.</w:t>
      </w:r>
      <w:r>
        <w:rPr>
          <w:rFonts w:ascii="Times New Roman" w:hAnsi="Times New Roman" w:cs="Times New Roman"/>
          <w:color w:val="000000"/>
        </w:rPr>
        <w:t xml:space="preserve"> Scree plots are outlined in Appendix Figure B6 (PCA) and B7 (EFA)</w:t>
      </w:r>
    </w:p>
  </w:footnote>
  <w:footnote w:id="16">
    <w:p w14:paraId="67CC47DE" w14:textId="3329945E" w:rsidR="00C65616" w:rsidRDefault="00C65616" w:rsidP="00C438CB">
      <w:pPr>
        <w:pStyle w:val="FootnoteText"/>
      </w:pPr>
      <w:r>
        <w:rPr>
          <w:rStyle w:val="FootnoteReference"/>
        </w:rPr>
        <w:footnoteRef/>
      </w:r>
      <w:r>
        <w:t xml:space="preserve"> This was undertaken using the </w:t>
      </w:r>
      <w:r w:rsidRPr="00C438CB">
        <w:rPr>
          <w:i/>
        </w:rPr>
        <w:t>SEM</w:t>
      </w:r>
      <w:r>
        <w:t xml:space="preserve"> function in </w:t>
      </w:r>
      <w:r w:rsidRPr="00C438CB">
        <w:rPr>
          <w:i/>
        </w:rPr>
        <w:t>Stata</w:t>
      </w:r>
    </w:p>
  </w:footnote>
  <w:footnote w:id="17">
    <w:p w14:paraId="56EF9BE6" w14:textId="77777777" w:rsidR="00C65616" w:rsidRDefault="00C65616" w:rsidP="009138D2">
      <w:pPr>
        <w:pStyle w:val="FootnoteText"/>
      </w:pPr>
      <w:r w:rsidRPr="00AD1B56">
        <w:rPr>
          <w:rStyle w:val="FootnoteReference"/>
        </w:rPr>
        <w:footnoteRef/>
      </w:r>
      <w:r>
        <w:t xml:space="preserve"> The HDI measure also correlates strongly with GNI (PPP adjusted) at 0.81 (p&lt;0.001)</w:t>
      </w:r>
    </w:p>
  </w:footnote>
  <w:footnote w:id="18">
    <w:p w14:paraId="1E5C9E52" w14:textId="77777777" w:rsidR="00C65616" w:rsidRDefault="00C65616" w:rsidP="009138D2">
      <w:pPr>
        <w:pStyle w:val="FootnoteText"/>
      </w:pPr>
      <w:r w:rsidRPr="00AD1B56">
        <w:rPr>
          <w:rStyle w:val="FootnoteReference"/>
        </w:rPr>
        <w:footnoteRef/>
      </w:r>
      <w:r>
        <w:t xml:space="preserve"> </w:t>
      </w:r>
      <w:r>
        <w:rPr>
          <w:rFonts w:cstheme="majorBidi"/>
        </w:rPr>
        <w:t xml:space="preserve">Available at </w:t>
      </w:r>
      <w:hyperlink r:id="rId5" w:history="1">
        <w:r>
          <w:rPr>
            <w:rStyle w:val="Hyperlink"/>
          </w:rPr>
          <w:t>http://rsf.org/index2014/en-index2014.php</w:t>
        </w:r>
      </w:hyperlink>
    </w:p>
  </w:footnote>
  <w:footnote w:id="19">
    <w:p w14:paraId="0A1A02AC" w14:textId="0380EDCD" w:rsidR="00C65616" w:rsidRDefault="00C65616" w:rsidP="003600BE">
      <w:pPr>
        <w:pStyle w:val="FootnoteText"/>
        <w:rPr>
          <w:rFonts w:ascii="Calibri" w:hAnsi="Calibri"/>
        </w:rPr>
      </w:pPr>
      <w:r w:rsidRPr="00AD1B56">
        <w:rPr>
          <w:rStyle w:val="FootnoteReference"/>
        </w:rPr>
        <w:footnoteRef/>
      </w:r>
      <w:r>
        <w:t xml:space="preserve"> This is not the exact opposite to Welzel’s secular variable as it does not test how often a respondent attends religious services. Whilst this is a useful way of examining religioisity beyond personal opinion of one’s own religious attitudes, there are a number of missing results in the WVS, and the question was not asked at all in Morocco and Malaysia.</w:t>
      </w:r>
    </w:p>
  </w:footnote>
  <w:footnote w:id="20">
    <w:p w14:paraId="4A14D9DC" w14:textId="77777777" w:rsidR="00C65616" w:rsidRDefault="00C65616" w:rsidP="003600BE">
      <w:pPr>
        <w:pStyle w:val="FootnoteText"/>
      </w:pPr>
      <w:r w:rsidRPr="00AD1B56">
        <w:rPr>
          <w:rStyle w:val="FootnoteReference"/>
        </w:rPr>
        <w:footnoteRef/>
      </w:r>
      <w:r>
        <w:t xml:space="preserve"> This was not a systematic review by any means, but just this cursory look at the newly published literature showed a number of studies with two potentially problematic issues: 1) the number of data points in the second level was not at all clear 2) it wasn’t justified by the author how the second level was a clustered and contextual data point, as opposed to a categorical variable which is not the same thing.</w:t>
      </w:r>
    </w:p>
  </w:footnote>
  <w:footnote w:id="21">
    <w:p w14:paraId="1CF6B932" w14:textId="77777777" w:rsidR="00C65616" w:rsidRDefault="00C65616" w:rsidP="003600BE">
      <w:pPr>
        <w:pStyle w:val="FootnoteText"/>
      </w:pPr>
      <w:r w:rsidRPr="00AD1B56">
        <w:rPr>
          <w:rStyle w:val="FootnoteReference"/>
        </w:rPr>
        <w:footnoteRef/>
      </w:r>
      <w:r>
        <w:t xml:space="preserve"> Whilst the totals are different, this process of weighting still involves producing ratios of population sizes across the countries to equalize them in total, and so these two variables correlate perfectly.</w:t>
      </w:r>
    </w:p>
  </w:footnote>
  <w:footnote w:id="22">
    <w:p w14:paraId="0C47A089" w14:textId="7D7087A4" w:rsidR="00C65616" w:rsidRDefault="00C65616">
      <w:pPr>
        <w:pStyle w:val="FootnoteText"/>
      </w:pPr>
      <w:r>
        <w:rPr>
          <w:rStyle w:val="FootnoteReference"/>
        </w:rPr>
        <w:footnoteRef/>
      </w:r>
      <w:r>
        <w:t xml:space="preserve"> </w:t>
      </w:r>
      <w:r>
        <w:rPr>
          <w:rFonts w:eastAsia="Times New Roman"/>
          <w:szCs w:val="24"/>
          <w:lang w:eastAsia="en-GB"/>
        </w:rPr>
        <w:t>However, weighted versions of all models were also been run to examine for differences in output and there were no significant differences.</w:t>
      </w:r>
    </w:p>
  </w:footnote>
  <w:footnote w:id="23">
    <w:p w14:paraId="41B48EA3" w14:textId="6F7E4173" w:rsidR="00C65616" w:rsidRDefault="00C65616">
      <w:pPr>
        <w:pStyle w:val="FootnoteText"/>
      </w:pPr>
      <w:r w:rsidRPr="002A09BE">
        <w:rPr>
          <w:rStyle w:val="FootnoteReference"/>
          <w:highlight w:val="yellow"/>
        </w:rPr>
        <w:footnoteRef/>
      </w:r>
      <w:r w:rsidRPr="002A09BE">
        <w:rPr>
          <w:highlight w:val="yellow"/>
        </w:rPr>
        <w:t xml:space="preserve"> Models are estimated using Stata </w:t>
      </w:r>
      <w:r w:rsidRPr="00506241">
        <w:rPr>
          <w:highlight w:val="yellow"/>
        </w:rPr>
        <w:t>Xtmixed, with robust standard errors</w:t>
      </w:r>
    </w:p>
  </w:footnote>
  <w:footnote w:id="24">
    <w:p w14:paraId="03637912" w14:textId="5D47A7FC" w:rsidR="00C65616" w:rsidRPr="00402B69" w:rsidRDefault="00C65616" w:rsidP="00402B69">
      <w:pPr>
        <w:rPr>
          <w:rFonts w:asciiTheme="minorHAnsi" w:hAnsiTheme="minorHAnsi"/>
          <w:sz w:val="20"/>
          <w:szCs w:val="20"/>
        </w:rPr>
      </w:pPr>
      <w:r w:rsidRPr="00402B69">
        <w:rPr>
          <w:rStyle w:val="FootnoteReference"/>
          <w:rFonts w:asciiTheme="minorHAnsi" w:hAnsiTheme="minorHAnsi"/>
          <w:sz w:val="20"/>
          <w:szCs w:val="20"/>
        </w:rPr>
        <w:footnoteRef/>
      </w:r>
      <w:r w:rsidRPr="00402B69">
        <w:rPr>
          <w:rFonts w:asciiTheme="minorHAnsi" w:hAnsiTheme="minorHAnsi"/>
          <w:sz w:val="20"/>
          <w:szCs w:val="20"/>
        </w:rPr>
        <w:t xml:space="preserve"> The predominant reason for this is simply ease of interpretation for both discussion and visualisation of results. The 1-10 scale correlates perfectly with the original standardized component scores. As there is some skew to the two variables, robust standard errors are used in all models.</w:t>
      </w:r>
    </w:p>
    <w:p w14:paraId="1A285001" w14:textId="77777777" w:rsidR="00C65616" w:rsidRDefault="00C65616" w:rsidP="00402B69">
      <w:pPr>
        <w:pStyle w:val="FootnoteText"/>
      </w:pPr>
    </w:p>
  </w:footnote>
  <w:footnote w:id="25">
    <w:p w14:paraId="0ACFBD38" w14:textId="299BD48D" w:rsidR="00C65616" w:rsidRDefault="00C65616">
      <w:pPr>
        <w:pStyle w:val="FootnoteText"/>
      </w:pPr>
      <w:r>
        <w:rPr>
          <w:rStyle w:val="FootnoteReference"/>
        </w:rPr>
        <w:footnoteRef/>
      </w:r>
      <w:r>
        <w:t xml:space="preserve"> The correlation of this variable with the conceptualisations of democracy are 0.23 with the compound understanding, and -0.09 with the authoritarian. And so the relationship is in the expected direction, but does not produce any collinearity issue in the models. This does suggest already that believing democracy is important and scoring highly on the compound understanding are not the same thing.</w:t>
      </w:r>
    </w:p>
  </w:footnote>
  <w:footnote w:id="26">
    <w:p w14:paraId="2233327E" w14:textId="3279C7BA" w:rsidR="00C65616" w:rsidRDefault="00C65616" w:rsidP="00D66210">
      <w:pPr>
        <w:pStyle w:val="FootnoteText"/>
      </w:pPr>
      <w:r w:rsidRPr="00AD1B56">
        <w:rPr>
          <w:rStyle w:val="FootnoteReference"/>
        </w:rPr>
        <w:footnoteRef/>
      </w:r>
      <w:r>
        <w:t xml:space="preserve"> Although of course the general idea of relative deprivation is implicit in earlier works including those by Marx and De Tocqueville, and has been a staple of sociological thought that examines social movements (see </w:t>
      </w:r>
      <w:r>
        <w:fldChar w:fldCharType="begin" w:fldLock="1"/>
      </w:r>
      <w:r>
        <w:instrText>ADDIN CSL_CITATION { "citationItems" : [ { "id" : "ITEM-1", "itemData" : { "ISSN" : "0003-1224", "PMID" : "5156268", "author" : [ { "dropping-particle" : "", "family" : "McPhail", "given" : "C", "non-dropping-particle" : "", "parse-names" : false, "suffix" : "" } ], "container-title" : "American sociological review", "id" : "ITEM-1", "issue" : "6", "issued" : { "date-parts" : [ [ "1971", "12" ] ] }, "page" : "1058-73", "title" : "Civil disorder participation: a critical examination of recent research.", "type" : "article-journal", "volume" : "36" }, "uris" : [ "http://www.mendeley.com/documents/?uuid=2d97e98a-f0b8-4ac9-b443-567e9b4888cb" ] } ], "mendeley" : { "formattedCitation" : "(McPhail, 1971)", "manualFormatting" : "McPhail 1971, p.33)", "plainTextFormattedCitation" : "(McPhail, 1971)", "previouslyFormattedCitation" : "(McPhail, 1971)" }, "properties" : { "noteIndex" : 0 }, "schema" : "https://github.com/citation-style-language/schema/raw/master/csl-citation.json" }</w:instrText>
      </w:r>
      <w:r>
        <w:fldChar w:fldCharType="separate"/>
      </w:r>
      <w:r w:rsidRPr="001D0048">
        <w:rPr>
          <w:noProof/>
        </w:rPr>
        <w:t>McPhail 1971</w:t>
      </w:r>
      <w:r>
        <w:rPr>
          <w:noProof/>
        </w:rPr>
        <w:t>, p.33</w:t>
      </w:r>
      <w:r w:rsidRPr="001D0048">
        <w:rPr>
          <w:noProof/>
        </w:rPr>
        <w:t>)</w:t>
      </w:r>
      <w:r>
        <w:fldChar w:fldCharType="end"/>
      </w:r>
      <w:r>
        <w:t>.</w:t>
      </w:r>
    </w:p>
  </w:footnote>
  <w:footnote w:id="27">
    <w:p w14:paraId="72C3CB69" w14:textId="77777777" w:rsidR="00C65616" w:rsidRDefault="00C65616" w:rsidP="005440ED">
      <w:pPr>
        <w:pStyle w:val="FootnoteText"/>
      </w:pPr>
      <w:r w:rsidRPr="00AD1B56">
        <w:rPr>
          <w:rStyle w:val="FootnoteReference"/>
        </w:rPr>
        <w:footnoteRef/>
      </w:r>
      <w:r>
        <w:t xml:space="preserve"> M</w:t>
      </w:r>
      <w:r w:rsidRPr="00986049">
        <w:t>odels conducted in Stata</w:t>
      </w:r>
      <w:r>
        <w:t xml:space="preserve"> 12.1</w:t>
      </w:r>
      <w:r w:rsidRPr="00986049">
        <w:t xml:space="preserve"> using the </w:t>
      </w:r>
      <w:r w:rsidRPr="00986049">
        <w:rPr>
          <w:i/>
          <w:iCs/>
        </w:rPr>
        <w:t>xtmelogit</w:t>
      </w:r>
      <w:r w:rsidRPr="00986049">
        <w:t xml:space="preserve"> command</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75F"/>
    <w:multiLevelType w:val="hybridMultilevel"/>
    <w:tmpl w:val="3F9EF9A4"/>
    <w:lvl w:ilvl="0" w:tplc="BF6E997C">
      <w:start w:val="1"/>
      <w:numFmt w:val="bullet"/>
      <w:lvlText w:val=""/>
      <w:lvlJc w:val="left"/>
      <w:pPr>
        <w:ind w:left="390" w:hanging="316"/>
      </w:pPr>
      <w:rPr>
        <w:rFonts w:ascii="Wingdings 2" w:eastAsia="Wingdings 2" w:hAnsi="Wingdings 2" w:cs="Wingdings 2" w:hint="default"/>
        <w:w w:val="99"/>
        <w:sz w:val="30"/>
        <w:szCs w:val="30"/>
      </w:rPr>
    </w:lvl>
    <w:lvl w:ilvl="1" w:tplc="98428A14">
      <w:start w:val="1"/>
      <w:numFmt w:val="bullet"/>
      <w:lvlText w:val="•"/>
      <w:lvlJc w:val="left"/>
      <w:pPr>
        <w:ind w:left="501" w:hanging="316"/>
      </w:pPr>
      <w:rPr>
        <w:rFonts w:hint="default"/>
      </w:rPr>
    </w:lvl>
    <w:lvl w:ilvl="2" w:tplc="9ADA1922">
      <w:start w:val="1"/>
      <w:numFmt w:val="bullet"/>
      <w:lvlText w:val="•"/>
      <w:lvlJc w:val="left"/>
      <w:pPr>
        <w:ind w:left="603" w:hanging="316"/>
      </w:pPr>
      <w:rPr>
        <w:rFonts w:hint="default"/>
      </w:rPr>
    </w:lvl>
    <w:lvl w:ilvl="3" w:tplc="781C4B26">
      <w:start w:val="1"/>
      <w:numFmt w:val="bullet"/>
      <w:lvlText w:val="•"/>
      <w:lvlJc w:val="left"/>
      <w:pPr>
        <w:ind w:left="704" w:hanging="316"/>
      </w:pPr>
      <w:rPr>
        <w:rFonts w:hint="default"/>
      </w:rPr>
    </w:lvl>
    <w:lvl w:ilvl="4" w:tplc="4EF0D1C6">
      <w:start w:val="1"/>
      <w:numFmt w:val="bullet"/>
      <w:lvlText w:val="•"/>
      <w:lvlJc w:val="left"/>
      <w:pPr>
        <w:ind w:left="805" w:hanging="316"/>
      </w:pPr>
      <w:rPr>
        <w:rFonts w:hint="default"/>
      </w:rPr>
    </w:lvl>
    <w:lvl w:ilvl="5" w:tplc="53267202">
      <w:start w:val="1"/>
      <w:numFmt w:val="bullet"/>
      <w:lvlText w:val="•"/>
      <w:lvlJc w:val="left"/>
      <w:pPr>
        <w:ind w:left="907" w:hanging="316"/>
      </w:pPr>
      <w:rPr>
        <w:rFonts w:hint="default"/>
      </w:rPr>
    </w:lvl>
    <w:lvl w:ilvl="6" w:tplc="22A80248">
      <w:start w:val="1"/>
      <w:numFmt w:val="bullet"/>
      <w:lvlText w:val="•"/>
      <w:lvlJc w:val="left"/>
      <w:pPr>
        <w:ind w:left="1008" w:hanging="316"/>
      </w:pPr>
      <w:rPr>
        <w:rFonts w:hint="default"/>
      </w:rPr>
    </w:lvl>
    <w:lvl w:ilvl="7" w:tplc="D3261690">
      <w:start w:val="1"/>
      <w:numFmt w:val="bullet"/>
      <w:lvlText w:val="•"/>
      <w:lvlJc w:val="left"/>
      <w:pPr>
        <w:ind w:left="1110" w:hanging="316"/>
      </w:pPr>
      <w:rPr>
        <w:rFonts w:hint="default"/>
      </w:rPr>
    </w:lvl>
    <w:lvl w:ilvl="8" w:tplc="FB6E5A10">
      <w:start w:val="1"/>
      <w:numFmt w:val="bullet"/>
      <w:lvlText w:val="•"/>
      <w:lvlJc w:val="left"/>
      <w:pPr>
        <w:ind w:left="1211" w:hanging="316"/>
      </w:pPr>
      <w:rPr>
        <w:rFonts w:hint="default"/>
      </w:rPr>
    </w:lvl>
  </w:abstractNum>
  <w:abstractNum w:abstractNumId="1" w15:restartNumberingAfterBreak="0">
    <w:nsid w:val="038D631C"/>
    <w:multiLevelType w:val="hybridMultilevel"/>
    <w:tmpl w:val="C52EF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958AB"/>
    <w:multiLevelType w:val="multilevel"/>
    <w:tmpl w:val="B83AF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E164B9"/>
    <w:multiLevelType w:val="hybridMultilevel"/>
    <w:tmpl w:val="966048D0"/>
    <w:lvl w:ilvl="0" w:tplc="B14A1486">
      <w:start w:val="1"/>
      <w:numFmt w:val="bullet"/>
      <w:lvlText w:val=""/>
      <w:lvlJc w:val="left"/>
      <w:pPr>
        <w:ind w:left="389" w:hanging="315"/>
      </w:pPr>
      <w:rPr>
        <w:rFonts w:ascii="Wingdings 2" w:eastAsia="Wingdings 2" w:hAnsi="Wingdings 2" w:cs="Wingdings 2" w:hint="default"/>
        <w:w w:val="99"/>
        <w:sz w:val="30"/>
        <w:szCs w:val="30"/>
      </w:rPr>
    </w:lvl>
    <w:lvl w:ilvl="1" w:tplc="A0A8BAAE">
      <w:start w:val="1"/>
      <w:numFmt w:val="bullet"/>
      <w:lvlText w:val="•"/>
      <w:lvlJc w:val="left"/>
      <w:pPr>
        <w:ind w:left="483" w:hanging="315"/>
      </w:pPr>
      <w:rPr>
        <w:rFonts w:hint="default"/>
      </w:rPr>
    </w:lvl>
    <w:lvl w:ilvl="2" w:tplc="5ABC3498">
      <w:start w:val="1"/>
      <w:numFmt w:val="bullet"/>
      <w:lvlText w:val="•"/>
      <w:lvlJc w:val="left"/>
      <w:pPr>
        <w:ind w:left="587" w:hanging="315"/>
      </w:pPr>
      <w:rPr>
        <w:rFonts w:hint="default"/>
      </w:rPr>
    </w:lvl>
    <w:lvl w:ilvl="3" w:tplc="30569D2E">
      <w:start w:val="1"/>
      <w:numFmt w:val="bullet"/>
      <w:lvlText w:val="•"/>
      <w:lvlJc w:val="left"/>
      <w:pPr>
        <w:ind w:left="690" w:hanging="315"/>
      </w:pPr>
      <w:rPr>
        <w:rFonts w:hint="default"/>
      </w:rPr>
    </w:lvl>
    <w:lvl w:ilvl="4" w:tplc="8974ABD0">
      <w:start w:val="1"/>
      <w:numFmt w:val="bullet"/>
      <w:lvlText w:val="•"/>
      <w:lvlJc w:val="left"/>
      <w:pPr>
        <w:ind w:left="793" w:hanging="315"/>
      </w:pPr>
      <w:rPr>
        <w:rFonts w:hint="default"/>
      </w:rPr>
    </w:lvl>
    <w:lvl w:ilvl="5" w:tplc="E22EC186">
      <w:start w:val="1"/>
      <w:numFmt w:val="bullet"/>
      <w:lvlText w:val="•"/>
      <w:lvlJc w:val="left"/>
      <w:pPr>
        <w:ind w:left="897" w:hanging="315"/>
      </w:pPr>
      <w:rPr>
        <w:rFonts w:hint="default"/>
      </w:rPr>
    </w:lvl>
    <w:lvl w:ilvl="6" w:tplc="B0927FE4">
      <w:start w:val="1"/>
      <w:numFmt w:val="bullet"/>
      <w:lvlText w:val="•"/>
      <w:lvlJc w:val="left"/>
      <w:pPr>
        <w:ind w:left="1000" w:hanging="315"/>
      </w:pPr>
      <w:rPr>
        <w:rFonts w:hint="default"/>
      </w:rPr>
    </w:lvl>
    <w:lvl w:ilvl="7" w:tplc="C12894E6">
      <w:start w:val="1"/>
      <w:numFmt w:val="bullet"/>
      <w:lvlText w:val="•"/>
      <w:lvlJc w:val="left"/>
      <w:pPr>
        <w:ind w:left="1104" w:hanging="315"/>
      </w:pPr>
      <w:rPr>
        <w:rFonts w:hint="default"/>
      </w:rPr>
    </w:lvl>
    <w:lvl w:ilvl="8" w:tplc="CF94E7D2">
      <w:start w:val="1"/>
      <w:numFmt w:val="bullet"/>
      <w:lvlText w:val="•"/>
      <w:lvlJc w:val="left"/>
      <w:pPr>
        <w:ind w:left="1207" w:hanging="315"/>
      </w:pPr>
      <w:rPr>
        <w:rFonts w:hint="default"/>
      </w:rPr>
    </w:lvl>
  </w:abstractNum>
  <w:abstractNum w:abstractNumId="4" w15:restartNumberingAfterBreak="0">
    <w:nsid w:val="086A7B41"/>
    <w:multiLevelType w:val="hybridMultilevel"/>
    <w:tmpl w:val="6A8C09DE"/>
    <w:lvl w:ilvl="0" w:tplc="D7A45FB0">
      <w:start w:val="1"/>
      <w:numFmt w:val="bullet"/>
      <w:lvlText w:val=""/>
      <w:lvlJc w:val="left"/>
      <w:pPr>
        <w:ind w:left="389" w:hanging="315"/>
      </w:pPr>
      <w:rPr>
        <w:rFonts w:ascii="Wingdings 2" w:eastAsia="Wingdings 2" w:hAnsi="Wingdings 2" w:cs="Wingdings 2" w:hint="default"/>
        <w:w w:val="99"/>
        <w:sz w:val="30"/>
        <w:szCs w:val="30"/>
      </w:rPr>
    </w:lvl>
    <w:lvl w:ilvl="1" w:tplc="5C521658">
      <w:start w:val="1"/>
      <w:numFmt w:val="bullet"/>
      <w:lvlText w:val="•"/>
      <w:lvlJc w:val="left"/>
      <w:pPr>
        <w:ind w:left="483" w:hanging="315"/>
      </w:pPr>
      <w:rPr>
        <w:rFonts w:hint="default"/>
      </w:rPr>
    </w:lvl>
    <w:lvl w:ilvl="2" w:tplc="6E842952">
      <w:start w:val="1"/>
      <w:numFmt w:val="bullet"/>
      <w:lvlText w:val="•"/>
      <w:lvlJc w:val="left"/>
      <w:pPr>
        <w:ind w:left="587" w:hanging="315"/>
      </w:pPr>
      <w:rPr>
        <w:rFonts w:hint="default"/>
      </w:rPr>
    </w:lvl>
    <w:lvl w:ilvl="3" w:tplc="78BEB6C0">
      <w:start w:val="1"/>
      <w:numFmt w:val="bullet"/>
      <w:lvlText w:val="•"/>
      <w:lvlJc w:val="left"/>
      <w:pPr>
        <w:ind w:left="691" w:hanging="315"/>
      </w:pPr>
      <w:rPr>
        <w:rFonts w:hint="default"/>
      </w:rPr>
    </w:lvl>
    <w:lvl w:ilvl="4" w:tplc="946A130C">
      <w:start w:val="1"/>
      <w:numFmt w:val="bullet"/>
      <w:lvlText w:val="•"/>
      <w:lvlJc w:val="left"/>
      <w:pPr>
        <w:ind w:left="794" w:hanging="315"/>
      </w:pPr>
      <w:rPr>
        <w:rFonts w:hint="default"/>
      </w:rPr>
    </w:lvl>
    <w:lvl w:ilvl="5" w:tplc="342857B4">
      <w:start w:val="1"/>
      <w:numFmt w:val="bullet"/>
      <w:lvlText w:val="•"/>
      <w:lvlJc w:val="left"/>
      <w:pPr>
        <w:ind w:left="898" w:hanging="315"/>
      </w:pPr>
      <w:rPr>
        <w:rFonts w:hint="default"/>
      </w:rPr>
    </w:lvl>
    <w:lvl w:ilvl="6" w:tplc="00680A64">
      <w:start w:val="1"/>
      <w:numFmt w:val="bullet"/>
      <w:lvlText w:val="•"/>
      <w:lvlJc w:val="left"/>
      <w:pPr>
        <w:ind w:left="1002" w:hanging="315"/>
      </w:pPr>
      <w:rPr>
        <w:rFonts w:hint="default"/>
      </w:rPr>
    </w:lvl>
    <w:lvl w:ilvl="7" w:tplc="0374FB4C">
      <w:start w:val="1"/>
      <w:numFmt w:val="bullet"/>
      <w:lvlText w:val="•"/>
      <w:lvlJc w:val="left"/>
      <w:pPr>
        <w:ind w:left="1105" w:hanging="315"/>
      </w:pPr>
      <w:rPr>
        <w:rFonts w:hint="default"/>
      </w:rPr>
    </w:lvl>
    <w:lvl w:ilvl="8" w:tplc="375AF27C">
      <w:start w:val="1"/>
      <w:numFmt w:val="bullet"/>
      <w:lvlText w:val="•"/>
      <w:lvlJc w:val="left"/>
      <w:pPr>
        <w:ind w:left="1209" w:hanging="315"/>
      </w:pPr>
      <w:rPr>
        <w:rFonts w:hint="default"/>
      </w:rPr>
    </w:lvl>
  </w:abstractNum>
  <w:abstractNum w:abstractNumId="5" w15:restartNumberingAfterBreak="0">
    <w:nsid w:val="0F1435A8"/>
    <w:multiLevelType w:val="multilevel"/>
    <w:tmpl w:val="D9D09F44"/>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15:restartNumberingAfterBreak="0">
    <w:nsid w:val="12C24453"/>
    <w:multiLevelType w:val="hybridMultilevel"/>
    <w:tmpl w:val="B89A9B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134D3697"/>
    <w:multiLevelType w:val="hybridMultilevel"/>
    <w:tmpl w:val="20A6EF70"/>
    <w:lvl w:ilvl="0" w:tplc="60CAB22E">
      <w:start w:val="1"/>
      <w:numFmt w:val="bullet"/>
      <w:lvlText w:val=""/>
      <w:lvlJc w:val="left"/>
      <w:pPr>
        <w:ind w:left="75" w:hanging="315"/>
      </w:pPr>
      <w:rPr>
        <w:rFonts w:ascii="Wingdings 2" w:eastAsia="Wingdings 2" w:hAnsi="Wingdings 2" w:cs="Wingdings 2" w:hint="default"/>
        <w:w w:val="99"/>
        <w:sz w:val="30"/>
        <w:szCs w:val="30"/>
      </w:rPr>
    </w:lvl>
    <w:lvl w:ilvl="1" w:tplc="1E84087C">
      <w:start w:val="1"/>
      <w:numFmt w:val="bullet"/>
      <w:lvlText w:val="•"/>
      <w:lvlJc w:val="left"/>
      <w:pPr>
        <w:ind w:left="343" w:hanging="315"/>
      </w:pPr>
      <w:rPr>
        <w:rFonts w:hint="default"/>
      </w:rPr>
    </w:lvl>
    <w:lvl w:ilvl="2" w:tplc="EFC0632A">
      <w:start w:val="1"/>
      <w:numFmt w:val="bullet"/>
      <w:lvlText w:val="•"/>
      <w:lvlJc w:val="left"/>
      <w:pPr>
        <w:ind w:left="606" w:hanging="315"/>
      </w:pPr>
      <w:rPr>
        <w:rFonts w:hint="default"/>
      </w:rPr>
    </w:lvl>
    <w:lvl w:ilvl="3" w:tplc="E05CE41E">
      <w:start w:val="1"/>
      <w:numFmt w:val="bullet"/>
      <w:lvlText w:val="•"/>
      <w:lvlJc w:val="left"/>
      <w:pPr>
        <w:ind w:left="869" w:hanging="315"/>
      </w:pPr>
      <w:rPr>
        <w:rFonts w:hint="default"/>
      </w:rPr>
    </w:lvl>
    <w:lvl w:ilvl="4" w:tplc="F6BAE122">
      <w:start w:val="1"/>
      <w:numFmt w:val="bullet"/>
      <w:lvlText w:val="•"/>
      <w:lvlJc w:val="left"/>
      <w:pPr>
        <w:ind w:left="1132" w:hanging="315"/>
      </w:pPr>
      <w:rPr>
        <w:rFonts w:hint="default"/>
      </w:rPr>
    </w:lvl>
    <w:lvl w:ilvl="5" w:tplc="82183102">
      <w:start w:val="1"/>
      <w:numFmt w:val="bullet"/>
      <w:lvlText w:val="•"/>
      <w:lvlJc w:val="left"/>
      <w:pPr>
        <w:ind w:left="1395" w:hanging="315"/>
      </w:pPr>
      <w:rPr>
        <w:rFonts w:hint="default"/>
      </w:rPr>
    </w:lvl>
    <w:lvl w:ilvl="6" w:tplc="88EA1382">
      <w:start w:val="1"/>
      <w:numFmt w:val="bullet"/>
      <w:lvlText w:val="•"/>
      <w:lvlJc w:val="left"/>
      <w:pPr>
        <w:ind w:left="1658" w:hanging="315"/>
      </w:pPr>
      <w:rPr>
        <w:rFonts w:hint="default"/>
      </w:rPr>
    </w:lvl>
    <w:lvl w:ilvl="7" w:tplc="C8C6D74C">
      <w:start w:val="1"/>
      <w:numFmt w:val="bullet"/>
      <w:lvlText w:val="•"/>
      <w:lvlJc w:val="left"/>
      <w:pPr>
        <w:ind w:left="1922" w:hanging="315"/>
      </w:pPr>
      <w:rPr>
        <w:rFonts w:hint="default"/>
      </w:rPr>
    </w:lvl>
    <w:lvl w:ilvl="8" w:tplc="F620B016">
      <w:start w:val="1"/>
      <w:numFmt w:val="bullet"/>
      <w:lvlText w:val="•"/>
      <w:lvlJc w:val="left"/>
      <w:pPr>
        <w:ind w:left="2185" w:hanging="315"/>
      </w:pPr>
      <w:rPr>
        <w:rFonts w:hint="default"/>
      </w:rPr>
    </w:lvl>
  </w:abstractNum>
  <w:abstractNum w:abstractNumId="8" w15:restartNumberingAfterBreak="0">
    <w:nsid w:val="18594A19"/>
    <w:multiLevelType w:val="hybridMultilevel"/>
    <w:tmpl w:val="E432FA7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81FFF"/>
    <w:multiLevelType w:val="hybridMultilevel"/>
    <w:tmpl w:val="7C986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4AC00FD"/>
    <w:multiLevelType w:val="hybridMultilevel"/>
    <w:tmpl w:val="84145D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92AD0"/>
    <w:multiLevelType w:val="hybridMultilevel"/>
    <w:tmpl w:val="50C0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102A0"/>
    <w:multiLevelType w:val="hybridMultilevel"/>
    <w:tmpl w:val="DD72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BE76EA"/>
    <w:multiLevelType w:val="hybridMultilevel"/>
    <w:tmpl w:val="C52EF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935FB2"/>
    <w:multiLevelType w:val="hybridMultilevel"/>
    <w:tmpl w:val="E4C26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95146F"/>
    <w:multiLevelType w:val="multilevel"/>
    <w:tmpl w:val="CFC67FA2"/>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416B79BB"/>
    <w:multiLevelType w:val="hybridMultilevel"/>
    <w:tmpl w:val="A7ACF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4367EBC"/>
    <w:multiLevelType w:val="hybridMultilevel"/>
    <w:tmpl w:val="37A03C1C"/>
    <w:lvl w:ilvl="0" w:tplc="424CE7E0">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95B0C"/>
    <w:multiLevelType w:val="hybridMultilevel"/>
    <w:tmpl w:val="3C0CE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1A5D20"/>
    <w:multiLevelType w:val="hybridMultilevel"/>
    <w:tmpl w:val="A7D88A0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BFF3FAF"/>
    <w:multiLevelType w:val="multilevel"/>
    <w:tmpl w:val="B83AF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1D592C"/>
    <w:multiLevelType w:val="hybridMultilevel"/>
    <w:tmpl w:val="666A487C"/>
    <w:lvl w:ilvl="0" w:tplc="1B7816F4">
      <w:start w:val="1"/>
      <w:numFmt w:val="bullet"/>
      <w:lvlText w:val=""/>
      <w:lvlJc w:val="left"/>
      <w:pPr>
        <w:ind w:left="389" w:hanging="315"/>
      </w:pPr>
      <w:rPr>
        <w:rFonts w:ascii="Wingdings 2" w:eastAsia="Wingdings 2" w:hAnsi="Wingdings 2" w:cs="Wingdings 2" w:hint="default"/>
        <w:w w:val="99"/>
        <w:sz w:val="30"/>
        <w:szCs w:val="30"/>
      </w:rPr>
    </w:lvl>
    <w:lvl w:ilvl="1" w:tplc="E1869610">
      <w:start w:val="1"/>
      <w:numFmt w:val="bullet"/>
      <w:lvlText w:val="•"/>
      <w:lvlJc w:val="left"/>
      <w:pPr>
        <w:ind w:left="483" w:hanging="315"/>
      </w:pPr>
      <w:rPr>
        <w:rFonts w:hint="default"/>
      </w:rPr>
    </w:lvl>
    <w:lvl w:ilvl="2" w:tplc="512EB17A">
      <w:start w:val="1"/>
      <w:numFmt w:val="bullet"/>
      <w:lvlText w:val="•"/>
      <w:lvlJc w:val="left"/>
      <w:pPr>
        <w:ind w:left="587" w:hanging="315"/>
      </w:pPr>
      <w:rPr>
        <w:rFonts w:hint="default"/>
      </w:rPr>
    </w:lvl>
    <w:lvl w:ilvl="3" w:tplc="3D52CAD8">
      <w:start w:val="1"/>
      <w:numFmt w:val="bullet"/>
      <w:lvlText w:val="•"/>
      <w:lvlJc w:val="left"/>
      <w:pPr>
        <w:ind w:left="690" w:hanging="315"/>
      </w:pPr>
      <w:rPr>
        <w:rFonts w:hint="default"/>
      </w:rPr>
    </w:lvl>
    <w:lvl w:ilvl="4" w:tplc="34F63D2E">
      <w:start w:val="1"/>
      <w:numFmt w:val="bullet"/>
      <w:lvlText w:val="•"/>
      <w:lvlJc w:val="left"/>
      <w:pPr>
        <w:ind w:left="793" w:hanging="315"/>
      </w:pPr>
      <w:rPr>
        <w:rFonts w:hint="default"/>
      </w:rPr>
    </w:lvl>
    <w:lvl w:ilvl="5" w:tplc="56B00E1C">
      <w:start w:val="1"/>
      <w:numFmt w:val="bullet"/>
      <w:lvlText w:val="•"/>
      <w:lvlJc w:val="left"/>
      <w:pPr>
        <w:ind w:left="897" w:hanging="315"/>
      </w:pPr>
      <w:rPr>
        <w:rFonts w:hint="default"/>
      </w:rPr>
    </w:lvl>
    <w:lvl w:ilvl="6" w:tplc="CEF62AA4">
      <w:start w:val="1"/>
      <w:numFmt w:val="bullet"/>
      <w:lvlText w:val="•"/>
      <w:lvlJc w:val="left"/>
      <w:pPr>
        <w:ind w:left="1000" w:hanging="315"/>
      </w:pPr>
      <w:rPr>
        <w:rFonts w:hint="default"/>
      </w:rPr>
    </w:lvl>
    <w:lvl w:ilvl="7" w:tplc="3730895E">
      <w:start w:val="1"/>
      <w:numFmt w:val="bullet"/>
      <w:lvlText w:val="•"/>
      <w:lvlJc w:val="left"/>
      <w:pPr>
        <w:ind w:left="1104" w:hanging="315"/>
      </w:pPr>
      <w:rPr>
        <w:rFonts w:hint="default"/>
      </w:rPr>
    </w:lvl>
    <w:lvl w:ilvl="8" w:tplc="57F0FE0E">
      <w:start w:val="1"/>
      <w:numFmt w:val="bullet"/>
      <w:lvlText w:val="•"/>
      <w:lvlJc w:val="left"/>
      <w:pPr>
        <w:ind w:left="1207" w:hanging="315"/>
      </w:pPr>
      <w:rPr>
        <w:rFonts w:hint="default"/>
      </w:rPr>
    </w:lvl>
  </w:abstractNum>
  <w:abstractNum w:abstractNumId="22" w15:restartNumberingAfterBreak="0">
    <w:nsid w:val="55D10827"/>
    <w:multiLevelType w:val="multilevel"/>
    <w:tmpl w:val="D9D09F44"/>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3" w15:restartNumberingAfterBreak="0">
    <w:nsid w:val="568917A0"/>
    <w:multiLevelType w:val="hybridMultilevel"/>
    <w:tmpl w:val="AD924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8A25DA"/>
    <w:multiLevelType w:val="multilevel"/>
    <w:tmpl w:val="D9D09F44"/>
    <w:lvl w:ilvl="0">
      <w:start w:val="1"/>
      <w:numFmt w:val="decimal"/>
      <w:lvlText w:val="%1."/>
      <w:lvlJc w:val="lef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5" w15:restartNumberingAfterBreak="0">
    <w:nsid w:val="61194941"/>
    <w:multiLevelType w:val="hybridMultilevel"/>
    <w:tmpl w:val="1E388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F413A9"/>
    <w:multiLevelType w:val="multilevel"/>
    <w:tmpl w:val="BC32806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7" w15:restartNumberingAfterBreak="0">
    <w:nsid w:val="6D18092A"/>
    <w:multiLevelType w:val="hybridMultilevel"/>
    <w:tmpl w:val="64E87CCE"/>
    <w:lvl w:ilvl="0" w:tplc="C856092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EC664E9"/>
    <w:multiLevelType w:val="hybridMultilevel"/>
    <w:tmpl w:val="4F1A2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260A66"/>
    <w:multiLevelType w:val="hybridMultilevel"/>
    <w:tmpl w:val="5A24AF0A"/>
    <w:lvl w:ilvl="0" w:tplc="C418810C">
      <w:start w:val="1"/>
      <w:numFmt w:val="bullet"/>
      <w:lvlText w:val=""/>
      <w:lvlJc w:val="left"/>
      <w:pPr>
        <w:ind w:left="389" w:hanging="315"/>
      </w:pPr>
      <w:rPr>
        <w:rFonts w:ascii="Wingdings 2" w:eastAsia="Wingdings 2" w:hAnsi="Wingdings 2" w:cs="Wingdings 2" w:hint="default"/>
        <w:w w:val="99"/>
        <w:sz w:val="30"/>
        <w:szCs w:val="30"/>
      </w:rPr>
    </w:lvl>
    <w:lvl w:ilvl="1" w:tplc="30929AD8">
      <w:start w:val="1"/>
      <w:numFmt w:val="bullet"/>
      <w:lvlText w:val="•"/>
      <w:lvlJc w:val="left"/>
      <w:pPr>
        <w:ind w:left="483" w:hanging="315"/>
      </w:pPr>
      <w:rPr>
        <w:rFonts w:hint="default"/>
      </w:rPr>
    </w:lvl>
    <w:lvl w:ilvl="2" w:tplc="F0E894AC">
      <w:start w:val="1"/>
      <w:numFmt w:val="bullet"/>
      <w:lvlText w:val="•"/>
      <w:lvlJc w:val="left"/>
      <w:pPr>
        <w:ind w:left="587" w:hanging="315"/>
      </w:pPr>
      <w:rPr>
        <w:rFonts w:hint="default"/>
      </w:rPr>
    </w:lvl>
    <w:lvl w:ilvl="3" w:tplc="096E2B74">
      <w:start w:val="1"/>
      <w:numFmt w:val="bullet"/>
      <w:lvlText w:val="•"/>
      <w:lvlJc w:val="left"/>
      <w:pPr>
        <w:ind w:left="690" w:hanging="315"/>
      </w:pPr>
      <w:rPr>
        <w:rFonts w:hint="default"/>
      </w:rPr>
    </w:lvl>
    <w:lvl w:ilvl="4" w:tplc="4AB80CC4">
      <w:start w:val="1"/>
      <w:numFmt w:val="bullet"/>
      <w:lvlText w:val="•"/>
      <w:lvlJc w:val="left"/>
      <w:pPr>
        <w:ind w:left="793" w:hanging="315"/>
      </w:pPr>
      <w:rPr>
        <w:rFonts w:hint="default"/>
      </w:rPr>
    </w:lvl>
    <w:lvl w:ilvl="5" w:tplc="04F20988">
      <w:start w:val="1"/>
      <w:numFmt w:val="bullet"/>
      <w:lvlText w:val="•"/>
      <w:lvlJc w:val="left"/>
      <w:pPr>
        <w:ind w:left="897" w:hanging="315"/>
      </w:pPr>
      <w:rPr>
        <w:rFonts w:hint="default"/>
      </w:rPr>
    </w:lvl>
    <w:lvl w:ilvl="6" w:tplc="F6B635BA">
      <w:start w:val="1"/>
      <w:numFmt w:val="bullet"/>
      <w:lvlText w:val="•"/>
      <w:lvlJc w:val="left"/>
      <w:pPr>
        <w:ind w:left="1000" w:hanging="315"/>
      </w:pPr>
      <w:rPr>
        <w:rFonts w:hint="default"/>
      </w:rPr>
    </w:lvl>
    <w:lvl w:ilvl="7" w:tplc="9C2A69BA">
      <w:start w:val="1"/>
      <w:numFmt w:val="bullet"/>
      <w:lvlText w:val="•"/>
      <w:lvlJc w:val="left"/>
      <w:pPr>
        <w:ind w:left="1104" w:hanging="315"/>
      </w:pPr>
      <w:rPr>
        <w:rFonts w:hint="default"/>
      </w:rPr>
    </w:lvl>
    <w:lvl w:ilvl="8" w:tplc="9C98F780">
      <w:start w:val="1"/>
      <w:numFmt w:val="bullet"/>
      <w:lvlText w:val="•"/>
      <w:lvlJc w:val="left"/>
      <w:pPr>
        <w:ind w:left="1207" w:hanging="315"/>
      </w:pPr>
      <w:rPr>
        <w:rFonts w:hint="default"/>
      </w:rPr>
    </w:lvl>
  </w:abstractNum>
  <w:abstractNum w:abstractNumId="30" w15:restartNumberingAfterBreak="0">
    <w:nsid w:val="7A92180E"/>
    <w:multiLevelType w:val="hybridMultilevel"/>
    <w:tmpl w:val="293A0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EB5DA1"/>
    <w:multiLevelType w:val="multilevel"/>
    <w:tmpl w:val="691CDA1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6"/>
  </w:num>
  <w:num w:numId="2">
    <w:abstractNumId w:val="8"/>
  </w:num>
  <w:num w:numId="3">
    <w:abstractNumId w:val="31"/>
  </w:num>
  <w:num w:numId="4">
    <w:abstractNumId w:val="9"/>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5"/>
  </w:num>
  <w:num w:numId="9">
    <w:abstractNumId w:val="18"/>
  </w:num>
  <w:num w:numId="10">
    <w:abstractNumId w:val="22"/>
  </w:num>
  <w:num w:numId="11">
    <w:abstractNumId w:val="5"/>
  </w:num>
  <w:num w:numId="12">
    <w:abstractNumId w:val="24"/>
  </w:num>
  <w:num w:numId="13">
    <w:abstractNumId w:val="12"/>
  </w:num>
  <w:num w:numId="14">
    <w:abstractNumId w:val="14"/>
  </w:num>
  <w:num w:numId="15">
    <w:abstractNumId w:val="2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6"/>
  </w:num>
  <w:num w:numId="19">
    <w:abstractNumId w:val="30"/>
  </w:num>
  <w:num w:numId="20">
    <w:abstractNumId w:val="28"/>
  </w:num>
  <w:num w:numId="21">
    <w:abstractNumId w:val="19"/>
  </w:num>
  <w:num w:numId="22">
    <w:abstractNumId w:val="13"/>
  </w:num>
  <w:num w:numId="23">
    <w:abstractNumId w:val="10"/>
  </w:num>
  <w:num w:numId="24">
    <w:abstractNumId w:val="2"/>
  </w:num>
  <w:num w:numId="25">
    <w:abstractNumId w:val="4"/>
  </w:num>
  <w:num w:numId="26">
    <w:abstractNumId w:val="7"/>
  </w:num>
  <w:num w:numId="27">
    <w:abstractNumId w:val="29"/>
  </w:num>
  <w:num w:numId="28">
    <w:abstractNumId w:val="21"/>
  </w:num>
  <w:num w:numId="29">
    <w:abstractNumId w:val="3"/>
  </w:num>
  <w:num w:numId="30">
    <w:abstractNumId w:val="0"/>
  </w:num>
  <w:num w:numId="31">
    <w:abstractNumId w:val="25"/>
  </w:num>
  <w:num w:numId="32">
    <w:abstractNumId w:val="23"/>
  </w:num>
  <w:num w:numId="33">
    <w:abstractNumId w:val="11"/>
  </w:num>
  <w:num w:numId="3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mirrorMargi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55B"/>
    <w:rsid w:val="000009DE"/>
    <w:rsid w:val="00001766"/>
    <w:rsid w:val="00002AD7"/>
    <w:rsid w:val="0000430B"/>
    <w:rsid w:val="00004D5A"/>
    <w:rsid w:val="00005035"/>
    <w:rsid w:val="00006A74"/>
    <w:rsid w:val="00006DFE"/>
    <w:rsid w:val="00007675"/>
    <w:rsid w:val="00010A51"/>
    <w:rsid w:val="00011D64"/>
    <w:rsid w:val="0001227F"/>
    <w:rsid w:val="00012452"/>
    <w:rsid w:val="00013EFB"/>
    <w:rsid w:val="000140F2"/>
    <w:rsid w:val="0001414B"/>
    <w:rsid w:val="00014366"/>
    <w:rsid w:val="00015D36"/>
    <w:rsid w:val="00015E47"/>
    <w:rsid w:val="00015EE0"/>
    <w:rsid w:val="00015F02"/>
    <w:rsid w:val="00016522"/>
    <w:rsid w:val="00017BD2"/>
    <w:rsid w:val="0002064C"/>
    <w:rsid w:val="00021733"/>
    <w:rsid w:val="000218DA"/>
    <w:rsid w:val="000219C8"/>
    <w:rsid w:val="00021D89"/>
    <w:rsid w:val="0002208D"/>
    <w:rsid w:val="000222FB"/>
    <w:rsid w:val="0002263B"/>
    <w:rsid w:val="0002478B"/>
    <w:rsid w:val="0002503B"/>
    <w:rsid w:val="0002743E"/>
    <w:rsid w:val="00030D4C"/>
    <w:rsid w:val="0003240A"/>
    <w:rsid w:val="000324CE"/>
    <w:rsid w:val="000332D4"/>
    <w:rsid w:val="0003395F"/>
    <w:rsid w:val="00035B59"/>
    <w:rsid w:val="000374A1"/>
    <w:rsid w:val="000377A2"/>
    <w:rsid w:val="00037DC2"/>
    <w:rsid w:val="00041AFF"/>
    <w:rsid w:val="00043756"/>
    <w:rsid w:val="00045321"/>
    <w:rsid w:val="00046A92"/>
    <w:rsid w:val="0005016D"/>
    <w:rsid w:val="00050859"/>
    <w:rsid w:val="00052DB9"/>
    <w:rsid w:val="000542B9"/>
    <w:rsid w:val="0005472D"/>
    <w:rsid w:val="000559D0"/>
    <w:rsid w:val="000561DF"/>
    <w:rsid w:val="00061A36"/>
    <w:rsid w:val="00061FAE"/>
    <w:rsid w:val="0006228B"/>
    <w:rsid w:val="00063281"/>
    <w:rsid w:val="00063962"/>
    <w:rsid w:val="000643F1"/>
    <w:rsid w:val="00064826"/>
    <w:rsid w:val="00064D94"/>
    <w:rsid w:val="00066304"/>
    <w:rsid w:val="00066D26"/>
    <w:rsid w:val="000674E6"/>
    <w:rsid w:val="00067800"/>
    <w:rsid w:val="00067CC0"/>
    <w:rsid w:val="00071899"/>
    <w:rsid w:val="00071FA9"/>
    <w:rsid w:val="0007360F"/>
    <w:rsid w:val="00073B2C"/>
    <w:rsid w:val="000752A7"/>
    <w:rsid w:val="00075D56"/>
    <w:rsid w:val="00076417"/>
    <w:rsid w:val="000770FF"/>
    <w:rsid w:val="00077FDA"/>
    <w:rsid w:val="000813DF"/>
    <w:rsid w:val="00081828"/>
    <w:rsid w:val="00081A95"/>
    <w:rsid w:val="00082234"/>
    <w:rsid w:val="000831B4"/>
    <w:rsid w:val="00083E96"/>
    <w:rsid w:val="000869EA"/>
    <w:rsid w:val="00087609"/>
    <w:rsid w:val="00087988"/>
    <w:rsid w:val="000913E0"/>
    <w:rsid w:val="00091B8C"/>
    <w:rsid w:val="00091CE6"/>
    <w:rsid w:val="00091F37"/>
    <w:rsid w:val="0009240D"/>
    <w:rsid w:val="00092A03"/>
    <w:rsid w:val="00094B10"/>
    <w:rsid w:val="000A0405"/>
    <w:rsid w:val="000A14C8"/>
    <w:rsid w:val="000A2C42"/>
    <w:rsid w:val="000A441E"/>
    <w:rsid w:val="000A5E27"/>
    <w:rsid w:val="000B2BD6"/>
    <w:rsid w:val="000B2EFA"/>
    <w:rsid w:val="000B31C3"/>
    <w:rsid w:val="000B4194"/>
    <w:rsid w:val="000B48A5"/>
    <w:rsid w:val="000B529F"/>
    <w:rsid w:val="000B6366"/>
    <w:rsid w:val="000B7DE0"/>
    <w:rsid w:val="000B7EAE"/>
    <w:rsid w:val="000C0F67"/>
    <w:rsid w:val="000C1BF2"/>
    <w:rsid w:val="000C3AC1"/>
    <w:rsid w:val="000C4EDA"/>
    <w:rsid w:val="000C5F30"/>
    <w:rsid w:val="000C6CD5"/>
    <w:rsid w:val="000C6DEB"/>
    <w:rsid w:val="000C6EFC"/>
    <w:rsid w:val="000C710E"/>
    <w:rsid w:val="000D0A01"/>
    <w:rsid w:val="000D22B1"/>
    <w:rsid w:val="000D24B9"/>
    <w:rsid w:val="000D2B30"/>
    <w:rsid w:val="000D2F92"/>
    <w:rsid w:val="000D5CFF"/>
    <w:rsid w:val="000D5E5F"/>
    <w:rsid w:val="000D5EEE"/>
    <w:rsid w:val="000D63F7"/>
    <w:rsid w:val="000D7BF5"/>
    <w:rsid w:val="000D7F68"/>
    <w:rsid w:val="000E007B"/>
    <w:rsid w:val="000E0882"/>
    <w:rsid w:val="000E16D9"/>
    <w:rsid w:val="000E1EFB"/>
    <w:rsid w:val="000E288C"/>
    <w:rsid w:val="000E384C"/>
    <w:rsid w:val="000E5EE5"/>
    <w:rsid w:val="000E66C8"/>
    <w:rsid w:val="000E764E"/>
    <w:rsid w:val="000E7773"/>
    <w:rsid w:val="000F13F4"/>
    <w:rsid w:val="000F20FC"/>
    <w:rsid w:val="000F3E1C"/>
    <w:rsid w:val="000F5A22"/>
    <w:rsid w:val="000F5D19"/>
    <w:rsid w:val="000F61C9"/>
    <w:rsid w:val="000F696F"/>
    <w:rsid w:val="00100247"/>
    <w:rsid w:val="001031F3"/>
    <w:rsid w:val="00103267"/>
    <w:rsid w:val="00103B31"/>
    <w:rsid w:val="00103DB0"/>
    <w:rsid w:val="001041E9"/>
    <w:rsid w:val="00104390"/>
    <w:rsid w:val="0010443D"/>
    <w:rsid w:val="00106596"/>
    <w:rsid w:val="00107435"/>
    <w:rsid w:val="00110820"/>
    <w:rsid w:val="00113330"/>
    <w:rsid w:val="00113DAB"/>
    <w:rsid w:val="00117534"/>
    <w:rsid w:val="00120DCB"/>
    <w:rsid w:val="00122739"/>
    <w:rsid w:val="001227C5"/>
    <w:rsid w:val="00123056"/>
    <w:rsid w:val="00123407"/>
    <w:rsid w:val="00123EB8"/>
    <w:rsid w:val="001242A4"/>
    <w:rsid w:val="00125E37"/>
    <w:rsid w:val="00126759"/>
    <w:rsid w:val="00127B92"/>
    <w:rsid w:val="00127E4B"/>
    <w:rsid w:val="00130973"/>
    <w:rsid w:val="00130B33"/>
    <w:rsid w:val="00130FA5"/>
    <w:rsid w:val="00132A70"/>
    <w:rsid w:val="001345F6"/>
    <w:rsid w:val="0013584F"/>
    <w:rsid w:val="00135884"/>
    <w:rsid w:val="00136627"/>
    <w:rsid w:val="001367A2"/>
    <w:rsid w:val="0014027E"/>
    <w:rsid w:val="0014175F"/>
    <w:rsid w:val="001422D9"/>
    <w:rsid w:val="00142A6D"/>
    <w:rsid w:val="00142A7D"/>
    <w:rsid w:val="00143312"/>
    <w:rsid w:val="00145CDC"/>
    <w:rsid w:val="001461A1"/>
    <w:rsid w:val="00146480"/>
    <w:rsid w:val="00150FD5"/>
    <w:rsid w:val="00153B6B"/>
    <w:rsid w:val="00153DD6"/>
    <w:rsid w:val="0015465D"/>
    <w:rsid w:val="0015575B"/>
    <w:rsid w:val="00162764"/>
    <w:rsid w:val="00163FC2"/>
    <w:rsid w:val="0016434C"/>
    <w:rsid w:val="001667DA"/>
    <w:rsid w:val="00166827"/>
    <w:rsid w:val="001675C4"/>
    <w:rsid w:val="001705AF"/>
    <w:rsid w:val="00170FB9"/>
    <w:rsid w:val="00172645"/>
    <w:rsid w:val="0017320A"/>
    <w:rsid w:val="001743EA"/>
    <w:rsid w:val="00174541"/>
    <w:rsid w:val="00175CD0"/>
    <w:rsid w:val="00175E15"/>
    <w:rsid w:val="00176850"/>
    <w:rsid w:val="001779A4"/>
    <w:rsid w:val="00180A17"/>
    <w:rsid w:val="00181B9D"/>
    <w:rsid w:val="00182ADD"/>
    <w:rsid w:val="00184CA0"/>
    <w:rsid w:val="001855E3"/>
    <w:rsid w:val="001868A3"/>
    <w:rsid w:val="0018693C"/>
    <w:rsid w:val="0019132C"/>
    <w:rsid w:val="00192438"/>
    <w:rsid w:val="0019299A"/>
    <w:rsid w:val="001931FA"/>
    <w:rsid w:val="00194D13"/>
    <w:rsid w:val="0019507C"/>
    <w:rsid w:val="00195F3F"/>
    <w:rsid w:val="00197570"/>
    <w:rsid w:val="001A03F4"/>
    <w:rsid w:val="001A1031"/>
    <w:rsid w:val="001A10F7"/>
    <w:rsid w:val="001A2118"/>
    <w:rsid w:val="001A2F4F"/>
    <w:rsid w:val="001A3046"/>
    <w:rsid w:val="001A3B7D"/>
    <w:rsid w:val="001A3BA0"/>
    <w:rsid w:val="001A4BF9"/>
    <w:rsid w:val="001A72AD"/>
    <w:rsid w:val="001B229F"/>
    <w:rsid w:val="001B3101"/>
    <w:rsid w:val="001B407A"/>
    <w:rsid w:val="001B505A"/>
    <w:rsid w:val="001B5132"/>
    <w:rsid w:val="001B63F7"/>
    <w:rsid w:val="001B6788"/>
    <w:rsid w:val="001B6FEE"/>
    <w:rsid w:val="001B77B5"/>
    <w:rsid w:val="001B7CB6"/>
    <w:rsid w:val="001C2B28"/>
    <w:rsid w:val="001C35E3"/>
    <w:rsid w:val="001C4297"/>
    <w:rsid w:val="001C5798"/>
    <w:rsid w:val="001C58C0"/>
    <w:rsid w:val="001C5D14"/>
    <w:rsid w:val="001C6455"/>
    <w:rsid w:val="001C6940"/>
    <w:rsid w:val="001D0048"/>
    <w:rsid w:val="001D1949"/>
    <w:rsid w:val="001D5A39"/>
    <w:rsid w:val="001D6EAB"/>
    <w:rsid w:val="001D7E45"/>
    <w:rsid w:val="001E02DA"/>
    <w:rsid w:val="001E0659"/>
    <w:rsid w:val="001E0A48"/>
    <w:rsid w:val="001E11B8"/>
    <w:rsid w:val="001E3AE6"/>
    <w:rsid w:val="001E3C02"/>
    <w:rsid w:val="001E3FD2"/>
    <w:rsid w:val="001E48D1"/>
    <w:rsid w:val="001E61F6"/>
    <w:rsid w:val="001F3124"/>
    <w:rsid w:val="001F35DE"/>
    <w:rsid w:val="001F4699"/>
    <w:rsid w:val="001F4FA8"/>
    <w:rsid w:val="001F7B3C"/>
    <w:rsid w:val="00200144"/>
    <w:rsid w:val="00200504"/>
    <w:rsid w:val="00200BF6"/>
    <w:rsid w:val="002026AA"/>
    <w:rsid w:val="00202A84"/>
    <w:rsid w:val="002032DF"/>
    <w:rsid w:val="00205379"/>
    <w:rsid w:val="00207186"/>
    <w:rsid w:val="00210081"/>
    <w:rsid w:val="00210906"/>
    <w:rsid w:val="00210F53"/>
    <w:rsid w:val="00212533"/>
    <w:rsid w:val="00212918"/>
    <w:rsid w:val="0021364D"/>
    <w:rsid w:val="00215522"/>
    <w:rsid w:val="002155B0"/>
    <w:rsid w:val="00215C71"/>
    <w:rsid w:val="00216839"/>
    <w:rsid w:val="00217B26"/>
    <w:rsid w:val="00217E11"/>
    <w:rsid w:val="00217EE3"/>
    <w:rsid w:val="002218DE"/>
    <w:rsid w:val="00222E48"/>
    <w:rsid w:val="00223284"/>
    <w:rsid w:val="0022437C"/>
    <w:rsid w:val="00224BD2"/>
    <w:rsid w:val="0022554E"/>
    <w:rsid w:val="002269FA"/>
    <w:rsid w:val="00230977"/>
    <w:rsid w:val="00233184"/>
    <w:rsid w:val="00233AFE"/>
    <w:rsid w:val="00235984"/>
    <w:rsid w:val="002363E1"/>
    <w:rsid w:val="00237360"/>
    <w:rsid w:val="00241E92"/>
    <w:rsid w:val="002427CC"/>
    <w:rsid w:val="002439B4"/>
    <w:rsid w:val="0024468B"/>
    <w:rsid w:val="0024503A"/>
    <w:rsid w:val="002464B7"/>
    <w:rsid w:val="002473A8"/>
    <w:rsid w:val="00247B94"/>
    <w:rsid w:val="00247CDF"/>
    <w:rsid w:val="00250918"/>
    <w:rsid w:val="0025189A"/>
    <w:rsid w:val="00251EB8"/>
    <w:rsid w:val="00252511"/>
    <w:rsid w:val="00252673"/>
    <w:rsid w:val="00252F47"/>
    <w:rsid w:val="00255ACF"/>
    <w:rsid w:val="00255B3C"/>
    <w:rsid w:val="002574F2"/>
    <w:rsid w:val="002605D1"/>
    <w:rsid w:val="00260A8C"/>
    <w:rsid w:val="00261079"/>
    <w:rsid w:val="0026148A"/>
    <w:rsid w:val="00261D0A"/>
    <w:rsid w:val="00262151"/>
    <w:rsid w:val="002646A8"/>
    <w:rsid w:val="00264CDF"/>
    <w:rsid w:val="00264DB2"/>
    <w:rsid w:val="00265BF5"/>
    <w:rsid w:val="00265E22"/>
    <w:rsid w:val="002660FC"/>
    <w:rsid w:val="00266448"/>
    <w:rsid w:val="00266FE9"/>
    <w:rsid w:val="00267212"/>
    <w:rsid w:val="002738FA"/>
    <w:rsid w:val="00273C7B"/>
    <w:rsid w:val="00275702"/>
    <w:rsid w:val="00275F46"/>
    <w:rsid w:val="0027602C"/>
    <w:rsid w:val="0027746A"/>
    <w:rsid w:val="00277751"/>
    <w:rsid w:val="002804ED"/>
    <w:rsid w:val="00281226"/>
    <w:rsid w:val="002815A8"/>
    <w:rsid w:val="002817D5"/>
    <w:rsid w:val="002828B8"/>
    <w:rsid w:val="002836A6"/>
    <w:rsid w:val="002877B8"/>
    <w:rsid w:val="00291B69"/>
    <w:rsid w:val="00292280"/>
    <w:rsid w:val="00293140"/>
    <w:rsid w:val="00293B92"/>
    <w:rsid w:val="00295C48"/>
    <w:rsid w:val="002963AB"/>
    <w:rsid w:val="002A09BE"/>
    <w:rsid w:val="002A15A7"/>
    <w:rsid w:val="002A1642"/>
    <w:rsid w:val="002A2A6A"/>
    <w:rsid w:val="002A3579"/>
    <w:rsid w:val="002A3DB7"/>
    <w:rsid w:val="002A4181"/>
    <w:rsid w:val="002A6BE7"/>
    <w:rsid w:val="002A7137"/>
    <w:rsid w:val="002A7403"/>
    <w:rsid w:val="002B03FA"/>
    <w:rsid w:val="002B0B69"/>
    <w:rsid w:val="002B13DF"/>
    <w:rsid w:val="002B235F"/>
    <w:rsid w:val="002B3142"/>
    <w:rsid w:val="002B3AD4"/>
    <w:rsid w:val="002B52FE"/>
    <w:rsid w:val="002B6083"/>
    <w:rsid w:val="002B611F"/>
    <w:rsid w:val="002B6B0D"/>
    <w:rsid w:val="002B7CCC"/>
    <w:rsid w:val="002C260A"/>
    <w:rsid w:val="002C2B90"/>
    <w:rsid w:val="002C2D20"/>
    <w:rsid w:val="002C471A"/>
    <w:rsid w:val="002C4FCE"/>
    <w:rsid w:val="002C5648"/>
    <w:rsid w:val="002C5BD1"/>
    <w:rsid w:val="002C77FE"/>
    <w:rsid w:val="002C7B0B"/>
    <w:rsid w:val="002D0640"/>
    <w:rsid w:val="002D09F8"/>
    <w:rsid w:val="002D0A2B"/>
    <w:rsid w:val="002D1A56"/>
    <w:rsid w:val="002D236E"/>
    <w:rsid w:val="002D254C"/>
    <w:rsid w:val="002D34F7"/>
    <w:rsid w:val="002D5372"/>
    <w:rsid w:val="002D5979"/>
    <w:rsid w:val="002E02EB"/>
    <w:rsid w:val="002E0379"/>
    <w:rsid w:val="002E18ED"/>
    <w:rsid w:val="002E1EA5"/>
    <w:rsid w:val="002E20BE"/>
    <w:rsid w:val="002E227B"/>
    <w:rsid w:val="002E3114"/>
    <w:rsid w:val="002E365F"/>
    <w:rsid w:val="002E38B0"/>
    <w:rsid w:val="002E3B4E"/>
    <w:rsid w:val="002E6E5C"/>
    <w:rsid w:val="002E7DB1"/>
    <w:rsid w:val="002F036E"/>
    <w:rsid w:val="002F10FF"/>
    <w:rsid w:val="002F2D67"/>
    <w:rsid w:val="002F3B9C"/>
    <w:rsid w:val="002F42FA"/>
    <w:rsid w:val="002F4405"/>
    <w:rsid w:val="002F7275"/>
    <w:rsid w:val="003003A2"/>
    <w:rsid w:val="0030211A"/>
    <w:rsid w:val="00304229"/>
    <w:rsid w:val="00304782"/>
    <w:rsid w:val="00304794"/>
    <w:rsid w:val="00306E67"/>
    <w:rsid w:val="00310A86"/>
    <w:rsid w:val="00312369"/>
    <w:rsid w:val="0031391C"/>
    <w:rsid w:val="00315B91"/>
    <w:rsid w:val="0031627F"/>
    <w:rsid w:val="00316D61"/>
    <w:rsid w:val="00317DC8"/>
    <w:rsid w:val="00320368"/>
    <w:rsid w:val="00320A3C"/>
    <w:rsid w:val="00321306"/>
    <w:rsid w:val="0032179F"/>
    <w:rsid w:val="00322500"/>
    <w:rsid w:val="00323D14"/>
    <w:rsid w:val="00325634"/>
    <w:rsid w:val="00326E26"/>
    <w:rsid w:val="00327650"/>
    <w:rsid w:val="00327DE0"/>
    <w:rsid w:val="003329C7"/>
    <w:rsid w:val="00333388"/>
    <w:rsid w:val="00333CB5"/>
    <w:rsid w:val="00334A78"/>
    <w:rsid w:val="00334DC8"/>
    <w:rsid w:val="00335778"/>
    <w:rsid w:val="00335D0D"/>
    <w:rsid w:val="00336047"/>
    <w:rsid w:val="0033706A"/>
    <w:rsid w:val="0033713D"/>
    <w:rsid w:val="003419C0"/>
    <w:rsid w:val="003419C8"/>
    <w:rsid w:val="00341E96"/>
    <w:rsid w:val="00345057"/>
    <w:rsid w:val="0034633D"/>
    <w:rsid w:val="00346511"/>
    <w:rsid w:val="003504F9"/>
    <w:rsid w:val="00351D22"/>
    <w:rsid w:val="00353118"/>
    <w:rsid w:val="0035324A"/>
    <w:rsid w:val="0035418F"/>
    <w:rsid w:val="003542C5"/>
    <w:rsid w:val="00355331"/>
    <w:rsid w:val="00355E07"/>
    <w:rsid w:val="003567AE"/>
    <w:rsid w:val="0035721A"/>
    <w:rsid w:val="003600BE"/>
    <w:rsid w:val="0036150D"/>
    <w:rsid w:val="00361675"/>
    <w:rsid w:val="00362ABB"/>
    <w:rsid w:val="00362DF1"/>
    <w:rsid w:val="003639BD"/>
    <w:rsid w:val="00363DC1"/>
    <w:rsid w:val="00364B6B"/>
    <w:rsid w:val="00365EA9"/>
    <w:rsid w:val="00366001"/>
    <w:rsid w:val="00366571"/>
    <w:rsid w:val="003666B6"/>
    <w:rsid w:val="00366742"/>
    <w:rsid w:val="00366D52"/>
    <w:rsid w:val="00367127"/>
    <w:rsid w:val="0036725A"/>
    <w:rsid w:val="00367CF6"/>
    <w:rsid w:val="00370C69"/>
    <w:rsid w:val="003716A9"/>
    <w:rsid w:val="003718ED"/>
    <w:rsid w:val="0037437D"/>
    <w:rsid w:val="00374B2D"/>
    <w:rsid w:val="00376B11"/>
    <w:rsid w:val="00380574"/>
    <w:rsid w:val="003828B4"/>
    <w:rsid w:val="00383CA3"/>
    <w:rsid w:val="00384C70"/>
    <w:rsid w:val="00384F0E"/>
    <w:rsid w:val="00385243"/>
    <w:rsid w:val="0038587A"/>
    <w:rsid w:val="00386B51"/>
    <w:rsid w:val="00393331"/>
    <w:rsid w:val="00393561"/>
    <w:rsid w:val="003942D3"/>
    <w:rsid w:val="0039473C"/>
    <w:rsid w:val="00394D2D"/>
    <w:rsid w:val="00396424"/>
    <w:rsid w:val="00397B22"/>
    <w:rsid w:val="003A134D"/>
    <w:rsid w:val="003A2545"/>
    <w:rsid w:val="003A2AB1"/>
    <w:rsid w:val="003A2ED0"/>
    <w:rsid w:val="003A5664"/>
    <w:rsid w:val="003A74F5"/>
    <w:rsid w:val="003A7A4A"/>
    <w:rsid w:val="003A7ED7"/>
    <w:rsid w:val="003B0201"/>
    <w:rsid w:val="003B0AB5"/>
    <w:rsid w:val="003B12C2"/>
    <w:rsid w:val="003B1454"/>
    <w:rsid w:val="003B2C60"/>
    <w:rsid w:val="003B365A"/>
    <w:rsid w:val="003B37E7"/>
    <w:rsid w:val="003B39A8"/>
    <w:rsid w:val="003B570F"/>
    <w:rsid w:val="003B5931"/>
    <w:rsid w:val="003B5FA8"/>
    <w:rsid w:val="003B67C7"/>
    <w:rsid w:val="003B7E1A"/>
    <w:rsid w:val="003C009F"/>
    <w:rsid w:val="003C0666"/>
    <w:rsid w:val="003C0B12"/>
    <w:rsid w:val="003C2C74"/>
    <w:rsid w:val="003C3264"/>
    <w:rsid w:val="003C3E74"/>
    <w:rsid w:val="003C6D3B"/>
    <w:rsid w:val="003C74DC"/>
    <w:rsid w:val="003D048A"/>
    <w:rsid w:val="003D0D83"/>
    <w:rsid w:val="003D261D"/>
    <w:rsid w:val="003D2A02"/>
    <w:rsid w:val="003D4065"/>
    <w:rsid w:val="003D65D8"/>
    <w:rsid w:val="003D7789"/>
    <w:rsid w:val="003D77EE"/>
    <w:rsid w:val="003E15BD"/>
    <w:rsid w:val="003E4479"/>
    <w:rsid w:val="003F115E"/>
    <w:rsid w:val="003F1576"/>
    <w:rsid w:val="003F1C3C"/>
    <w:rsid w:val="003F1E69"/>
    <w:rsid w:val="003F1F96"/>
    <w:rsid w:val="003F2C90"/>
    <w:rsid w:val="003F2FAA"/>
    <w:rsid w:val="003F3C6E"/>
    <w:rsid w:val="003F3D2A"/>
    <w:rsid w:val="003F4830"/>
    <w:rsid w:val="003F5E74"/>
    <w:rsid w:val="003F6057"/>
    <w:rsid w:val="003F620E"/>
    <w:rsid w:val="003F66B1"/>
    <w:rsid w:val="003F6D69"/>
    <w:rsid w:val="003F7CDC"/>
    <w:rsid w:val="00400C47"/>
    <w:rsid w:val="0040181D"/>
    <w:rsid w:val="00402B69"/>
    <w:rsid w:val="00403109"/>
    <w:rsid w:val="004031D1"/>
    <w:rsid w:val="004037A6"/>
    <w:rsid w:val="004055C6"/>
    <w:rsid w:val="00406278"/>
    <w:rsid w:val="004069C9"/>
    <w:rsid w:val="004069F7"/>
    <w:rsid w:val="00406EB4"/>
    <w:rsid w:val="004077D4"/>
    <w:rsid w:val="00407C56"/>
    <w:rsid w:val="00410A8B"/>
    <w:rsid w:val="00411537"/>
    <w:rsid w:val="00412402"/>
    <w:rsid w:val="00412C08"/>
    <w:rsid w:val="0041578A"/>
    <w:rsid w:val="00415C2E"/>
    <w:rsid w:val="004167F0"/>
    <w:rsid w:val="00417510"/>
    <w:rsid w:val="0041787E"/>
    <w:rsid w:val="00422C89"/>
    <w:rsid w:val="004245F8"/>
    <w:rsid w:val="00425390"/>
    <w:rsid w:val="00425D00"/>
    <w:rsid w:val="00427AD4"/>
    <w:rsid w:val="00431F4E"/>
    <w:rsid w:val="0043247C"/>
    <w:rsid w:val="00432EE9"/>
    <w:rsid w:val="0043334C"/>
    <w:rsid w:val="0043458D"/>
    <w:rsid w:val="00434FCD"/>
    <w:rsid w:val="0043569B"/>
    <w:rsid w:val="004356ED"/>
    <w:rsid w:val="0043624C"/>
    <w:rsid w:val="00436545"/>
    <w:rsid w:val="00440F29"/>
    <w:rsid w:val="004419BC"/>
    <w:rsid w:val="00442035"/>
    <w:rsid w:val="0044211D"/>
    <w:rsid w:val="00442250"/>
    <w:rsid w:val="004437F2"/>
    <w:rsid w:val="00443AAE"/>
    <w:rsid w:val="004443C3"/>
    <w:rsid w:val="0044461E"/>
    <w:rsid w:val="0044464C"/>
    <w:rsid w:val="004475C7"/>
    <w:rsid w:val="004479C8"/>
    <w:rsid w:val="00450268"/>
    <w:rsid w:val="00452631"/>
    <w:rsid w:val="00453370"/>
    <w:rsid w:val="0045345D"/>
    <w:rsid w:val="00453866"/>
    <w:rsid w:val="00453B5D"/>
    <w:rsid w:val="00456503"/>
    <w:rsid w:val="00463E02"/>
    <w:rsid w:val="00464B5B"/>
    <w:rsid w:val="00465343"/>
    <w:rsid w:val="0046648E"/>
    <w:rsid w:val="00466C69"/>
    <w:rsid w:val="00472FE4"/>
    <w:rsid w:val="00474B60"/>
    <w:rsid w:val="00476457"/>
    <w:rsid w:val="0047733A"/>
    <w:rsid w:val="00477D77"/>
    <w:rsid w:val="00481AEF"/>
    <w:rsid w:val="004828DE"/>
    <w:rsid w:val="004833B0"/>
    <w:rsid w:val="00484099"/>
    <w:rsid w:val="00484EF8"/>
    <w:rsid w:val="00484FF2"/>
    <w:rsid w:val="00485E69"/>
    <w:rsid w:val="00486370"/>
    <w:rsid w:val="0048711D"/>
    <w:rsid w:val="004879B7"/>
    <w:rsid w:val="00487B06"/>
    <w:rsid w:val="00487D0E"/>
    <w:rsid w:val="0049075F"/>
    <w:rsid w:val="0049104C"/>
    <w:rsid w:val="004927C1"/>
    <w:rsid w:val="00493870"/>
    <w:rsid w:val="004940C3"/>
    <w:rsid w:val="004944FE"/>
    <w:rsid w:val="004948B7"/>
    <w:rsid w:val="004949B5"/>
    <w:rsid w:val="00496547"/>
    <w:rsid w:val="00497263"/>
    <w:rsid w:val="00497B2C"/>
    <w:rsid w:val="00497E62"/>
    <w:rsid w:val="004A02DE"/>
    <w:rsid w:val="004A089C"/>
    <w:rsid w:val="004A35FE"/>
    <w:rsid w:val="004A38F2"/>
    <w:rsid w:val="004A3D61"/>
    <w:rsid w:val="004A3F3C"/>
    <w:rsid w:val="004A4869"/>
    <w:rsid w:val="004A4A8D"/>
    <w:rsid w:val="004A5208"/>
    <w:rsid w:val="004A6B3A"/>
    <w:rsid w:val="004A6D69"/>
    <w:rsid w:val="004A6DA4"/>
    <w:rsid w:val="004B0813"/>
    <w:rsid w:val="004B0E9C"/>
    <w:rsid w:val="004B17FE"/>
    <w:rsid w:val="004B1F7F"/>
    <w:rsid w:val="004B300C"/>
    <w:rsid w:val="004B3F7D"/>
    <w:rsid w:val="004B5896"/>
    <w:rsid w:val="004B66E5"/>
    <w:rsid w:val="004B6875"/>
    <w:rsid w:val="004B6D19"/>
    <w:rsid w:val="004B6E2E"/>
    <w:rsid w:val="004C0B25"/>
    <w:rsid w:val="004C0DE0"/>
    <w:rsid w:val="004C1EB0"/>
    <w:rsid w:val="004C70A4"/>
    <w:rsid w:val="004C72A3"/>
    <w:rsid w:val="004D00C6"/>
    <w:rsid w:val="004D0EE2"/>
    <w:rsid w:val="004D1410"/>
    <w:rsid w:val="004D28DF"/>
    <w:rsid w:val="004D2AF2"/>
    <w:rsid w:val="004D4718"/>
    <w:rsid w:val="004D487D"/>
    <w:rsid w:val="004D4A26"/>
    <w:rsid w:val="004D6A4F"/>
    <w:rsid w:val="004D77A1"/>
    <w:rsid w:val="004D7D3D"/>
    <w:rsid w:val="004E0114"/>
    <w:rsid w:val="004E13BD"/>
    <w:rsid w:val="004E1B2E"/>
    <w:rsid w:val="004E4126"/>
    <w:rsid w:val="004E4868"/>
    <w:rsid w:val="004E5763"/>
    <w:rsid w:val="004E5793"/>
    <w:rsid w:val="004E637D"/>
    <w:rsid w:val="004E67CF"/>
    <w:rsid w:val="004E68EA"/>
    <w:rsid w:val="004E6C30"/>
    <w:rsid w:val="004F059F"/>
    <w:rsid w:val="004F281C"/>
    <w:rsid w:val="004F2BA8"/>
    <w:rsid w:val="004F34C5"/>
    <w:rsid w:val="004F3732"/>
    <w:rsid w:val="004F3817"/>
    <w:rsid w:val="004F6301"/>
    <w:rsid w:val="004F7341"/>
    <w:rsid w:val="004F7420"/>
    <w:rsid w:val="00501395"/>
    <w:rsid w:val="00501D14"/>
    <w:rsid w:val="00501F60"/>
    <w:rsid w:val="00502AD7"/>
    <w:rsid w:val="00503A12"/>
    <w:rsid w:val="00505A0B"/>
    <w:rsid w:val="00506241"/>
    <w:rsid w:val="005067D3"/>
    <w:rsid w:val="00507BB8"/>
    <w:rsid w:val="00510860"/>
    <w:rsid w:val="00512455"/>
    <w:rsid w:val="005126E4"/>
    <w:rsid w:val="00513AEF"/>
    <w:rsid w:val="00517630"/>
    <w:rsid w:val="00517CE9"/>
    <w:rsid w:val="005203F2"/>
    <w:rsid w:val="00520A38"/>
    <w:rsid w:val="00521313"/>
    <w:rsid w:val="0052133F"/>
    <w:rsid w:val="0052163B"/>
    <w:rsid w:val="00522E77"/>
    <w:rsid w:val="00523275"/>
    <w:rsid w:val="00525595"/>
    <w:rsid w:val="0052597C"/>
    <w:rsid w:val="00525CB7"/>
    <w:rsid w:val="005263DB"/>
    <w:rsid w:val="0053292B"/>
    <w:rsid w:val="00532B23"/>
    <w:rsid w:val="00532BB0"/>
    <w:rsid w:val="00532C57"/>
    <w:rsid w:val="00533454"/>
    <w:rsid w:val="00533C92"/>
    <w:rsid w:val="005341BB"/>
    <w:rsid w:val="00534517"/>
    <w:rsid w:val="00534C55"/>
    <w:rsid w:val="00535704"/>
    <w:rsid w:val="00536665"/>
    <w:rsid w:val="00536E9C"/>
    <w:rsid w:val="00536EF1"/>
    <w:rsid w:val="005372BF"/>
    <w:rsid w:val="00540C90"/>
    <w:rsid w:val="005440ED"/>
    <w:rsid w:val="00544A83"/>
    <w:rsid w:val="00545975"/>
    <w:rsid w:val="005501B0"/>
    <w:rsid w:val="005521B3"/>
    <w:rsid w:val="00552494"/>
    <w:rsid w:val="0055378D"/>
    <w:rsid w:val="00553E1A"/>
    <w:rsid w:val="005548AC"/>
    <w:rsid w:val="00555946"/>
    <w:rsid w:val="00555A04"/>
    <w:rsid w:val="00555C55"/>
    <w:rsid w:val="005562B5"/>
    <w:rsid w:val="0055771A"/>
    <w:rsid w:val="00557C9F"/>
    <w:rsid w:val="00561CCF"/>
    <w:rsid w:val="00563014"/>
    <w:rsid w:val="005635F4"/>
    <w:rsid w:val="00564657"/>
    <w:rsid w:val="005647AA"/>
    <w:rsid w:val="00564EAA"/>
    <w:rsid w:val="00565E7E"/>
    <w:rsid w:val="0056777A"/>
    <w:rsid w:val="005720A5"/>
    <w:rsid w:val="005730AF"/>
    <w:rsid w:val="00573949"/>
    <w:rsid w:val="00576DF7"/>
    <w:rsid w:val="00576F69"/>
    <w:rsid w:val="00577217"/>
    <w:rsid w:val="00577297"/>
    <w:rsid w:val="005800A8"/>
    <w:rsid w:val="0058296B"/>
    <w:rsid w:val="005835A6"/>
    <w:rsid w:val="00584439"/>
    <w:rsid w:val="00585C8C"/>
    <w:rsid w:val="00586E08"/>
    <w:rsid w:val="005915E8"/>
    <w:rsid w:val="00591FD3"/>
    <w:rsid w:val="00594FBF"/>
    <w:rsid w:val="00596944"/>
    <w:rsid w:val="00597CB8"/>
    <w:rsid w:val="005A057B"/>
    <w:rsid w:val="005A2978"/>
    <w:rsid w:val="005A4A71"/>
    <w:rsid w:val="005A4F32"/>
    <w:rsid w:val="005A607C"/>
    <w:rsid w:val="005A648C"/>
    <w:rsid w:val="005A65A6"/>
    <w:rsid w:val="005A66D5"/>
    <w:rsid w:val="005A6C8C"/>
    <w:rsid w:val="005B22FC"/>
    <w:rsid w:val="005B2C4F"/>
    <w:rsid w:val="005B3D34"/>
    <w:rsid w:val="005B3F0E"/>
    <w:rsid w:val="005B4187"/>
    <w:rsid w:val="005B4976"/>
    <w:rsid w:val="005B4B27"/>
    <w:rsid w:val="005B6CBA"/>
    <w:rsid w:val="005C04B3"/>
    <w:rsid w:val="005C07B9"/>
    <w:rsid w:val="005C0BD9"/>
    <w:rsid w:val="005C146C"/>
    <w:rsid w:val="005C2C1D"/>
    <w:rsid w:val="005C4496"/>
    <w:rsid w:val="005C4919"/>
    <w:rsid w:val="005C57D3"/>
    <w:rsid w:val="005C5EB6"/>
    <w:rsid w:val="005C771D"/>
    <w:rsid w:val="005C7BA6"/>
    <w:rsid w:val="005D2D40"/>
    <w:rsid w:val="005D2D68"/>
    <w:rsid w:val="005D4AB0"/>
    <w:rsid w:val="005D4C1F"/>
    <w:rsid w:val="005D568F"/>
    <w:rsid w:val="005D5803"/>
    <w:rsid w:val="005E11CC"/>
    <w:rsid w:val="005E1E91"/>
    <w:rsid w:val="005E2173"/>
    <w:rsid w:val="005E22E5"/>
    <w:rsid w:val="005E23FD"/>
    <w:rsid w:val="005E37BE"/>
    <w:rsid w:val="005E3956"/>
    <w:rsid w:val="005E3B47"/>
    <w:rsid w:val="005E454A"/>
    <w:rsid w:val="005E4B9E"/>
    <w:rsid w:val="005E61E9"/>
    <w:rsid w:val="005E6836"/>
    <w:rsid w:val="005E7C11"/>
    <w:rsid w:val="005F0EF2"/>
    <w:rsid w:val="005F2784"/>
    <w:rsid w:val="005F278C"/>
    <w:rsid w:val="005F55A0"/>
    <w:rsid w:val="005F577D"/>
    <w:rsid w:val="005F5B4D"/>
    <w:rsid w:val="005F5E51"/>
    <w:rsid w:val="005F6D7A"/>
    <w:rsid w:val="005F7A5C"/>
    <w:rsid w:val="0060056F"/>
    <w:rsid w:val="00601E05"/>
    <w:rsid w:val="0060206B"/>
    <w:rsid w:val="006023F8"/>
    <w:rsid w:val="00603A89"/>
    <w:rsid w:val="00604292"/>
    <w:rsid w:val="0060501C"/>
    <w:rsid w:val="006069A8"/>
    <w:rsid w:val="00606C0C"/>
    <w:rsid w:val="00611D31"/>
    <w:rsid w:val="00612E45"/>
    <w:rsid w:val="00613559"/>
    <w:rsid w:val="00613AC0"/>
    <w:rsid w:val="006165AC"/>
    <w:rsid w:val="00616B10"/>
    <w:rsid w:val="00617043"/>
    <w:rsid w:val="00617378"/>
    <w:rsid w:val="00620D0A"/>
    <w:rsid w:val="00622B72"/>
    <w:rsid w:val="00622DF9"/>
    <w:rsid w:val="006240A2"/>
    <w:rsid w:val="00624BD9"/>
    <w:rsid w:val="006262AA"/>
    <w:rsid w:val="0062679D"/>
    <w:rsid w:val="00627026"/>
    <w:rsid w:val="0062727A"/>
    <w:rsid w:val="006274AF"/>
    <w:rsid w:val="00627D82"/>
    <w:rsid w:val="00630002"/>
    <w:rsid w:val="00630A56"/>
    <w:rsid w:val="00631EBD"/>
    <w:rsid w:val="0063515E"/>
    <w:rsid w:val="00635783"/>
    <w:rsid w:val="006366EF"/>
    <w:rsid w:val="00636C90"/>
    <w:rsid w:val="00641579"/>
    <w:rsid w:val="00641A64"/>
    <w:rsid w:val="00642896"/>
    <w:rsid w:val="006434C7"/>
    <w:rsid w:val="00643AE0"/>
    <w:rsid w:val="00646427"/>
    <w:rsid w:val="006475D8"/>
    <w:rsid w:val="0064794C"/>
    <w:rsid w:val="00650247"/>
    <w:rsid w:val="00652014"/>
    <w:rsid w:val="00653066"/>
    <w:rsid w:val="00653DDE"/>
    <w:rsid w:val="00655A02"/>
    <w:rsid w:val="00655FFB"/>
    <w:rsid w:val="006560B3"/>
    <w:rsid w:val="00656968"/>
    <w:rsid w:val="00656EC6"/>
    <w:rsid w:val="00657638"/>
    <w:rsid w:val="006576E6"/>
    <w:rsid w:val="006621DC"/>
    <w:rsid w:val="00662319"/>
    <w:rsid w:val="006626B0"/>
    <w:rsid w:val="0066293F"/>
    <w:rsid w:val="006640EF"/>
    <w:rsid w:val="00666F05"/>
    <w:rsid w:val="00670B5E"/>
    <w:rsid w:val="00671EAF"/>
    <w:rsid w:val="00672BC7"/>
    <w:rsid w:val="0067334B"/>
    <w:rsid w:val="00673BDB"/>
    <w:rsid w:val="00675539"/>
    <w:rsid w:val="006763D3"/>
    <w:rsid w:val="0067681A"/>
    <w:rsid w:val="00676928"/>
    <w:rsid w:val="00676BE4"/>
    <w:rsid w:val="00677976"/>
    <w:rsid w:val="00681C0A"/>
    <w:rsid w:val="00681FBA"/>
    <w:rsid w:val="00683A74"/>
    <w:rsid w:val="0068457B"/>
    <w:rsid w:val="00684A3B"/>
    <w:rsid w:val="00684FF1"/>
    <w:rsid w:val="006858A4"/>
    <w:rsid w:val="00686220"/>
    <w:rsid w:val="00686D3D"/>
    <w:rsid w:val="00691BEA"/>
    <w:rsid w:val="00692714"/>
    <w:rsid w:val="00693BB8"/>
    <w:rsid w:val="00693F22"/>
    <w:rsid w:val="0069469F"/>
    <w:rsid w:val="006946A8"/>
    <w:rsid w:val="00695355"/>
    <w:rsid w:val="0069641B"/>
    <w:rsid w:val="006A0E99"/>
    <w:rsid w:val="006A211B"/>
    <w:rsid w:val="006A22D5"/>
    <w:rsid w:val="006A2C94"/>
    <w:rsid w:val="006A4A4E"/>
    <w:rsid w:val="006A6294"/>
    <w:rsid w:val="006A6E88"/>
    <w:rsid w:val="006A74D1"/>
    <w:rsid w:val="006B0439"/>
    <w:rsid w:val="006B0717"/>
    <w:rsid w:val="006B3B21"/>
    <w:rsid w:val="006B60D5"/>
    <w:rsid w:val="006B6276"/>
    <w:rsid w:val="006B6D29"/>
    <w:rsid w:val="006C03EE"/>
    <w:rsid w:val="006C0490"/>
    <w:rsid w:val="006C05D2"/>
    <w:rsid w:val="006C11F0"/>
    <w:rsid w:val="006C27CF"/>
    <w:rsid w:val="006C3907"/>
    <w:rsid w:val="006C4C93"/>
    <w:rsid w:val="006C4FAA"/>
    <w:rsid w:val="006C5185"/>
    <w:rsid w:val="006C55BF"/>
    <w:rsid w:val="006D0155"/>
    <w:rsid w:val="006D0F6F"/>
    <w:rsid w:val="006D129B"/>
    <w:rsid w:val="006D27E2"/>
    <w:rsid w:val="006D421D"/>
    <w:rsid w:val="006D42DA"/>
    <w:rsid w:val="006D6C6D"/>
    <w:rsid w:val="006E0D75"/>
    <w:rsid w:val="006E287F"/>
    <w:rsid w:val="006E2B11"/>
    <w:rsid w:val="006E31A9"/>
    <w:rsid w:val="006E379B"/>
    <w:rsid w:val="006E41F6"/>
    <w:rsid w:val="006E42F4"/>
    <w:rsid w:val="006E463F"/>
    <w:rsid w:val="006E46C8"/>
    <w:rsid w:val="006E5775"/>
    <w:rsid w:val="006E5D5E"/>
    <w:rsid w:val="006E76DB"/>
    <w:rsid w:val="006E79B0"/>
    <w:rsid w:val="006F003B"/>
    <w:rsid w:val="006F02C3"/>
    <w:rsid w:val="006F0C9A"/>
    <w:rsid w:val="006F5DB5"/>
    <w:rsid w:val="006F5E88"/>
    <w:rsid w:val="006F61A8"/>
    <w:rsid w:val="0070126A"/>
    <w:rsid w:val="00702B7C"/>
    <w:rsid w:val="00703CC1"/>
    <w:rsid w:val="0070430B"/>
    <w:rsid w:val="0070501E"/>
    <w:rsid w:val="0070592B"/>
    <w:rsid w:val="00705D3A"/>
    <w:rsid w:val="00706E8F"/>
    <w:rsid w:val="00710ED6"/>
    <w:rsid w:val="00711FAE"/>
    <w:rsid w:val="00712968"/>
    <w:rsid w:val="00712C75"/>
    <w:rsid w:val="007135A4"/>
    <w:rsid w:val="00713AC3"/>
    <w:rsid w:val="00714E16"/>
    <w:rsid w:val="00715508"/>
    <w:rsid w:val="007178BF"/>
    <w:rsid w:val="00717D00"/>
    <w:rsid w:val="00720541"/>
    <w:rsid w:val="007210BB"/>
    <w:rsid w:val="00721909"/>
    <w:rsid w:val="00722D2E"/>
    <w:rsid w:val="0072347C"/>
    <w:rsid w:val="00723490"/>
    <w:rsid w:val="0072484A"/>
    <w:rsid w:val="00724F10"/>
    <w:rsid w:val="00726002"/>
    <w:rsid w:val="00726B40"/>
    <w:rsid w:val="00726BF6"/>
    <w:rsid w:val="00726C45"/>
    <w:rsid w:val="007324B7"/>
    <w:rsid w:val="007328C7"/>
    <w:rsid w:val="007331B1"/>
    <w:rsid w:val="00734DCC"/>
    <w:rsid w:val="0073563E"/>
    <w:rsid w:val="007369A8"/>
    <w:rsid w:val="00736A22"/>
    <w:rsid w:val="00736E0D"/>
    <w:rsid w:val="00737137"/>
    <w:rsid w:val="0073718B"/>
    <w:rsid w:val="00737428"/>
    <w:rsid w:val="00741647"/>
    <w:rsid w:val="00741706"/>
    <w:rsid w:val="007424E9"/>
    <w:rsid w:val="00742A97"/>
    <w:rsid w:val="00743762"/>
    <w:rsid w:val="0074388E"/>
    <w:rsid w:val="00745C06"/>
    <w:rsid w:val="0074784D"/>
    <w:rsid w:val="00750D94"/>
    <w:rsid w:val="00751CFE"/>
    <w:rsid w:val="00752C20"/>
    <w:rsid w:val="00753A5A"/>
    <w:rsid w:val="00753B92"/>
    <w:rsid w:val="00753BF9"/>
    <w:rsid w:val="00754B5B"/>
    <w:rsid w:val="007557C1"/>
    <w:rsid w:val="00755884"/>
    <w:rsid w:val="00757CC9"/>
    <w:rsid w:val="00761DC1"/>
    <w:rsid w:val="00763A62"/>
    <w:rsid w:val="007661D0"/>
    <w:rsid w:val="00772187"/>
    <w:rsid w:val="0077252F"/>
    <w:rsid w:val="00772A57"/>
    <w:rsid w:val="0077310F"/>
    <w:rsid w:val="00773423"/>
    <w:rsid w:val="007762FE"/>
    <w:rsid w:val="0077641A"/>
    <w:rsid w:val="00776A74"/>
    <w:rsid w:val="00780123"/>
    <w:rsid w:val="0078275A"/>
    <w:rsid w:val="00783381"/>
    <w:rsid w:val="00784401"/>
    <w:rsid w:val="007844E2"/>
    <w:rsid w:val="0078679A"/>
    <w:rsid w:val="00786E3B"/>
    <w:rsid w:val="00787515"/>
    <w:rsid w:val="007908FF"/>
    <w:rsid w:val="007942D2"/>
    <w:rsid w:val="00794D03"/>
    <w:rsid w:val="00795398"/>
    <w:rsid w:val="007955F5"/>
    <w:rsid w:val="00795F34"/>
    <w:rsid w:val="007A0BEF"/>
    <w:rsid w:val="007A1957"/>
    <w:rsid w:val="007A4486"/>
    <w:rsid w:val="007A4C40"/>
    <w:rsid w:val="007A5E54"/>
    <w:rsid w:val="007A7071"/>
    <w:rsid w:val="007B085B"/>
    <w:rsid w:val="007B1310"/>
    <w:rsid w:val="007B1D93"/>
    <w:rsid w:val="007B459E"/>
    <w:rsid w:val="007B7A80"/>
    <w:rsid w:val="007C221A"/>
    <w:rsid w:val="007C3EF0"/>
    <w:rsid w:val="007C4890"/>
    <w:rsid w:val="007C52AE"/>
    <w:rsid w:val="007D288B"/>
    <w:rsid w:val="007D4203"/>
    <w:rsid w:val="007D4A8D"/>
    <w:rsid w:val="007D5576"/>
    <w:rsid w:val="007D5B3E"/>
    <w:rsid w:val="007D7E69"/>
    <w:rsid w:val="007E447C"/>
    <w:rsid w:val="007E46C9"/>
    <w:rsid w:val="007E47C9"/>
    <w:rsid w:val="007E62E3"/>
    <w:rsid w:val="007E7EDB"/>
    <w:rsid w:val="007F36B1"/>
    <w:rsid w:val="007F47EE"/>
    <w:rsid w:val="007F6F2B"/>
    <w:rsid w:val="007F7241"/>
    <w:rsid w:val="00800F77"/>
    <w:rsid w:val="0080286D"/>
    <w:rsid w:val="00802DCA"/>
    <w:rsid w:val="00803848"/>
    <w:rsid w:val="00803E76"/>
    <w:rsid w:val="00806B68"/>
    <w:rsid w:val="00807B30"/>
    <w:rsid w:val="008111C8"/>
    <w:rsid w:val="00811950"/>
    <w:rsid w:val="0081367F"/>
    <w:rsid w:val="00814BF5"/>
    <w:rsid w:val="00816D17"/>
    <w:rsid w:val="0081776E"/>
    <w:rsid w:val="0082194B"/>
    <w:rsid w:val="008223CE"/>
    <w:rsid w:val="008226A2"/>
    <w:rsid w:val="00825A27"/>
    <w:rsid w:val="00826D36"/>
    <w:rsid w:val="0082732F"/>
    <w:rsid w:val="00830566"/>
    <w:rsid w:val="00831EC7"/>
    <w:rsid w:val="0083349F"/>
    <w:rsid w:val="008334E7"/>
    <w:rsid w:val="00833E46"/>
    <w:rsid w:val="00835F4F"/>
    <w:rsid w:val="00836BEF"/>
    <w:rsid w:val="00837991"/>
    <w:rsid w:val="00841574"/>
    <w:rsid w:val="00841E35"/>
    <w:rsid w:val="00843D59"/>
    <w:rsid w:val="00845BEB"/>
    <w:rsid w:val="00846DB1"/>
    <w:rsid w:val="00847021"/>
    <w:rsid w:val="008508DA"/>
    <w:rsid w:val="0085091F"/>
    <w:rsid w:val="00850CED"/>
    <w:rsid w:val="00852388"/>
    <w:rsid w:val="0085241F"/>
    <w:rsid w:val="008524B6"/>
    <w:rsid w:val="0085344F"/>
    <w:rsid w:val="008536B2"/>
    <w:rsid w:val="008536BC"/>
    <w:rsid w:val="00857090"/>
    <w:rsid w:val="00857574"/>
    <w:rsid w:val="008578DD"/>
    <w:rsid w:val="00857B6A"/>
    <w:rsid w:val="00860158"/>
    <w:rsid w:val="00860C95"/>
    <w:rsid w:val="0086153B"/>
    <w:rsid w:val="00861C0E"/>
    <w:rsid w:val="008627E2"/>
    <w:rsid w:val="008634EA"/>
    <w:rsid w:val="00863876"/>
    <w:rsid w:val="0086393E"/>
    <w:rsid w:val="00865E87"/>
    <w:rsid w:val="00866DBC"/>
    <w:rsid w:val="0086789C"/>
    <w:rsid w:val="008679CE"/>
    <w:rsid w:val="008707AF"/>
    <w:rsid w:val="00870C9D"/>
    <w:rsid w:val="008733BE"/>
    <w:rsid w:val="008743E6"/>
    <w:rsid w:val="00875340"/>
    <w:rsid w:val="0087781F"/>
    <w:rsid w:val="0087795A"/>
    <w:rsid w:val="008779B8"/>
    <w:rsid w:val="00880092"/>
    <w:rsid w:val="00880122"/>
    <w:rsid w:val="008808FF"/>
    <w:rsid w:val="00880F3E"/>
    <w:rsid w:val="00880F9C"/>
    <w:rsid w:val="008814DE"/>
    <w:rsid w:val="00882A7D"/>
    <w:rsid w:val="00883B18"/>
    <w:rsid w:val="0088505B"/>
    <w:rsid w:val="0088661C"/>
    <w:rsid w:val="00886D8C"/>
    <w:rsid w:val="008932E8"/>
    <w:rsid w:val="00895D42"/>
    <w:rsid w:val="00896C6E"/>
    <w:rsid w:val="00897308"/>
    <w:rsid w:val="008A0B1D"/>
    <w:rsid w:val="008A0BEC"/>
    <w:rsid w:val="008A0D40"/>
    <w:rsid w:val="008A220C"/>
    <w:rsid w:val="008A32BC"/>
    <w:rsid w:val="008A4102"/>
    <w:rsid w:val="008A57EB"/>
    <w:rsid w:val="008A6C84"/>
    <w:rsid w:val="008A78C2"/>
    <w:rsid w:val="008B0523"/>
    <w:rsid w:val="008B09BC"/>
    <w:rsid w:val="008B22D5"/>
    <w:rsid w:val="008B67C7"/>
    <w:rsid w:val="008C08CF"/>
    <w:rsid w:val="008C1219"/>
    <w:rsid w:val="008C1956"/>
    <w:rsid w:val="008C2D5C"/>
    <w:rsid w:val="008C3178"/>
    <w:rsid w:val="008C31DD"/>
    <w:rsid w:val="008C5573"/>
    <w:rsid w:val="008C7824"/>
    <w:rsid w:val="008C7873"/>
    <w:rsid w:val="008D05CD"/>
    <w:rsid w:val="008D0F16"/>
    <w:rsid w:val="008D118C"/>
    <w:rsid w:val="008D5D88"/>
    <w:rsid w:val="008D6EC4"/>
    <w:rsid w:val="008D7756"/>
    <w:rsid w:val="008E00EB"/>
    <w:rsid w:val="008E0C64"/>
    <w:rsid w:val="008E2175"/>
    <w:rsid w:val="008E2326"/>
    <w:rsid w:val="008E309D"/>
    <w:rsid w:val="008E350B"/>
    <w:rsid w:val="008E3900"/>
    <w:rsid w:val="008E395B"/>
    <w:rsid w:val="008E3BF5"/>
    <w:rsid w:val="008E4097"/>
    <w:rsid w:val="008E59FF"/>
    <w:rsid w:val="008E6710"/>
    <w:rsid w:val="008E6953"/>
    <w:rsid w:val="008E72B5"/>
    <w:rsid w:val="008E7D24"/>
    <w:rsid w:val="008F0B2E"/>
    <w:rsid w:val="008F3760"/>
    <w:rsid w:val="008F4B0E"/>
    <w:rsid w:val="008F4B84"/>
    <w:rsid w:val="008F768C"/>
    <w:rsid w:val="008F7CF6"/>
    <w:rsid w:val="009004F7"/>
    <w:rsid w:val="00902255"/>
    <w:rsid w:val="0090270D"/>
    <w:rsid w:val="009035B0"/>
    <w:rsid w:val="0090404E"/>
    <w:rsid w:val="00904153"/>
    <w:rsid w:val="0090540D"/>
    <w:rsid w:val="0090595E"/>
    <w:rsid w:val="00906196"/>
    <w:rsid w:val="00910588"/>
    <w:rsid w:val="00910EBD"/>
    <w:rsid w:val="00911CBE"/>
    <w:rsid w:val="00911EF2"/>
    <w:rsid w:val="00912686"/>
    <w:rsid w:val="0091388F"/>
    <w:rsid w:val="009138D2"/>
    <w:rsid w:val="00913C19"/>
    <w:rsid w:val="0091410D"/>
    <w:rsid w:val="00916279"/>
    <w:rsid w:val="0091635A"/>
    <w:rsid w:val="009204AE"/>
    <w:rsid w:val="00920BC2"/>
    <w:rsid w:val="00921619"/>
    <w:rsid w:val="00923040"/>
    <w:rsid w:val="009231CB"/>
    <w:rsid w:val="00923F2E"/>
    <w:rsid w:val="0092475F"/>
    <w:rsid w:val="00924D05"/>
    <w:rsid w:val="009250F4"/>
    <w:rsid w:val="00926FAE"/>
    <w:rsid w:val="0093121A"/>
    <w:rsid w:val="00931220"/>
    <w:rsid w:val="0093169C"/>
    <w:rsid w:val="009328CE"/>
    <w:rsid w:val="00932DE6"/>
    <w:rsid w:val="00933254"/>
    <w:rsid w:val="0093408A"/>
    <w:rsid w:val="0093444C"/>
    <w:rsid w:val="00934EEF"/>
    <w:rsid w:val="00936FF6"/>
    <w:rsid w:val="009406D0"/>
    <w:rsid w:val="009409F1"/>
    <w:rsid w:val="009412DD"/>
    <w:rsid w:val="00941504"/>
    <w:rsid w:val="0094244D"/>
    <w:rsid w:val="009446A9"/>
    <w:rsid w:val="00944A0F"/>
    <w:rsid w:val="00945B58"/>
    <w:rsid w:val="00946E6A"/>
    <w:rsid w:val="00950B93"/>
    <w:rsid w:val="009517B8"/>
    <w:rsid w:val="00954C75"/>
    <w:rsid w:val="00955119"/>
    <w:rsid w:val="0095549F"/>
    <w:rsid w:val="009572B1"/>
    <w:rsid w:val="00960006"/>
    <w:rsid w:val="009608EA"/>
    <w:rsid w:val="00962741"/>
    <w:rsid w:val="00962767"/>
    <w:rsid w:val="00965279"/>
    <w:rsid w:val="009679FC"/>
    <w:rsid w:val="00967BA4"/>
    <w:rsid w:val="009719E3"/>
    <w:rsid w:val="0097484A"/>
    <w:rsid w:val="00974957"/>
    <w:rsid w:val="00974B66"/>
    <w:rsid w:val="00975CA1"/>
    <w:rsid w:val="00976400"/>
    <w:rsid w:val="00976DD5"/>
    <w:rsid w:val="00977B89"/>
    <w:rsid w:val="00981CBC"/>
    <w:rsid w:val="00981CD0"/>
    <w:rsid w:val="009821CF"/>
    <w:rsid w:val="009827FA"/>
    <w:rsid w:val="009828D1"/>
    <w:rsid w:val="00982A42"/>
    <w:rsid w:val="00983526"/>
    <w:rsid w:val="0098466F"/>
    <w:rsid w:val="00985F81"/>
    <w:rsid w:val="00985FCA"/>
    <w:rsid w:val="0098789F"/>
    <w:rsid w:val="00987B98"/>
    <w:rsid w:val="0099194A"/>
    <w:rsid w:val="00991B28"/>
    <w:rsid w:val="00993367"/>
    <w:rsid w:val="00993CE0"/>
    <w:rsid w:val="0099433F"/>
    <w:rsid w:val="00994662"/>
    <w:rsid w:val="00994D71"/>
    <w:rsid w:val="0099584E"/>
    <w:rsid w:val="009965A6"/>
    <w:rsid w:val="009A076E"/>
    <w:rsid w:val="009A21AB"/>
    <w:rsid w:val="009A3027"/>
    <w:rsid w:val="009A5842"/>
    <w:rsid w:val="009A5E40"/>
    <w:rsid w:val="009B042D"/>
    <w:rsid w:val="009B0B3B"/>
    <w:rsid w:val="009B2D2A"/>
    <w:rsid w:val="009B2FED"/>
    <w:rsid w:val="009B377D"/>
    <w:rsid w:val="009B39EA"/>
    <w:rsid w:val="009B5F0C"/>
    <w:rsid w:val="009B6E5B"/>
    <w:rsid w:val="009B7EBD"/>
    <w:rsid w:val="009C0625"/>
    <w:rsid w:val="009C0A64"/>
    <w:rsid w:val="009C1930"/>
    <w:rsid w:val="009C318A"/>
    <w:rsid w:val="009C3D82"/>
    <w:rsid w:val="009C5938"/>
    <w:rsid w:val="009D01B9"/>
    <w:rsid w:val="009D03B9"/>
    <w:rsid w:val="009D1146"/>
    <w:rsid w:val="009D1433"/>
    <w:rsid w:val="009D2D10"/>
    <w:rsid w:val="009D33A4"/>
    <w:rsid w:val="009D454E"/>
    <w:rsid w:val="009D47D4"/>
    <w:rsid w:val="009D5F8F"/>
    <w:rsid w:val="009D786C"/>
    <w:rsid w:val="009D7D19"/>
    <w:rsid w:val="009E051D"/>
    <w:rsid w:val="009E25C1"/>
    <w:rsid w:val="009E5B02"/>
    <w:rsid w:val="009E79B8"/>
    <w:rsid w:val="009F0DB9"/>
    <w:rsid w:val="009F0E18"/>
    <w:rsid w:val="009F1605"/>
    <w:rsid w:val="009F1F74"/>
    <w:rsid w:val="009F21CD"/>
    <w:rsid w:val="009F3FE2"/>
    <w:rsid w:val="009F5B94"/>
    <w:rsid w:val="009F5BE7"/>
    <w:rsid w:val="009F6932"/>
    <w:rsid w:val="00A002CE"/>
    <w:rsid w:val="00A01BFC"/>
    <w:rsid w:val="00A0276F"/>
    <w:rsid w:val="00A02D88"/>
    <w:rsid w:val="00A03107"/>
    <w:rsid w:val="00A03549"/>
    <w:rsid w:val="00A04947"/>
    <w:rsid w:val="00A057B9"/>
    <w:rsid w:val="00A064D0"/>
    <w:rsid w:val="00A06B33"/>
    <w:rsid w:val="00A07225"/>
    <w:rsid w:val="00A1018B"/>
    <w:rsid w:val="00A11C4B"/>
    <w:rsid w:val="00A12B38"/>
    <w:rsid w:val="00A14E6E"/>
    <w:rsid w:val="00A14F76"/>
    <w:rsid w:val="00A2039A"/>
    <w:rsid w:val="00A2172D"/>
    <w:rsid w:val="00A233F7"/>
    <w:rsid w:val="00A23437"/>
    <w:rsid w:val="00A251E3"/>
    <w:rsid w:val="00A25BB7"/>
    <w:rsid w:val="00A27601"/>
    <w:rsid w:val="00A30491"/>
    <w:rsid w:val="00A31058"/>
    <w:rsid w:val="00A315EC"/>
    <w:rsid w:val="00A3190F"/>
    <w:rsid w:val="00A356B8"/>
    <w:rsid w:val="00A35F90"/>
    <w:rsid w:val="00A362FC"/>
    <w:rsid w:val="00A376E6"/>
    <w:rsid w:val="00A431CB"/>
    <w:rsid w:val="00A4395A"/>
    <w:rsid w:val="00A441D1"/>
    <w:rsid w:val="00A44547"/>
    <w:rsid w:val="00A45538"/>
    <w:rsid w:val="00A465E5"/>
    <w:rsid w:val="00A504CD"/>
    <w:rsid w:val="00A50FDE"/>
    <w:rsid w:val="00A51F1D"/>
    <w:rsid w:val="00A527D8"/>
    <w:rsid w:val="00A543A7"/>
    <w:rsid w:val="00A549D2"/>
    <w:rsid w:val="00A54B09"/>
    <w:rsid w:val="00A54DC8"/>
    <w:rsid w:val="00A55430"/>
    <w:rsid w:val="00A56475"/>
    <w:rsid w:val="00A575B0"/>
    <w:rsid w:val="00A6110B"/>
    <w:rsid w:val="00A61907"/>
    <w:rsid w:val="00A61D4D"/>
    <w:rsid w:val="00A621BB"/>
    <w:rsid w:val="00A621F7"/>
    <w:rsid w:val="00A6378A"/>
    <w:rsid w:val="00A64BFA"/>
    <w:rsid w:val="00A669B0"/>
    <w:rsid w:val="00A670CD"/>
    <w:rsid w:val="00A67182"/>
    <w:rsid w:val="00A70E41"/>
    <w:rsid w:val="00A71874"/>
    <w:rsid w:val="00A720F0"/>
    <w:rsid w:val="00A76AAD"/>
    <w:rsid w:val="00A76B22"/>
    <w:rsid w:val="00A80C68"/>
    <w:rsid w:val="00A8114B"/>
    <w:rsid w:val="00A85D74"/>
    <w:rsid w:val="00A86C3B"/>
    <w:rsid w:val="00A936DC"/>
    <w:rsid w:val="00A94C54"/>
    <w:rsid w:val="00A96F0D"/>
    <w:rsid w:val="00AA0B9A"/>
    <w:rsid w:val="00AA1E4F"/>
    <w:rsid w:val="00AA3A9A"/>
    <w:rsid w:val="00AA40E0"/>
    <w:rsid w:val="00AA573A"/>
    <w:rsid w:val="00AA5FA0"/>
    <w:rsid w:val="00AA6F11"/>
    <w:rsid w:val="00AA7F4F"/>
    <w:rsid w:val="00AB1DFC"/>
    <w:rsid w:val="00AB230E"/>
    <w:rsid w:val="00AB2FC6"/>
    <w:rsid w:val="00AB3E2B"/>
    <w:rsid w:val="00AB5A7B"/>
    <w:rsid w:val="00AB5ED5"/>
    <w:rsid w:val="00AB674B"/>
    <w:rsid w:val="00AB6DA4"/>
    <w:rsid w:val="00AC0CE0"/>
    <w:rsid w:val="00AC3338"/>
    <w:rsid w:val="00AC3E88"/>
    <w:rsid w:val="00AC4557"/>
    <w:rsid w:val="00AC49B3"/>
    <w:rsid w:val="00AC4DFA"/>
    <w:rsid w:val="00AC5D3B"/>
    <w:rsid w:val="00AC6C4B"/>
    <w:rsid w:val="00AD00C9"/>
    <w:rsid w:val="00AD02B6"/>
    <w:rsid w:val="00AD0A81"/>
    <w:rsid w:val="00AD1243"/>
    <w:rsid w:val="00AD19FA"/>
    <w:rsid w:val="00AD1B56"/>
    <w:rsid w:val="00AD1E48"/>
    <w:rsid w:val="00AD3745"/>
    <w:rsid w:val="00AD6C0C"/>
    <w:rsid w:val="00AE00BE"/>
    <w:rsid w:val="00AE2407"/>
    <w:rsid w:val="00AE58AE"/>
    <w:rsid w:val="00AF0887"/>
    <w:rsid w:val="00AF1CAC"/>
    <w:rsid w:val="00AF22A4"/>
    <w:rsid w:val="00AF2A79"/>
    <w:rsid w:val="00AF2BBE"/>
    <w:rsid w:val="00AF361D"/>
    <w:rsid w:val="00AF37F1"/>
    <w:rsid w:val="00AF4E85"/>
    <w:rsid w:val="00AF5F50"/>
    <w:rsid w:val="00AF5F91"/>
    <w:rsid w:val="00AF6879"/>
    <w:rsid w:val="00AF71E0"/>
    <w:rsid w:val="00B0015A"/>
    <w:rsid w:val="00B00D5B"/>
    <w:rsid w:val="00B018F5"/>
    <w:rsid w:val="00B03CD1"/>
    <w:rsid w:val="00B040CF"/>
    <w:rsid w:val="00B045E7"/>
    <w:rsid w:val="00B054CE"/>
    <w:rsid w:val="00B062B7"/>
    <w:rsid w:val="00B07282"/>
    <w:rsid w:val="00B10281"/>
    <w:rsid w:val="00B10603"/>
    <w:rsid w:val="00B110BD"/>
    <w:rsid w:val="00B15A82"/>
    <w:rsid w:val="00B16327"/>
    <w:rsid w:val="00B166E6"/>
    <w:rsid w:val="00B17437"/>
    <w:rsid w:val="00B17AB3"/>
    <w:rsid w:val="00B20C1B"/>
    <w:rsid w:val="00B2282E"/>
    <w:rsid w:val="00B22B86"/>
    <w:rsid w:val="00B23D63"/>
    <w:rsid w:val="00B240F6"/>
    <w:rsid w:val="00B2481F"/>
    <w:rsid w:val="00B259E7"/>
    <w:rsid w:val="00B275C7"/>
    <w:rsid w:val="00B27BDA"/>
    <w:rsid w:val="00B30671"/>
    <w:rsid w:val="00B30E12"/>
    <w:rsid w:val="00B31CD1"/>
    <w:rsid w:val="00B3326F"/>
    <w:rsid w:val="00B3330D"/>
    <w:rsid w:val="00B33668"/>
    <w:rsid w:val="00B338EE"/>
    <w:rsid w:val="00B34611"/>
    <w:rsid w:val="00B346DB"/>
    <w:rsid w:val="00B3542C"/>
    <w:rsid w:val="00B37841"/>
    <w:rsid w:val="00B40428"/>
    <w:rsid w:val="00B40ECB"/>
    <w:rsid w:val="00B41AD1"/>
    <w:rsid w:val="00B41AFB"/>
    <w:rsid w:val="00B42C37"/>
    <w:rsid w:val="00B455DD"/>
    <w:rsid w:val="00B45D08"/>
    <w:rsid w:val="00B46102"/>
    <w:rsid w:val="00B462BE"/>
    <w:rsid w:val="00B46F45"/>
    <w:rsid w:val="00B47CE8"/>
    <w:rsid w:val="00B506EA"/>
    <w:rsid w:val="00B50B73"/>
    <w:rsid w:val="00B511CF"/>
    <w:rsid w:val="00B535F1"/>
    <w:rsid w:val="00B5422E"/>
    <w:rsid w:val="00B54619"/>
    <w:rsid w:val="00B54786"/>
    <w:rsid w:val="00B54D77"/>
    <w:rsid w:val="00B563D8"/>
    <w:rsid w:val="00B567C9"/>
    <w:rsid w:val="00B56DAD"/>
    <w:rsid w:val="00B56FEF"/>
    <w:rsid w:val="00B579AE"/>
    <w:rsid w:val="00B61535"/>
    <w:rsid w:val="00B62B7C"/>
    <w:rsid w:val="00B63242"/>
    <w:rsid w:val="00B635BE"/>
    <w:rsid w:val="00B6368D"/>
    <w:rsid w:val="00B63C1F"/>
    <w:rsid w:val="00B6410D"/>
    <w:rsid w:val="00B65057"/>
    <w:rsid w:val="00B65DEE"/>
    <w:rsid w:val="00B65E00"/>
    <w:rsid w:val="00B65FE6"/>
    <w:rsid w:val="00B6614E"/>
    <w:rsid w:val="00B66961"/>
    <w:rsid w:val="00B67477"/>
    <w:rsid w:val="00B67E12"/>
    <w:rsid w:val="00B70B32"/>
    <w:rsid w:val="00B714A6"/>
    <w:rsid w:val="00B71D56"/>
    <w:rsid w:val="00B72356"/>
    <w:rsid w:val="00B7392A"/>
    <w:rsid w:val="00B761E0"/>
    <w:rsid w:val="00B7643C"/>
    <w:rsid w:val="00B77E5A"/>
    <w:rsid w:val="00B80121"/>
    <w:rsid w:val="00B80373"/>
    <w:rsid w:val="00B81765"/>
    <w:rsid w:val="00B822F2"/>
    <w:rsid w:val="00B825D8"/>
    <w:rsid w:val="00B849F5"/>
    <w:rsid w:val="00B84B93"/>
    <w:rsid w:val="00B86097"/>
    <w:rsid w:val="00B87E3F"/>
    <w:rsid w:val="00B9007C"/>
    <w:rsid w:val="00B90804"/>
    <w:rsid w:val="00B91307"/>
    <w:rsid w:val="00B91A3E"/>
    <w:rsid w:val="00B92D72"/>
    <w:rsid w:val="00B92F23"/>
    <w:rsid w:val="00B9373A"/>
    <w:rsid w:val="00B93785"/>
    <w:rsid w:val="00B94952"/>
    <w:rsid w:val="00B94E78"/>
    <w:rsid w:val="00B9627A"/>
    <w:rsid w:val="00B96496"/>
    <w:rsid w:val="00B96C2A"/>
    <w:rsid w:val="00B971EE"/>
    <w:rsid w:val="00B9725B"/>
    <w:rsid w:val="00BA06CB"/>
    <w:rsid w:val="00BA100B"/>
    <w:rsid w:val="00BA2251"/>
    <w:rsid w:val="00BA54E7"/>
    <w:rsid w:val="00BA637B"/>
    <w:rsid w:val="00BA7613"/>
    <w:rsid w:val="00BB2A19"/>
    <w:rsid w:val="00BB3BFF"/>
    <w:rsid w:val="00BB3F2D"/>
    <w:rsid w:val="00BB3FEE"/>
    <w:rsid w:val="00BB6629"/>
    <w:rsid w:val="00BB7008"/>
    <w:rsid w:val="00BB7D8F"/>
    <w:rsid w:val="00BB7DF6"/>
    <w:rsid w:val="00BC4218"/>
    <w:rsid w:val="00BC59D1"/>
    <w:rsid w:val="00BC5A5B"/>
    <w:rsid w:val="00BC7E07"/>
    <w:rsid w:val="00BD11B6"/>
    <w:rsid w:val="00BD17C9"/>
    <w:rsid w:val="00BD210A"/>
    <w:rsid w:val="00BD212A"/>
    <w:rsid w:val="00BD3ECD"/>
    <w:rsid w:val="00BD517A"/>
    <w:rsid w:val="00BD5B51"/>
    <w:rsid w:val="00BD5DDF"/>
    <w:rsid w:val="00BD5E82"/>
    <w:rsid w:val="00BD5FE5"/>
    <w:rsid w:val="00BD6AAB"/>
    <w:rsid w:val="00BD6DBC"/>
    <w:rsid w:val="00BE0699"/>
    <w:rsid w:val="00BE1640"/>
    <w:rsid w:val="00BE321F"/>
    <w:rsid w:val="00BF014B"/>
    <w:rsid w:val="00BF0AD2"/>
    <w:rsid w:val="00BF13AE"/>
    <w:rsid w:val="00BF1D57"/>
    <w:rsid w:val="00BF6597"/>
    <w:rsid w:val="00BF6977"/>
    <w:rsid w:val="00BF6A6E"/>
    <w:rsid w:val="00BF71AC"/>
    <w:rsid w:val="00BF7472"/>
    <w:rsid w:val="00C010D0"/>
    <w:rsid w:val="00C01FB2"/>
    <w:rsid w:val="00C02298"/>
    <w:rsid w:val="00C04D97"/>
    <w:rsid w:val="00C051DC"/>
    <w:rsid w:val="00C055B6"/>
    <w:rsid w:val="00C0785A"/>
    <w:rsid w:val="00C07F35"/>
    <w:rsid w:val="00C10BF7"/>
    <w:rsid w:val="00C116E1"/>
    <w:rsid w:val="00C11935"/>
    <w:rsid w:val="00C11E7D"/>
    <w:rsid w:val="00C121C4"/>
    <w:rsid w:val="00C1270E"/>
    <w:rsid w:val="00C12892"/>
    <w:rsid w:val="00C12EE7"/>
    <w:rsid w:val="00C13D02"/>
    <w:rsid w:val="00C15135"/>
    <w:rsid w:val="00C17BC9"/>
    <w:rsid w:val="00C17C4A"/>
    <w:rsid w:val="00C2000D"/>
    <w:rsid w:val="00C220BD"/>
    <w:rsid w:val="00C25C1F"/>
    <w:rsid w:val="00C25D34"/>
    <w:rsid w:val="00C302DA"/>
    <w:rsid w:val="00C30579"/>
    <w:rsid w:val="00C30B02"/>
    <w:rsid w:val="00C30EA6"/>
    <w:rsid w:val="00C31AE7"/>
    <w:rsid w:val="00C320E5"/>
    <w:rsid w:val="00C325AD"/>
    <w:rsid w:val="00C32B30"/>
    <w:rsid w:val="00C3461D"/>
    <w:rsid w:val="00C34A25"/>
    <w:rsid w:val="00C34A4C"/>
    <w:rsid w:val="00C36ADE"/>
    <w:rsid w:val="00C3775A"/>
    <w:rsid w:val="00C37A7B"/>
    <w:rsid w:val="00C37B01"/>
    <w:rsid w:val="00C37C1E"/>
    <w:rsid w:val="00C438CB"/>
    <w:rsid w:val="00C4417B"/>
    <w:rsid w:val="00C4455F"/>
    <w:rsid w:val="00C4553B"/>
    <w:rsid w:val="00C475AA"/>
    <w:rsid w:val="00C500F6"/>
    <w:rsid w:val="00C5072E"/>
    <w:rsid w:val="00C510F3"/>
    <w:rsid w:val="00C51DBA"/>
    <w:rsid w:val="00C52825"/>
    <w:rsid w:val="00C52975"/>
    <w:rsid w:val="00C53A59"/>
    <w:rsid w:val="00C5463B"/>
    <w:rsid w:val="00C574CD"/>
    <w:rsid w:val="00C57786"/>
    <w:rsid w:val="00C57D32"/>
    <w:rsid w:val="00C62010"/>
    <w:rsid w:val="00C62AB8"/>
    <w:rsid w:val="00C62B83"/>
    <w:rsid w:val="00C634E7"/>
    <w:rsid w:val="00C6426E"/>
    <w:rsid w:val="00C6478C"/>
    <w:rsid w:val="00C65114"/>
    <w:rsid w:val="00C65517"/>
    <w:rsid w:val="00C65616"/>
    <w:rsid w:val="00C670AC"/>
    <w:rsid w:val="00C67725"/>
    <w:rsid w:val="00C67B50"/>
    <w:rsid w:val="00C70BA2"/>
    <w:rsid w:val="00C718FA"/>
    <w:rsid w:val="00C73B7B"/>
    <w:rsid w:val="00C74D56"/>
    <w:rsid w:val="00C7572D"/>
    <w:rsid w:val="00C75A1C"/>
    <w:rsid w:val="00C75C73"/>
    <w:rsid w:val="00C761C8"/>
    <w:rsid w:val="00C763FC"/>
    <w:rsid w:val="00C76DFE"/>
    <w:rsid w:val="00C77B03"/>
    <w:rsid w:val="00C8049A"/>
    <w:rsid w:val="00C807D0"/>
    <w:rsid w:val="00C810B6"/>
    <w:rsid w:val="00C81624"/>
    <w:rsid w:val="00C82798"/>
    <w:rsid w:val="00C8297D"/>
    <w:rsid w:val="00C84303"/>
    <w:rsid w:val="00C844C0"/>
    <w:rsid w:val="00C85619"/>
    <w:rsid w:val="00C8607D"/>
    <w:rsid w:val="00C86CC3"/>
    <w:rsid w:val="00C8738B"/>
    <w:rsid w:val="00C87F37"/>
    <w:rsid w:val="00C90068"/>
    <w:rsid w:val="00C900AD"/>
    <w:rsid w:val="00C90D8C"/>
    <w:rsid w:val="00C94856"/>
    <w:rsid w:val="00C96822"/>
    <w:rsid w:val="00C97676"/>
    <w:rsid w:val="00CA05E9"/>
    <w:rsid w:val="00CA0CF4"/>
    <w:rsid w:val="00CA100A"/>
    <w:rsid w:val="00CA105A"/>
    <w:rsid w:val="00CA2C6A"/>
    <w:rsid w:val="00CA378E"/>
    <w:rsid w:val="00CA40A5"/>
    <w:rsid w:val="00CA4334"/>
    <w:rsid w:val="00CA4436"/>
    <w:rsid w:val="00CA4DF2"/>
    <w:rsid w:val="00CA5619"/>
    <w:rsid w:val="00CA6982"/>
    <w:rsid w:val="00CA6C6B"/>
    <w:rsid w:val="00CA7C31"/>
    <w:rsid w:val="00CB0798"/>
    <w:rsid w:val="00CB1B12"/>
    <w:rsid w:val="00CB1E43"/>
    <w:rsid w:val="00CB245F"/>
    <w:rsid w:val="00CB273E"/>
    <w:rsid w:val="00CB296A"/>
    <w:rsid w:val="00CB2F9A"/>
    <w:rsid w:val="00CB58D4"/>
    <w:rsid w:val="00CB599A"/>
    <w:rsid w:val="00CB700D"/>
    <w:rsid w:val="00CC2203"/>
    <w:rsid w:val="00CC2BF0"/>
    <w:rsid w:val="00CC6A63"/>
    <w:rsid w:val="00CC7754"/>
    <w:rsid w:val="00CD31DB"/>
    <w:rsid w:val="00CD4AB0"/>
    <w:rsid w:val="00CD6041"/>
    <w:rsid w:val="00CD61B4"/>
    <w:rsid w:val="00CD7405"/>
    <w:rsid w:val="00CE0616"/>
    <w:rsid w:val="00CE2A20"/>
    <w:rsid w:val="00CE2A30"/>
    <w:rsid w:val="00CE3EDB"/>
    <w:rsid w:val="00CE41F9"/>
    <w:rsid w:val="00CE7451"/>
    <w:rsid w:val="00CF242F"/>
    <w:rsid w:val="00CF2CE2"/>
    <w:rsid w:val="00CF2F2C"/>
    <w:rsid w:val="00CF3177"/>
    <w:rsid w:val="00CF3286"/>
    <w:rsid w:val="00CF3C1F"/>
    <w:rsid w:val="00CF455B"/>
    <w:rsid w:val="00CF6BAB"/>
    <w:rsid w:val="00CF6C43"/>
    <w:rsid w:val="00D00EFF"/>
    <w:rsid w:val="00D0137C"/>
    <w:rsid w:val="00D03783"/>
    <w:rsid w:val="00D05565"/>
    <w:rsid w:val="00D05863"/>
    <w:rsid w:val="00D05F03"/>
    <w:rsid w:val="00D05FE6"/>
    <w:rsid w:val="00D06114"/>
    <w:rsid w:val="00D06FF3"/>
    <w:rsid w:val="00D072EA"/>
    <w:rsid w:val="00D11E16"/>
    <w:rsid w:val="00D13C0E"/>
    <w:rsid w:val="00D15D55"/>
    <w:rsid w:val="00D15FD5"/>
    <w:rsid w:val="00D1659F"/>
    <w:rsid w:val="00D169FF"/>
    <w:rsid w:val="00D17D41"/>
    <w:rsid w:val="00D17DEC"/>
    <w:rsid w:val="00D21119"/>
    <w:rsid w:val="00D22511"/>
    <w:rsid w:val="00D23021"/>
    <w:rsid w:val="00D24C07"/>
    <w:rsid w:val="00D25056"/>
    <w:rsid w:val="00D2533E"/>
    <w:rsid w:val="00D25444"/>
    <w:rsid w:val="00D257FF"/>
    <w:rsid w:val="00D2616A"/>
    <w:rsid w:val="00D27C0E"/>
    <w:rsid w:val="00D34609"/>
    <w:rsid w:val="00D361F0"/>
    <w:rsid w:val="00D36A07"/>
    <w:rsid w:val="00D40F66"/>
    <w:rsid w:val="00D433C9"/>
    <w:rsid w:val="00D4366D"/>
    <w:rsid w:val="00D44C1B"/>
    <w:rsid w:val="00D4651B"/>
    <w:rsid w:val="00D46D6A"/>
    <w:rsid w:val="00D50F75"/>
    <w:rsid w:val="00D51879"/>
    <w:rsid w:val="00D52B58"/>
    <w:rsid w:val="00D52E0B"/>
    <w:rsid w:val="00D535E1"/>
    <w:rsid w:val="00D5462C"/>
    <w:rsid w:val="00D55DED"/>
    <w:rsid w:val="00D560B8"/>
    <w:rsid w:val="00D567BA"/>
    <w:rsid w:val="00D619E9"/>
    <w:rsid w:val="00D62C06"/>
    <w:rsid w:val="00D63541"/>
    <w:rsid w:val="00D640CD"/>
    <w:rsid w:val="00D64CBD"/>
    <w:rsid w:val="00D65B86"/>
    <w:rsid w:val="00D66210"/>
    <w:rsid w:val="00D66A27"/>
    <w:rsid w:val="00D70526"/>
    <w:rsid w:val="00D705BB"/>
    <w:rsid w:val="00D70FC1"/>
    <w:rsid w:val="00D72642"/>
    <w:rsid w:val="00D7272C"/>
    <w:rsid w:val="00D72E9F"/>
    <w:rsid w:val="00D73259"/>
    <w:rsid w:val="00D73339"/>
    <w:rsid w:val="00D7341D"/>
    <w:rsid w:val="00D7383E"/>
    <w:rsid w:val="00D76513"/>
    <w:rsid w:val="00D774DA"/>
    <w:rsid w:val="00D81CDA"/>
    <w:rsid w:val="00D82A6B"/>
    <w:rsid w:val="00D83B62"/>
    <w:rsid w:val="00D849A8"/>
    <w:rsid w:val="00D852C0"/>
    <w:rsid w:val="00D86BCA"/>
    <w:rsid w:val="00D87575"/>
    <w:rsid w:val="00D9151E"/>
    <w:rsid w:val="00D9192E"/>
    <w:rsid w:val="00D942BA"/>
    <w:rsid w:val="00D94590"/>
    <w:rsid w:val="00D9478A"/>
    <w:rsid w:val="00D9558B"/>
    <w:rsid w:val="00D96D51"/>
    <w:rsid w:val="00D96FF0"/>
    <w:rsid w:val="00D97217"/>
    <w:rsid w:val="00D97690"/>
    <w:rsid w:val="00DA3039"/>
    <w:rsid w:val="00DA3163"/>
    <w:rsid w:val="00DA3DA5"/>
    <w:rsid w:val="00DA40AD"/>
    <w:rsid w:val="00DA66F7"/>
    <w:rsid w:val="00DB0A3D"/>
    <w:rsid w:val="00DB0BB9"/>
    <w:rsid w:val="00DB1A3B"/>
    <w:rsid w:val="00DB5259"/>
    <w:rsid w:val="00DB597E"/>
    <w:rsid w:val="00DB5B45"/>
    <w:rsid w:val="00DB5B83"/>
    <w:rsid w:val="00DB6F67"/>
    <w:rsid w:val="00DB6F9F"/>
    <w:rsid w:val="00DB7282"/>
    <w:rsid w:val="00DC024B"/>
    <w:rsid w:val="00DC0788"/>
    <w:rsid w:val="00DC29B0"/>
    <w:rsid w:val="00DC3B76"/>
    <w:rsid w:val="00DC425F"/>
    <w:rsid w:val="00DC567C"/>
    <w:rsid w:val="00DC6BC6"/>
    <w:rsid w:val="00DD0812"/>
    <w:rsid w:val="00DD0A62"/>
    <w:rsid w:val="00DD0BA4"/>
    <w:rsid w:val="00DD201E"/>
    <w:rsid w:val="00DD20C4"/>
    <w:rsid w:val="00DD61BD"/>
    <w:rsid w:val="00DE105A"/>
    <w:rsid w:val="00DE16F3"/>
    <w:rsid w:val="00DE2021"/>
    <w:rsid w:val="00DE2F2B"/>
    <w:rsid w:val="00DE33AC"/>
    <w:rsid w:val="00DE393B"/>
    <w:rsid w:val="00DE5114"/>
    <w:rsid w:val="00DE54A5"/>
    <w:rsid w:val="00DE6EB0"/>
    <w:rsid w:val="00DF0590"/>
    <w:rsid w:val="00DF330F"/>
    <w:rsid w:val="00DF39C8"/>
    <w:rsid w:val="00DF42C8"/>
    <w:rsid w:val="00DF5085"/>
    <w:rsid w:val="00DF6524"/>
    <w:rsid w:val="00DF7874"/>
    <w:rsid w:val="00E022B2"/>
    <w:rsid w:val="00E02FD8"/>
    <w:rsid w:val="00E03F5B"/>
    <w:rsid w:val="00E044AD"/>
    <w:rsid w:val="00E04D0D"/>
    <w:rsid w:val="00E04DBD"/>
    <w:rsid w:val="00E06658"/>
    <w:rsid w:val="00E07849"/>
    <w:rsid w:val="00E12E04"/>
    <w:rsid w:val="00E13A06"/>
    <w:rsid w:val="00E13C21"/>
    <w:rsid w:val="00E13DBE"/>
    <w:rsid w:val="00E15C04"/>
    <w:rsid w:val="00E17066"/>
    <w:rsid w:val="00E20219"/>
    <w:rsid w:val="00E223A2"/>
    <w:rsid w:val="00E23641"/>
    <w:rsid w:val="00E23C0C"/>
    <w:rsid w:val="00E25988"/>
    <w:rsid w:val="00E26EDE"/>
    <w:rsid w:val="00E27DE3"/>
    <w:rsid w:val="00E304BB"/>
    <w:rsid w:val="00E314A5"/>
    <w:rsid w:val="00E31D0A"/>
    <w:rsid w:val="00E3204C"/>
    <w:rsid w:val="00E32B20"/>
    <w:rsid w:val="00E335C6"/>
    <w:rsid w:val="00E342BE"/>
    <w:rsid w:val="00E40F18"/>
    <w:rsid w:val="00E41ABB"/>
    <w:rsid w:val="00E4277F"/>
    <w:rsid w:val="00E44876"/>
    <w:rsid w:val="00E4662D"/>
    <w:rsid w:val="00E477BF"/>
    <w:rsid w:val="00E50AF1"/>
    <w:rsid w:val="00E50BF2"/>
    <w:rsid w:val="00E510CC"/>
    <w:rsid w:val="00E53689"/>
    <w:rsid w:val="00E5446C"/>
    <w:rsid w:val="00E600C5"/>
    <w:rsid w:val="00E60F02"/>
    <w:rsid w:val="00E62303"/>
    <w:rsid w:val="00E63CC6"/>
    <w:rsid w:val="00E6476E"/>
    <w:rsid w:val="00E6572E"/>
    <w:rsid w:val="00E66411"/>
    <w:rsid w:val="00E70EB1"/>
    <w:rsid w:val="00E71667"/>
    <w:rsid w:val="00E7206E"/>
    <w:rsid w:val="00E7250E"/>
    <w:rsid w:val="00E74711"/>
    <w:rsid w:val="00E748F7"/>
    <w:rsid w:val="00E749E3"/>
    <w:rsid w:val="00E75E1F"/>
    <w:rsid w:val="00E7627D"/>
    <w:rsid w:val="00E81C6D"/>
    <w:rsid w:val="00E82717"/>
    <w:rsid w:val="00E83665"/>
    <w:rsid w:val="00E83BEE"/>
    <w:rsid w:val="00E845F8"/>
    <w:rsid w:val="00E84B6E"/>
    <w:rsid w:val="00E85D60"/>
    <w:rsid w:val="00E87007"/>
    <w:rsid w:val="00E91BDA"/>
    <w:rsid w:val="00E925C5"/>
    <w:rsid w:val="00E926B5"/>
    <w:rsid w:val="00E93D14"/>
    <w:rsid w:val="00E96F84"/>
    <w:rsid w:val="00E975A1"/>
    <w:rsid w:val="00EA16FC"/>
    <w:rsid w:val="00EA1BEA"/>
    <w:rsid w:val="00EA23CD"/>
    <w:rsid w:val="00EA2FA4"/>
    <w:rsid w:val="00EA36A2"/>
    <w:rsid w:val="00EA45AA"/>
    <w:rsid w:val="00EA499B"/>
    <w:rsid w:val="00EA4E8C"/>
    <w:rsid w:val="00EA5568"/>
    <w:rsid w:val="00EA6514"/>
    <w:rsid w:val="00EB00E9"/>
    <w:rsid w:val="00EB05F2"/>
    <w:rsid w:val="00EB12F4"/>
    <w:rsid w:val="00EB1D88"/>
    <w:rsid w:val="00EB308C"/>
    <w:rsid w:val="00EB49FE"/>
    <w:rsid w:val="00EB5E79"/>
    <w:rsid w:val="00EB649D"/>
    <w:rsid w:val="00EB7353"/>
    <w:rsid w:val="00EC1741"/>
    <w:rsid w:val="00EC27BD"/>
    <w:rsid w:val="00EC5130"/>
    <w:rsid w:val="00EC5913"/>
    <w:rsid w:val="00EC6289"/>
    <w:rsid w:val="00EC7870"/>
    <w:rsid w:val="00ED051D"/>
    <w:rsid w:val="00ED1E74"/>
    <w:rsid w:val="00ED3A61"/>
    <w:rsid w:val="00ED5A9A"/>
    <w:rsid w:val="00ED5F73"/>
    <w:rsid w:val="00ED614F"/>
    <w:rsid w:val="00ED66FD"/>
    <w:rsid w:val="00ED67CF"/>
    <w:rsid w:val="00ED69AF"/>
    <w:rsid w:val="00EE09B7"/>
    <w:rsid w:val="00EE0CD5"/>
    <w:rsid w:val="00EE2BAB"/>
    <w:rsid w:val="00EE48E8"/>
    <w:rsid w:val="00EE64B7"/>
    <w:rsid w:val="00EE6A2C"/>
    <w:rsid w:val="00EE6A75"/>
    <w:rsid w:val="00EF0616"/>
    <w:rsid w:val="00EF08B7"/>
    <w:rsid w:val="00EF0CFC"/>
    <w:rsid w:val="00EF110B"/>
    <w:rsid w:val="00EF1FFA"/>
    <w:rsid w:val="00EF42C1"/>
    <w:rsid w:val="00EF6514"/>
    <w:rsid w:val="00EF6E76"/>
    <w:rsid w:val="00F0060D"/>
    <w:rsid w:val="00F01062"/>
    <w:rsid w:val="00F025FE"/>
    <w:rsid w:val="00F05AE9"/>
    <w:rsid w:val="00F068CB"/>
    <w:rsid w:val="00F071AB"/>
    <w:rsid w:val="00F10070"/>
    <w:rsid w:val="00F1033F"/>
    <w:rsid w:val="00F1203C"/>
    <w:rsid w:val="00F127C6"/>
    <w:rsid w:val="00F12AE1"/>
    <w:rsid w:val="00F12D84"/>
    <w:rsid w:val="00F16167"/>
    <w:rsid w:val="00F167FC"/>
    <w:rsid w:val="00F21120"/>
    <w:rsid w:val="00F21818"/>
    <w:rsid w:val="00F21E0B"/>
    <w:rsid w:val="00F21FF3"/>
    <w:rsid w:val="00F22977"/>
    <w:rsid w:val="00F23346"/>
    <w:rsid w:val="00F23633"/>
    <w:rsid w:val="00F2406C"/>
    <w:rsid w:val="00F24405"/>
    <w:rsid w:val="00F24BCA"/>
    <w:rsid w:val="00F24C70"/>
    <w:rsid w:val="00F24E36"/>
    <w:rsid w:val="00F256ED"/>
    <w:rsid w:val="00F25B7F"/>
    <w:rsid w:val="00F272CE"/>
    <w:rsid w:val="00F32D29"/>
    <w:rsid w:val="00F32ECE"/>
    <w:rsid w:val="00F33619"/>
    <w:rsid w:val="00F3374A"/>
    <w:rsid w:val="00F33F1D"/>
    <w:rsid w:val="00F34DBC"/>
    <w:rsid w:val="00F42967"/>
    <w:rsid w:val="00F435D5"/>
    <w:rsid w:val="00F43C8D"/>
    <w:rsid w:val="00F45FC8"/>
    <w:rsid w:val="00F46A3D"/>
    <w:rsid w:val="00F47674"/>
    <w:rsid w:val="00F47DB1"/>
    <w:rsid w:val="00F50C02"/>
    <w:rsid w:val="00F50C2B"/>
    <w:rsid w:val="00F51654"/>
    <w:rsid w:val="00F52D62"/>
    <w:rsid w:val="00F52DEB"/>
    <w:rsid w:val="00F5417F"/>
    <w:rsid w:val="00F5482A"/>
    <w:rsid w:val="00F54C85"/>
    <w:rsid w:val="00F55F1C"/>
    <w:rsid w:val="00F568E2"/>
    <w:rsid w:val="00F60443"/>
    <w:rsid w:val="00F62330"/>
    <w:rsid w:val="00F62F46"/>
    <w:rsid w:val="00F63277"/>
    <w:rsid w:val="00F63649"/>
    <w:rsid w:val="00F67600"/>
    <w:rsid w:val="00F707F7"/>
    <w:rsid w:val="00F70D9B"/>
    <w:rsid w:val="00F7170B"/>
    <w:rsid w:val="00F72533"/>
    <w:rsid w:val="00F742DC"/>
    <w:rsid w:val="00F746BA"/>
    <w:rsid w:val="00F75494"/>
    <w:rsid w:val="00F76393"/>
    <w:rsid w:val="00F76DCC"/>
    <w:rsid w:val="00F807B0"/>
    <w:rsid w:val="00F80BF9"/>
    <w:rsid w:val="00F81BC4"/>
    <w:rsid w:val="00F82322"/>
    <w:rsid w:val="00F83AA8"/>
    <w:rsid w:val="00F8435C"/>
    <w:rsid w:val="00F859F0"/>
    <w:rsid w:val="00F85D14"/>
    <w:rsid w:val="00F917FB"/>
    <w:rsid w:val="00F91D16"/>
    <w:rsid w:val="00F91E63"/>
    <w:rsid w:val="00F92897"/>
    <w:rsid w:val="00F9347F"/>
    <w:rsid w:val="00F938D9"/>
    <w:rsid w:val="00F9407E"/>
    <w:rsid w:val="00F94DA5"/>
    <w:rsid w:val="00F95702"/>
    <w:rsid w:val="00F959C1"/>
    <w:rsid w:val="00F96F1A"/>
    <w:rsid w:val="00F97392"/>
    <w:rsid w:val="00FA0407"/>
    <w:rsid w:val="00FA1D5B"/>
    <w:rsid w:val="00FA2D65"/>
    <w:rsid w:val="00FA4B69"/>
    <w:rsid w:val="00FA6F21"/>
    <w:rsid w:val="00FA749F"/>
    <w:rsid w:val="00FA779E"/>
    <w:rsid w:val="00FB0E2E"/>
    <w:rsid w:val="00FB1266"/>
    <w:rsid w:val="00FB19F5"/>
    <w:rsid w:val="00FB265E"/>
    <w:rsid w:val="00FB3029"/>
    <w:rsid w:val="00FB61EF"/>
    <w:rsid w:val="00FB6475"/>
    <w:rsid w:val="00FC0F4F"/>
    <w:rsid w:val="00FC13F6"/>
    <w:rsid w:val="00FC201E"/>
    <w:rsid w:val="00FC2A74"/>
    <w:rsid w:val="00FC2B88"/>
    <w:rsid w:val="00FC5588"/>
    <w:rsid w:val="00FD02D1"/>
    <w:rsid w:val="00FD049E"/>
    <w:rsid w:val="00FD2121"/>
    <w:rsid w:val="00FD50D2"/>
    <w:rsid w:val="00FD525E"/>
    <w:rsid w:val="00FD5522"/>
    <w:rsid w:val="00FD55DE"/>
    <w:rsid w:val="00FD5C1B"/>
    <w:rsid w:val="00FD7922"/>
    <w:rsid w:val="00FE0AF8"/>
    <w:rsid w:val="00FE213B"/>
    <w:rsid w:val="00FE30E6"/>
    <w:rsid w:val="00FE314A"/>
    <w:rsid w:val="00FE3156"/>
    <w:rsid w:val="00FE33EF"/>
    <w:rsid w:val="00FE3BA7"/>
    <w:rsid w:val="00FE5764"/>
    <w:rsid w:val="00FE6A6D"/>
    <w:rsid w:val="00FE71BF"/>
    <w:rsid w:val="00FF0D1A"/>
    <w:rsid w:val="00FF0E2C"/>
    <w:rsid w:val="00FF19B8"/>
    <w:rsid w:val="00FF2E9E"/>
    <w:rsid w:val="00FF3D11"/>
    <w:rsid w:val="00FF4069"/>
    <w:rsid w:val="00FF4E71"/>
    <w:rsid w:val="00FF76A9"/>
    <w:rsid w:val="00FF79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3C57F9"/>
  <w15:docId w15:val="{63BD47C4-5710-461A-ABBA-E966D0CF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659"/>
    <w:pPr>
      <w:spacing w:before="120" w:after="0" w:line="360" w:lineRule="auto"/>
    </w:pPr>
    <w:rPr>
      <w:rFonts w:ascii="Segoe UI" w:hAnsi="Segoe UI"/>
    </w:rPr>
  </w:style>
  <w:style w:type="paragraph" w:styleId="Heading1">
    <w:name w:val="heading 1"/>
    <w:basedOn w:val="Normal"/>
    <w:next w:val="Normal"/>
    <w:link w:val="Heading1Char"/>
    <w:uiPriority w:val="9"/>
    <w:qFormat/>
    <w:rsid w:val="00577217"/>
    <w:pPr>
      <w:numPr>
        <w:numId w:val="8"/>
      </w:numPr>
      <w:spacing w:before="480"/>
      <w:contextualSpacing/>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577217"/>
    <w:pPr>
      <w:numPr>
        <w:ilvl w:val="1"/>
        <w:numId w:val="8"/>
      </w:num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E223A2"/>
    <w:pPr>
      <w:numPr>
        <w:ilvl w:val="2"/>
        <w:numId w:val="8"/>
      </w:numPr>
      <w:spacing w:before="200" w:line="271" w:lineRule="auto"/>
      <w:outlineLvl w:val="2"/>
    </w:pPr>
    <w:rPr>
      <w:rFonts w:eastAsiaTheme="majorEastAsia" w:cs="Segoe UI"/>
      <w:b/>
      <w:bCs/>
      <w:szCs w:val="24"/>
    </w:rPr>
  </w:style>
  <w:style w:type="paragraph" w:styleId="Heading4">
    <w:name w:val="heading 4"/>
    <w:basedOn w:val="Normal"/>
    <w:next w:val="Normal"/>
    <w:link w:val="Heading4Char"/>
    <w:uiPriority w:val="9"/>
    <w:unhideWhenUsed/>
    <w:qFormat/>
    <w:rsid w:val="00E223A2"/>
    <w:pPr>
      <w:numPr>
        <w:ilvl w:val="3"/>
        <w:numId w:val="8"/>
      </w:numPr>
      <w:spacing w:before="200"/>
      <w:outlineLvl w:val="3"/>
    </w:pPr>
    <w:rPr>
      <w:rFonts w:eastAsiaTheme="majorEastAsia" w:cs="Segoe UI"/>
      <w:b/>
      <w:bCs/>
      <w:i/>
      <w:iCs/>
    </w:rPr>
  </w:style>
  <w:style w:type="paragraph" w:styleId="Heading5">
    <w:name w:val="heading 5"/>
    <w:basedOn w:val="Normal"/>
    <w:next w:val="Normal"/>
    <w:link w:val="Heading5Char"/>
    <w:uiPriority w:val="9"/>
    <w:unhideWhenUsed/>
    <w:qFormat/>
    <w:rsid w:val="001C6455"/>
    <w:pPr>
      <w:numPr>
        <w:ilvl w:val="4"/>
        <w:numId w:val="8"/>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C6455"/>
    <w:pPr>
      <w:numPr>
        <w:ilvl w:val="5"/>
        <w:numId w:val="8"/>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C6455"/>
    <w:pPr>
      <w:numPr>
        <w:ilvl w:val="6"/>
        <w:numId w:val="8"/>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C6455"/>
    <w:pPr>
      <w:numPr>
        <w:ilvl w:val="7"/>
        <w:numId w:val="8"/>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C6455"/>
    <w:pPr>
      <w:numPr>
        <w:ilvl w:val="8"/>
        <w:numId w:val="8"/>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217"/>
    <w:rPr>
      <w:rFonts w:ascii="Segoe UI" w:eastAsiaTheme="majorEastAsia" w:hAnsi="Segoe UI" w:cstheme="majorBidi"/>
      <w:b/>
      <w:bCs/>
      <w:sz w:val="36"/>
      <w:szCs w:val="28"/>
    </w:rPr>
  </w:style>
  <w:style w:type="character" w:customStyle="1" w:styleId="Heading2Char">
    <w:name w:val="Heading 2 Char"/>
    <w:basedOn w:val="DefaultParagraphFont"/>
    <w:link w:val="Heading2"/>
    <w:uiPriority w:val="9"/>
    <w:rsid w:val="00577217"/>
    <w:rPr>
      <w:rFonts w:ascii="Segoe UI" w:eastAsiaTheme="majorEastAsia" w:hAnsi="Segoe UI" w:cstheme="majorBidi"/>
      <w:b/>
      <w:bCs/>
      <w:sz w:val="26"/>
      <w:szCs w:val="26"/>
    </w:rPr>
  </w:style>
  <w:style w:type="character" w:customStyle="1" w:styleId="Heading3Char">
    <w:name w:val="Heading 3 Char"/>
    <w:basedOn w:val="DefaultParagraphFont"/>
    <w:link w:val="Heading3"/>
    <w:uiPriority w:val="9"/>
    <w:rsid w:val="00E223A2"/>
    <w:rPr>
      <w:rFonts w:ascii="Segoe UI" w:eastAsiaTheme="majorEastAsia" w:hAnsi="Segoe UI" w:cs="Segoe UI"/>
      <w:b/>
      <w:bCs/>
      <w:sz w:val="24"/>
      <w:szCs w:val="24"/>
    </w:rPr>
  </w:style>
  <w:style w:type="character" w:customStyle="1" w:styleId="Heading4Char">
    <w:name w:val="Heading 4 Char"/>
    <w:basedOn w:val="DefaultParagraphFont"/>
    <w:link w:val="Heading4"/>
    <w:uiPriority w:val="9"/>
    <w:rsid w:val="00E223A2"/>
    <w:rPr>
      <w:rFonts w:ascii="Segoe UI" w:eastAsiaTheme="majorEastAsia" w:hAnsi="Segoe UI" w:cs="Segoe UI"/>
      <w:b/>
      <w:bCs/>
      <w:i/>
      <w:iCs/>
      <w:sz w:val="24"/>
    </w:rPr>
  </w:style>
  <w:style w:type="character" w:customStyle="1" w:styleId="Heading5Char">
    <w:name w:val="Heading 5 Char"/>
    <w:basedOn w:val="DefaultParagraphFont"/>
    <w:link w:val="Heading5"/>
    <w:uiPriority w:val="9"/>
    <w:rsid w:val="001C6455"/>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1C6455"/>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1C6455"/>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1C645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C6455"/>
    <w:rPr>
      <w:rFonts w:asciiTheme="majorHAnsi" w:eastAsiaTheme="majorEastAsia" w:hAnsiTheme="majorHAnsi" w:cstheme="majorBidi"/>
      <w:i/>
      <w:iCs/>
      <w:spacing w:val="5"/>
      <w:sz w:val="20"/>
      <w:szCs w:val="20"/>
    </w:rPr>
  </w:style>
  <w:style w:type="character" w:customStyle="1" w:styleId="apple-converted-space">
    <w:name w:val="apple-converted-space"/>
    <w:basedOn w:val="DefaultParagraphFont"/>
    <w:rsid w:val="00CF455B"/>
  </w:style>
  <w:style w:type="character" w:styleId="Emphasis">
    <w:name w:val="Emphasis"/>
    <w:uiPriority w:val="20"/>
    <w:qFormat/>
    <w:rsid w:val="001C6455"/>
    <w:rPr>
      <w:b/>
      <w:bCs/>
      <w:i/>
      <w:iCs/>
      <w:spacing w:val="10"/>
      <w:bdr w:val="none" w:sz="0" w:space="0" w:color="auto"/>
      <w:shd w:val="clear" w:color="auto" w:fill="auto"/>
    </w:rPr>
  </w:style>
  <w:style w:type="character" w:styleId="Hyperlink">
    <w:name w:val="Hyperlink"/>
    <w:basedOn w:val="DefaultParagraphFont"/>
    <w:uiPriority w:val="99"/>
    <w:unhideWhenUsed/>
    <w:rsid w:val="00CF455B"/>
    <w:rPr>
      <w:color w:val="0000FF"/>
      <w:u w:val="single"/>
    </w:rPr>
  </w:style>
  <w:style w:type="character" w:styleId="CommentReference">
    <w:name w:val="annotation reference"/>
    <w:basedOn w:val="DefaultParagraphFont"/>
    <w:uiPriority w:val="99"/>
    <w:rsid w:val="00CF455B"/>
    <w:rPr>
      <w:sz w:val="16"/>
      <w:szCs w:val="16"/>
    </w:rPr>
  </w:style>
  <w:style w:type="paragraph" w:styleId="CommentText">
    <w:name w:val="annotation text"/>
    <w:basedOn w:val="Normal"/>
    <w:link w:val="CommentTextChar"/>
    <w:uiPriority w:val="99"/>
    <w:rsid w:val="00CF455B"/>
    <w:pPr>
      <w:spacing w:after="200" w:line="240" w:lineRule="auto"/>
    </w:pPr>
    <w:rPr>
      <w:sz w:val="20"/>
      <w:szCs w:val="20"/>
    </w:rPr>
  </w:style>
  <w:style w:type="character" w:customStyle="1" w:styleId="CommentTextChar">
    <w:name w:val="Comment Text Char"/>
    <w:basedOn w:val="DefaultParagraphFont"/>
    <w:link w:val="CommentText"/>
    <w:uiPriority w:val="99"/>
    <w:rsid w:val="00CF455B"/>
    <w:rPr>
      <w:rFonts w:ascii="Calibri" w:eastAsia="Calibri" w:hAnsi="Calibri" w:cs="Times New Roman"/>
      <w:sz w:val="20"/>
      <w:szCs w:val="20"/>
    </w:rPr>
  </w:style>
  <w:style w:type="paragraph" w:styleId="ListParagraph">
    <w:name w:val="List Paragraph"/>
    <w:basedOn w:val="Normal"/>
    <w:uiPriority w:val="34"/>
    <w:qFormat/>
    <w:rsid w:val="001C6455"/>
    <w:pPr>
      <w:ind w:left="720"/>
      <w:contextualSpacing/>
    </w:pPr>
  </w:style>
  <w:style w:type="paragraph" w:styleId="NormalWeb">
    <w:name w:val="Normal (Web)"/>
    <w:basedOn w:val="Normal"/>
    <w:uiPriority w:val="99"/>
    <w:rsid w:val="00CF455B"/>
    <w:pPr>
      <w:spacing w:before="100" w:after="100" w:line="240" w:lineRule="auto"/>
    </w:pPr>
    <w:rPr>
      <w:rFonts w:ascii="Times New Roman" w:eastAsia="Times New Roman" w:hAnsi="Times New Roman"/>
      <w:szCs w:val="24"/>
      <w:lang w:eastAsia="en-GB"/>
    </w:rPr>
  </w:style>
  <w:style w:type="paragraph" w:styleId="BalloonText">
    <w:name w:val="Balloon Text"/>
    <w:basedOn w:val="Normal"/>
    <w:link w:val="BalloonTextChar"/>
    <w:uiPriority w:val="99"/>
    <w:semiHidden/>
    <w:unhideWhenUsed/>
    <w:rsid w:val="00CF455B"/>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CF455B"/>
    <w:rPr>
      <w:rFonts w:ascii="Segoe UI" w:eastAsia="Calibri" w:hAnsi="Segoe UI" w:cs="Segoe UI"/>
      <w:sz w:val="18"/>
      <w:szCs w:val="18"/>
    </w:rPr>
  </w:style>
  <w:style w:type="paragraph" w:styleId="NoSpacing">
    <w:name w:val="No Spacing"/>
    <w:basedOn w:val="Normal"/>
    <w:uiPriority w:val="1"/>
    <w:qFormat/>
    <w:rsid w:val="001C6455"/>
    <w:pPr>
      <w:spacing w:line="240" w:lineRule="auto"/>
    </w:pPr>
  </w:style>
  <w:style w:type="paragraph" w:styleId="Footer">
    <w:name w:val="footer"/>
    <w:basedOn w:val="Normal"/>
    <w:link w:val="FooterChar"/>
    <w:uiPriority w:val="99"/>
    <w:unhideWhenUsed/>
    <w:rsid w:val="00CF455B"/>
    <w:pPr>
      <w:tabs>
        <w:tab w:val="center" w:pos="4513"/>
        <w:tab w:val="right" w:pos="9026"/>
      </w:tabs>
      <w:spacing w:line="240" w:lineRule="auto"/>
    </w:pPr>
    <w:rPr>
      <w:rFonts w:asciiTheme="minorHAnsi" w:eastAsiaTheme="minorHAnsi" w:hAnsiTheme="minorHAnsi"/>
    </w:rPr>
  </w:style>
  <w:style w:type="character" w:customStyle="1" w:styleId="FooterChar">
    <w:name w:val="Footer Char"/>
    <w:basedOn w:val="DefaultParagraphFont"/>
    <w:link w:val="Footer"/>
    <w:uiPriority w:val="99"/>
    <w:rsid w:val="00CF455B"/>
  </w:style>
  <w:style w:type="paragraph" w:styleId="FootnoteText">
    <w:name w:val="footnote text"/>
    <w:basedOn w:val="Normal"/>
    <w:link w:val="FootnoteTextChar"/>
    <w:uiPriority w:val="99"/>
    <w:unhideWhenUsed/>
    <w:rsid w:val="00CF455B"/>
    <w:pPr>
      <w:spacing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F455B"/>
    <w:rPr>
      <w:sz w:val="20"/>
      <w:szCs w:val="20"/>
    </w:rPr>
  </w:style>
  <w:style w:type="character" w:styleId="FootnoteReference">
    <w:name w:val="footnote reference"/>
    <w:basedOn w:val="DefaultParagraphFont"/>
    <w:uiPriority w:val="99"/>
    <w:unhideWhenUsed/>
    <w:rsid w:val="00CF455B"/>
    <w:rPr>
      <w:vertAlign w:val="superscript"/>
    </w:rPr>
  </w:style>
  <w:style w:type="table" w:styleId="TableGrid">
    <w:name w:val="Table Grid"/>
    <w:basedOn w:val="TableNormal"/>
    <w:uiPriority w:val="59"/>
    <w:rsid w:val="00CF4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F455B"/>
    <w:pPr>
      <w:suppressAutoHyphens/>
      <w:spacing w:after="160"/>
      <w:textAlignment w:val="baseline"/>
    </w:pPr>
    <w:rPr>
      <w:b/>
      <w:bCs/>
    </w:rPr>
  </w:style>
  <w:style w:type="character" w:customStyle="1" w:styleId="CommentSubjectChar">
    <w:name w:val="Comment Subject Char"/>
    <w:basedOn w:val="CommentTextChar"/>
    <w:link w:val="CommentSubject"/>
    <w:uiPriority w:val="99"/>
    <w:semiHidden/>
    <w:rsid w:val="00CF455B"/>
    <w:rPr>
      <w:rFonts w:ascii="Calibri" w:eastAsia="Calibri" w:hAnsi="Calibri" w:cs="Times New Roman"/>
      <w:b/>
      <w:bCs/>
      <w:sz w:val="20"/>
      <w:szCs w:val="20"/>
    </w:rPr>
  </w:style>
  <w:style w:type="character" w:styleId="EndnoteReference">
    <w:name w:val="endnote reference"/>
    <w:basedOn w:val="DefaultParagraphFont"/>
    <w:unhideWhenUsed/>
    <w:rsid w:val="00CF455B"/>
    <w:rPr>
      <w:vertAlign w:val="superscript"/>
    </w:rPr>
  </w:style>
  <w:style w:type="paragraph" w:styleId="TOCHeading">
    <w:name w:val="TOC Heading"/>
    <w:basedOn w:val="Heading1"/>
    <w:next w:val="Normal"/>
    <w:uiPriority w:val="39"/>
    <w:unhideWhenUsed/>
    <w:qFormat/>
    <w:rsid w:val="001C6455"/>
    <w:pPr>
      <w:outlineLvl w:val="9"/>
    </w:pPr>
    <w:rPr>
      <w:lang w:bidi="en-US"/>
    </w:rPr>
  </w:style>
  <w:style w:type="paragraph" w:styleId="TOC1">
    <w:name w:val="toc 1"/>
    <w:basedOn w:val="Normal"/>
    <w:next w:val="Normal"/>
    <w:autoRedefine/>
    <w:uiPriority w:val="39"/>
    <w:unhideWhenUsed/>
    <w:qFormat/>
    <w:rsid w:val="00EE64B7"/>
    <w:pPr>
      <w:tabs>
        <w:tab w:val="right" w:leader="dot" w:pos="9016"/>
      </w:tabs>
      <w:spacing w:before="0" w:line="240" w:lineRule="auto"/>
    </w:pPr>
    <w:rPr>
      <w:b/>
      <w:noProof/>
    </w:rPr>
  </w:style>
  <w:style w:type="paragraph" w:styleId="TOC2">
    <w:name w:val="toc 2"/>
    <w:basedOn w:val="Normal"/>
    <w:next w:val="Normal"/>
    <w:autoRedefine/>
    <w:uiPriority w:val="39"/>
    <w:unhideWhenUsed/>
    <w:qFormat/>
    <w:rsid w:val="00CF455B"/>
    <w:pPr>
      <w:spacing w:after="100"/>
      <w:ind w:left="220"/>
    </w:pPr>
  </w:style>
  <w:style w:type="paragraph" w:styleId="TOC3">
    <w:name w:val="toc 3"/>
    <w:basedOn w:val="Normal"/>
    <w:next w:val="Normal"/>
    <w:autoRedefine/>
    <w:uiPriority w:val="39"/>
    <w:unhideWhenUsed/>
    <w:qFormat/>
    <w:rsid w:val="00CF455B"/>
    <w:pPr>
      <w:spacing w:after="100"/>
      <w:ind w:left="440"/>
    </w:pPr>
  </w:style>
  <w:style w:type="character" w:customStyle="1" w:styleId="Footnoteanchor">
    <w:name w:val="Footnote anchor"/>
    <w:rsid w:val="00B77E5A"/>
    <w:rPr>
      <w:vertAlign w:val="superscript"/>
    </w:rPr>
  </w:style>
  <w:style w:type="character" w:styleId="FollowedHyperlink">
    <w:name w:val="FollowedHyperlink"/>
    <w:basedOn w:val="DefaultParagraphFont"/>
    <w:uiPriority w:val="99"/>
    <w:semiHidden/>
    <w:unhideWhenUsed/>
    <w:rsid w:val="00B77E5A"/>
    <w:rPr>
      <w:color w:val="800080" w:themeColor="followedHyperlink"/>
      <w:u w:val="single"/>
    </w:rPr>
  </w:style>
  <w:style w:type="paragraph" w:styleId="Header">
    <w:name w:val="header"/>
    <w:basedOn w:val="Normal"/>
    <w:link w:val="HeaderChar"/>
    <w:uiPriority w:val="99"/>
    <w:unhideWhenUsed/>
    <w:rsid w:val="00B50B73"/>
    <w:pPr>
      <w:tabs>
        <w:tab w:val="center" w:pos="4513"/>
        <w:tab w:val="right" w:pos="9026"/>
      </w:tabs>
      <w:spacing w:line="240" w:lineRule="auto"/>
    </w:pPr>
  </w:style>
  <w:style w:type="character" w:customStyle="1" w:styleId="HeaderChar">
    <w:name w:val="Header Char"/>
    <w:basedOn w:val="DefaultParagraphFont"/>
    <w:link w:val="Header"/>
    <w:uiPriority w:val="99"/>
    <w:rsid w:val="00B50B73"/>
    <w:rPr>
      <w:rFonts w:ascii="Calibri" w:eastAsia="Calibri" w:hAnsi="Calibri" w:cs="Times New Roman"/>
    </w:rPr>
  </w:style>
  <w:style w:type="paragraph" w:styleId="EndnoteText">
    <w:name w:val="endnote text"/>
    <w:basedOn w:val="Normal"/>
    <w:link w:val="EndnoteTextChar"/>
    <w:unhideWhenUsed/>
    <w:rsid w:val="00B50B73"/>
    <w:pPr>
      <w:spacing w:line="240" w:lineRule="auto"/>
    </w:pPr>
    <w:rPr>
      <w:sz w:val="20"/>
      <w:szCs w:val="20"/>
    </w:rPr>
  </w:style>
  <w:style w:type="character" w:customStyle="1" w:styleId="EndnoteTextChar">
    <w:name w:val="Endnote Text Char"/>
    <w:basedOn w:val="DefaultParagraphFont"/>
    <w:link w:val="EndnoteText"/>
    <w:rsid w:val="00B50B73"/>
    <w:rPr>
      <w:rFonts w:ascii="Calibri" w:eastAsia="Calibri" w:hAnsi="Calibri" w:cs="Times New Roman"/>
      <w:sz w:val="20"/>
      <w:szCs w:val="20"/>
    </w:rPr>
  </w:style>
  <w:style w:type="paragraph" w:styleId="Revision">
    <w:name w:val="Revision"/>
    <w:uiPriority w:val="99"/>
    <w:semiHidden/>
    <w:rsid w:val="00B50B73"/>
    <w:pPr>
      <w:spacing w:after="0" w:line="240" w:lineRule="auto"/>
    </w:pPr>
    <w:rPr>
      <w:rFonts w:ascii="Calibri" w:eastAsia="Calibri" w:hAnsi="Calibri" w:cs="Times New Roman"/>
    </w:rPr>
  </w:style>
  <w:style w:type="table" w:styleId="LightList">
    <w:name w:val="Light List"/>
    <w:basedOn w:val="TableNormal"/>
    <w:uiPriority w:val="61"/>
    <w:rsid w:val="00B50B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uiPriority w:val="22"/>
    <w:qFormat/>
    <w:rsid w:val="001C6455"/>
    <w:rPr>
      <w:b/>
      <w:bCs/>
    </w:rPr>
  </w:style>
  <w:style w:type="paragraph" w:styleId="Title">
    <w:name w:val="Title"/>
    <w:basedOn w:val="Normal"/>
    <w:next w:val="Normal"/>
    <w:link w:val="TitleChar"/>
    <w:uiPriority w:val="10"/>
    <w:qFormat/>
    <w:rsid w:val="001C645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C645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C6455"/>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C6455"/>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1C6455"/>
    <w:pPr>
      <w:spacing w:before="200"/>
      <w:ind w:left="360" w:right="360"/>
    </w:pPr>
    <w:rPr>
      <w:i/>
      <w:iCs/>
    </w:rPr>
  </w:style>
  <w:style w:type="character" w:customStyle="1" w:styleId="QuoteChar">
    <w:name w:val="Quote Char"/>
    <w:basedOn w:val="DefaultParagraphFont"/>
    <w:link w:val="Quote"/>
    <w:uiPriority w:val="29"/>
    <w:rsid w:val="001C6455"/>
    <w:rPr>
      <w:i/>
      <w:iCs/>
    </w:rPr>
  </w:style>
  <w:style w:type="paragraph" w:styleId="IntenseQuote">
    <w:name w:val="Intense Quote"/>
    <w:basedOn w:val="Normal"/>
    <w:next w:val="Normal"/>
    <w:link w:val="IntenseQuoteChar"/>
    <w:uiPriority w:val="30"/>
    <w:qFormat/>
    <w:rsid w:val="001C645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C6455"/>
    <w:rPr>
      <w:b/>
      <w:bCs/>
      <w:i/>
      <w:iCs/>
    </w:rPr>
  </w:style>
  <w:style w:type="character" w:styleId="SubtleEmphasis">
    <w:name w:val="Subtle Emphasis"/>
    <w:uiPriority w:val="19"/>
    <w:qFormat/>
    <w:rsid w:val="001C6455"/>
    <w:rPr>
      <w:i/>
      <w:iCs/>
    </w:rPr>
  </w:style>
  <w:style w:type="character" w:styleId="IntenseEmphasis">
    <w:name w:val="Intense Emphasis"/>
    <w:uiPriority w:val="21"/>
    <w:qFormat/>
    <w:rsid w:val="001C6455"/>
    <w:rPr>
      <w:b/>
      <w:bCs/>
    </w:rPr>
  </w:style>
  <w:style w:type="character" w:styleId="SubtleReference">
    <w:name w:val="Subtle Reference"/>
    <w:uiPriority w:val="31"/>
    <w:qFormat/>
    <w:rsid w:val="001C6455"/>
    <w:rPr>
      <w:smallCaps/>
    </w:rPr>
  </w:style>
  <w:style w:type="character" w:styleId="IntenseReference">
    <w:name w:val="Intense Reference"/>
    <w:uiPriority w:val="32"/>
    <w:qFormat/>
    <w:rsid w:val="001C6455"/>
    <w:rPr>
      <w:smallCaps/>
      <w:spacing w:val="5"/>
      <w:u w:val="single"/>
    </w:rPr>
  </w:style>
  <w:style w:type="character" w:styleId="BookTitle">
    <w:name w:val="Book Title"/>
    <w:uiPriority w:val="33"/>
    <w:qFormat/>
    <w:rsid w:val="001C6455"/>
    <w:rPr>
      <w:i/>
      <w:iCs/>
      <w:smallCaps/>
      <w:spacing w:val="5"/>
    </w:rPr>
  </w:style>
  <w:style w:type="paragraph" w:styleId="TOC4">
    <w:name w:val="toc 4"/>
    <w:basedOn w:val="Normal"/>
    <w:next w:val="Normal"/>
    <w:autoRedefine/>
    <w:uiPriority w:val="39"/>
    <w:unhideWhenUsed/>
    <w:rsid w:val="003A74F5"/>
    <w:pPr>
      <w:spacing w:after="100"/>
      <w:ind w:left="660"/>
    </w:pPr>
    <w:rPr>
      <w:lang w:eastAsia="en-GB"/>
    </w:rPr>
  </w:style>
  <w:style w:type="paragraph" w:styleId="TOC5">
    <w:name w:val="toc 5"/>
    <w:basedOn w:val="Normal"/>
    <w:next w:val="Normal"/>
    <w:autoRedefine/>
    <w:uiPriority w:val="39"/>
    <w:unhideWhenUsed/>
    <w:rsid w:val="003A74F5"/>
    <w:pPr>
      <w:spacing w:after="100"/>
      <w:ind w:left="880"/>
    </w:pPr>
    <w:rPr>
      <w:lang w:eastAsia="en-GB"/>
    </w:rPr>
  </w:style>
  <w:style w:type="paragraph" w:styleId="TOC6">
    <w:name w:val="toc 6"/>
    <w:basedOn w:val="Normal"/>
    <w:next w:val="Normal"/>
    <w:autoRedefine/>
    <w:uiPriority w:val="39"/>
    <w:unhideWhenUsed/>
    <w:rsid w:val="003A74F5"/>
    <w:pPr>
      <w:spacing w:after="100"/>
      <w:ind w:left="1100"/>
    </w:pPr>
    <w:rPr>
      <w:lang w:eastAsia="en-GB"/>
    </w:rPr>
  </w:style>
  <w:style w:type="paragraph" w:styleId="TOC7">
    <w:name w:val="toc 7"/>
    <w:basedOn w:val="Normal"/>
    <w:next w:val="Normal"/>
    <w:autoRedefine/>
    <w:uiPriority w:val="39"/>
    <w:unhideWhenUsed/>
    <w:rsid w:val="003A74F5"/>
    <w:pPr>
      <w:spacing w:after="100"/>
      <w:ind w:left="1320"/>
    </w:pPr>
    <w:rPr>
      <w:lang w:eastAsia="en-GB"/>
    </w:rPr>
  </w:style>
  <w:style w:type="paragraph" w:styleId="TOC8">
    <w:name w:val="toc 8"/>
    <w:basedOn w:val="Normal"/>
    <w:next w:val="Normal"/>
    <w:autoRedefine/>
    <w:uiPriority w:val="39"/>
    <w:unhideWhenUsed/>
    <w:rsid w:val="003A74F5"/>
    <w:pPr>
      <w:spacing w:after="100"/>
      <w:ind w:left="1540"/>
    </w:pPr>
    <w:rPr>
      <w:lang w:eastAsia="en-GB"/>
    </w:rPr>
  </w:style>
  <w:style w:type="paragraph" w:styleId="TOC9">
    <w:name w:val="toc 9"/>
    <w:basedOn w:val="Normal"/>
    <w:next w:val="Normal"/>
    <w:autoRedefine/>
    <w:uiPriority w:val="39"/>
    <w:unhideWhenUsed/>
    <w:rsid w:val="003A74F5"/>
    <w:pPr>
      <w:spacing w:after="100"/>
      <w:ind w:left="1760"/>
    </w:pPr>
    <w:rPr>
      <w:lang w:eastAsia="en-GB"/>
    </w:rPr>
  </w:style>
  <w:style w:type="paragraph" w:styleId="Caption">
    <w:name w:val="caption"/>
    <w:basedOn w:val="Normal"/>
    <w:next w:val="Normal"/>
    <w:uiPriority w:val="35"/>
    <w:unhideWhenUsed/>
    <w:qFormat/>
    <w:rsid w:val="00EE64B7"/>
    <w:pPr>
      <w:spacing w:line="240" w:lineRule="auto"/>
    </w:pPr>
    <w:rPr>
      <w:rFonts w:asciiTheme="minorHAnsi" w:hAnsiTheme="minorHAnsi"/>
      <w:b/>
      <w:bCs/>
      <w:i/>
      <w:szCs w:val="18"/>
    </w:rPr>
  </w:style>
  <w:style w:type="paragraph" w:styleId="TableofFigures">
    <w:name w:val="table of figures"/>
    <w:basedOn w:val="Normal"/>
    <w:next w:val="Normal"/>
    <w:uiPriority w:val="99"/>
    <w:unhideWhenUsed/>
    <w:rsid w:val="00C500F6"/>
  </w:style>
  <w:style w:type="paragraph" w:styleId="BodyText">
    <w:name w:val="Body Text"/>
    <w:basedOn w:val="Normal"/>
    <w:link w:val="BodyTextChar"/>
    <w:uiPriority w:val="1"/>
    <w:qFormat/>
    <w:rsid w:val="00AC4DFA"/>
    <w:pPr>
      <w:widowControl w:val="0"/>
      <w:spacing w:before="0" w:line="240" w:lineRule="auto"/>
    </w:pPr>
    <w:rPr>
      <w:rFonts w:ascii="Calibri" w:eastAsia="Calibri" w:hAnsi="Calibri" w:cs="Calibri"/>
      <w:b/>
      <w:bCs/>
      <w:lang w:val="en-US"/>
    </w:rPr>
  </w:style>
  <w:style w:type="character" w:customStyle="1" w:styleId="BodyTextChar">
    <w:name w:val="Body Text Char"/>
    <w:basedOn w:val="DefaultParagraphFont"/>
    <w:link w:val="BodyText"/>
    <w:uiPriority w:val="1"/>
    <w:rsid w:val="00AC4DFA"/>
    <w:rPr>
      <w:rFonts w:ascii="Calibri" w:eastAsia="Calibri" w:hAnsi="Calibri" w:cs="Calibri"/>
      <w:b/>
      <w:bCs/>
      <w:lang w:val="en-US"/>
    </w:rPr>
  </w:style>
  <w:style w:type="paragraph" w:customStyle="1" w:styleId="TableParagraph">
    <w:name w:val="Table Paragraph"/>
    <w:basedOn w:val="Normal"/>
    <w:uiPriority w:val="1"/>
    <w:qFormat/>
    <w:rsid w:val="00AC4DFA"/>
    <w:pPr>
      <w:widowControl w:val="0"/>
      <w:spacing w:before="46" w:line="240" w:lineRule="auto"/>
      <w:ind w:left="75"/>
    </w:pPr>
    <w:rPr>
      <w:rFonts w:ascii="Trebuchet MS" w:eastAsia="Trebuchet MS" w:hAnsi="Trebuchet MS" w:cs="Trebuchet MS"/>
      <w:lang w:val="en-US"/>
    </w:rPr>
  </w:style>
  <w:style w:type="paragraph" w:customStyle="1" w:styleId="msonormal0">
    <w:name w:val="msonormal"/>
    <w:basedOn w:val="Normal"/>
    <w:rsid w:val="00EB49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69494">
      <w:bodyDiv w:val="1"/>
      <w:marLeft w:val="0"/>
      <w:marRight w:val="0"/>
      <w:marTop w:val="0"/>
      <w:marBottom w:val="0"/>
      <w:divBdr>
        <w:top w:val="none" w:sz="0" w:space="0" w:color="auto"/>
        <w:left w:val="none" w:sz="0" w:space="0" w:color="auto"/>
        <w:bottom w:val="none" w:sz="0" w:space="0" w:color="auto"/>
        <w:right w:val="none" w:sz="0" w:space="0" w:color="auto"/>
      </w:divBdr>
    </w:div>
    <w:div w:id="238296468">
      <w:bodyDiv w:val="1"/>
      <w:marLeft w:val="0"/>
      <w:marRight w:val="0"/>
      <w:marTop w:val="0"/>
      <w:marBottom w:val="0"/>
      <w:divBdr>
        <w:top w:val="none" w:sz="0" w:space="0" w:color="auto"/>
        <w:left w:val="none" w:sz="0" w:space="0" w:color="auto"/>
        <w:bottom w:val="none" w:sz="0" w:space="0" w:color="auto"/>
        <w:right w:val="none" w:sz="0" w:space="0" w:color="auto"/>
      </w:divBdr>
    </w:div>
    <w:div w:id="401177909">
      <w:bodyDiv w:val="1"/>
      <w:marLeft w:val="0"/>
      <w:marRight w:val="0"/>
      <w:marTop w:val="0"/>
      <w:marBottom w:val="0"/>
      <w:divBdr>
        <w:top w:val="none" w:sz="0" w:space="0" w:color="auto"/>
        <w:left w:val="none" w:sz="0" w:space="0" w:color="auto"/>
        <w:bottom w:val="none" w:sz="0" w:space="0" w:color="auto"/>
        <w:right w:val="none" w:sz="0" w:space="0" w:color="auto"/>
      </w:divBdr>
    </w:div>
    <w:div w:id="567498188">
      <w:bodyDiv w:val="1"/>
      <w:marLeft w:val="0"/>
      <w:marRight w:val="0"/>
      <w:marTop w:val="0"/>
      <w:marBottom w:val="0"/>
      <w:divBdr>
        <w:top w:val="none" w:sz="0" w:space="0" w:color="auto"/>
        <w:left w:val="none" w:sz="0" w:space="0" w:color="auto"/>
        <w:bottom w:val="none" w:sz="0" w:space="0" w:color="auto"/>
        <w:right w:val="none" w:sz="0" w:space="0" w:color="auto"/>
      </w:divBdr>
    </w:div>
    <w:div w:id="735589790">
      <w:bodyDiv w:val="1"/>
      <w:marLeft w:val="0"/>
      <w:marRight w:val="0"/>
      <w:marTop w:val="0"/>
      <w:marBottom w:val="0"/>
      <w:divBdr>
        <w:top w:val="none" w:sz="0" w:space="0" w:color="auto"/>
        <w:left w:val="none" w:sz="0" w:space="0" w:color="auto"/>
        <w:bottom w:val="none" w:sz="0" w:space="0" w:color="auto"/>
        <w:right w:val="none" w:sz="0" w:space="0" w:color="auto"/>
      </w:divBdr>
    </w:div>
    <w:div w:id="749303927">
      <w:bodyDiv w:val="1"/>
      <w:marLeft w:val="0"/>
      <w:marRight w:val="0"/>
      <w:marTop w:val="0"/>
      <w:marBottom w:val="0"/>
      <w:divBdr>
        <w:top w:val="none" w:sz="0" w:space="0" w:color="auto"/>
        <w:left w:val="none" w:sz="0" w:space="0" w:color="auto"/>
        <w:bottom w:val="none" w:sz="0" w:space="0" w:color="auto"/>
        <w:right w:val="none" w:sz="0" w:space="0" w:color="auto"/>
      </w:divBdr>
    </w:div>
    <w:div w:id="989556500">
      <w:bodyDiv w:val="1"/>
      <w:marLeft w:val="0"/>
      <w:marRight w:val="0"/>
      <w:marTop w:val="0"/>
      <w:marBottom w:val="0"/>
      <w:divBdr>
        <w:top w:val="none" w:sz="0" w:space="0" w:color="auto"/>
        <w:left w:val="none" w:sz="0" w:space="0" w:color="auto"/>
        <w:bottom w:val="none" w:sz="0" w:space="0" w:color="auto"/>
        <w:right w:val="none" w:sz="0" w:space="0" w:color="auto"/>
      </w:divBdr>
    </w:div>
    <w:div w:id="1047610587">
      <w:bodyDiv w:val="1"/>
      <w:marLeft w:val="0"/>
      <w:marRight w:val="0"/>
      <w:marTop w:val="0"/>
      <w:marBottom w:val="0"/>
      <w:divBdr>
        <w:top w:val="none" w:sz="0" w:space="0" w:color="auto"/>
        <w:left w:val="none" w:sz="0" w:space="0" w:color="auto"/>
        <w:bottom w:val="none" w:sz="0" w:space="0" w:color="auto"/>
        <w:right w:val="none" w:sz="0" w:space="0" w:color="auto"/>
      </w:divBdr>
    </w:div>
    <w:div w:id="1284266684">
      <w:bodyDiv w:val="1"/>
      <w:marLeft w:val="0"/>
      <w:marRight w:val="0"/>
      <w:marTop w:val="0"/>
      <w:marBottom w:val="0"/>
      <w:divBdr>
        <w:top w:val="none" w:sz="0" w:space="0" w:color="auto"/>
        <w:left w:val="none" w:sz="0" w:space="0" w:color="auto"/>
        <w:bottom w:val="none" w:sz="0" w:space="0" w:color="auto"/>
        <w:right w:val="none" w:sz="0" w:space="0" w:color="auto"/>
      </w:divBdr>
    </w:div>
    <w:div w:id="1313288471">
      <w:bodyDiv w:val="1"/>
      <w:marLeft w:val="0"/>
      <w:marRight w:val="0"/>
      <w:marTop w:val="0"/>
      <w:marBottom w:val="0"/>
      <w:divBdr>
        <w:top w:val="none" w:sz="0" w:space="0" w:color="auto"/>
        <w:left w:val="none" w:sz="0" w:space="0" w:color="auto"/>
        <w:bottom w:val="none" w:sz="0" w:space="0" w:color="auto"/>
        <w:right w:val="none" w:sz="0" w:space="0" w:color="auto"/>
      </w:divBdr>
    </w:div>
    <w:div w:id="1432356672">
      <w:bodyDiv w:val="1"/>
      <w:marLeft w:val="0"/>
      <w:marRight w:val="0"/>
      <w:marTop w:val="0"/>
      <w:marBottom w:val="0"/>
      <w:divBdr>
        <w:top w:val="none" w:sz="0" w:space="0" w:color="auto"/>
        <w:left w:val="none" w:sz="0" w:space="0" w:color="auto"/>
        <w:bottom w:val="none" w:sz="0" w:space="0" w:color="auto"/>
        <w:right w:val="none" w:sz="0" w:space="0" w:color="auto"/>
      </w:divBdr>
    </w:div>
    <w:div w:id="1884441767">
      <w:bodyDiv w:val="1"/>
      <w:marLeft w:val="0"/>
      <w:marRight w:val="0"/>
      <w:marTop w:val="0"/>
      <w:marBottom w:val="0"/>
      <w:divBdr>
        <w:top w:val="none" w:sz="0" w:space="0" w:color="auto"/>
        <w:left w:val="none" w:sz="0" w:space="0" w:color="auto"/>
        <w:bottom w:val="none" w:sz="0" w:space="0" w:color="auto"/>
        <w:right w:val="none" w:sz="0" w:space="0" w:color="auto"/>
      </w:divBdr>
    </w:div>
    <w:div w:id="2029477739">
      <w:bodyDiv w:val="1"/>
      <w:marLeft w:val="0"/>
      <w:marRight w:val="0"/>
      <w:marTop w:val="0"/>
      <w:marBottom w:val="0"/>
      <w:divBdr>
        <w:top w:val="none" w:sz="0" w:space="0" w:color="auto"/>
        <w:left w:val="none" w:sz="0" w:space="0" w:color="auto"/>
        <w:bottom w:val="none" w:sz="0" w:space="0" w:color="auto"/>
        <w:right w:val="none" w:sz="0" w:space="0" w:color="auto"/>
      </w:divBdr>
    </w:div>
    <w:div w:id="203456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image" Target="media/image27.emf"/><Relationship Id="rId21" Type="http://schemas.openxmlformats.org/officeDocument/2006/relationships/image" Target="media/image9.w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data.worldbank.org/indicator/SI.POV.GIN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w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hyperlink" Target="http://en.rsf.org/press-freedom-index-2008,33.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hyperlink" Target="http://hdr.undp.org" TargetMode="External"/><Relationship Id="rId61" Type="http://schemas.openxmlformats.org/officeDocument/2006/relationships/hyperlink" Target="https://data.undp.org/dataset/Income-Gini-coefficient/36ku-rvrj" TargetMode="Externa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hyperlink" Target="http://stats.oecd.org/Index.aspx?DataSetCode=IDD" TargetMode="External"/><Relationship Id="rId65" Type="http://schemas.openxmlformats.org/officeDocument/2006/relationships/hyperlink" Target="https://freedomhouse.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hyperlink" Target="http://www.cepal.org/publicaciones/xml/4/49054/SPS_TrinidadAndTobago_ing.pdf" TargetMode="External"/><Relationship Id="rId8" Type="http://schemas.openxmlformats.org/officeDocument/2006/relationships/chart" Target="charts/chart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yperlink" Target="http://www.hks.harvard.edu/fs/pnorris/Data/Data.htm" TargetMode="External"/><Relationship Id="rId6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hyperlink" Target="https://www.cia.gov/library/publications/the-world-factbook/geos/cy.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os.ca.gov/elections/ballot-measures/referenda.htm" TargetMode="External"/><Relationship Id="rId2" Type="http://schemas.openxmlformats.org/officeDocument/2006/relationships/hyperlink" Target="https://wintersresearch.wordpress.com/2010-qesb/qes-britain/" TargetMode="External"/><Relationship Id="rId1" Type="http://schemas.openxmlformats.org/officeDocument/2006/relationships/hyperlink" Target="http://www.worldvaluessurvey.org/WVSDocumentationWV5.jsp" TargetMode="External"/><Relationship Id="rId5" Type="http://schemas.openxmlformats.org/officeDocument/2006/relationships/hyperlink" Target="http://rsf.org/index2014/en-index2014.php" TargetMode="External"/><Relationship Id="rId4" Type="http://schemas.openxmlformats.org/officeDocument/2006/relationships/hyperlink" Target="http://www.apa.org/pubs/databases/psycinfo/index.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emplefoot\Google%20Drive\Google%20Drive\PhD\Data\Figure%201%20democracy%20good%20bad%20syste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hD\PhD\Writing\Thesis\Part%201\Literature\afrobarometer.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45654001987616E-2"/>
          <c:y val="5.0925925925925923E-2"/>
          <c:w val="0.88067538159671788"/>
          <c:h val="0.75334062408865554"/>
        </c:manualLayout>
      </c:layout>
      <c:lineChart>
        <c:grouping val="standard"/>
        <c:varyColors val="0"/>
        <c:ser>
          <c:idx val="0"/>
          <c:order val="0"/>
          <c:tx>
            <c:strRef>
              <c:f>Sheet1!$A$3</c:f>
              <c:strCache>
                <c:ptCount val="1"/>
                <c:pt idx="0">
                  <c:v>Very/Fairly Good</c:v>
                </c:pt>
              </c:strCache>
            </c:strRef>
          </c:tx>
          <c:spPr>
            <a:ln w="28575" cap="rnd">
              <a:solidFill>
                <a:schemeClr val="tx1"/>
              </a:solidFill>
              <a:prstDash val="dash"/>
              <a:round/>
            </a:ln>
            <a:effectLst/>
          </c:spPr>
          <c:marker>
            <c:symbol val="square"/>
            <c:size val="5"/>
            <c:spPr>
              <a:solidFill>
                <a:schemeClr val="tx1"/>
              </a:solidFill>
              <a:ln w="9525">
                <a:solidFill>
                  <a:schemeClr val="tx1"/>
                </a:solidFill>
              </a:ln>
              <a:effectLst/>
            </c:spPr>
          </c:marker>
          <c:cat>
            <c:strRef>
              <c:f>Sheet1!$B$2:$E$2</c:f>
              <c:strCache>
                <c:ptCount val="4"/>
                <c:pt idx="0">
                  <c:v>1994-1998</c:v>
                </c:pt>
                <c:pt idx="1">
                  <c:v>1999-2004</c:v>
                </c:pt>
                <c:pt idx="2">
                  <c:v>2005-2009</c:v>
                </c:pt>
                <c:pt idx="3">
                  <c:v>2010-2014</c:v>
                </c:pt>
              </c:strCache>
            </c:strRef>
          </c:cat>
          <c:val>
            <c:numRef>
              <c:f>Sheet1!$B$3:$E$3</c:f>
              <c:numCache>
                <c:formatCode>0.0%</c:formatCode>
                <c:ptCount val="4"/>
                <c:pt idx="0">
                  <c:v>0.88200000000000001</c:v>
                </c:pt>
                <c:pt idx="1">
                  <c:v>0.91300000000000003</c:v>
                </c:pt>
                <c:pt idx="2">
                  <c:v>0.91500000000000004</c:v>
                </c:pt>
                <c:pt idx="3">
                  <c:v>0.876</c:v>
                </c:pt>
              </c:numCache>
            </c:numRef>
          </c:val>
          <c:smooth val="0"/>
          <c:extLst>
            <c:ext xmlns:c16="http://schemas.microsoft.com/office/drawing/2014/chart" uri="{C3380CC4-5D6E-409C-BE32-E72D297353CC}">
              <c16:uniqueId val="{00000000-8CD1-4A86-B59E-D5FCAC8D867B}"/>
            </c:ext>
          </c:extLst>
        </c:ser>
        <c:ser>
          <c:idx val="1"/>
          <c:order val="1"/>
          <c:tx>
            <c:strRef>
              <c:f>Sheet1!$A$4</c:f>
              <c:strCache>
                <c:ptCount val="1"/>
                <c:pt idx="0">
                  <c:v>Very/Fairly Bad</c:v>
                </c:pt>
              </c:strCache>
            </c:strRef>
          </c:tx>
          <c:spPr>
            <a:ln w="28575" cap="rnd">
              <a:solidFill>
                <a:schemeClr val="bg1">
                  <a:lumMod val="50000"/>
                </a:schemeClr>
              </a:solidFill>
              <a:round/>
            </a:ln>
            <a:effectLst/>
          </c:spPr>
          <c:marker>
            <c:symbol val="square"/>
            <c:size val="5"/>
            <c:spPr>
              <a:solidFill>
                <a:schemeClr val="bg1">
                  <a:lumMod val="50000"/>
                </a:schemeClr>
              </a:solidFill>
              <a:ln w="9525">
                <a:solidFill>
                  <a:schemeClr val="bg1">
                    <a:lumMod val="50000"/>
                  </a:schemeClr>
                </a:solidFill>
              </a:ln>
              <a:effectLst/>
            </c:spPr>
          </c:marker>
          <c:cat>
            <c:strRef>
              <c:f>Sheet1!$B$2:$E$2</c:f>
              <c:strCache>
                <c:ptCount val="4"/>
                <c:pt idx="0">
                  <c:v>1994-1998</c:v>
                </c:pt>
                <c:pt idx="1">
                  <c:v>1999-2004</c:v>
                </c:pt>
                <c:pt idx="2">
                  <c:v>2005-2009</c:v>
                </c:pt>
                <c:pt idx="3">
                  <c:v>2010-2014</c:v>
                </c:pt>
              </c:strCache>
            </c:strRef>
          </c:cat>
          <c:val>
            <c:numRef>
              <c:f>Sheet1!$B$4:$E$4</c:f>
              <c:numCache>
                <c:formatCode>0.0%</c:formatCode>
                <c:ptCount val="4"/>
                <c:pt idx="0">
                  <c:v>0.11799999999999999</c:v>
                </c:pt>
                <c:pt idx="1">
                  <c:v>8.6999999999999966E-2</c:v>
                </c:pt>
                <c:pt idx="2">
                  <c:v>8.4999999999999964E-2</c:v>
                </c:pt>
                <c:pt idx="3">
                  <c:v>0.124</c:v>
                </c:pt>
              </c:numCache>
            </c:numRef>
          </c:val>
          <c:smooth val="0"/>
          <c:extLst>
            <c:ext xmlns:c16="http://schemas.microsoft.com/office/drawing/2014/chart" uri="{C3380CC4-5D6E-409C-BE32-E72D297353CC}">
              <c16:uniqueId val="{00000001-8CD1-4A86-B59E-D5FCAC8D867B}"/>
            </c:ext>
          </c:extLst>
        </c:ser>
        <c:dLbls>
          <c:showLegendKey val="0"/>
          <c:showVal val="0"/>
          <c:showCatName val="0"/>
          <c:showSerName val="0"/>
          <c:showPercent val="0"/>
          <c:showBubbleSize val="0"/>
        </c:dLbls>
        <c:marker val="1"/>
        <c:smooth val="0"/>
        <c:axId val="273112576"/>
        <c:axId val="273951552"/>
      </c:lineChart>
      <c:catAx>
        <c:axId val="273112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Wave of</a:t>
                </a:r>
                <a:r>
                  <a:rPr lang="en-GB" baseline="0"/>
                  <a:t> World Values Survey</a:t>
                </a:r>
                <a:endParaRPr lang="en-GB"/>
              </a:p>
            </c:rich>
          </c:tx>
          <c:layout>
            <c:manualLayout>
              <c:xMode val="edge"/>
              <c:yMode val="edge"/>
              <c:x val="0.36808297021124792"/>
              <c:y val="0.89777704870224551"/>
            </c:manualLayout>
          </c:layout>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73951552"/>
        <c:crosses val="autoZero"/>
        <c:auto val="1"/>
        <c:lblAlgn val="ctr"/>
        <c:lblOffset val="100"/>
        <c:noMultiLvlLbl val="0"/>
      </c:catAx>
      <c:valAx>
        <c:axId val="27395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73112576"/>
        <c:crosses val="autoZero"/>
        <c:crossBetween val="between"/>
      </c:valAx>
    </c:plotArea>
    <c:legend>
      <c:legendPos val="b"/>
      <c:layout>
        <c:manualLayout>
          <c:xMode val="edge"/>
          <c:yMode val="edge"/>
          <c:x val="0.2679703386591239"/>
          <c:y val="0.34317074948964704"/>
          <c:w val="0.52789277068521778"/>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2703018372703412"/>
          <c:y val="5.1400554097404488E-2"/>
          <c:w val="0.84310914260717407"/>
          <c:h val="0.8326195683872849"/>
        </c:manualLayout>
      </c:layout>
      <c:bar3DChart>
        <c:barDir val="col"/>
        <c:grouping val="standard"/>
        <c:varyColors val="0"/>
        <c:ser>
          <c:idx val="0"/>
          <c:order val="0"/>
          <c:tx>
            <c:strRef>
              <c:f>Sheet1!$B$4</c:f>
              <c:strCache>
                <c:ptCount val="1"/>
                <c:pt idx="0">
                  <c:v>All Countries</c:v>
                </c:pt>
              </c:strCache>
            </c:strRef>
          </c:tx>
          <c:spPr>
            <a:solidFill>
              <a:schemeClr val="bg1">
                <a:lumMod val="75000"/>
              </a:schemeClr>
            </a:solidFill>
          </c:spPr>
          <c:invertIfNegative val="0"/>
          <c:cat>
            <c:numRef>
              <c:f>Sheet1!$A$5:$A$14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Sheet1!$B$5:$B$14</c:f>
              <c:numCache>
                <c:formatCode>0.00%</c:formatCode>
                <c:ptCount val="10"/>
                <c:pt idx="0">
                  <c:v>1.4E-2</c:v>
                </c:pt>
                <c:pt idx="1">
                  <c:v>5.0000000000000001E-3</c:v>
                </c:pt>
                <c:pt idx="2">
                  <c:v>7.0000000000000001E-3</c:v>
                </c:pt>
                <c:pt idx="3">
                  <c:v>1.0999999999999999E-2</c:v>
                </c:pt>
                <c:pt idx="4" formatCode="0%">
                  <c:v>0.06</c:v>
                </c:pt>
                <c:pt idx="5">
                  <c:v>4.7E-2</c:v>
                </c:pt>
                <c:pt idx="6">
                  <c:v>7.2999999999999995E-2</c:v>
                </c:pt>
                <c:pt idx="7" formatCode="0%">
                  <c:v>0.14000000000000001</c:v>
                </c:pt>
                <c:pt idx="8">
                  <c:v>0.14399999999999999</c:v>
                </c:pt>
                <c:pt idx="9">
                  <c:v>0.502</c:v>
                </c:pt>
              </c:numCache>
            </c:numRef>
          </c:val>
          <c:extLst>
            <c:ext xmlns:c16="http://schemas.microsoft.com/office/drawing/2014/chart" uri="{C3380CC4-5D6E-409C-BE32-E72D297353CC}">
              <c16:uniqueId val="{00000000-0DF5-4F9D-844B-F1C9A2A50A5C}"/>
            </c:ext>
          </c:extLst>
        </c:ser>
        <c:ser>
          <c:idx val="1"/>
          <c:order val="1"/>
          <c:tx>
            <c:strRef>
              <c:f>Sheet1!$C$4</c:f>
              <c:strCache>
                <c:ptCount val="1"/>
                <c:pt idx="0">
                  <c:v>Not Free</c:v>
                </c:pt>
              </c:strCache>
            </c:strRef>
          </c:tx>
          <c:spPr>
            <a:solidFill>
              <a:schemeClr val="tx1">
                <a:lumMod val="85000"/>
                <a:lumOff val="15000"/>
              </a:schemeClr>
            </a:solidFill>
          </c:spPr>
          <c:invertIfNegative val="0"/>
          <c:cat>
            <c:numRef>
              <c:f>Sheet1!$A$5:$A$14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Sheet1!$C$5:$C$14</c:f>
              <c:numCache>
                <c:formatCode>0.00%</c:formatCode>
                <c:ptCount val="10"/>
                <c:pt idx="0">
                  <c:v>2.4E-2</c:v>
                </c:pt>
                <c:pt idx="1">
                  <c:v>6.0000000000000001E-3</c:v>
                </c:pt>
                <c:pt idx="2">
                  <c:v>1.2E-2</c:v>
                </c:pt>
                <c:pt idx="3">
                  <c:v>1.6E-2</c:v>
                </c:pt>
                <c:pt idx="4">
                  <c:v>7.2400000000000006E-2</c:v>
                </c:pt>
                <c:pt idx="5" formatCode="0%">
                  <c:v>0.06</c:v>
                </c:pt>
                <c:pt idx="6">
                  <c:v>7.1999999999999995E-2</c:v>
                </c:pt>
                <c:pt idx="7">
                  <c:v>0.14299999999999999</c:v>
                </c:pt>
                <c:pt idx="8">
                  <c:v>0.13600000000000001</c:v>
                </c:pt>
                <c:pt idx="9" formatCode="0%">
                  <c:v>0.46</c:v>
                </c:pt>
              </c:numCache>
            </c:numRef>
          </c:val>
          <c:extLst>
            <c:ext xmlns:c16="http://schemas.microsoft.com/office/drawing/2014/chart" uri="{C3380CC4-5D6E-409C-BE32-E72D297353CC}">
              <c16:uniqueId val="{00000001-0DF5-4F9D-844B-F1C9A2A50A5C}"/>
            </c:ext>
          </c:extLst>
        </c:ser>
        <c:dLbls>
          <c:showLegendKey val="0"/>
          <c:showVal val="0"/>
          <c:showCatName val="0"/>
          <c:showSerName val="0"/>
          <c:showPercent val="0"/>
          <c:showBubbleSize val="0"/>
        </c:dLbls>
        <c:gapWidth val="150"/>
        <c:shape val="box"/>
        <c:axId val="273137152"/>
        <c:axId val="119872832"/>
        <c:axId val="273584128"/>
      </c:bar3DChart>
      <c:catAx>
        <c:axId val="273137152"/>
        <c:scaling>
          <c:orientation val="minMax"/>
        </c:scaling>
        <c:delete val="0"/>
        <c:axPos val="b"/>
        <c:numFmt formatCode="General" sourceLinked="1"/>
        <c:majorTickMark val="out"/>
        <c:minorTickMark val="none"/>
        <c:tickLblPos val="nextTo"/>
        <c:crossAx val="119872832"/>
        <c:crosses val="autoZero"/>
        <c:auto val="1"/>
        <c:lblAlgn val="ctr"/>
        <c:lblOffset val="100"/>
        <c:noMultiLvlLbl val="0"/>
      </c:catAx>
      <c:valAx>
        <c:axId val="119872832"/>
        <c:scaling>
          <c:orientation val="minMax"/>
        </c:scaling>
        <c:delete val="0"/>
        <c:axPos val="l"/>
        <c:majorGridlines/>
        <c:numFmt formatCode="0%" sourceLinked="0"/>
        <c:majorTickMark val="out"/>
        <c:minorTickMark val="none"/>
        <c:tickLblPos val="nextTo"/>
        <c:crossAx val="273137152"/>
        <c:crosses val="autoZero"/>
        <c:crossBetween val="between"/>
        <c:majorUnit val="0.1"/>
      </c:valAx>
      <c:serAx>
        <c:axId val="273584128"/>
        <c:scaling>
          <c:orientation val="minMax"/>
        </c:scaling>
        <c:delete val="1"/>
        <c:axPos val="b"/>
        <c:majorTickMark val="out"/>
        <c:minorTickMark val="none"/>
        <c:tickLblPos val="nextTo"/>
        <c:crossAx val="119872832"/>
        <c:crosses val="autoZero"/>
      </c:serAx>
    </c:plotArea>
    <c:legend>
      <c:legendPos val="r"/>
      <c:layout>
        <c:manualLayout>
          <c:xMode val="edge"/>
          <c:yMode val="edge"/>
          <c:x val="0.11736154855643043"/>
          <c:y val="0.74961614173228341"/>
          <c:w val="0.19097178477690291"/>
          <c:h val="0.1674343832020997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63792583786665E-2"/>
          <c:y val="4.2722544942873801E-2"/>
          <c:w val="0.88537662225200298"/>
          <c:h val="0.86087858121955685"/>
        </c:manualLayout>
      </c:layout>
      <c:lineChart>
        <c:grouping val="standard"/>
        <c:varyColors val="0"/>
        <c:ser>
          <c:idx val="0"/>
          <c:order val="0"/>
          <c:tx>
            <c:strRef>
              <c:f>Sheet1!$A$2</c:f>
              <c:strCache>
                <c:ptCount val="1"/>
                <c:pt idx="0">
                  <c:v>Democracy is Preferable</c:v>
                </c:pt>
              </c:strCache>
            </c:strRef>
          </c:tx>
          <c:spPr>
            <a:ln>
              <a:solidFill>
                <a:schemeClr val="tx1">
                  <a:lumMod val="85000"/>
                  <a:lumOff val="15000"/>
                </a:schemeClr>
              </a:solidFill>
            </a:ln>
          </c:spPr>
          <c:marker>
            <c:symbol val="none"/>
          </c:marker>
          <c:cat>
            <c:strRef>
              <c:f>Sheet1!$B$1:$E$1</c:f>
              <c:strCache>
                <c:ptCount val="4"/>
                <c:pt idx="0">
                  <c:v>1999-2001</c:v>
                </c:pt>
                <c:pt idx="1">
                  <c:v>2004</c:v>
                </c:pt>
                <c:pt idx="2">
                  <c:v>2005</c:v>
                </c:pt>
                <c:pt idx="3">
                  <c:v>2008</c:v>
                </c:pt>
              </c:strCache>
            </c:strRef>
          </c:cat>
          <c:val>
            <c:numRef>
              <c:f>Sheet1!$B$2:$E$2</c:f>
              <c:numCache>
                <c:formatCode>0.00%</c:formatCode>
                <c:ptCount val="4"/>
                <c:pt idx="0" formatCode="0%">
                  <c:v>0.7</c:v>
                </c:pt>
                <c:pt idx="1">
                  <c:v>0.64500000000000002</c:v>
                </c:pt>
                <c:pt idx="2">
                  <c:v>0.626</c:v>
                </c:pt>
                <c:pt idx="3">
                  <c:v>0.69599999999999995</c:v>
                </c:pt>
              </c:numCache>
            </c:numRef>
          </c:val>
          <c:smooth val="0"/>
          <c:extLst>
            <c:ext xmlns:c16="http://schemas.microsoft.com/office/drawing/2014/chart" uri="{C3380CC4-5D6E-409C-BE32-E72D297353CC}">
              <c16:uniqueId val="{00000000-5FE0-4C65-8E58-52A55F0C4A7B}"/>
            </c:ext>
          </c:extLst>
        </c:ser>
        <c:ser>
          <c:idx val="1"/>
          <c:order val="1"/>
          <c:tx>
            <c:strRef>
              <c:f>Sheet1!$A$3</c:f>
              <c:strCache>
                <c:ptCount val="1"/>
                <c:pt idx="0">
                  <c:v>Sometimes Non-Democracy</c:v>
                </c:pt>
              </c:strCache>
            </c:strRef>
          </c:tx>
          <c:spPr>
            <a:ln>
              <a:solidFill>
                <a:schemeClr val="bg1">
                  <a:lumMod val="75000"/>
                </a:schemeClr>
              </a:solidFill>
            </a:ln>
          </c:spPr>
          <c:marker>
            <c:symbol val="none"/>
          </c:marker>
          <c:cat>
            <c:strRef>
              <c:f>Sheet1!$B$1:$E$1</c:f>
              <c:strCache>
                <c:ptCount val="4"/>
                <c:pt idx="0">
                  <c:v>1999-2001</c:v>
                </c:pt>
                <c:pt idx="1">
                  <c:v>2004</c:v>
                </c:pt>
                <c:pt idx="2">
                  <c:v>2005</c:v>
                </c:pt>
                <c:pt idx="3">
                  <c:v>2008</c:v>
                </c:pt>
              </c:strCache>
            </c:strRef>
          </c:cat>
          <c:val>
            <c:numRef>
              <c:f>Sheet1!$B$3:$E$3</c:f>
              <c:numCache>
                <c:formatCode>0.00%</c:formatCode>
                <c:ptCount val="4"/>
                <c:pt idx="0" formatCode="0%">
                  <c:v>0.11</c:v>
                </c:pt>
                <c:pt idx="1">
                  <c:v>0.13300000000000001</c:v>
                </c:pt>
                <c:pt idx="2">
                  <c:v>9.7000000000000003E-2</c:v>
                </c:pt>
                <c:pt idx="3">
                  <c:v>0.111</c:v>
                </c:pt>
              </c:numCache>
            </c:numRef>
          </c:val>
          <c:smooth val="0"/>
          <c:extLst>
            <c:ext xmlns:c16="http://schemas.microsoft.com/office/drawing/2014/chart" uri="{C3380CC4-5D6E-409C-BE32-E72D297353CC}">
              <c16:uniqueId val="{00000001-5FE0-4C65-8E58-52A55F0C4A7B}"/>
            </c:ext>
          </c:extLst>
        </c:ser>
        <c:ser>
          <c:idx val="2"/>
          <c:order val="2"/>
          <c:tx>
            <c:strRef>
              <c:f>Sheet1!$A$4</c:f>
              <c:strCache>
                <c:ptCount val="1"/>
                <c:pt idx="0">
                  <c:v>Doesn't Matter</c:v>
                </c:pt>
              </c:strCache>
            </c:strRef>
          </c:tx>
          <c:spPr>
            <a:ln>
              <a:solidFill>
                <a:schemeClr val="tx1">
                  <a:lumMod val="65000"/>
                  <a:lumOff val="35000"/>
                </a:schemeClr>
              </a:solidFill>
              <a:prstDash val="dash"/>
            </a:ln>
          </c:spPr>
          <c:marker>
            <c:symbol val="none"/>
          </c:marker>
          <c:cat>
            <c:strRef>
              <c:f>Sheet1!$B$1:$E$1</c:f>
              <c:strCache>
                <c:ptCount val="4"/>
                <c:pt idx="0">
                  <c:v>1999-2001</c:v>
                </c:pt>
                <c:pt idx="1">
                  <c:v>2004</c:v>
                </c:pt>
                <c:pt idx="2">
                  <c:v>2005</c:v>
                </c:pt>
                <c:pt idx="3">
                  <c:v>2008</c:v>
                </c:pt>
              </c:strCache>
            </c:strRef>
          </c:cat>
          <c:val>
            <c:numRef>
              <c:f>Sheet1!$B$4:$E$4</c:f>
              <c:numCache>
                <c:formatCode>0.00%</c:formatCode>
                <c:ptCount val="4"/>
                <c:pt idx="0">
                  <c:v>0.127</c:v>
                </c:pt>
                <c:pt idx="1">
                  <c:v>0.115</c:v>
                </c:pt>
                <c:pt idx="2" formatCode="0%">
                  <c:v>0.12</c:v>
                </c:pt>
                <c:pt idx="3">
                  <c:v>0.115</c:v>
                </c:pt>
              </c:numCache>
            </c:numRef>
          </c:val>
          <c:smooth val="0"/>
          <c:extLst>
            <c:ext xmlns:c16="http://schemas.microsoft.com/office/drawing/2014/chart" uri="{C3380CC4-5D6E-409C-BE32-E72D297353CC}">
              <c16:uniqueId val="{00000002-5FE0-4C65-8E58-52A55F0C4A7B}"/>
            </c:ext>
          </c:extLst>
        </c:ser>
        <c:ser>
          <c:idx val="3"/>
          <c:order val="3"/>
          <c:tx>
            <c:strRef>
              <c:f>Sheet1!$A$5</c:f>
              <c:strCache>
                <c:ptCount val="1"/>
                <c:pt idx="0">
                  <c:v>Don't Know</c:v>
                </c:pt>
              </c:strCache>
            </c:strRef>
          </c:tx>
          <c:spPr>
            <a:ln>
              <a:solidFill>
                <a:schemeClr val="tx1">
                  <a:lumMod val="50000"/>
                  <a:lumOff val="50000"/>
                </a:schemeClr>
              </a:solidFill>
              <a:prstDash val="sysDash"/>
            </a:ln>
          </c:spPr>
          <c:marker>
            <c:symbol val="none"/>
          </c:marker>
          <c:cat>
            <c:strRef>
              <c:f>Sheet1!$B$1:$E$1</c:f>
              <c:strCache>
                <c:ptCount val="4"/>
                <c:pt idx="0">
                  <c:v>1999-2001</c:v>
                </c:pt>
                <c:pt idx="1">
                  <c:v>2004</c:v>
                </c:pt>
                <c:pt idx="2">
                  <c:v>2005</c:v>
                </c:pt>
                <c:pt idx="3">
                  <c:v>2008</c:v>
                </c:pt>
              </c:strCache>
            </c:strRef>
          </c:cat>
          <c:val>
            <c:numRef>
              <c:f>Sheet1!$B$5:$E$5</c:f>
              <c:numCache>
                <c:formatCode>0.00%</c:formatCode>
                <c:ptCount val="4"/>
                <c:pt idx="0" formatCode="0%">
                  <c:v>0.05</c:v>
                </c:pt>
                <c:pt idx="1">
                  <c:v>0.106</c:v>
                </c:pt>
                <c:pt idx="2">
                  <c:v>0.157</c:v>
                </c:pt>
                <c:pt idx="3">
                  <c:v>7.8E-2</c:v>
                </c:pt>
              </c:numCache>
            </c:numRef>
          </c:val>
          <c:smooth val="0"/>
          <c:extLst>
            <c:ext xmlns:c16="http://schemas.microsoft.com/office/drawing/2014/chart" uri="{C3380CC4-5D6E-409C-BE32-E72D297353CC}">
              <c16:uniqueId val="{00000003-5FE0-4C65-8E58-52A55F0C4A7B}"/>
            </c:ext>
          </c:extLst>
        </c:ser>
        <c:dLbls>
          <c:showLegendKey val="0"/>
          <c:showVal val="0"/>
          <c:showCatName val="0"/>
          <c:showSerName val="0"/>
          <c:showPercent val="0"/>
          <c:showBubbleSize val="0"/>
        </c:dLbls>
        <c:smooth val="0"/>
        <c:axId val="273134592"/>
        <c:axId val="273954432"/>
      </c:lineChart>
      <c:catAx>
        <c:axId val="273134592"/>
        <c:scaling>
          <c:orientation val="minMax"/>
        </c:scaling>
        <c:delete val="0"/>
        <c:axPos val="b"/>
        <c:numFmt formatCode="General" sourceLinked="0"/>
        <c:majorTickMark val="out"/>
        <c:minorTickMark val="none"/>
        <c:tickLblPos val="nextTo"/>
        <c:crossAx val="273954432"/>
        <c:crosses val="autoZero"/>
        <c:auto val="1"/>
        <c:lblAlgn val="ctr"/>
        <c:lblOffset val="100"/>
        <c:noMultiLvlLbl val="0"/>
      </c:catAx>
      <c:valAx>
        <c:axId val="273954432"/>
        <c:scaling>
          <c:orientation val="minMax"/>
          <c:max val="1"/>
        </c:scaling>
        <c:delete val="0"/>
        <c:axPos val="l"/>
        <c:majorGridlines>
          <c:spPr>
            <a:ln>
              <a:noFill/>
            </a:ln>
          </c:spPr>
        </c:majorGridlines>
        <c:numFmt formatCode="0%" sourceLinked="1"/>
        <c:majorTickMark val="out"/>
        <c:minorTickMark val="none"/>
        <c:tickLblPos val="nextTo"/>
        <c:crossAx val="273134592"/>
        <c:crosses val="autoZero"/>
        <c:crossBetween val="between"/>
      </c:valAx>
    </c:plotArea>
    <c:legend>
      <c:legendPos val="r"/>
      <c:layout>
        <c:manualLayout>
          <c:xMode val="edge"/>
          <c:yMode val="edge"/>
          <c:x val="0.21777489382765347"/>
          <c:y val="5.2221878731671244E-2"/>
          <c:w val="0.62696012264651813"/>
          <c:h val="0.1640240923641770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E04B3-D8A6-4E9F-9BB5-180F3B976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217868</Words>
  <Characters>1241848</Characters>
  <Application>Microsoft Office Word</Application>
  <DocSecurity>0</DocSecurity>
  <Lines>10348</Lines>
  <Paragraphs>2913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Templefoot</dc:creator>
  <cp:keywords/>
  <dc:description/>
  <cp:lastModifiedBy>Joanne Rowlands</cp:lastModifiedBy>
  <cp:revision>2</cp:revision>
  <dcterms:created xsi:type="dcterms:W3CDTF">2023-12-05T14:23:00Z</dcterms:created>
  <dcterms:modified xsi:type="dcterms:W3CDTF">2023-12-05T14:23:00Z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6451cc1a-4ec6-3699-a94b-81671b4765ff</vt:lpwstr>
  </property>
</Properties>
</file>